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10CE435D" w14:textId="77777777">
      <w:pPr>
        <w:jc w:val="right"/>
        <w:rPr>
          <w:sz w:val="24"/>
        </w:rPr>
      </w:pPr>
    </w:p>
    <w:p w:rsidR="00013A8B" w:rsidRPr="00B20363" w:rsidP="00013A8B" w14:paraId="5ECFC8F7" w14:textId="3369A49E">
      <w:pPr>
        <w:jc w:val="right"/>
        <w:rPr>
          <w:b/>
          <w:sz w:val="24"/>
        </w:rPr>
      </w:pPr>
      <w:r>
        <w:rPr>
          <w:b/>
          <w:sz w:val="24"/>
        </w:rPr>
        <w:t xml:space="preserve">DA </w:t>
      </w:r>
      <w:r w:rsidR="00C87B26">
        <w:rPr>
          <w:b/>
          <w:sz w:val="24"/>
        </w:rPr>
        <w:t>20-603</w:t>
      </w:r>
    </w:p>
    <w:p w:rsidR="00013A8B" w:rsidRPr="00B20363" w:rsidP="00013A8B" w14:paraId="645DA437" w14:textId="3A388B62">
      <w:pPr>
        <w:spacing w:before="60"/>
        <w:jc w:val="right"/>
        <w:rPr>
          <w:b/>
          <w:sz w:val="24"/>
        </w:rPr>
      </w:pPr>
      <w:r>
        <w:rPr>
          <w:b/>
          <w:sz w:val="24"/>
        </w:rPr>
        <w:t xml:space="preserve">Released:  </w:t>
      </w:r>
      <w:r w:rsidR="008B5BEE">
        <w:rPr>
          <w:b/>
          <w:sz w:val="24"/>
        </w:rPr>
        <w:t>June 9, 2020</w:t>
      </w:r>
    </w:p>
    <w:p w:rsidR="00013A8B" w:rsidP="00013A8B" w14:paraId="7771AED0" w14:textId="77777777">
      <w:pPr>
        <w:jc w:val="right"/>
        <w:rPr>
          <w:sz w:val="24"/>
        </w:rPr>
      </w:pPr>
    </w:p>
    <w:p w:rsidR="00A75FC7" w:rsidP="0054655C" w14:paraId="71579561" w14:textId="0E541F46">
      <w:pPr>
        <w:jc w:val="center"/>
        <w:rPr>
          <w:rFonts w:ascii="Times New Roman Bold" w:hAnsi="Times New Roman Bold"/>
          <w:b/>
          <w:caps/>
          <w:sz w:val="24"/>
        </w:rPr>
      </w:pPr>
      <w:r>
        <w:rPr>
          <w:rFonts w:ascii="Times New Roman Bold" w:hAnsi="Times New Roman Bold"/>
          <w:b/>
          <w:caps/>
          <w:sz w:val="24"/>
        </w:rPr>
        <w:t xml:space="preserve">PUblic safety and homeland security bureau </w:t>
      </w:r>
      <w:r w:rsidR="0054655C">
        <w:rPr>
          <w:rFonts w:ascii="Times New Roman Bold" w:hAnsi="Times New Roman Bold"/>
          <w:b/>
          <w:caps/>
          <w:sz w:val="24"/>
        </w:rPr>
        <w:t>seeks comment on THE</w:t>
      </w:r>
      <w:r w:rsidR="008B5BEE">
        <w:rPr>
          <w:rFonts w:ascii="Times New Roman Bold" w:hAnsi="Times New Roman Bold"/>
          <w:b/>
          <w:caps/>
          <w:sz w:val="24"/>
        </w:rPr>
        <w:t xml:space="preserve"> JUNE 9, 2020</w:t>
      </w:r>
      <w:r w:rsidR="0054655C">
        <w:rPr>
          <w:rFonts w:ascii="Times New Roman Bold" w:hAnsi="Times New Roman Bold"/>
          <w:b/>
          <w:caps/>
          <w:sz w:val="24"/>
        </w:rPr>
        <w:t xml:space="preserve"> FILING BY </w:t>
      </w:r>
      <w:r w:rsidR="008B5BEE">
        <w:rPr>
          <w:rFonts w:ascii="Times New Roman Bold" w:hAnsi="Times New Roman Bold"/>
          <w:b/>
          <w:caps/>
          <w:sz w:val="24"/>
        </w:rPr>
        <w:t>THE NATIONAL TELECOMMUNICATIONS AND INFORMATION ADMINISTRATION</w:t>
      </w:r>
      <w:r w:rsidR="0054655C">
        <w:rPr>
          <w:rFonts w:ascii="Times New Roman Bold" w:hAnsi="Times New Roman Bold"/>
          <w:b/>
          <w:caps/>
          <w:sz w:val="24"/>
        </w:rPr>
        <w:t xml:space="preserve"> IN pS DOCKETS 19-351 AND 19-352</w:t>
      </w:r>
    </w:p>
    <w:p w:rsidR="0054655C" w:rsidRPr="00B20363" w:rsidP="0054655C" w14:paraId="33F6E612" w14:textId="77777777">
      <w:pPr>
        <w:jc w:val="center"/>
        <w:rPr>
          <w:rFonts w:ascii="Times New Roman Bold" w:hAnsi="Times New Roman Bold"/>
          <w:b/>
          <w:caps/>
          <w:sz w:val="24"/>
        </w:rPr>
      </w:pPr>
    </w:p>
    <w:p w:rsidR="00A75FC7" w:rsidP="00A75FC7" w14:paraId="56DA85C2" w14:textId="4BEAD4B3">
      <w:pPr>
        <w:jc w:val="center"/>
        <w:rPr>
          <w:b/>
          <w:sz w:val="24"/>
        </w:rPr>
      </w:pPr>
      <w:bookmarkStart w:id="0" w:name="TOChere"/>
      <w:r>
        <w:rPr>
          <w:b/>
          <w:sz w:val="24"/>
        </w:rPr>
        <w:t xml:space="preserve">PS Docket </w:t>
      </w:r>
      <w:r w:rsidR="0015660A">
        <w:rPr>
          <w:b/>
          <w:sz w:val="24"/>
        </w:rPr>
        <w:t xml:space="preserve">No. </w:t>
      </w:r>
      <w:r>
        <w:rPr>
          <w:b/>
          <w:sz w:val="24"/>
        </w:rPr>
        <w:t>19-351 (Huawei Designation)</w:t>
      </w:r>
    </w:p>
    <w:p w:rsidR="00A75FC7" w:rsidP="00A75FC7" w14:paraId="184A391F" w14:textId="6F9096FE">
      <w:pPr>
        <w:jc w:val="center"/>
        <w:rPr>
          <w:b/>
          <w:sz w:val="24"/>
        </w:rPr>
      </w:pPr>
      <w:r>
        <w:rPr>
          <w:b/>
          <w:sz w:val="24"/>
        </w:rPr>
        <w:t xml:space="preserve">PS Docket </w:t>
      </w:r>
      <w:r w:rsidR="0015660A">
        <w:rPr>
          <w:b/>
          <w:sz w:val="24"/>
        </w:rPr>
        <w:t xml:space="preserve">No. </w:t>
      </w:r>
      <w:r>
        <w:rPr>
          <w:b/>
          <w:sz w:val="24"/>
        </w:rPr>
        <w:t>19-352 (ZTE Designation)</w:t>
      </w:r>
    </w:p>
    <w:p w:rsidR="00A967E9" w:rsidP="00A75FC7" w14:paraId="18FD8F01" w14:textId="5263CF3C">
      <w:pPr>
        <w:jc w:val="center"/>
        <w:rPr>
          <w:b/>
          <w:sz w:val="24"/>
        </w:rPr>
      </w:pPr>
    </w:p>
    <w:p w:rsidR="00A967E9" w:rsidP="009B36B6" w14:paraId="5A1221A3" w14:textId="73C8D961">
      <w:pPr>
        <w:rPr>
          <w:b/>
          <w:sz w:val="24"/>
        </w:rPr>
      </w:pPr>
      <w:r>
        <w:rPr>
          <w:b/>
          <w:sz w:val="24"/>
        </w:rPr>
        <w:t xml:space="preserve">Comment Date: </w:t>
      </w:r>
      <w:r w:rsidR="008B5BEE">
        <w:rPr>
          <w:b/>
          <w:sz w:val="24"/>
        </w:rPr>
        <w:t>June 19, 2020</w:t>
      </w:r>
    </w:p>
    <w:p w:rsidR="00A75FC7" w:rsidP="00A75FC7" w14:paraId="170FE23A" w14:textId="77777777">
      <w:pPr>
        <w:jc w:val="center"/>
        <w:rPr>
          <w:b/>
          <w:sz w:val="24"/>
        </w:rPr>
      </w:pPr>
    </w:p>
    <w:p w:rsidR="00A75FC7" w:rsidRPr="00871929" w:rsidP="00A75FC7" w14:paraId="49C15470" w14:textId="624E46C2">
      <w:pPr>
        <w:pStyle w:val="ParaNum"/>
        <w:numPr>
          <w:ilvl w:val="0"/>
          <w:numId w:val="0"/>
        </w:numPr>
        <w:tabs>
          <w:tab w:val="left" w:pos="720"/>
        </w:tabs>
        <w:ind w:firstLine="720"/>
        <w:rPr>
          <w:sz w:val="24"/>
          <w:szCs w:val="24"/>
        </w:rPr>
      </w:pPr>
      <w:r>
        <w:t xml:space="preserve">By this Public Notice, the Public Safety and Homeland Security Bureau (Bureau) of the Federal Communications Commission </w:t>
      </w:r>
      <w:r w:rsidR="0054655C">
        <w:t xml:space="preserve">seeks comment on the </w:t>
      </w:r>
      <w:r w:rsidR="008B5BEE">
        <w:t>June 9, 2020</w:t>
      </w:r>
      <w:r w:rsidR="0054655C">
        <w:t xml:space="preserve"> filing of </w:t>
      </w:r>
      <w:r w:rsidR="008B5BEE">
        <w:t>the National Telecommunications and Information Administration (NTIA)</w:t>
      </w:r>
      <w:r w:rsidR="0054655C">
        <w:t xml:space="preserve"> in PS Dockets 19-351 and 19-352 relating to the</w:t>
      </w:r>
      <w:r>
        <w:t xml:space="preserve"> designations of Huawei Technologies Company (Huawei) and ZTE Corporation (ZTE).</w:t>
      </w:r>
      <w:r>
        <w:rPr>
          <w:rStyle w:val="FootnoteReference"/>
        </w:rPr>
        <w:footnoteReference w:id="3"/>
      </w:r>
      <w:r>
        <w:t xml:space="preserve">  </w:t>
      </w:r>
    </w:p>
    <w:p w:rsidR="0054655C" w:rsidP="00A75FC7" w14:paraId="6BCDE7F7" w14:textId="26C45E83">
      <w:pPr>
        <w:pStyle w:val="ParaNum"/>
        <w:numPr>
          <w:ilvl w:val="0"/>
          <w:numId w:val="0"/>
        </w:numPr>
        <w:tabs>
          <w:tab w:val="left" w:pos="720"/>
        </w:tabs>
        <w:ind w:firstLine="720"/>
      </w:pPr>
      <w:r>
        <w:t xml:space="preserve">In the </w:t>
      </w:r>
      <w:r>
        <w:rPr>
          <w:i/>
          <w:iCs/>
        </w:rPr>
        <w:t>Protecting Against National Security Threats Order</w:t>
      </w:r>
      <w:r>
        <w:t>, the Commission initially designated Huawei and ZTE as national security threats to the integrity of communications networks and the communications supply chain.</w:t>
      </w:r>
      <w:r>
        <w:rPr>
          <w:rStyle w:val="FootnoteReference"/>
        </w:rPr>
        <w:footnoteReference w:id="4"/>
      </w:r>
      <w:r>
        <w:t xml:space="preserve">  The Commission directed the Bureau to determine whether to finalize the designations of Huawei and ZTE, which would have the effect of prohibiting the use of Universal Service Fund (</w:t>
      </w:r>
      <w:r w:rsidRPr="00DA52F5">
        <w:t>USF</w:t>
      </w:r>
      <w:r>
        <w:t>)</w:t>
      </w:r>
      <w:r w:rsidRPr="00DA52F5">
        <w:t xml:space="preserve"> support to procure or otherwise support equipment or services produced or provided by th</w:t>
      </w:r>
      <w:r>
        <w:t>o</w:t>
      </w:r>
      <w:r w:rsidRPr="00DA52F5">
        <w:t>se two companie</w:t>
      </w:r>
      <w:r>
        <w:t>s.</w:t>
      </w:r>
      <w:r>
        <w:rPr>
          <w:rStyle w:val="FootnoteReference"/>
        </w:rPr>
        <w:footnoteReference w:id="5"/>
      </w:r>
      <w:r>
        <w:t xml:space="preserve"> </w:t>
      </w:r>
      <w:r>
        <w:t xml:space="preserve"> </w:t>
      </w:r>
      <w:r w:rsidR="00CF158E">
        <w:t xml:space="preserve">On </w:t>
      </w:r>
      <w:r w:rsidR="008B5BEE">
        <w:t>June 9</w:t>
      </w:r>
      <w:r w:rsidR="00CF158E">
        <w:t xml:space="preserve">, 2020, </w:t>
      </w:r>
      <w:r w:rsidR="008B5BEE">
        <w:t>NTIA</w:t>
      </w:r>
      <w:r>
        <w:t xml:space="preserve"> </w:t>
      </w:r>
      <w:r w:rsidR="00324D5A">
        <w:t>submitted a filing providing additional information for the Bureau to consider</w:t>
      </w:r>
      <w:r>
        <w:t>.  By this Public Notice, the Bureau seeks comment on this filing.</w:t>
      </w:r>
    </w:p>
    <w:p w:rsidR="0054655C" w:rsidRPr="0054655C" w:rsidP="0054655C" w14:paraId="64E73DC7" w14:textId="6FFD6674">
      <w:pPr>
        <w:spacing w:after="120"/>
        <w:ind w:firstLine="720"/>
        <w:rPr>
          <w:szCs w:val="22"/>
        </w:rPr>
      </w:pPr>
      <w:r w:rsidRPr="0054655C">
        <w:rPr>
          <w:szCs w:val="22"/>
        </w:rPr>
        <w:t xml:space="preserve">Interested parties are invited to file comments on or before </w:t>
      </w:r>
      <w:r w:rsidR="005B1FAA">
        <w:rPr>
          <w:szCs w:val="22"/>
        </w:rPr>
        <w:t>June 19, 2020</w:t>
      </w:r>
      <w:r w:rsidRPr="0054655C">
        <w:rPr>
          <w:szCs w:val="22"/>
        </w:rPr>
        <w:t>.  Comments may be filed using the Commission’s Electronic Comment F</w:t>
      </w:r>
      <w:bookmarkStart w:id="1" w:name="_GoBack"/>
      <w:bookmarkEnd w:id="1"/>
      <w:r w:rsidRPr="0054655C">
        <w:rPr>
          <w:szCs w:val="22"/>
        </w:rPr>
        <w:t xml:space="preserve">iling System (ECFS). </w:t>
      </w:r>
    </w:p>
    <w:p w:rsidR="0054655C" w:rsidRPr="0054655C" w:rsidP="0054655C" w14:paraId="1639E804" w14:textId="77777777">
      <w:pPr>
        <w:numPr>
          <w:ilvl w:val="0"/>
          <w:numId w:val="7"/>
        </w:numPr>
        <w:spacing w:after="120"/>
        <w:ind w:left="720"/>
        <w:rPr>
          <w:szCs w:val="22"/>
        </w:rPr>
      </w:pPr>
      <w:r w:rsidRPr="0054655C">
        <w:rPr>
          <w:szCs w:val="22"/>
        </w:rPr>
        <w:t xml:space="preserve">Electronic Filers:  Comments may be filed electronically using the internet by accessing the ECFS: </w:t>
      </w:r>
      <w:hyperlink r:id="rId5" w:history="1">
        <w:r w:rsidRPr="0054655C">
          <w:rPr>
            <w:rStyle w:val="Hyperlink"/>
            <w:szCs w:val="22"/>
          </w:rPr>
          <w:t>https://www.fcc.gov/ecfs/</w:t>
        </w:r>
      </w:hyperlink>
      <w:r w:rsidRPr="0054655C">
        <w:rPr>
          <w:szCs w:val="22"/>
        </w:rPr>
        <w:t xml:space="preserve">. </w:t>
      </w:r>
    </w:p>
    <w:p w:rsidR="0054655C" w:rsidRPr="0054655C" w:rsidP="0054655C" w14:paraId="4686AA6F" w14:textId="77777777">
      <w:pPr>
        <w:numPr>
          <w:ilvl w:val="0"/>
          <w:numId w:val="7"/>
        </w:numPr>
        <w:spacing w:after="120"/>
        <w:ind w:left="720"/>
        <w:rPr>
          <w:szCs w:val="22"/>
        </w:rPr>
      </w:pPr>
      <w:r w:rsidRPr="0054655C">
        <w:rPr>
          <w:szCs w:val="22"/>
        </w:rPr>
        <w:t xml:space="preserve">Paper Filers:  Parties who choose to file by paper must file an original and one copy of each filing.  </w:t>
      </w:r>
    </w:p>
    <w:p w:rsidR="0054655C" w:rsidRPr="0054655C" w:rsidP="0054655C" w14:paraId="37453B04" w14:textId="77777777">
      <w:pPr>
        <w:spacing w:after="120"/>
        <w:ind w:left="720"/>
        <w:rPr>
          <w:szCs w:val="22"/>
        </w:rPr>
      </w:pPr>
      <w:r w:rsidRPr="0054655C">
        <w:rPr>
          <w:szCs w:val="22"/>
        </w:rPr>
        <w:t xml:space="preserve">Filings can be sent by commercial courier or by the U.S. Postal Service.  All filings must be addressed to the Commission’s Secretary, Office of the Secretary, Federal Communications Commission. </w:t>
      </w:r>
      <w:r w:rsidRPr="0054655C">
        <w:rPr>
          <w:b/>
          <w:bCs/>
          <w:szCs w:val="22"/>
        </w:rPr>
        <w:t>Filings will not be accepted via hand or messenger delivery.</w:t>
      </w:r>
      <w:r w:rsidRPr="0054655C">
        <w:rPr>
          <w:szCs w:val="22"/>
        </w:rPr>
        <w:t xml:space="preserve"> </w:t>
      </w:r>
    </w:p>
    <w:p w:rsidR="0054655C" w:rsidRPr="0054655C" w:rsidP="0054655C" w14:paraId="75F5E85C" w14:textId="77777777">
      <w:pPr>
        <w:numPr>
          <w:ilvl w:val="0"/>
          <w:numId w:val="7"/>
        </w:numPr>
        <w:spacing w:after="120"/>
        <w:rPr>
          <w:szCs w:val="22"/>
        </w:rPr>
      </w:pPr>
      <w:r w:rsidRPr="0054655C">
        <w:rPr>
          <w:szCs w:val="22"/>
        </w:rPr>
        <w:t xml:space="preserve">Commercial deliveries (not including those sent using the U.S. Postal Service) must be sent to 9050 Junction Drive, Annapolis Junction, MD 20701. </w:t>
      </w:r>
    </w:p>
    <w:p w:rsidR="0054655C" w:rsidRPr="0054655C" w:rsidP="0054655C" w14:paraId="75DFFE71" w14:textId="77777777">
      <w:pPr>
        <w:numPr>
          <w:ilvl w:val="0"/>
          <w:numId w:val="7"/>
        </w:numPr>
        <w:spacing w:after="120"/>
        <w:rPr>
          <w:szCs w:val="22"/>
        </w:rPr>
      </w:pPr>
      <w:r w:rsidRPr="0054655C">
        <w:rPr>
          <w:szCs w:val="22"/>
        </w:rPr>
        <w:t>U.S. Postal Service First-Class, Express, and Priority mail must be addressed to 445 12</w:t>
      </w:r>
      <w:r w:rsidRPr="0054655C">
        <w:rPr>
          <w:szCs w:val="22"/>
          <w:vertAlign w:val="superscript"/>
        </w:rPr>
        <w:t>th</w:t>
      </w:r>
      <w:r w:rsidRPr="0054655C">
        <w:rPr>
          <w:szCs w:val="22"/>
        </w:rPr>
        <w:t xml:space="preserve"> Street, SW, Washington, DC 20554. </w:t>
      </w:r>
    </w:p>
    <w:p w:rsidR="0054655C" w:rsidRPr="005B754F" w:rsidP="0054655C" w14:paraId="2D3119FB" w14:textId="77777777">
      <w:pPr>
        <w:spacing w:after="120"/>
        <w:ind w:firstLine="720"/>
        <w:rPr>
          <w:szCs w:val="22"/>
        </w:rPr>
      </w:pPr>
      <w:r w:rsidRPr="005B754F">
        <w:rPr>
          <w:szCs w:val="22"/>
        </w:rPr>
        <w:t xml:space="preserve">People with Disabilities:  To request materials in accessible formats for people with disabilities (braille, large print, electronic files, audio format), send an e-mail to </w:t>
      </w:r>
      <w:hyperlink r:id="rId6" w:history="1">
        <w:r w:rsidRPr="005B754F">
          <w:rPr>
            <w:rStyle w:val="Hyperlink"/>
            <w:szCs w:val="22"/>
          </w:rPr>
          <w:t>fcc504@fcc.gov</w:t>
        </w:r>
      </w:hyperlink>
      <w:r w:rsidRPr="005B754F">
        <w:rPr>
          <w:szCs w:val="22"/>
        </w:rPr>
        <w:t xml:space="preserve"> or call the Consumer &amp; Government Affairs Bureau at 202-418-0530 (voice, 202-418-0432 (tty). </w:t>
      </w:r>
    </w:p>
    <w:p w:rsidR="005B754F" w:rsidRPr="005B754F" w:rsidP="005B754F" w14:paraId="35C99C87" w14:textId="77777777">
      <w:pPr>
        <w:spacing w:after="120"/>
        <w:ind w:firstLine="720"/>
        <w:rPr>
          <w:szCs w:val="22"/>
        </w:rPr>
      </w:pPr>
      <w:r w:rsidRPr="005B754F">
        <w:rPr>
          <w:szCs w:val="22"/>
        </w:rPr>
        <w:t xml:space="preserve">Pursuant to the Commission’s </w:t>
      </w:r>
      <w:r w:rsidRPr="005B754F">
        <w:rPr>
          <w:i/>
          <w:iCs/>
          <w:szCs w:val="22"/>
        </w:rPr>
        <w:t>ex parte</w:t>
      </w:r>
      <w:r w:rsidRPr="005B754F">
        <w:rPr>
          <w:szCs w:val="22"/>
        </w:rPr>
        <w:t xml:space="preserve"> rules,</w:t>
      </w:r>
      <w:r>
        <w:rPr>
          <w:rStyle w:val="FootnoteReference"/>
          <w:szCs w:val="22"/>
        </w:rPr>
        <w:footnoteReference w:id="6"/>
      </w:r>
      <w:r w:rsidRPr="005B754F">
        <w:rPr>
          <w:szCs w:val="22"/>
        </w:rPr>
        <w:t xml:space="preserve"> this is a “restricted” proceeding, in which </w:t>
      </w:r>
      <w:r w:rsidRPr="005B754F">
        <w:rPr>
          <w:i/>
          <w:iCs/>
          <w:szCs w:val="22"/>
        </w:rPr>
        <w:t>ex parte</w:t>
      </w:r>
      <w:r w:rsidRPr="005B754F">
        <w:rPr>
          <w:szCs w:val="22"/>
        </w:rPr>
        <w:t xml:space="preserve"> presentations (other than those exempt under such rules) are prohibited.  An </w:t>
      </w:r>
      <w:r w:rsidRPr="005B754F">
        <w:rPr>
          <w:i/>
          <w:iCs/>
          <w:szCs w:val="22"/>
        </w:rPr>
        <w:t>ex parte</w:t>
      </w:r>
      <w:r w:rsidRPr="005B754F">
        <w:rPr>
          <w:szCs w:val="22"/>
        </w:rPr>
        <w:t xml:space="preserve"> presentation is any presentation which (1) if written, is not served on the parties to the proceeding; or (2) or if oral, is made without advance notice to the parties and without opportunity for them to be present.</w:t>
      </w:r>
      <w:r>
        <w:rPr>
          <w:rStyle w:val="FootnoteReference"/>
          <w:szCs w:val="22"/>
        </w:rPr>
        <w:footnoteReference w:id="7"/>
      </w:r>
      <w:r w:rsidRPr="005B754F">
        <w:rPr>
          <w:szCs w:val="22"/>
        </w:rPr>
        <w:t xml:space="preserve">  Parties should familiarize themselves with the Commission’s </w:t>
      </w:r>
      <w:r w:rsidRPr="005B754F">
        <w:rPr>
          <w:i/>
          <w:iCs/>
          <w:szCs w:val="22"/>
        </w:rPr>
        <w:t>ex parte</w:t>
      </w:r>
      <w:r w:rsidRPr="005B754F">
        <w:rPr>
          <w:szCs w:val="22"/>
        </w:rPr>
        <w:t xml:space="preserve"> rules.</w:t>
      </w:r>
    </w:p>
    <w:p w:rsidR="005B754F" w:rsidRPr="005B754F" w:rsidP="005B754F" w14:paraId="5754A7C1" w14:textId="33282947">
      <w:pPr>
        <w:spacing w:after="120"/>
        <w:ind w:firstLine="720"/>
        <w:rPr>
          <w:szCs w:val="22"/>
        </w:rPr>
      </w:pPr>
      <w:r w:rsidRPr="005B754F">
        <w:rPr>
          <w:szCs w:val="22"/>
        </w:rPr>
        <w:t xml:space="preserve">For further information, please contact Saswat Misra, Attorney Advisor, Cybersecurity and Communications Reliability Division, Public Safety and Homeland Security Bureau at (202) 418-0944 or </w:t>
      </w:r>
      <w:hyperlink r:id="rId7" w:history="1">
        <w:r w:rsidRPr="005B754F">
          <w:rPr>
            <w:rStyle w:val="Hyperlink"/>
            <w:szCs w:val="22"/>
          </w:rPr>
          <w:t>saswat.misra@fcc.gov</w:t>
        </w:r>
      </w:hyperlink>
      <w:r w:rsidR="002B2F5A">
        <w:rPr>
          <w:szCs w:val="22"/>
        </w:rPr>
        <w:t xml:space="preserve">, or </w:t>
      </w:r>
      <w:r w:rsidRPr="005B754F" w:rsidR="002B2F5A">
        <w:rPr>
          <w:szCs w:val="22"/>
        </w:rPr>
        <w:t xml:space="preserve">Janice Gorin, Competition Policy Division, Wireline Competition Bureau, at (202) 418-0637 or </w:t>
      </w:r>
      <w:hyperlink r:id="rId8" w:history="1">
        <w:r w:rsidRPr="005B754F" w:rsidR="002B2F5A">
          <w:rPr>
            <w:rStyle w:val="Hyperlink"/>
            <w:szCs w:val="22"/>
          </w:rPr>
          <w:t>janice.gorin@fcc.gov</w:t>
        </w:r>
      </w:hyperlink>
      <w:r w:rsidR="002B2F5A">
        <w:rPr>
          <w:szCs w:val="22"/>
        </w:rPr>
        <w:t>.</w:t>
      </w:r>
    </w:p>
    <w:p w:rsidR="0054655C" w:rsidRPr="005B754F" w:rsidP="0054655C" w14:paraId="58156DF4" w14:textId="77777777">
      <w:pPr>
        <w:ind w:firstLine="720"/>
        <w:rPr>
          <w:szCs w:val="22"/>
        </w:rPr>
      </w:pPr>
    </w:p>
    <w:p w:rsidR="0054655C" w:rsidRPr="005B754F" w:rsidP="0054655C" w14:paraId="492805A7" w14:textId="77777777">
      <w:pPr>
        <w:jc w:val="center"/>
        <w:rPr>
          <w:b/>
          <w:bCs/>
          <w:szCs w:val="22"/>
        </w:rPr>
      </w:pPr>
      <w:r w:rsidRPr="005B754F">
        <w:rPr>
          <w:b/>
          <w:bCs/>
          <w:szCs w:val="22"/>
        </w:rPr>
        <w:t>-FCC-</w:t>
      </w:r>
    </w:p>
    <w:p w:rsidR="00F96F63" w:rsidRPr="0054655C" w:rsidP="00F96F63" w14:paraId="59318DAF" w14:textId="77777777">
      <w:pPr>
        <w:rPr>
          <w:szCs w:val="22"/>
        </w:rPr>
      </w:pPr>
    </w:p>
    <w:bookmarkEnd w:id="0"/>
    <w:p w:rsidR="00F96F63" w:rsidRPr="0054655C" w:rsidP="00F96F63" w14:paraId="5D155328" w14:textId="77777777">
      <w:pPr>
        <w:rPr>
          <w:szCs w:val="22"/>
        </w:rPr>
      </w:pPr>
    </w:p>
    <w:p w:rsidR="00930ECF" w:rsidRPr="0054655C" w:rsidP="00F96F63" w14:paraId="1624048B" w14:textId="77777777">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C88BA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755B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10F1A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11B04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20D7" w14:paraId="129754BA" w14:textId="77777777">
      <w:r>
        <w:separator/>
      </w:r>
    </w:p>
  </w:footnote>
  <w:footnote w:type="continuationSeparator" w:id="1">
    <w:p w:rsidR="008020D7" w14:paraId="7C283C64" w14:textId="77777777">
      <w:pPr>
        <w:rPr>
          <w:sz w:val="20"/>
        </w:rPr>
      </w:pPr>
      <w:r>
        <w:rPr>
          <w:sz w:val="20"/>
        </w:rPr>
        <w:t xml:space="preserve">(Continued from previous page)  </w:t>
      </w:r>
      <w:r>
        <w:rPr>
          <w:sz w:val="20"/>
        </w:rPr>
        <w:separator/>
      </w:r>
    </w:p>
  </w:footnote>
  <w:footnote w:type="continuationNotice" w:id="2">
    <w:p w:rsidR="008020D7" w:rsidP="00910F12" w14:paraId="0E54E9A4" w14:textId="77777777">
      <w:pPr>
        <w:jc w:val="right"/>
        <w:rPr>
          <w:sz w:val="20"/>
        </w:rPr>
      </w:pPr>
      <w:r>
        <w:rPr>
          <w:sz w:val="20"/>
        </w:rPr>
        <w:t>(continued….)</w:t>
      </w:r>
    </w:p>
  </w:footnote>
  <w:footnote w:id="3">
    <w:p w:rsidR="008B5BEE" w:rsidRPr="008B5BEE" w14:paraId="1F1D2C40" w14:textId="15CF091A">
      <w:pPr>
        <w:pStyle w:val="FootnoteText"/>
      </w:pPr>
      <w:r>
        <w:rPr>
          <w:rStyle w:val="FootnoteReference"/>
        </w:rPr>
        <w:footnoteRef/>
      </w:r>
      <w:r>
        <w:t xml:space="preserve"> </w:t>
      </w:r>
      <w:r>
        <w:rPr>
          <w:i/>
          <w:iCs/>
        </w:rPr>
        <w:t xml:space="preserve">See </w:t>
      </w:r>
      <w:r>
        <w:t xml:space="preserve">Letter from Douglas W. </w:t>
      </w:r>
      <w:r>
        <w:t>Kinkoph</w:t>
      </w:r>
      <w:r>
        <w:t>, Associate Administrator, Office of Telecommunications and Information Applications, National Telecommunications and Information Administration, to Ajit Pai, Chairman, Federal Communications Commission</w:t>
      </w:r>
      <w:r w:rsidR="00F847C2">
        <w:t>, PS Docket Nos. 19-351, 19-352; WC Docket No. 18-89</w:t>
      </w:r>
      <w:r>
        <w:t xml:space="preserve"> (</w:t>
      </w:r>
      <w:r w:rsidR="00F847C2">
        <w:t xml:space="preserve">filed </w:t>
      </w:r>
      <w:r>
        <w:t>June 9, 2020).</w:t>
      </w:r>
    </w:p>
  </w:footnote>
  <w:footnote w:id="4">
    <w:p w:rsidR="00A75FC7" w:rsidRPr="002B573B" w:rsidP="00A75FC7" w14:paraId="76DC0989" w14:textId="5029432D">
      <w:pPr>
        <w:pStyle w:val="FootnoteText"/>
      </w:pPr>
      <w:r>
        <w:rPr>
          <w:rStyle w:val="FootnoteReference"/>
        </w:rPr>
        <w:footnoteRef/>
      </w:r>
      <w:r>
        <w:t xml:space="preserve"> </w:t>
      </w:r>
      <w:r w:rsidRPr="1CC6BDE3">
        <w:rPr>
          <w:i/>
          <w:iCs/>
        </w:rPr>
        <w:t>Protecting Against National Security Threats to the Communications Supply Chain Through FCC Programs</w:t>
      </w:r>
      <w:r>
        <w:t>, WC Docket No. 18-89, Report and Order, Further Notice of Proposed Rulemaking, and Order, 34 FCC Rcd 11423, 11439-40, para. 43 (2019) (</w:t>
      </w:r>
      <w:r w:rsidRPr="1CC6BDE3">
        <w:rPr>
          <w:i/>
          <w:iCs/>
        </w:rPr>
        <w:t>Protecting Against National Security Threats Order</w:t>
      </w:r>
      <w:r>
        <w:t>).</w:t>
      </w:r>
    </w:p>
  </w:footnote>
  <w:footnote w:id="5">
    <w:p w:rsidR="00A75FC7" w:rsidP="00A75FC7" w14:paraId="7266CF84" w14:textId="77777777">
      <w:pPr>
        <w:pStyle w:val="FootnoteText"/>
      </w:pPr>
      <w:r>
        <w:rPr>
          <w:rStyle w:val="FootnoteReference"/>
        </w:rPr>
        <w:footnoteRef/>
      </w:r>
      <w:r>
        <w:t xml:space="preserve"> </w:t>
      </w:r>
      <w:r w:rsidRPr="002B573B">
        <w:rPr>
          <w:i/>
          <w:iCs/>
        </w:rPr>
        <w:t xml:space="preserve">Id. </w:t>
      </w:r>
      <w:r>
        <w:t xml:space="preserve">at 11449, paras. 64-65; </w:t>
      </w:r>
      <w:r>
        <w:rPr>
          <w:i/>
          <w:iCs/>
        </w:rPr>
        <w:t>see id.</w:t>
      </w:r>
      <w:r>
        <w:t xml:space="preserve"> at 11483, para. 170 (“[U]</w:t>
      </w:r>
      <w:r w:rsidRPr="00D65AB0">
        <w:t>se of USF support to procure or otherwise support equipment or services produced or provided by these two companies has not and will not be disallowed until such time as PSHSB issues a public notice announcing its final determination and the effective date of any potential final designation of one or both of these companies</w:t>
      </w:r>
      <w:r>
        <w:t>.”).</w:t>
      </w:r>
    </w:p>
  </w:footnote>
  <w:footnote w:id="6">
    <w:p w:rsidR="005B754F" w:rsidP="005B754F" w14:paraId="65B47D8A" w14:textId="22C5EB3F">
      <w:pPr>
        <w:pStyle w:val="FootnoteText"/>
      </w:pPr>
      <w:r>
        <w:rPr>
          <w:rStyle w:val="FootnoteReference"/>
        </w:rPr>
        <w:footnoteRef/>
      </w:r>
      <w:r>
        <w:t xml:space="preserve"> </w:t>
      </w:r>
      <w:r w:rsidRPr="0095667D">
        <w:t xml:space="preserve">47 CFR §§ 1.1200 </w:t>
      </w:r>
      <w:r w:rsidRPr="0040143E">
        <w:rPr>
          <w:i/>
          <w:iCs/>
        </w:rPr>
        <w:t>et seq</w:t>
      </w:r>
      <w:r w:rsidRPr="0095667D">
        <w:t>.</w:t>
      </w:r>
    </w:p>
  </w:footnote>
  <w:footnote w:id="7">
    <w:p w:rsidR="005B754F" w:rsidP="005B754F" w14:paraId="5840FC96" w14:textId="77777777">
      <w:pPr>
        <w:pStyle w:val="FootnoteText"/>
      </w:pPr>
      <w:r>
        <w:rPr>
          <w:rStyle w:val="FootnoteReference"/>
        </w:rPr>
        <w:footnoteRef/>
      </w:r>
      <w:r>
        <w:t xml:space="preserve"> </w:t>
      </w:r>
      <w:r w:rsidRPr="0040143E">
        <w:rPr>
          <w:i/>
          <w:iCs/>
        </w:rPr>
        <w:t>Id.</w:t>
      </w:r>
      <w:r w:rsidRPr="0095667D">
        <w:t xml:space="preserve"> §§ 1.1202(a)-(b), 1.1208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F2BE875" w14:textId="57247BE5">
    <w:pPr>
      <w:tabs>
        <w:tab w:val="center" w:pos="4680"/>
        <w:tab w:val="right" w:pos="9360"/>
      </w:tabs>
    </w:pPr>
    <w:r w:rsidRPr="009838BC">
      <w:rPr>
        <w:b/>
      </w:rPr>
      <w:tab/>
      <w:t>Federal Communications Commission</w:t>
    </w:r>
    <w:r w:rsidRPr="009838BC">
      <w:rPr>
        <w:b/>
      </w:rPr>
      <w:tab/>
    </w:r>
    <w:r w:rsidR="00A75FC7">
      <w:rPr>
        <w:b/>
      </w:rPr>
      <w:t xml:space="preserve">DA </w:t>
    </w:r>
    <w:r w:rsidR="00C87B26">
      <w:rPr>
        <w:b/>
      </w:rPr>
      <w:t>20-603</w:t>
    </w:r>
  </w:p>
  <w:p w:rsidR="009838BC" w:rsidRPr="00A75FC7" w:rsidP="00A75FC7" w14:paraId="72515092" w14:textId="717E29F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2F2533" w14:textId="19837FE9">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9B45C49" w14:textId="77777777">
                    <w:pPr>
                      <w:rPr>
                        <w:rFonts w:ascii="Arial" w:hAnsi="Arial"/>
                        <w:b/>
                      </w:rPr>
                    </w:pPr>
                    <w:r>
                      <w:rPr>
                        <w:rFonts w:ascii="Arial" w:hAnsi="Arial"/>
                        <w:b/>
                      </w:rPr>
                      <w:t>Federal Communications Commission</w:t>
                    </w:r>
                  </w:p>
                  <w:p w:rsidR="009838BC" w:rsidP="009838BC" w14:paraId="774552C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984A81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18676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EE12EF">
      <w:rPr>
        <w:rFonts w:ascii="Arial" w:hAnsi="Arial" w:cs="Arial"/>
        <w:b/>
        <w:sz w:val="96"/>
      </w:rPr>
      <w:t>PUBLIC NOTICE</w:t>
    </w:r>
  </w:p>
  <w:p w:rsidR="009838BC" w:rsidRPr="00357D50" w:rsidP="009838BC" w14:paraId="4FB2FC1B" w14:textId="2A949E31">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985" t="5715" r="1206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CD0C81E" w14:textId="77777777">
                    <w:pPr>
                      <w:spacing w:before="40"/>
                      <w:jc w:val="right"/>
                      <w:rPr>
                        <w:rFonts w:ascii="Arial" w:hAnsi="Arial"/>
                        <w:b/>
                        <w:sz w:val="16"/>
                      </w:rPr>
                    </w:pPr>
                    <w:r>
                      <w:rPr>
                        <w:rFonts w:ascii="Arial" w:hAnsi="Arial"/>
                        <w:b/>
                        <w:sz w:val="16"/>
                      </w:rPr>
                      <w:t>News Media Information 202 / 418-0500</w:t>
                    </w:r>
                  </w:p>
                  <w:p w:rsidR="009838BC" w:rsidP="009838BC" w14:paraId="3099F68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D9435EC" w14:textId="77777777">
                    <w:pPr>
                      <w:jc w:val="right"/>
                    </w:pPr>
                    <w:r>
                      <w:rPr>
                        <w:rFonts w:ascii="Arial" w:hAnsi="Arial"/>
                        <w:b/>
                        <w:sz w:val="16"/>
                      </w:rPr>
                      <w:t>TTY: 1-888-835-5322</w:t>
                    </w:r>
                  </w:p>
                </w:txbxContent>
              </v:textbox>
            </v:shape>
          </w:pict>
        </mc:Fallback>
      </mc:AlternateContent>
    </w:r>
  </w:p>
  <w:p w:rsidR="006F7393" w:rsidRPr="009838BC" w:rsidP="009838BC" w14:paraId="207E64E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7"/>
    <w:rsid w:val="000072CE"/>
    <w:rsid w:val="00013A8B"/>
    <w:rsid w:val="00021445"/>
    <w:rsid w:val="000223C6"/>
    <w:rsid w:val="0002516F"/>
    <w:rsid w:val="00036039"/>
    <w:rsid w:val="00037F90"/>
    <w:rsid w:val="000533F6"/>
    <w:rsid w:val="00055357"/>
    <w:rsid w:val="000875BF"/>
    <w:rsid w:val="00093B8E"/>
    <w:rsid w:val="00096D8C"/>
    <w:rsid w:val="000C0B65"/>
    <w:rsid w:val="000E3D42"/>
    <w:rsid w:val="000E5884"/>
    <w:rsid w:val="000E7595"/>
    <w:rsid w:val="00101117"/>
    <w:rsid w:val="0010233C"/>
    <w:rsid w:val="001150E4"/>
    <w:rsid w:val="00115EC0"/>
    <w:rsid w:val="00122BD5"/>
    <w:rsid w:val="001415AC"/>
    <w:rsid w:val="0015660A"/>
    <w:rsid w:val="001979D9"/>
    <w:rsid w:val="001D6BCF"/>
    <w:rsid w:val="001E01CA"/>
    <w:rsid w:val="001F30CD"/>
    <w:rsid w:val="002060D9"/>
    <w:rsid w:val="00226822"/>
    <w:rsid w:val="00260594"/>
    <w:rsid w:val="00264376"/>
    <w:rsid w:val="00285017"/>
    <w:rsid w:val="002A2D2E"/>
    <w:rsid w:val="002A3E80"/>
    <w:rsid w:val="002B2F5A"/>
    <w:rsid w:val="002B573B"/>
    <w:rsid w:val="00324D5A"/>
    <w:rsid w:val="00332B8A"/>
    <w:rsid w:val="00343749"/>
    <w:rsid w:val="00357D50"/>
    <w:rsid w:val="003925DC"/>
    <w:rsid w:val="003B0550"/>
    <w:rsid w:val="003B694F"/>
    <w:rsid w:val="003C2801"/>
    <w:rsid w:val="003F171C"/>
    <w:rsid w:val="0040143E"/>
    <w:rsid w:val="00412FC5"/>
    <w:rsid w:val="00417660"/>
    <w:rsid w:val="00422276"/>
    <w:rsid w:val="004242F1"/>
    <w:rsid w:val="00445A00"/>
    <w:rsid w:val="00451B0F"/>
    <w:rsid w:val="00460E3F"/>
    <w:rsid w:val="0046125F"/>
    <w:rsid w:val="0048732C"/>
    <w:rsid w:val="00487524"/>
    <w:rsid w:val="00496106"/>
    <w:rsid w:val="004C12D0"/>
    <w:rsid w:val="004C2EE3"/>
    <w:rsid w:val="004E4A22"/>
    <w:rsid w:val="004F386D"/>
    <w:rsid w:val="005023EF"/>
    <w:rsid w:val="00507581"/>
    <w:rsid w:val="00511968"/>
    <w:rsid w:val="00516F56"/>
    <w:rsid w:val="005332B6"/>
    <w:rsid w:val="0054655C"/>
    <w:rsid w:val="0055614C"/>
    <w:rsid w:val="00585DD9"/>
    <w:rsid w:val="005B1FAA"/>
    <w:rsid w:val="005B754F"/>
    <w:rsid w:val="005E2CE0"/>
    <w:rsid w:val="005E4BA7"/>
    <w:rsid w:val="005F0C2A"/>
    <w:rsid w:val="00607BA5"/>
    <w:rsid w:val="00626EB6"/>
    <w:rsid w:val="006353A3"/>
    <w:rsid w:val="0063700B"/>
    <w:rsid w:val="00651DB4"/>
    <w:rsid w:val="00655D03"/>
    <w:rsid w:val="00683F84"/>
    <w:rsid w:val="00686AE7"/>
    <w:rsid w:val="006A6A81"/>
    <w:rsid w:val="006E26AF"/>
    <w:rsid w:val="006E3DBE"/>
    <w:rsid w:val="006F7393"/>
    <w:rsid w:val="0070224F"/>
    <w:rsid w:val="00703BAA"/>
    <w:rsid w:val="007115F7"/>
    <w:rsid w:val="00742551"/>
    <w:rsid w:val="007506FA"/>
    <w:rsid w:val="00755FB1"/>
    <w:rsid w:val="00756438"/>
    <w:rsid w:val="00785689"/>
    <w:rsid w:val="007934CE"/>
    <w:rsid w:val="0079754B"/>
    <w:rsid w:val="007A1E6D"/>
    <w:rsid w:val="007D247B"/>
    <w:rsid w:val="007D2A32"/>
    <w:rsid w:val="008020D7"/>
    <w:rsid w:val="00821C11"/>
    <w:rsid w:val="00822CE0"/>
    <w:rsid w:val="00837C62"/>
    <w:rsid w:val="00841AB1"/>
    <w:rsid w:val="00852177"/>
    <w:rsid w:val="00863C19"/>
    <w:rsid w:val="00871929"/>
    <w:rsid w:val="00880EF7"/>
    <w:rsid w:val="008B5BEE"/>
    <w:rsid w:val="008C22FD"/>
    <w:rsid w:val="008E1B44"/>
    <w:rsid w:val="008E31D4"/>
    <w:rsid w:val="00903077"/>
    <w:rsid w:val="00910F12"/>
    <w:rsid w:val="00926503"/>
    <w:rsid w:val="00930ECF"/>
    <w:rsid w:val="0095667D"/>
    <w:rsid w:val="009662BB"/>
    <w:rsid w:val="009838BC"/>
    <w:rsid w:val="00996565"/>
    <w:rsid w:val="009A39E8"/>
    <w:rsid w:val="009B36B6"/>
    <w:rsid w:val="009D2ABD"/>
    <w:rsid w:val="009D33A2"/>
    <w:rsid w:val="00A17161"/>
    <w:rsid w:val="00A45F4F"/>
    <w:rsid w:val="00A600A9"/>
    <w:rsid w:val="00A75FC7"/>
    <w:rsid w:val="00A866AC"/>
    <w:rsid w:val="00A967E9"/>
    <w:rsid w:val="00AA55B7"/>
    <w:rsid w:val="00AA5B9E"/>
    <w:rsid w:val="00AB2407"/>
    <w:rsid w:val="00AB53DF"/>
    <w:rsid w:val="00B07E5C"/>
    <w:rsid w:val="00B20363"/>
    <w:rsid w:val="00B257CD"/>
    <w:rsid w:val="00B326E3"/>
    <w:rsid w:val="00B532A2"/>
    <w:rsid w:val="00B811F7"/>
    <w:rsid w:val="00B81584"/>
    <w:rsid w:val="00B92DBF"/>
    <w:rsid w:val="00BA5DC6"/>
    <w:rsid w:val="00BA6196"/>
    <w:rsid w:val="00BB69EB"/>
    <w:rsid w:val="00BC42DA"/>
    <w:rsid w:val="00BC6D8C"/>
    <w:rsid w:val="00C16AF2"/>
    <w:rsid w:val="00C34006"/>
    <w:rsid w:val="00C426B1"/>
    <w:rsid w:val="00C82B6B"/>
    <w:rsid w:val="00C87B26"/>
    <w:rsid w:val="00C90D6A"/>
    <w:rsid w:val="00CC72B6"/>
    <w:rsid w:val="00CF158E"/>
    <w:rsid w:val="00D0218D"/>
    <w:rsid w:val="00D216CD"/>
    <w:rsid w:val="00D535CB"/>
    <w:rsid w:val="00D65AB0"/>
    <w:rsid w:val="00D71655"/>
    <w:rsid w:val="00D73960"/>
    <w:rsid w:val="00DA2529"/>
    <w:rsid w:val="00DA52F5"/>
    <w:rsid w:val="00DB130A"/>
    <w:rsid w:val="00DC10A1"/>
    <w:rsid w:val="00DC11A8"/>
    <w:rsid w:val="00DC655F"/>
    <w:rsid w:val="00DD7EBD"/>
    <w:rsid w:val="00DF5C17"/>
    <w:rsid w:val="00DF62B6"/>
    <w:rsid w:val="00E07225"/>
    <w:rsid w:val="00E155B7"/>
    <w:rsid w:val="00E5409F"/>
    <w:rsid w:val="00EA5369"/>
    <w:rsid w:val="00EC0185"/>
    <w:rsid w:val="00EE12EF"/>
    <w:rsid w:val="00F021FA"/>
    <w:rsid w:val="00F04535"/>
    <w:rsid w:val="00F21262"/>
    <w:rsid w:val="00F57ACA"/>
    <w:rsid w:val="00F62E97"/>
    <w:rsid w:val="00F64209"/>
    <w:rsid w:val="00F847C2"/>
    <w:rsid w:val="00F93BF5"/>
    <w:rsid w:val="00F96F63"/>
    <w:rsid w:val="00FC6BB7"/>
    <w:rsid w:val="1CC6BD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7506FA"/>
    <w:rPr>
      <w:rFonts w:ascii="Segoe UI" w:hAnsi="Segoe UI" w:cs="Segoe UI"/>
      <w:sz w:val="18"/>
      <w:szCs w:val="18"/>
    </w:rPr>
  </w:style>
  <w:style w:type="character" w:customStyle="1" w:styleId="BalloonTextChar">
    <w:name w:val="Balloon Text Char"/>
    <w:link w:val="BalloonText"/>
    <w:uiPriority w:val="99"/>
    <w:semiHidden/>
    <w:rsid w:val="007506FA"/>
    <w:rPr>
      <w:rFonts w:ascii="Segoe UI" w:hAnsi="Segoe UI" w:cs="Segoe UI"/>
      <w:snapToGrid w:val="0"/>
      <w:kern w:val="28"/>
      <w:sz w:val="18"/>
      <w:szCs w:val="18"/>
    </w:rPr>
  </w:style>
  <w:style w:type="character" w:styleId="CommentReference">
    <w:name w:val="annotation reference"/>
    <w:uiPriority w:val="99"/>
    <w:semiHidden/>
    <w:unhideWhenUsed/>
    <w:rsid w:val="007506FA"/>
    <w:rPr>
      <w:sz w:val="16"/>
      <w:szCs w:val="16"/>
    </w:rPr>
  </w:style>
  <w:style w:type="paragraph" w:styleId="CommentText">
    <w:name w:val="annotation text"/>
    <w:basedOn w:val="Normal"/>
    <w:link w:val="CommentTextChar"/>
    <w:uiPriority w:val="99"/>
    <w:semiHidden/>
    <w:unhideWhenUsed/>
    <w:rsid w:val="007506FA"/>
    <w:rPr>
      <w:sz w:val="20"/>
    </w:rPr>
  </w:style>
  <w:style w:type="character" w:customStyle="1" w:styleId="CommentTextChar">
    <w:name w:val="Comment Text Char"/>
    <w:link w:val="CommentText"/>
    <w:uiPriority w:val="99"/>
    <w:semiHidden/>
    <w:rsid w:val="007506FA"/>
    <w:rPr>
      <w:snapToGrid w:val="0"/>
      <w:kern w:val="28"/>
    </w:rPr>
  </w:style>
  <w:style w:type="paragraph" w:styleId="CommentSubject">
    <w:name w:val="annotation subject"/>
    <w:basedOn w:val="CommentText"/>
    <w:next w:val="CommentText"/>
    <w:link w:val="CommentSubjectChar"/>
    <w:uiPriority w:val="99"/>
    <w:semiHidden/>
    <w:unhideWhenUsed/>
    <w:rsid w:val="007506FA"/>
    <w:rPr>
      <w:b/>
      <w:bCs/>
    </w:rPr>
  </w:style>
  <w:style w:type="character" w:customStyle="1" w:styleId="CommentSubjectChar">
    <w:name w:val="Comment Subject Char"/>
    <w:link w:val="CommentSubject"/>
    <w:uiPriority w:val="99"/>
    <w:semiHidden/>
    <w:rsid w:val="007506FA"/>
    <w:rPr>
      <w:b/>
      <w:bCs/>
      <w:snapToGrid w:val="0"/>
      <w:kern w:val="28"/>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54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saswat.misra@fcc.gov" TargetMode="External" /><Relationship Id="rId8" Type="http://schemas.openxmlformats.org/officeDocument/2006/relationships/hyperlink" Target="mailto:janice.gorin@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