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5670" w:rsidRPr="007345E5" w:rsidP="00325670" w14:paraId="7E3C9065" w14:textId="77777777">
      <w:pPr>
        <w:jc w:val="center"/>
        <w:rPr>
          <w:b/>
        </w:rPr>
      </w:pPr>
      <w:bookmarkStart w:id="0" w:name="_Hlk528602799"/>
      <w:bookmarkStart w:id="1" w:name="_GoBack"/>
      <w:bookmarkEnd w:id="1"/>
      <w:r w:rsidRPr="007345E5">
        <w:rPr>
          <w:b/>
        </w:rPr>
        <w:t>Before the</w:t>
      </w:r>
    </w:p>
    <w:p w:rsidR="00325670" w:rsidRPr="007345E5" w:rsidP="00325670" w14:paraId="747C6D0C" w14:textId="77777777">
      <w:pPr>
        <w:pStyle w:val="StyleBoldCentered"/>
        <w:rPr>
          <w:rFonts w:ascii="Times New Roman" w:hAnsi="Times New Roman"/>
        </w:rPr>
      </w:pPr>
      <w:r w:rsidRPr="007345E5">
        <w:rPr>
          <w:rFonts w:ascii="Times New Roman" w:hAnsi="Times New Roman"/>
        </w:rPr>
        <w:t>F</w:t>
      </w:r>
      <w:r w:rsidRPr="007345E5">
        <w:rPr>
          <w:rFonts w:ascii="Times New Roman" w:hAnsi="Times New Roman"/>
          <w:caps w:val="0"/>
        </w:rPr>
        <w:t>ederal Communications Commission</w:t>
      </w:r>
    </w:p>
    <w:p w:rsidR="00325670" w:rsidRPr="007345E5" w:rsidP="00325670" w14:paraId="64705706" w14:textId="77777777">
      <w:pPr>
        <w:pStyle w:val="StyleBoldCentered"/>
        <w:rPr>
          <w:rFonts w:ascii="Times New Roman" w:hAnsi="Times New Roman"/>
        </w:rPr>
      </w:pPr>
      <w:r w:rsidRPr="007345E5">
        <w:rPr>
          <w:rFonts w:ascii="Times New Roman" w:hAnsi="Times New Roman"/>
          <w:caps w:val="0"/>
        </w:rPr>
        <w:t>Washington, D.C. 20554</w:t>
      </w:r>
    </w:p>
    <w:p w:rsidR="00325670" w:rsidRPr="007345E5" w:rsidP="00325670" w14:paraId="44C77026" w14:textId="77777777"/>
    <w:tbl>
      <w:tblPr>
        <w:tblW w:w="0" w:type="auto"/>
        <w:tblLayout w:type="fixed"/>
        <w:tblLook w:val="0000"/>
      </w:tblPr>
      <w:tblGrid>
        <w:gridCol w:w="4698"/>
        <w:gridCol w:w="630"/>
        <w:gridCol w:w="4248"/>
      </w:tblGrid>
      <w:tr w14:paraId="29A2172F" w14:textId="77777777" w:rsidTr="001670B6">
        <w:tblPrEx>
          <w:tblW w:w="0" w:type="auto"/>
          <w:tblLayout w:type="fixed"/>
          <w:tblLook w:val="0000"/>
        </w:tblPrEx>
        <w:tc>
          <w:tcPr>
            <w:tcW w:w="4698" w:type="dxa"/>
          </w:tcPr>
          <w:p w:rsidR="00325670" w:rsidRPr="007345E5" w:rsidP="001670B6" w14:paraId="32263C05" w14:textId="77777777">
            <w:pPr>
              <w:tabs>
                <w:tab w:val="center" w:pos="4680"/>
              </w:tabs>
              <w:suppressAutoHyphens/>
              <w:rPr>
                <w:spacing w:val="-2"/>
              </w:rPr>
            </w:pPr>
            <w:r w:rsidRPr="007345E5">
              <w:rPr>
                <w:spacing w:val="-2"/>
              </w:rPr>
              <w:t>In the Matter of</w:t>
            </w:r>
          </w:p>
          <w:p w:rsidR="00325670" w:rsidRPr="007345E5" w:rsidP="001670B6" w14:paraId="7FD959F7" w14:textId="77777777">
            <w:pPr>
              <w:tabs>
                <w:tab w:val="center" w:pos="4680"/>
              </w:tabs>
              <w:suppressAutoHyphens/>
              <w:rPr>
                <w:spacing w:val="-2"/>
              </w:rPr>
            </w:pPr>
          </w:p>
          <w:p w:rsidR="00325670" w:rsidRPr="007345E5" w:rsidP="001670B6" w14:paraId="505D43E1" w14:textId="77777777">
            <w:pPr>
              <w:tabs>
                <w:tab w:val="center" w:pos="4680"/>
              </w:tabs>
              <w:suppressAutoHyphens/>
              <w:rPr>
                <w:spacing w:val="-2"/>
              </w:rPr>
            </w:pPr>
            <w:r w:rsidRPr="007345E5">
              <w:rPr>
                <w:spacing w:val="-2"/>
              </w:rPr>
              <w:t>Expanding Flexible Use of the 3.7 to 4.2 GHz</w:t>
            </w:r>
          </w:p>
          <w:p w:rsidR="00325670" w:rsidRPr="007345E5" w:rsidP="001670B6" w14:paraId="2501DEFD" w14:textId="77777777">
            <w:pPr>
              <w:tabs>
                <w:tab w:val="center" w:pos="4680"/>
              </w:tabs>
              <w:suppressAutoHyphens/>
              <w:rPr>
                <w:spacing w:val="-2"/>
              </w:rPr>
            </w:pPr>
            <w:r w:rsidRPr="007345E5">
              <w:rPr>
                <w:spacing w:val="-2"/>
              </w:rPr>
              <w:t>Band</w:t>
            </w:r>
          </w:p>
          <w:p w:rsidR="00325670" w:rsidRPr="007345E5" w:rsidP="001670B6" w14:paraId="53D457FE" w14:textId="77777777">
            <w:pPr>
              <w:tabs>
                <w:tab w:val="center" w:pos="4680"/>
              </w:tabs>
              <w:suppressAutoHyphens/>
              <w:rPr>
                <w:spacing w:val="-2"/>
              </w:rPr>
            </w:pPr>
          </w:p>
        </w:tc>
        <w:tc>
          <w:tcPr>
            <w:tcW w:w="630" w:type="dxa"/>
          </w:tcPr>
          <w:p w:rsidR="00325670" w:rsidRPr="007345E5" w:rsidP="001670B6" w14:paraId="14407B13" w14:textId="77777777">
            <w:pPr>
              <w:tabs>
                <w:tab w:val="center" w:pos="4680"/>
              </w:tabs>
              <w:suppressAutoHyphens/>
              <w:rPr>
                <w:b/>
                <w:spacing w:val="-2"/>
              </w:rPr>
            </w:pPr>
            <w:r w:rsidRPr="007345E5">
              <w:rPr>
                <w:b/>
                <w:spacing w:val="-2"/>
              </w:rPr>
              <w:t>)</w:t>
            </w:r>
          </w:p>
          <w:p w:rsidR="00325670" w:rsidRPr="007345E5" w:rsidP="001670B6" w14:paraId="08BE4C8A" w14:textId="77777777">
            <w:pPr>
              <w:tabs>
                <w:tab w:val="center" w:pos="4680"/>
              </w:tabs>
              <w:suppressAutoHyphens/>
              <w:rPr>
                <w:b/>
                <w:spacing w:val="-2"/>
              </w:rPr>
            </w:pPr>
            <w:r w:rsidRPr="007345E5">
              <w:rPr>
                <w:b/>
                <w:spacing w:val="-2"/>
              </w:rPr>
              <w:t>)</w:t>
            </w:r>
          </w:p>
          <w:p w:rsidR="00325670" w:rsidRPr="007345E5" w:rsidP="001670B6" w14:paraId="078B0C4C" w14:textId="77777777">
            <w:pPr>
              <w:tabs>
                <w:tab w:val="center" w:pos="4680"/>
              </w:tabs>
              <w:suppressAutoHyphens/>
              <w:rPr>
                <w:b/>
                <w:spacing w:val="-2"/>
              </w:rPr>
            </w:pPr>
            <w:r w:rsidRPr="007345E5">
              <w:rPr>
                <w:b/>
                <w:spacing w:val="-2"/>
              </w:rPr>
              <w:t>)</w:t>
            </w:r>
          </w:p>
          <w:p w:rsidR="00325670" w:rsidRPr="007345E5" w:rsidP="001670B6" w14:paraId="7C6381FE" w14:textId="77777777">
            <w:pPr>
              <w:tabs>
                <w:tab w:val="center" w:pos="4680"/>
              </w:tabs>
              <w:suppressAutoHyphens/>
              <w:rPr>
                <w:b/>
                <w:spacing w:val="-2"/>
              </w:rPr>
            </w:pPr>
            <w:r w:rsidRPr="007345E5">
              <w:rPr>
                <w:b/>
                <w:spacing w:val="-2"/>
              </w:rPr>
              <w:t>)</w:t>
            </w:r>
          </w:p>
          <w:p w:rsidR="00325670" w:rsidRPr="007345E5" w:rsidP="001670B6" w14:paraId="107EEAEE" w14:textId="77777777">
            <w:pPr>
              <w:tabs>
                <w:tab w:val="center" w:pos="4680"/>
              </w:tabs>
              <w:suppressAutoHyphens/>
              <w:rPr>
                <w:b/>
                <w:spacing w:val="-2"/>
              </w:rPr>
            </w:pPr>
            <w:r w:rsidRPr="007345E5">
              <w:rPr>
                <w:b/>
                <w:spacing w:val="-2"/>
              </w:rPr>
              <w:t>)</w:t>
            </w:r>
          </w:p>
          <w:p w:rsidR="00325670" w:rsidRPr="007345E5" w:rsidP="001670B6" w14:paraId="70077776" w14:textId="77777777">
            <w:pPr>
              <w:tabs>
                <w:tab w:val="center" w:pos="4680"/>
              </w:tabs>
              <w:suppressAutoHyphens/>
              <w:rPr>
                <w:spacing w:val="-2"/>
                <w:highlight w:val="yellow"/>
              </w:rPr>
            </w:pPr>
          </w:p>
        </w:tc>
        <w:tc>
          <w:tcPr>
            <w:tcW w:w="4248" w:type="dxa"/>
          </w:tcPr>
          <w:p w:rsidR="00325670" w:rsidRPr="007345E5" w:rsidP="001670B6" w14:paraId="697EE340" w14:textId="77777777">
            <w:pPr>
              <w:tabs>
                <w:tab w:val="center" w:pos="4680"/>
              </w:tabs>
              <w:suppressAutoHyphens/>
              <w:rPr>
                <w:spacing w:val="-2"/>
              </w:rPr>
            </w:pPr>
          </w:p>
          <w:p w:rsidR="00325670" w:rsidRPr="007345E5" w:rsidP="001670B6" w14:paraId="43E0F1FB" w14:textId="77777777">
            <w:pPr>
              <w:pStyle w:val="TOAHeading"/>
              <w:tabs>
                <w:tab w:val="center" w:pos="4680"/>
                <w:tab w:val="clear" w:pos="9360"/>
              </w:tabs>
              <w:rPr>
                <w:spacing w:val="-2"/>
              </w:rPr>
            </w:pPr>
          </w:p>
          <w:p w:rsidR="00325670" w:rsidRPr="007345E5" w:rsidP="001670B6" w14:paraId="27AFFAF5" w14:textId="77777777">
            <w:pPr>
              <w:tabs>
                <w:tab w:val="center" w:pos="4680"/>
              </w:tabs>
              <w:suppressAutoHyphens/>
              <w:rPr>
                <w:spacing w:val="-2"/>
              </w:rPr>
            </w:pPr>
            <w:r w:rsidRPr="007345E5">
              <w:rPr>
                <w:spacing w:val="-2"/>
              </w:rPr>
              <w:t>GN</w:t>
            </w:r>
            <w:r w:rsidRPr="007345E5">
              <w:rPr>
                <w:spacing w:val="-2"/>
              </w:rPr>
              <w:t xml:space="preserve"> Docket No. 18-</w:t>
            </w:r>
            <w:r w:rsidRPr="007345E5">
              <w:rPr>
                <w:spacing w:val="-2"/>
              </w:rPr>
              <w:t>122</w:t>
            </w:r>
          </w:p>
          <w:p w:rsidR="00325670" w:rsidRPr="007345E5" w:rsidP="001670B6" w14:paraId="253B5B80" w14:textId="77777777">
            <w:pPr>
              <w:tabs>
                <w:tab w:val="center" w:pos="4680"/>
              </w:tabs>
              <w:suppressAutoHyphens/>
              <w:rPr>
                <w:spacing w:val="-2"/>
              </w:rPr>
            </w:pPr>
          </w:p>
          <w:p w:rsidR="00325670" w:rsidRPr="007345E5" w:rsidP="001670B6" w14:paraId="713216D0" w14:textId="77777777">
            <w:pPr>
              <w:tabs>
                <w:tab w:val="center" w:pos="4680"/>
              </w:tabs>
              <w:suppressAutoHyphens/>
              <w:rPr>
                <w:spacing w:val="-2"/>
              </w:rPr>
            </w:pPr>
          </w:p>
        </w:tc>
      </w:tr>
    </w:tbl>
    <w:p w:rsidR="00325670" w:rsidP="005C11EE" w14:paraId="4A603606" w14:textId="5211A845">
      <w:pPr>
        <w:pStyle w:val="StyleBoldCentered"/>
        <w:spacing w:after="240"/>
        <w:rPr>
          <w:rFonts w:ascii="Times New Roman" w:hAnsi="Times New Roman"/>
        </w:rPr>
      </w:pPr>
      <w:r w:rsidRPr="007345E5">
        <w:rPr>
          <w:rFonts w:ascii="Times New Roman" w:hAnsi="Times New Roman"/>
        </w:rPr>
        <w:t>ORDER</w:t>
      </w:r>
      <w:r w:rsidRPr="007345E5" w:rsidR="00C71B32">
        <w:rPr>
          <w:rFonts w:ascii="Times New Roman" w:hAnsi="Times New Roman"/>
        </w:rPr>
        <w:t xml:space="preserve"> denying stay petition</w:t>
      </w:r>
    </w:p>
    <w:p w:rsidR="00E351DC" w:rsidP="00110D4A" w14:paraId="2E774CD8" w14:textId="29A91407">
      <w:pPr>
        <w:pStyle w:val="TOCTitle"/>
      </w:pPr>
      <w:bookmarkStart w:id="2" w:name="TOChere"/>
      <w:r>
        <w:t>Table of Contents</w:t>
      </w:r>
    </w:p>
    <w:p w:rsidR="00110D4A" w:rsidP="00110D4A" w14:paraId="718C48E8" w14:textId="2DD5CFA3">
      <w:pPr>
        <w:pStyle w:val="Paratitle"/>
      </w:pPr>
      <w:r>
        <w:t>Heading</w:t>
      </w:r>
      <w:r>
        <w:tab/>
        <w:t>Paragraph #</w:t>
      </w:r>
      <w:bookmarkStart w:id="3" w:name="start_here"/>
      <w:bookmarkEnd w:id="3"/>
    </w:p>
    <w:p w:rsidR="00110D4A" w:rsidP="00110D4A" w14:paraId="7ADCAB75" w14:textId="6BDC5887">
      <w:pPr>
        <w:pStyle w:val="TOC1"/>
        <w:rPr>
          <w:rFonts w:asciiTheme="minorHAnsi" w:eastAsiaTheme="minorEastAsia" w:hAnsiTheme="minorHAnsi" w:cstheme="minorBidi"/>
          <w:caps w:val="0"/>
          <w:snapToGrid/>
          <w:kern w:val="0"/>
          <w:szCs w:val="22"/>
        </w:rPr>
      </w:pPr>
      <w:r w:rsidRPr="00F0687D">
        <w:t>I.</w:t>
      </w:r>
      <w:r>
        <w:rPr>
          <w:rFonts w:asciiTheme="minorHAnsi" w:eastAsiaTheme="minorEastAsia" w:hAnsiTheme="minorHAnsi" w:cstheme="minorBidi"/>
          <w:caps w:val="0"/>
          <w:snapToGrid/>
          <w:kern w:val="0"/>
          <w:szCs w:val="22"/>
        </w:rPr>
        <w:tab/>
      </w:r>
      <w:r w:rsidRPr="00F0687D">
        <w:t>INTRODUCTION</w:t>
      </w:r>
      <w:r>
        <w:tab/>
        <w:t>1</w:t>
      </w:r>
    </w:p>
    <w:p w:rsidR="00110D4A" w:rsidP="00110D4A" w14:paraId="7EAA92CC" w14:textId="3257FAD0">
      <w:pPr>
        <w:pStyle w:val="TOC1"/>
        <w:rPr>
          <w:rFonts w:asciiTheme="minorHAnsi" w:eastAsiaTheme="minorEastAsia" w:hAnsiTheme="minorHAnsi" w:cstheme="minorBidi"/>
          <w:caps w:val="0"/>
          <w:snapToGrid/>
          <w:kern w:val="0"/>
          <w:szCs w:val="22"/>
        </w:rPr>
      </w:pPr>
      <w:r w:rsidRPr="00F0687D">
        <w:t>II.</w:t>
      </w:r>
      <w:r>
        <w:rPr>
          <w:rFonts w:asciiTheme="minorHAnsi" w:eastAsiaTheme="minorEastAsia" w:hAnsiTheme="minorHAnsi" w:cstheme="minorBidi"/>
          <w:caps w:val="0"/>
          <w:snapToGrid/>
          <w:kern w:val="0"/>
          <w:szCs w:val="22"/>
        </w:rPr>
        <w:tab/>
      </w:r>
      <w:r w:rsidRPr="00F0687D">
        <w:t>Background</w:t>
      </w:r>
      <w:r>
        <w:tab/>
        <w:t>2</w:t>
      </w:r>
    </w:p>
    <w:p w:rsidR="00110D4A" w:rsidP="00110D4A" w14:paraId="70CEA081" w14:textId="25445BFB">
      <w:pPr>
        <w:pStyle w:val="TOC1"/>
        <w:rPr>
          <w:rFonts w:asciiTheme="minorHAnsi" w:eastAsiaTheme="minorEastAsia" w:hAnsiTheme="minorHAnsi" w:cstheme="minorBidi"/>
          <w:caps w:val="0"/>
          <w:snapToGrid/>
          <w:kern w:val="0"/>
          <w:szCs w:val="22"/>
        </w:rPr>
      </w:pPr>
      <w:r w:rsidRPr="00F0687D">
        <w:t>III.</w:t>
      </w:r>
      <w:r>
        <w:rPr>
          <w:rFonts w:asciiTheme="minorHAnsi" w:eastAsiaTheme="minorEastAsia" w:hAnsiTheme="minorHAnsi" w:cstheme="minorBidi"/>
          <w:caps w:val="0"/>
          <w:snapToGrid/>
          <w:kern w:val="0"/>
          <w:szCs w:val="22"/>
        </w:rPr>
        <w:tab/>
      </w:r>
      <w:r w:rsidRPr="00F0687D">
        <w:t>Discussion</w:t>
      </w:r>
      <w:r>
        <w:tab/>
        <w:t>6</w:t>
      </w:r>
    </w:p>
    <w:p w:rsidR="00110D4A" w:rsidP="00110D4A" w14:paraId="41F07391" w14:textId="31F7871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Petitioners Have Not Shown That They Will Suffer Irreparable Harm.</w:t>
      </w:r>
      <w:r>
        <w:tab/>
        <w:t>7</w:t>
      </w:r>
    </w:p>
    <w:p w:rsidR="00110D4A" w:rsidP="00110D4A" w14:paraId="408E6182" w14:textId="1F52DFD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Petitioners Have Not Shown a Likelihood of Success on the Merits.</w:t>
      </w:r>
      <w:r>
        <w:tab/>
        <w:t>16</w:t>
      </w:r>
    </w:p>
    <w:p w:rsidR="00110D4A" w:rsidP="00110D4A" w14:paraId="313F9E48" w14:textId="5DC808E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Petitioners Have Not Shown That the Equities Favor a Stay.</w:t>
      </w:r>
      <w:r>
        <w:tab/>
        <w:t>26</w:t>
      </w:r>
    </w:p>
    <w:p w:rsidR="00110D4A" w:rsidP="00110D4A" w14:paraId="70A7F2C4" w14:textId="7D1D9186">
      <w:pPr>
        <w:pStyle w:val="TOC1"/>
        <w:rPr>
          <w:rFonts w:asciiTheme="minorHAnsi" w:eastAsiaTheme="minorEastAsia" w:hAnsiTheme="minorHAnsi" w:cstheme="minorBidi"/>
          <w:caps w:val="0"/>
          <w:snapToGrid/>
          <w:kern w:val="0"/>
          <w:szCs w:val="22"/>
        </w:rPr>
      </w:pPr>
      <w:r w:rsidRPr="00F0687D">
        <w:t>IV.</w:t>
      </w:r>
      <w:r>
        <w:rPr>
          <w:rFonts w:asciiTheme="minorHAnsi" w:eastAsiaTheme="minorEastAsia" w:hAnsiTheme="minorHAnsi" w:cstheme="minorBidi"/>
          <w:caps w:val="0"/>
          <w:snapToGrid/>
          <w:kern w:val="0"/>
          <w:szCs w:val="22"/>
        </w:rPr>
        <w:tab/>
      </w:r>
      <w:r w:rsidRPr="00F0687D">
        <w:t>ordering clauses</w:t>
      </w:r>
      <w:r>
        <w:tab/>
        <w:t>30</w:t>
      </w:r>
    </w:p>
    <w:bookmarkEnd w:id="2"/>
    <w:p w:rsidR="00110D4A" w:rsidRPr="007345E5" w:rsidP="005C11EE" w14:paraId="0E1DD60B" w14:textId="77777777">
      <w:pPr>
        <w:pStyle w:val="StyleBoldCentered"/>
        <w:spacing w:after="240"/>
        <w:rPr>
          <w:rFonts w:ascii="Times New Roman" w:hAnsi="Times New Roman"/>
        </w:rPr>
      </w:pPr>
    </w:p>
    <w:p w:rsidR="005C11EE" w:rsidRPr="007345E5" w:rsidP="005C11EE" w14:paraId="680556C0" w14:textId="7C6F5474">
      <w:pPr>
        <w:tabs>
          <w:tab w:val="left" w:pos="720"/>
          <w:tab w:val="right" w:pos="9360"/>
        </w:tabs>
        <w:suppressAutoHyphens/>
        <w:spacing w:after="240"/>
        <w:rPr>
          <w:b/>
          <w:spacing w:val="-2"/>
        </w:rPr>
      </w:pPr>
      <w:r w:rsidRPr="007345E5">
        <w:rPr>
          <w:b/>
          <w:spacing w:val="-2"/>
        </w:rPr>
        <w:t xml:space="preserve">Adopted: </w:t>
      </w:r>
      <w:r w:rsidRPr="007345E5" w:rsidR="00B51C46">
        <w:rPr>
          <w:b/>
          <w:spacing w:val="-2"/>
        </w:rPr>
        <w:t xml:space="preserve">June </w:t>
      </w:r>
      <w:r w:rsidR="00C93AB7">
        <w:rPr>
          <w:b/>
          <w:spacing w:val="-2"/>
        </w:rPr>
        <w:t>10</w:t>
      </w:r>
      <w:r w:rsidRPr="007345E5">
        <w:rPr>
          <w:b/>
          <w:spacing w:val="-2"/>
        </w:rPr>
        <w:t>, 20</w:t>
      </w:r>
      <w:r w:rsidRPr="007345E5" w:rsidR="00B51C46">
        <w:rPr>
          <w:b/>
          <w:spacing w:val="-2"/>
        </w:rPr>
        <w:t>20</w:t>
      </w:r>
      <w:r w:rsidRPr="007345E5">
        <w:rPr>
          <w:b/>
          <w:spacing w:val="-2"/>
        </w:rPr>
        <w:tab/>
        <w:t xml:space="preserve">Released: </w:t>
      </w:r>
      <w:r w:rsidRPr="007345E5" w:rsidR="00B51C46">
        <w:rPr>
          <w:b/>
          <w:spacing w:val="-2"/>
        </w:rPr>
        <w:t xml:space="preserve">June </w:t>
      </w:r>
      <w:r w:rsidR="00C93AB7">
        <w:rPr>
          <w:b/>
          <w:spacing w:val="-2"/>
        </w:rPr>
        <w:t>10</w:t>
      </w:r>
      <w:r w:rsidRPr="007345E5">
        <w:rPr>
          <w:b/>
          <w:spacing w:val="-2"/>
        </w:rPr>
        <w:t>, 20</w:t>
      </w:r>
      <w:r w:rsidRPr="007345E5" w:rsidR="00B51C46">
        <w:rPr>
          <w:b/>
          <w:spacing w:val="-2"/>
        </w:rPr>
        <w:t>20</w:t>
      </w:r>
    </w:p>
    <w:p w:rsidR="00325670" w:rsidRPr="007345E5" w:rsidP="005C11EE" w14:paraId="2FDDE409" w14:textId="77777777">
      <w:pPr>
        <w:tabs>
          <w:tab w:val="left" w:pos="720"/>
          <w:tab w:val="right" w:pos="9360"/>
        </w:tabs>
        <w:suppressAutoHyphens/>
        <w:spacing w:after="240"/>
        <w:rPr>
          <w:spacing w:val="-2"/>
        </w:rPr>
      </w:pPr>
      <w:r w:rsidRPr="007345E5">
        <w:t xml:space="preserve">By the </w:t>
      </w:r>
      <w:r w:rsidRPr="007345E5">
        <w:rPr>
          <w:spacing w:val="-2"/>
        </w:rPr>
        <w:t>C</w:t>
      </w:r>
      <w:r w:rsidRPr="007345E5" w:rsidR="00B51C46">
        <w:rPr>
          <w:spacing w:val="-2"/>
        </w:rPr>
        <w:t>hief, Wireless Telecommunications Bureau</w:t>
      </w:r>
      <w:r w:rsidRPr="007345E5">
        <w:rPr>
          <w:spacing w:val="-2"/>
        </w:rPr>
        <w:t>:</w:t>
      </w:r>
    </w:p>
    <w:p w:rsidR="00325670" w:rsidRPr="007345E5" w:rsidP="00325670" w14:paraId="6E81F067" w14:textId="77777777">
      <w:pPr>
        <w:pStyle w:val="Heading1"/>
        <w:rPr>
          <w:rFonts w:ascii="Times New Roman" w:hAnsi="Times New Roman"/>
        </w:rPr>
      </w:pPr>
      <w:bookmarkStart w:id="4" w:name="_Toc42600713"/>
      <w:r w:rsidRPr="007345E5">
        <w:rPr>
          <w:rFonts w:ascii="Times New Roman" w:hAnsi="Times New Roman"/>
        </w:rPr>
        <w:t>INTRODUCTION</w:t>
      </w:r>
      <w:bookmarkEnd w:id="4"/>
    </w:p>
    <w:p w:rsidR="00325670" w:rsidRPr="007345E5" w:rsidP="00685A51" w14:paraId="09F09608" w14:textId="7A9740EE">
      <w:pPr>
        <w:pStyle w:val="ParaNum"/>
      </w:pPr>
      <w:r w:rsidRPr="007345E5">
        <w:t xml:space="preserve">On May 15, 2020, </w:t>
      </w:r>
      <w:r w:rsidRPr="007345E5" w:rsidR="00C71B32">
        <w:t xml:space="preserve">ABS Global Ltd., </w:t>
      </w:r>
      <w:r w:rsidRPr="007345E5" w:rsidR="00C71B32">
        <w:t>Empresa</w:t>
      </w:r>
      <w:r w:rsidRPr="007345E5" w:rsidR="00C71B32">
        <w:t xml:space="preserve"> Argentina de </w:t>
      </w:r>
      <w:r w:rsidRPr="007345E5" w:rsidR="00C71B32">
        <w:t>Soluciones</w:t>
      </w:r>
      <w:r w:rsidRPr="007345E5" w:rsidR="00C71B32">
        <w:t xml:space="preserve"> </w:t>
      </w:r>
      <w:r w:rsidRPr="007345E5" w:rsidR="00C71B32">
        <w:t>Satelitales</w:t>
      </w:r>
      <w:r w:rsidRPr="007345E5" w:rsidR="00C71B32">
        <w:t xml:space="preserve"> S.A., </w:t>
      </w:r>
      <w:r w:rsidRPr="007345E5" w:rsidR="004B4C91">
        <w:t xml:space="preserve">and </w:t>
      </w:r>
      <w:r w:rsidRPr="007345E5" w:rsidR="00C71B32">
        <w:t>Hispamar</w:t>
      </w:r>
      <w:r w:rsidRPr="007345E5" w:rsidR="00C71B32">
        <w:t xml:space="preserve"> </w:t>
      </w:r>
      <w:r w:rsidRPr="007345E5" w:rsidR="00C71B32">
        <w:t>Satélites</w:t>
      </w:r>
      <w:r w:rsidRPr="007345E5" w:rsidR="00C71B32">
        <w:t xml:space="preserve"> S.A., and </w:t>
      </w:r>
      <w:r w:rsidRPr="007345E5" w:rsidR="00C71B32">
        <w:t>Hispasat</w:t>
      </w:r>
      <w:r w:rsidRPr="007345E5" w:rsidR="00C71B32">
        <w:t xml:space="preserve"> S.A.</w:t>
      </w:r>
      <w:r w:rsidRPr="007345E5" w:rsidR="00296F24">
        <w:t xml:space="preserve"> </w:t>
      </w:r>
      <w:r w:rsidRPr="007345E5">
        <w:t>filed a Joint Petition for Stay Pending Judicial Review</w:t>
      </w:r>
      <w:r>
        <w:rPr>
          <w:rStyle w:val="FootnoteReference"/>
        </w:rPr>
        <w:footnoteReference w:id="3"/>
      </w:r>
      <w:r w:rsidRPr="007345E5">
        <w:t xml:space="preserve"> of the Commission’s Report and Order and Order of Proposed Modification in the above-captioned proceeding.</w:t>
      </w:r>
      <w:r>
        <w:rPr>
          <w:rStyle w:val="FootnoteReference"/>
        </w:rPr>
        <w:footnoteReference w:id="4"/>
      </w:r>
      <w:r w:rsidR="00D5373F">
        <w:t xml:space="preserve"> </w:t>
      </w:r>
      <w:r w:rsidRPr="007345E5" w:rsidR="00685A51">
        <w:t xml:space="preserve"> Petitioners ask the Commission to stay the C-</w:t>
      </w:r>
      <w:r w:rsidR="00D5373F">
        <w:t>b</w:t>
      </w:r>
      <w:r w:rsidRPr="007345E5" w:rsidR="00685A51">
        <w:t xml:space="preserve">and auction and transition process while their challenges to the </w:t>
      </w:r>
      <w:r w:rsidRPr="00D5373F" w:rsidR="00D5373F">
        <w:rPr>
          <w:i/>
          <w:iCs/>
        </w:rPr>
        <w:t xml:space="preserve">3.7 GHz Report and </w:t>
      </w:r>
      <w:r w:rsidRPr="007345E5" w:rsidR="00685A51">
        <w:rPr>
          <w:i/>
          <w:iCs/>
        </w:rPr>
        <w:t xml:space="preserve">Order </w:t>
      </w:r>
      <w:r w:rsidRPr="007345E5" w:rsidR="00685A51">
        <w:t>are pending before the United States Court of Appeals for the District of Columbia Circuit.</w:t>
      </w:r>
      <w:r>
        <w:rPr>
          <w:rStyle w:val="FootnoteReference"/>
        </w:rPr>
        <w:footnoteReference w:id="5"/>
      </w:r>
      <w:r w:rsidR="00D5373F">
        <w:t xml:space="preserve"> </w:t>
      </w:r>
      <w:r w:rsidRPr="007345E5" w:rsidR="00685A51">
        <w:t xml:space="preserve"> </w:t>
      </w:r>
      <w:r w:rsidR="00557BD5">
        <w:t>W</w:t>
      </w:r>
      <w:r w:rsidRPr="007345E5">
        <w:t>e deny the Stay Petition.</w:t>
      </w:r>
      <w:r>
        <w:rPr>
          <w:rStyle w:val="FootnoteReference"/>
        </w:rPr>
        <w:footnoteReference w:id="6"/>
      </w:r>
    </w:p>
    <w:p w:rsidR="00325670" w:rsidRPr="007345E5" w:rsidP="00325670" w14:paraId="6DB8790F" w14:textId="77777777">
      <w:pPr>
        <w:pStyle w:val="Heading1"/>
        <w:rPr>
          <w:rFonts w:ascii="Times New Roman" w:hAnsi="Times New Roman"/>
        </w:rPr>
      </w:pPr>
      <w:bookmarkStart w:id="5" w:name="_Toc42600714"/>
      <w:r w:rsidRPr="007345E5">
        <w:rPr>
          <w:rFonts w:ascii="Times New Roman" w:hAnsi="Times New Roman"/>
        </w:rPr>
        <w:t>Background</w:t>
      </w:r>
      <w:bookmarkEnd w:id="5"/>
    </w:p>
    <w:p w:rsidR="003A4923" w:rsidRPr="007345E5" w:rsidP="007445A7" w14:paraId="759F731F" w14:textId="293FA9F7">
      <w:pPr>
        <w:pStyle w:val="ParaNum"/>
      </w:pPr>
      <w:r w:rsidRPr="007345E5">
        <w:t xml:space="preserve">In the </w:t>
      </w:r>
      <w:r w:rsidRPr="00D5373F" w:rsidR="00D5373F">
        <w:rPr>
          <w:i/>
          <w:iCs/>
        </w:rPr>
        <w:t xml:space="preserve">3.7 GHz Report and </w:t>
      </w:r>
      <w:r w:rsidRPr="007345E5">
        <w:rPr>
          <w:i/>
          <w:iCs/>
        </w:rPr>
        <w:t>Order</w:t>
      </w:r>
      <w:r w:rsidRPr="007345E5">
        <w:t xml:space="preserve">, the Commission took a “critical step in advancing </w:t>
      </w:r>
      <w:r w:rsidRPr="007345E5">
        <w:t>American leadership” in the fifth generation of wireless technology (5G)</w:t>
      </w:r>
      <w:r w:rsidRPr="007345E5" w:rsidR="00BC0577">
        <w:t xml:space="preserve"> by repurposing </w:t>
      </w:r>
      <w:r w:rsidRPr="007345E5" w:rsidR="008E2295">
        <w:t xml:space="preserve">for flexible use </w:t>
      </w:r>
      <w:r w:rsidRPr="007345E5" w:rsidR="00BC0577">
        <w:t>280 megahertz of mid-band spectrum in the 3.7</w:t>
      </w:r>
      <w:r w:rsidR="00D5373F">
        <w:t>-</w:t>
      </w:r>
      <w:r w:rsidRPr="007345E5" w:rsidR="00BC0577">
        <w:t>4.2 GHz band, known as the C-</w:t>
      </w:r>
      <w:r w:rsidR="00D5373F">
        <w:t>b</w:t>
      </w:r>
      <w:r w:rsidRPr="007345E5" w:rsidR="00D5373F">
        <w:t>and</w:t>
      </w:r>
      <w:r w:rsidRPr="007345E5" w:rsidR="00BC0577">
        <w:t>.</w:t>
      </w:r>
      <w:r>
        <w:rPr>
          <w:rStyle w:val="FootnoteReference"/>
        </w:rPr>
        <w:footnoteReference w:id="7"/>
      </w:r>
      <w:r w:rsidRPr="007345E5" w:rsidR="00BC0577">
        <w:t xml:space="preserve"> </w:t>
      </w:r>
      <w:r w:rsidR="00D5373F">
        <w:t xml:space="preserve"> </w:t>
      </w:r>
      <w:r w:rsidRPr="007345E5" w:rsidR="00D413EA">
        <w:t>C-</w:t>
      </w:r>
      <w:r w:rsidR="00D5373F">
        <w:t>b</w:t>
      </w:r>
      <w:r w:rsidRPr="007345E5" w:rsidR="00D5373F">
        <w:t xml:space="preserve">and </w:t>
      </w:r>
      <w:r w:rsidRPr="007345E5" w:rsidR="00BC0577">
        <w:t xml:space="preserve">incumbents, primarily Fixed Satellite Service </w:t>
      </w:r>
      <w:r w:rsidRPr="007345E5" w:rsidR="006E0614">
        <w:t xml:space="preserve">(FSS) </w:t>
      </w:r>
      <w:r w:rsidR="00D5373F">
        <w:t xml:space="preserve">space station </w:t>
      </w:r>
      <w:r w:rsidRPr="007345E5" w:rsidR="00BC0577">
        <w:t>operators tha</w:t>
      </w:r>
      <w:r w:rsidRPr="007345E5" w:rsidR="008E2295">
        <w:t xml:space="preserve">t </w:t>
      </w:r>
      <w:r w:rsidRPr="007345E5" w:rsidR="00BC0577">
        <w:t>provid</w:t>
      </w:r>
      <w:r w:rsidRPr="007345E5" w:rsidR="00F35C4A">
        <w:t>e</w:t>
      </w:r>
      <w:r w:rsidRPr="007345E5" w:rsidR="00BC0577">
        <w:t xml:space="preserve"> signals </w:t>
      </w:r>
      <w:r w:rsidRPr="007345E5" w:rsidR="008E2295">
        <w:t>to earth stations for</w:t>
      </w:r>
      <w:r w:rsidRPr="007345E5" w:rsidR="00F35C4A">
        <w:t xml:space="preserve"> </w:t>
      </w:r>
      <w:r w:rsidRPr="007345E5" w:rsidR="008E2295">
        <w:t>broadcast</w:t>
      </w:r>
      <w:r w:rsidRPr="007345E5" w:rsidR="00BC0577">
        <w:t xml:space="preserve"> programming</w:t>
      </w:r>
      <w:r w:rsidRPr="007345E5" w:rsidR="008E2295">
        <w:t xml:space="preserve"> and telephone and data services</w:t>
      </w:r>
      <w:r w:rsidRPr="007345E5" w:rsidR="00BC0577">
        <w:t xml:space="preserve">, </w:t>
      </w:r>
      <w:r w:rsidRPr="007345E5" w:rsidR="008E2295">
        <w:t xml:space="preserve">will be </w:t>
      </w:r>
      <w:r w:rsidR="00C612B2">
        <w:t>migrat</w:t>
      </w:r>
      <w:r w:rsidRPr="007345E5" w:rsidR="008E2295">
        <w:t>ed into the upper 200 megahertz of the C-</w:t>
      </w:r>
      <w:r w:rsidR="00D5373F">
        <w:t>b</w:t>
      </w:r>
      <w:r w:rsidRPr="007345E5" w:rsidR="008E2295">
        <w:t xml:space="preserve">and, </w:t>
      </w:r>
      <w:r w:rsidRPr="007345E5" w:rsidR="004E37E2">
        <w:t xml:space="preserve">where the </w:t>
      </w:r>
      <w:r w:rsidR="00D5373F">
        <w:t>Commission</w:t>
      </w:r>
      <w:r w:rsidRPr="007345E5" w:rsidR="00D5373F">
        <w:t xml:space="preserve"> </w:t>
      </w:r>
      <w:r w:rsidRPr="007345E5" w:rsidR="004E37E2">
        <w:t xml:space="preserve">found that they will be able to provide “the same services as they are </w:t>
      </w:r>
      <w:r w:rsidRPr="00F8549B" w:rsidR="004E37E2">
        <w:rPr>
          <w:szCs w:val="22"/>
        </w:rPr>
        <w:t>currently providing across the full 500 megahertz of C-</w:t>
      </w:r>
      <w:r w:rsidRPr="00F8549B" w:rsidR="00D5373F">
        <w:rPr>
          <w:szCs w:val="22"/>
        </w:rPr>
        <w:t xml:space="preserve">band </w:t>
      </w:r>
      <w:r w:rsidRPr="00F8549B" w:rsidR="004E37E2">
        <w:rPr>
          <w:szCs w:val="22"/>
        </w:rPr>
        <w:t>spectrum.”</w:t>
      </w:r>
      <w:r>
        <w:rPr>
          <w:rStyle w:val="FootnoteReference"/>
          <w:sz w:val="22"/>
          <w:szCs w:val="22"/>
        </w:rPr>
        <w:footnoteReference w:id="8"/>
      </w:r>
      <w:r w:rsidRPr="00F8549B" w:rsidR="00607A03">
        <w:rPr>
          <w:szCs w:val="22"/>
        </w:rPr>
        <w:t xml:space="preserve"> </w:t>
      </w:r>
      <w:r w:rsidRPr="001A20D7" w:rsidR="007445A7">
        <w:rPr>
          <w:szCs w:val="22"/>
        </w:rPr>
        <w:t xml:space="preserve">The </w:t>
      </w:r>
      <w:r w:rsidRPr="001A20D7" w:rsidR="007A7794">
        <w:rPr>
          <w:szCs w:val="22"/>
        </w:rPr>
        <w:t>agency</w:t>
      </w:r>
      <w:r w:rsidRPr="001A20D7" w:rsidR="007445A7">
        <w:rPr>
          <w:szCs w:val="22"/>
        </w:rPr>
        <w:t xml:space="preserve"> relied on its authority under Section 316 of the Communications Act </w:t>
      </w:r>
      <w:r w:rsidRPr="0063360C" w:rsidR="007A7794">
        <w:rPr>
          <w:szCs w:val="22"/>
        </w:rPr>
        <w:t xml:space="preserve">of 1934, as amended, </w:t>
      </w:r>
      <w:r w:rsidRPr="0063360C" w:rsidR="007445A7">
        <w:rPr>
          <w:szCs w:val="22"/>
        </w:rPr>
        <w:t>to modify C-</w:t>
      </w:r>
      <w:r w:rsidRPr="0063360C" w:rsidR="00D5373F">
        <w:rPr>
          <w:szCs w:val="22"/>
        </w:rPr>
        <w:t xml:space="preserve">band </w:t>
      </w:r>
      <w:r w:rsidRPr="0063360C" w:rsidR="007445A7">
        <w:rPr>
          <w:szCs w:val="22"/>
        </w:rPr>
        <w:t>incumbents’ spectrum access rights.</w:t>
      </w:r>
      <w:r>
        <w:rPr>
          <w:rStyle w:val="FootnoteReference"/>
          <w:sz w:val="22"/>
          <w:szCs w:val="22"/>
        </w:rPr>
        <w:footnoteReference w:id="9"/>
      </w:r>
      <w:r w:rsidRPr="00F8549B" w:rsidR="007445A7">
        <w:rPr>
          <w:szCs w:val="22"/>
        </w:rPr>
        <w:t xml:space="preserve"> </w:t>
      </w:r>
      <w:r w:rsidRPr="001A20D7" w:rsidR="00D5373F">
        <w:rPr>
          <w:szCs w:val="22"/>
        </w:rPr>
        <w:t xml:space="preserve"> </w:t>
      </w:r>
      <w:r w:rsidRPr="001A20D7" w:rsidR="00607A03">
        <w:rPr>
          <w:szCs w:val="22"/>
        </w:rPr>
        <w:t>The</w:t>
      </w:r>
      <w:r w:rsidRPr="001A20D7" w:rsidR="006E0614">
        <w:rPr>
          <w:szCs w:val="22"/>
        </w:rPr>
        <w:t xml:space="preserve"> </w:t>
      </w:r>
      <w:r w:rsidRPr="001A20D7" w:rsidR="00D5373F">
        <w:rPr>
          <w:szCs w:val="22"/>
        </w:rPr>
        <w:t xml:space="preserve">Commission </w:t>
      </w:r>
      <w:r w:rsidRPr="001A20D7" w:rsidR="00607A03">
        <w:rPr>
          <w:szCs w:val="22"/>
        </w:rPr>
        <w:t>scheduled a public auction</w:t>
      </w:r>
      <w:r w:rsidRPr="001A20D7" w:rsidR="006E0614">
        <w:rPr>
          <w:szCs w:val="22"/>
        </w:rPr>
        <w:t xml:space="preserve"> for </w:t>
      </w:r>
      <w:r w:rsidRPr="0063360C" w:rsidR="00F35C4A">
        <w:rPr>
          <w:szCs w:val="22"/>
        </w:rPr>
        <w:t xml:space="preserve">new, flexible-use </w:t>
      </w:r>
      <w:r w:rsidRPr="0063360C" w:rsidR="006E0614">
        <w:rPr>
          <w:szCs w:val="22"/>
        </w:rPr>
        <w:t>licenses</w:t>
      </w:r>
      <w:r w:rsidRPr="0063360C" w:rsidR="00607A03">
        <w:rPr>
          <w:szCs w:val="22"/>
        </w:rPr>
        <w:t xml:space="preserve"> beginning on December </w:t>
      </w:r>
      <w:r w:rsidRPr="0063360C" w:rsidR="00D5373F">
        <w:rPr>
          <w:szCs w:val="22"/>
        </w:rPr>
        <w:t>8</w:t>
      </w:r>
      <w:r w:rsidRPr="0063360C" w:rsidR="00607A03">
        <w:rPr>
          <w:szCs w:val="22"/>
        </w:rPr>
        <w:t>, 2020.</w:t>
      </w:r>
      <w:r>
        <w:rPr>
          <w:rStyle w:val="FootnoteReference"/>
          <w:sz w:val="22"/>
          <w:szCs w:val="22"/>
        </w:rPr>
        <w:footnoteReference w:id="10"/>
      </w:r>
      <w:r w:rsidRPr="007345E5" w:rsidR="00607A03">
        <w:t xml:space="preserve"> </w:t>
      </w:r>
    </w:p>
    <w:p w:rsidR="00066FEE" w:rsidRPr="007345E5" w:rsidP="00630CCA" w14:paraId="1F6336A2" w14:textId="3759359B">
      <w:pPr>
        <w:pStyle w:val="ParaNum"/>
      </w:pPr>
      <w:r w:rsidRPr="007345E5">
        <w:t xml:space="preserve">To make the repurposed </w:t>
      </w:r>
      <w:r w:rsidR="007A7794">
        <w:t>C-</w:t>
      </w:r>
      <w:r w:rsidR="00D5373F">
        <w:t xml:space="preserve">band </w:t>
      </w:r>
      <w:r w:rsidRPr="007345E5">
        <w:t>spectrum available “as quickly as possible,”</w:t>
      </w:r>
      <w:r>
        <w:rPr>
          <w:rStyle w:val="FootnoteReference"/>
        </w:rPr>
        <w:footnoteReference w:id="11"/>
      </w:r>
      <w:r w:rsidRPr="007345E5">
        <w:t xml:space="preserve"> the </w:t>
      </w:r>
      <w:r w:rsidR="00D5373F">
        <w:t>Commission</w:t>
      </w:r>
      <w:r w:rsidRPr="007345E5" w:rsidR="00D5373F">
        <w:t xml:space="preserve"> </w:t>
      </w:r>
      <w:r w:rsidRPr="007345E5">
        <w:t>established an aggressive transition schedule.</w:t>
      </w:r>
      <w:r>
        <w:rPr>
          <w:rStyle w:val="FootnoteReference"/>
        </w:rPr>
        <w:footnoteReference w:id="12"/>
      </w:r>
      <w:r w:rsidRPr="007345E5">
        <w:t xml:space="preserve"> </w:t>
      </w:r>
      <w:r w:rsidR="00D5373F">
        <w:t xml:space="preserve"> </w:t>
      </w:r>
      <w:r w:rsidRPr="007345E5" w:rsidR="00FF6903">
        <w:t>Consistent with</w:t>
      </w:r>
      <w:r w:rsidRPr="007345E5" w:rsidR="00EC6E00">
        <w:t xml:space="preserve"> </w:t>
      </w:r>
      <w:r w:rsidR="007629B7">
        <w:t>its</w:t>
      </w:r>
      <w:r w:rsidRPr="007345E5" w:rsidR="003A4923">
        <w:t xml:space="preserve"> </w:t>
      </w:r>
      <w:r w:rsidRPr="007345E5" w:rsidR="003A4923">
        <w:rPr>
          <w:i/>
          <w:iCs/>
        </w:rPr>
        <w:t>Emerging Technologies</w:t>
      </w:r>
      <w:r w:rsidRPr="007345E5" w:rsidR="003A4923">
        <w:t xml:space="preserve"> framework,</w:t>
      </w:r>
      <w:r>
        <w:rPr>
          <w:rStyle w:val="FootnoteReference"/>
        </w:rPr>
        <w:footnoteReference w:id="13"/>
      </w:r>
      <w:r w:rsidRPr="007345E5" w:rsidR="003A4923">
        <w:t xml:space="preserve"> which “allows for new licensees to incentivize a swift transition while requiring those licensees to hold incumbents harmless during the transition,”</w:t>
      </w:r>
      <w:r>
        <w:rPr>
          <w:rStyle w:val="FootnoteReference"/>
        </w:rPr>
        <w:footnoteReference w:id="14"/>
      </w:r>
      <w:r w:rsidRPr="007345E5" w:rsidR="003A4923">
        <w:t xml:space="preserve"> </w:t>
      </w:r>
      <w:r w:rsidRPr="007345E5" w:rsidR="00685A51">
        <w:t xml:space="preserve">the Commission </w:t>
      </w:r>
      <w:r w:rsidR="001436ED">
        <w:t xml:space="preserve">also </w:t>
      </w:r>
      <w:r w:rsidRPr="007345E5" w:rsidR="00685A51">
        <w:t xml:space="preserve">provided for payments to incumbent </w:t>
      </w:r>
      <w:r w:rsidR="00D5373F">
        <w:t>space station</w:t>
      </w:r>
      <w:r w:rsidRPr="007345E5" w:rsidR="00D5373F">
        <w:t xml:space="preserve"> </w:t>
      </w:r>
      <w:r w:rsidRPr="007345E5" w:rsidR="00685A51">
        <w:t>operators</w:t>
      </w:r>
      <w:r w:rsidRPr="007345E5" w:rsidR="00685A51">
        <w:rPr>
          <w:i/>
          <w:iCs/>
        </w:rPr>
        <w:t xml:space="preserve"> </w:t>
      </w:r>
      <w:r w:rsidRPr="007345E5" w:rsidR="00685A51">
        <w:t xml:space="preserve">to </w:t>
      </w:r>
      <w:r w:rsidR="002F3D2B">
        <w:t>voluntarily agree to</w:t>
      </w:r>
      <w:r w:rsidRPr="007345E5" w:rsidR="002F3D2B">
        <w:t xml:space="preserve"> </w:t>
      </w:r>
      <w:r w:rsidR="007629B7">
        <w:t>accelerate</w:t>
      </w:r>
      <w:r w:rsidRPr="007345E5" w:rsidR="00685A51">
        <w:t xml:space="preserve"> clearing of the lower 300 megahertz of the C-band</w:t>
      </w:r>
      <w:r w:rsidR="007629B7">
        <w:t xml:space="preserve"> </w:t>
      </w:r>
      <w:r w:rsidRPr="007345E5" w:rsidR="00685A51">
        <w:t>and to reimburse</w:t>
      </w:r>
      <w:r w:rsidR="001436ED">
        <w:t xml:space="preserve"> the </w:t>
      </w:r>
      <w:r w:rsidRPr="007345E5" w:rsidR="00685A51">
        <w:t>costs</w:t>
      </w:r>
      <w:r w:rsidR="001436ED">
        <w:t xml:space="preserve"> of clearing</w:t>
      </w:r>
      <w:r w:rsidRPr="007345E5" w:rsidR="00685A51">
        <w:t>.</w:t>
      </w:r>
      <w:r>
        <w:rPr>
          <w:rStyle w:val="FootnoteReference"/>
        </w:rPr>
        <w:footnoteReference w:id="15"/>
      </w:r>
      <w:r w:rsidR="00D5373F">
        <w:t xml:space="preserve"> </w:t>
      </w:r>
      <w:r w:rsidRPr="007345E5" w:rsidR="00B6301C">
        <w:t xml:space="preserve"> </w:t>
      </w:r>
      <w:r w:rsidRPr="007345E5" w:rsidR="00A831C1">
        <w:t xml:space="preserve">The first and second </w:t>
      </w:r>
      <w:r w:rsidR="00232675">
        <w:t>A</w:t>
      </w:r>
      <w:r w:rsidRPr="007345E5" w:rsidR="00232675">
        <w:t xml:space="preserve">ccelerated </w:t>
      </w:r>
      <w:r w:rsidR="00232675">
        <w:t>R</w:t>
      </w:r>
      <w:r w:rsidR="00D5373F">
        <w:t>elocation</w:t>
      </w:r>
      <w:r w:rsidRPr="007345E5" w:rsidR="00D5373F">
        <w:t xml:space="preserve"> </w:t>
      </w:r>
      <w:r w:rsidR="00232675">
        <w:t>D</w:t>
      </w:r>
      <w:r w:rsidRPr="007345E5" w:rsidR="00232675">
        <w:t xml:space="preserve">eadlines </w:t>
      </w:r>
      <w:r w:rsidRPr="007345E5" w:rsidR="00A831C1">
        <w:t xml:space="preserve">are December 5, 2021 </w:t>
      </w:r>
      <w:r w:rsidR="00232675">
        <w:t xml:space="preserve">(Phase I) </w:t>
      </w:r>
      <w:r w:rsidRPr="007345E5" w:rsidR="00A831C1">
        <w:t xml:space="preserve">and </w:t>
      </w:r>
      <w:r w:rsidR="00C612B2">
        <w:t xml:space="preserve">December 5, </w:t>
      </w:r>
      <w:r w:rsidRPr="007345E5" w:rsidR="00A831C1">
        <w:t>2023</w:t>
      </w:r>
      <w:r w:rsidR="00232675">
        <w:t xml:space="preserve"> (Phase II)</w:t>
      </w:r>
      <w:r w:rsidRPr="007345E5" w:rsidR="00A831C1">
        <w:t>, respectively.</w:t>
      </w:r>
      <w:r>
        <w:rPr>
          <w:rStyle w:val="FootnoteReference"/>
        </w:rPr>
        <w:footnoteReference w:id="16"/>
      </w:r>
      <w:r w:rsidRPr="007345E5" w:rsidR="00A831C1">
        <w:t xml:space="preserve"> </w:t>
      </w:r>
      <w:r w:rsidR="00D5373F">
        <w:t xml:space="preserve"> </w:t>
      </w:r>
      <w:r w:rsidRPr="007345E5" w:rsidR="00402900">
        <w:rPr>
          <w:szCs w:val="22"/>
        </w:rPr>
        <w:t>The</w:t>
      </w:r>
      <w:r w:rsidR="007629B7">
        <w:rPr>
          <w:szCs w:val="22"/>
        </w:rPr>
        <w:t xml:space="preserve"> </w:t>
      </w:r>
      <w:r w:rsidR="00D5373F">
        <w:rPr>
          <w:szCs w:val="22"/>
        </w:rPr>
        <w:t>Commission</w:t>
      </w:r>
      <w:r w:rsidRPr="007345E5" w:rsidR="00D5373F">
        <w:rPr>
          <w:szCs w:val="22"/>
        </w:rPr>
        <w:t xml:space="preserve"> </w:t>
      </w:r>
      <w:r w:rsidRPr="007345E5" w:rsidR="00402900">
        <w:rPr>
          <w:szCs w:val="22"/>
        </w:rPr>
        <w:t xml:space="preserve">set the total amount of </w:t>
      </w:r>
      <w:r w:rsidR="00D5373F">
        <w:rPr>
          <w:szCs w:val="22"/>
        </w:rPr>
        <w:t>accelerated relocation</w:t>
      </w:r>
      <w:r w:rsidRPr="007345E5" w:rsidR="00D5373F">
        <w:rPr>
          <w:szCs w:val="22"/>
        </w:rPr>
        <w:t xml:space="preserve"> </w:t>
      </w:r>
      <w:r w:rsidRPr="007345E5" w:rsidR="00402900">
        <w:rPr>
          <w:szCs w:val="22"/>
        </w:rPr>
        <w:t>payments at</w:t>
      </w:r>
      <w:r w:rsidRPr="007345E5" w:rsidR="00630CCA">
        <w:rPr>
          <w:szCs w:val="22"/>
        </w:rPr>
        <w:t xml:space="preserve"> </w:t>
      </w:r>
      <w:r w:rsidRPr="007345E5" w:rsidR="00E14FA9">
        <w:rPr>
          <w:szCs w:val="22"/>
        </w:rPr>
        <w:t xml:space="preserve">$9.7 </w:t>
      </w:r>
      <w:r w:rsidRPr="007345E5" w:rsidR="00630CCA">
        <w:rPr>
          <w:szCs w:val="22"/>
        </w:rPr>
        <w:t xml:space="preserve">billion, </w:t>
      </w:r>
      <w:r w:rsidRPr="007345E5" w:rsidR="00402900">
        <w:rPr>
          <w:szCs w:val="22"/>
        </w:rPr>
        <w:t xml:space="preserve">which will be </w:t>
      </w:r>
      <w:r w:rsidRPr="007345E5" w:rsidR="00630CCA">
        <w:rPr>
          <w:szCs w:val="22"/>
        </w:rPr>
        <w:t>allocated</w:t>
      </w:r>
      <w:r w:rsidRPr="007345E5" w:rsidR="00FF6903">
        <w:rPr>
          <w:szCs w:val="22"/>
        </w:rPr>
        <w:t xml:space="preserve"> </w:t>
      </w:r>
      <w:r w:rsidRPr="007345E5" w:rsidR="00630CCA">
        <w:rPr>
          <w:szCs w:val="22"/>
        </w:rPr>
        <w:t>based o</w:t>
      </w:r>
      <w:r w:rsidRPr="007345E5" w:rsidR="00402900">
        <w:rPr>
          <w:szCs w:val="22"/>
        </w:rPr>
        <w:t xml:space="preserve">n </w:t>
      </w:r>
      <w:r w:rsidR="00280A02">
        <w:rPr>
          <w:szCs w:val="22"/>
        </w:rPr>
        <w:t xml:space="preserve">an estimate of </w:t>
      </w:r>
      <w:r w:rsidRPr="007345E5" w:rsidR="00FF6903">
        <w:rPr>
          <w:szCs w:val="22"/>
        </w:rPr>
        <w:t>each</w:t>
      </w:r>
      <w:r w:rsidRPr="007345E5" w:rsidR="00EC6E00">
        <w:rPr>
          <w:szCs w:val="22"/>
        </w:rPr>
        <w:t xml:space="preserve"> </w:t>
      </w:r>
      <w:r w:rsidRPr="007345E5" w:rsidR="00A831C1">
        <w:rPr>
          <w:szCs w:val="22"/>
        </w:rPr>
        <w:t>operator</w:t>
      </w:r>
      <w:r w:rsidRPr="007345E5" w:rsidR="00FF6903">
        <w:rPr>
          <w:szCs w:val="22"/>
        </w:rPr>
        <w:t xml:space="preserve">’s </w:t>
      </w:r>
      <w:r w:rsidRPr="007345E5" w:rsidR="00630CCA">
        <w:rPr>
          <w:szCs w:val="22"/>
        </w:rPr>
        <w:t>relative contribution to the transition effort</w:t>
      </w:r>
      <w:r w:rsidRPr="007345E5" w:rsidR="00402900">
        <w:rPr>
          <w:szCs w:val="22"/>
        </w:rPr>
        <w:t xml:space="preserve"> and distributed after successful completion of </w:t>
      </w:r>
      <w:r w:rsidRPr="007345E5" w:rsidR="00EC6E00">
        <w:rPr>
          <w:szCs w:val="22"/>
        </w:rPr>
        <w:t>each</w:t>
      </w:r>
      <w:r w:rsidRPr="007345E5" w:rsidR="00402900">
        <w:rPr>
          <w:szCs w:val="22"/>
        </w:rPr>
        <w:t xml:space="preserve"> </w:t>
      </w:r>
      <w:r w:rsidR="00232675">
        <w:rPr>
          <w:szCs w:val="22"/>
        </w:rPr>
        <w:t>Accelerated Relocation D</w:t>
      </w:r>
      <w:r w:rsidRPr="007345E5" w:rsidR="00232675">
        <w:rPr>
          <w:szCs w:val="22"/>
        </w:rPr>
        <w:t>eadline</w:t>
      </w:r>
      <w:r w:rsidRPr="007345E5" w:rsidR="00402900">
        <w:rPr>
          <w:szCs w:val="22"/>
        </w:rPr>
        <w:t>.</w:t>
      </w:r>
      <w:r>
        <w:rPr>
          <w:rStyle w:val="FootnoteReference"/>
          <w:szCs w:val="22"/>
        </w:rPr>
        <w:footnoteReference w:id="17"/>
      </w:r>
      <w:r w:rsidR="007629B7">
        <w:rPr>
          <w:szCs w:val="22"/>
        </w:rPr>
        <w:t xml:space="preserve"> </w:t>
      </w:r>
      <w:r w:rsidR="00232675">
        <w:rPr>
          <w:szCs w:val="22"/>
        </w:rPr>
        <w:t xml:space="preserve"> </w:t>
      </w:r>
      <w:r w:rsidR="007629B7">
        <w:rPr>
          <w:szCs w:val="22"/>
        </w:rPr>
        <w:t>Such</w:t>
      </w:r>
      <w:r w:rsidRPr="007345E5" w:rsidR="007629B7">
        <w:t xml:space="preserve"> payments, the </w:t>
      </w:r>
      <w:r w:rsidR="007629B7">
        <w:t>Commission</w:t>
      </w:r>
      <w:r w:rsidRPr="007345E5" w:rsidR="007629B7">
        <w:t xml:space="preserve"> reasoned, would </w:t>
      </w:r>
      <w:r w:rsidRPr="007345E5" w:rsidR="007629B7">
        <w:rPr>
          <w:szCs w:val="22"/>
        </w:rPr>
        <w:t xml:space="preserve">“fairly incentivize[] incumbent space station operators to expedite the </w:t>
      </w:r>
      <w:r w:rsidRPr="007345E5" w:rsidR="007629B7">
        <w:rPr>
          <w:szCs w:val="22"/>
        </w:rPr>
        <w:t>transition while increasing the value of the entire transition effort for the American public.”</w:t>
      </w:r>
      <w:r>
        <w:rPr>
          <w:rStyle w:val="FootnoteReference"/>
          <w:szCs w:val="22"/>
        </w:rPr>
        <w:footnoteReference w:id="18"/>
      </w:r>
      <w:r w:rsidRPr="007345E5" w:rsidR="007629B7">
        <w:rPr>
          <w:szCs w:val="22"/>
        </w:rPr>
        <w:t xml:space="preserve"> </w:t>
      </w:r>
      <w:r w:rsidRPr="007345E5" w:rsidR="00EC6E00">
        <w:rPr>
          <w:rStyle w:val="FootnoteReference"/>
          <w:szCs w:val="22"/>
        </w:rPr>
        <w:t xml:space="preserve"> </w:t>
      </w:r>
      <w:r w:rsidRPr="007345E5" w:rsidR="008F18EB">
        <w:rPr>
          <w:szCs w:val="22"/>
        </w:rPr>
        <w:t xml:space="preserve"> </w:t>
      </w:r>
    </w:p>
    <w:p w:rsidR="000551DD" w:rsidRPr="007345E5" w:rsidP="0076298D" w14:paraId="71029A3E" w14:textId="54B5A776">
      <w:pPr>
        <w:pStyle w:val="ParaNum"/>
      </w:pPr>
      <w:r w:rsidRPr="007345E5">
        <w:t>Petitioner</w:t>
      </w:r>
      <w:r w:rsidRPr="007345E5" w:rsidR="00066FEE">
        <w:t xml:space="preserve">s are </w:t>
      </w:r>
      <w:r w:rsidR="009745FA">
        <w:t>international</w:t>
      </w:r>
      <w:r w:rsidRPr="007345E5" w:rsidR="009745FA">
        <w:t xml:space="preserve"> </w:t>
      </w:r>
      <w:r w:rsidRPr="007345E5" w:rsidR="00F521F2">
        <w:t xml:space="preserve">satellite operators with </w:t>
      </w:r>
      <w:r w:rsidRPr="007345E5" w:rsidR="00C03D8E">
        <w:t>Commission</w:t>
      </w:r>
      <w:r w:rsidRPr="007345E5" w:rsidR="00F521F2">
        <w:t xml:space="preserve"> authorizations </w:t>
      </w:r>
      <w:r w:rsidRPr="007345E5" w:rsidR="00C03D8E">
        <w:t xml:space="preserve">for </w:t>
      </w:r>
      <w:r w:rsidR="00E34DB8">
        <w:t>C-</w:t>
      </w:r>
      <w:r w:rsidR="00232675">
        <w:t>b</w:t>
      </w:r>
      <w:r w:rsidR="00E34DB8">
        <w:t xml:space="preserve">and </w:t>
      </w:r>
      <w:r w:rsidRPr="007345E5" w:rsidR="00C03D8E">
        <w:t>use</w:t>
      </w:r>
      <w:r w:rsidRPr="007345E5" w:rsidR="00F521F2">
        <w:t>.</w:t>
      </w:r>
      <w:r>
        <w:rPr>
          <w:rStyle w:val="FootnoteReference"/>
        </w:rPr>
        <w:footnoteReference w:id="19"/>
      </w:r>
      <w:r w:rsidRPr="007345E5" w:rsidR="00C03D8E">
        <w:t xml:space="preserve"> </w:t>
      </w:r>
      <w:r w:rsidRPr="007345E5" w:rsidR="00A831C1">
        <w:t xml:space="preserve">Petitioners are ineligible for relocation </w:t>
      </w:r>
      <w:r w:rsidR="00166483">
        <w:t xml:space="preserve">and accelerated relocation </w:t>
      </w:r>
      <w:r w:rsidRPr="007345E5" w:rsidR="00A831C1">
        <w:t>payments because they have no existing</w:t>
      </w:r>
      <w:r w:rsidR="00DB3EEE">
        <w:t xml:space="preserve"> </w:t>
      </w:r>
      <w:r w:rsidRPr="007345E5" w:rsidR="00A831C1">
        <w:t>operations to clear</w:t>
      </w:r>
      <w:r w:rsidRPr="007345E5" w:rsidR="0076298D">
        <w:t>: the record reflect</w:t>
      </w:r>
      <w:r w:rsidR="00B8432B">
        <w:t>s</w:t>
      </w:r>
      <w:r w:rsidRPr="007345E5" w:rsidR="0076298D">
        <w:t xml:space="preserve"> that Petitioners </w:t>
      </w:r>
      <w:r w:rsidR="00232675">
        <w:t>do not provide any</w:t>
      </w:r>
      <w:r w:rsidRPr="00232675" w:rsidR="00232675">
        <w:t xml:space="preserve"> service</w:t>
      </w:r>
      <w:r w:rsidR="00232675">
        <w:t>s</w:t>
      </w:r>
      <w:r w:rsidRPr="00232675" w:rsidR="00232675">
        <w:t xml:space="preserve"> via C-band satellite transmission to incumbent earth stations in the contiguous United States</w:t>
      </w:r>
      <w:r w:rsidRPr="007345E5" w:rsidR="00A831C1">
        <w:t>.</w:t>
      </w:r>
      <w:r>
        <w:rPr>
          <w:rStyle w:val="FootnoteReference"/>
        </w:rPr>
        <w:footnoteReference w:id="20"/>
      </w:r>
      <w:r w:rsidRPr="007345E5" w:rsidR="00A831C1">
        <w:t xml:space="preserve"> </w:t>
      </w:r>
      <w:r w:rsidR="00232675">
        <w:t xml:space="preserve"> </w:t>
      </w:r>
      <w:r w:rsidRPr="007345E5" w:rsidR="008E2FA6">
        <w:rPr>
          <w:color w:val="000000"/>
        </w:rPr>
        <w:t xml:space="preserve">The purpose </w:t>
      </w:r>
      <w:r w:rsidRPr="007345E5" w:rsidR="008E2FA6">
        <w:t xml:space="preserve">of </w:t>
      </w:r>
      <w:r w:rsidR="00166483">
        <w:t>such</w:t>
      </w:r>
      <w:r w:rsidRPr="007345E5" w:rsidR="00166483">
        <w:t xml:space="preserve"> </w:t>
      </w:r>
      <w:r w:rsidRPr="007345E5" w:rsidR="008E2FA6">
        <w:t xml:space="preserve">payments is to compensate satellite operators “that provide C-band services to </w:t>
      </w:r>
      <w:r w:rsidRPr="007345E5" w:rsidR="008E2FA6">
        <w:rPr>
          <w:i/>
          <w:iCs/>
        </w:rPr>
        <w:t xml:space="preserve">existing </w:t>
      </w:r>
      <w:r w:rsidRPr="007345E5" w:rsidR="008E2FA6">
        <w:t xml:space="preserve">U.S. customers using </w:t>
      </w:r>
      <w:r w:rsidRPr="007345E5" w:rsidR="008E2FA6">
        <w:rPr>
          <w:i/>
          <w:iCs/>
        </w:rPr>
        <w:t xml:space="preserve">incumbent </w:t>
      </w:r>
      <w:r w:rsidRPr="007345E5" w:rsidR="008E2FA6">
        <w:t>U.S. earth stations that will need to be transitioned to the upper portion of the band or otherwise accommodated in order to avoid harmful interference from new flexible-use operations.”</w:t>
      </w:r>
      <w:r>
        <w:rPr>
          <w:rStyle w:val="FootnoteReference"/>
        </w:rPr>
        <w:footnoteReference w:id="21"/>
      </w:r>
      <w:r w:rsidRPr="007345E5" w:rsidR="008E2FA6">
        <w:t xml:space="preserve"> </w:t>
      </w:r>
      <w:r w:rsidR="00232675">
        <w:t xml:space="preserve"> </w:t>
      </w:r>
      <w:r w:rsidRPr="007345E5">
        <w:t>Petitioner</w:t>
      </w:r>
      <w:r w:rsidRPr="007345E5">
        <w:t>s</w:t>
      </w:r>
      <w:r w:rsidRPr="007345E5" w:rsidR="00C023FD">
        <w:t xml:space="preserve"> </w:t>
      </w:r>
      <w:r w:rsidRPr="007345E5" w:rsidR="007445A7">
        <w:t>argued that they should be</w:t>
      </w:r>
      <w:r w:rsidRPr="007345E5" w:rsidR="00C023FD">
        <w:t xml:space="preserve"> compensat</w:t>
      </w:r>
      <w:r w:rsidRPr="007345E5" w:rsidR="007445A7">
        <w:t>ed</w:t>
      </w:r>
      <w:r w:rsidRPr="007345E5" w:rsidR="00C023FD">
        <w:t xml:space="preserve"> for the value of </w:t>
      </w:r>
      <w:r w:rsidR="00DB3EEE">
        <w:t>future</w:t>
      </w:r>
      <w:r w:rsidRPr="007345E5" w:rsidR="00C023FD">
        <w:t xml:space="preserve"> business opportunities.</w:t>
      </w:r>
      <w:r>
        <w:rPr>
          <w:rStyle w:val="FootnoteReference"/>
        </w:rPr>
        <w:footnoteReference w:id="22"/>
      </w:r>
      <w:r w:rsidRPr="007345E5" w:rsidR="007445A7">
        <w:t xml:space="preserve"> </w:t>
      </w:r>
      <w:r w:rsidR="00232675">
        <w:t xml:space="preserve"> </w:t>
      </w:r>
      <w:r w:rsidRPr="007345E5" w:rsidR="007445A7">
        <w:t>T</w:t>
      </w:r>
      <w:r w:rsidRPr="007345E5" w:rsidR="00C023FD">
        <w:t>he Commission</w:t>
      </w:r>
      <w:r w:rsidRPr="007345E5">
        <w:t xml:space="preserve">, however, found </w:t>
      </w:r>
      <w:r w:rsidRPr="007345E5" w:rsidR="00C023FD">
        <w:t xml:space="preserve">that </w:t>
      </w:r>
      <w:r w:rsidRPr="007345E5" w:rsidR="007445A7">
        <w:t xml:space="preserve">satellite operators </w:t>
      </w:r>
      <w:r w:rsidRPr="007345E5" w:rsidR="007445A7">
        <w:rPr>
          <w:color w:val="000000"/>
        </w:rPr>
        <w:t xml:space="preserve">“will be able not only to maintain their current level of service after the transition, but to potentially serve new clients by employing point technology and adopting other network efficiencies,” and that compensating </w:t>
      </w:r>
      <w:r w:rsidRPr="007345E5">
        <w:rPr>
          <w:color w:val="000000"/>
        </w:rPr>
        <w:t>them</w:t>
      </w:r>
      <w:r w:rsidRPr="007345E5" w:rsidR="007445A7">
        <w:rPr>
          <w:color w:val="000000"/>
        </w:rPr>
        <w:t xml:space="preserve"> for speculative claims of future loss </w:t>
      </w:r>
      <w:r w:rsidRPr="007345E5">
        <w:rPr>
          <w:color w:val="000000"/>
        </w:rPr>
        <w:t>would not serve the public interest.</w:t>
      </w:r>
      <w:r>
        <w:rPr>
          <w:rStyle w:val="FootnoteReference"/>
        </w:rPr>
        <w:footnoteReference w:id="23"/>
      </w:r>
      <w:r w:rsidRPr="007345E5" w:rsidR="008E2FA6">
        <w:t xml:space="preserve"> </w:t>
      </w:r>
    </w:p>
    <w:p w:rsidR="00325670" w:rsidRPr="007345E5" w:rsidP="000551DD" w14:paraId="59093194" w14:textId="48C75B1C">
      <w:pPr>
        <w:pStyle w:val="ParaNum"/>
      </w:pPr>
      <w:r w:rsidRPr="007345E5">
        <w:t xml:space="preserve">In their Stay Petition, </w:t>
      </w:r>
      <w:r w:rsidRPr="007345E5" w:rsidR="000551DD">
        <w:t xml:space="preserve">Petitioners </w:t>
      </w:r>
      <w:r w:rsidRPr="007345E5" w:rsidR="001E0A6A">
        <w:t xml:space="preserve">argue that </w:t>
      </w:r>
      <w:r w:rsidRPr="007345E5">
        <w:t xml:space="preserve">the </w:t>
      </w:r>
      <w:r w:rsidR="00232675">
        <w:rPr>
          <w:i/>
          <w:iCs/>
        </w:rPr>
        <w:t xml:space="preserve">3.7 GHz Report and </w:t>
      </w:r>
      <w:r w:rsidRPr="007345E5">
        <w:rPr>
          <w:i/>
          <w:iCs/>
        </w:rPr>
        <w:t>Order</w:t>
      </w:r>
      <w:r w:rsidRPr="007345E5" w:rsidR="001E0A6A">
        <w:t xml:space="preserve"> </w:t>
      </w:r>
      <w:r w:rsidR="00B42B61">
        <w:t>will trigger</w:t>
      </w:r>
      <w:r w:rsidRPr="007345E5" w:rsidR="001E0A6A">
        <w:t xml:space="preserve"> a chain of events</w:t>
      </w:r>
      <w:r w:rsidR="006315C5">
        <w:t>—</w:t>
      </w:r>
      <w:r w:rsidRPr="007345E5" w:rsidR="003F3B7E">
        <w:t xml:space="preserve">beginning </w:t>
      </w:r>
      <w:r w:rsidRPr="007345E5" w:rsidR="001E0A6A">
        <w:t xml:space="preserve">with the </w:t>
      </w:r>
      <w:r w:rsidR="001436ED">
        <w:t xml:space="preserve">May 29, 2020 election by </w:t>
      </w:r>
      <w:r w:rsidRPr="007345E5">
        <w:t xml:space="preserve">eligible </w:t>
      </w:r>
      <w:r w:rsidR="006315C5">
        <w:t>space station</w:t>
      </w:r>
      <w:r w:rsidRPr="007345E5" w:rsidR="006315C5">
        <w:t xml:space="preserve"> </w:t>
      </w:r>
      <w:r w:rsidRPr="007345E5">
        <w:t xml:space="preserve">operators </w:t>
      </w:r>
      <w:r w:rsidRPr="007345E5" w:rsidR="001436ED">
        <w:t xml:space="preserve">to relocate </w:t>
      </w:r>
      <w:r w:rsidR="001436ED">
        <w:t xml:space="preserve">on </w:t>
      </w:r>
      <w:r w:rsidRPr="007345E5">
        <w:t xml:space="preserve">an </w:t>
      </w:r>
      <w:r w:rsidRPr="007345E5" w:rsidR="000551DD">
        <w:t xml:space="preserve">accelerated </w:t>
      </w:r>
      <w:r w:rsidRPr="007345E5">
        <w:t>basis</w:t>
      </w:r>
      <w:r>
        <w:rPr>
          <w:rStyle w:val="FootnoteReference"/>
        </w:rPr>
        <w:footnoteReference w:id="24"/>
      </w:r>
      <w:r w:rsidR="006315C5">
        <w:t>—</w:t>
      </w:r>
      <w:r w:rsidRPr="007345E5" w:rsidR="003F3B7E">
        <w:t xml:space="preserve">that </w:t>
      </w:r>
      <w:r w:rsidRPr="007345E5" w:rsidR="001E0A6A">
        <w:t xml:space="preserve">may be irreversible and </w:t>
      </w:r>
      <w:r w:rsidR="00F20A48">
        <w:t xml:space="preserve">that </w:t>
      </w:r>
      <w:r w:rsidRPr="007345E5" w:rsidR="001E0A6A">
        <w:t xml:space="preserve">will harm them by </w:t>
      </w:r>
      <w:r w:rsidRPr="007345E5" w:rsidR="003B5C6D">
        <w:t>benefiting competi</w:t>
      </w:r>
      <w:r w:rsidRPr="007345E5" w:rsidR="003F3B7E">
        <w:t xml:space="preserve">ng </w:t>
      </w:r>
      <w:r w:rsidR="006315C5">
        <w:t>space station</w:t>
      </w:r>
      <w:r w:rsidRPr="007345E5" w:rsidR="006315C5">
        <w:t xml:space="preserve"> </w:t>
      </w:r>
      <w:r w:rsidRPr="007345E5" w:rsidR="003F3B7E">
        <w:t xml:space="preserve">operators that are eligible for </w:t>
      </w:r>
      <w:r w:rsidR="00DB3EEE">
        <w:t xml:space="preserve">relocation </w:t>
      </w:r>
      <w:r w:rsidR="00337DDD">
        <w:t>and accelerated relocation</w:t>
      </w:r>
      <w:r w:rsidR="00F3693F">
        <w:t xml:space="preserve"> </w:t>
      </w:r>
      <w:r w:rsidRPr="007345E5" w:rsidR="003F3B7E">
        <w:t>payments</w:t>
      </w:r>
      <w:r w:rsidRPr="007345E5" w:rsidR="003B5C6D">
        <w:t xml:space="preserve"> and</w:t>
      </w:r>
      <w:r w:rsidRPr="007345E5" w:rsidR="003F3B7E">
        <w:t xml:space="preserve"> </w:t>
      </w:r>
      <w:r w:rsidRPr="007345E5" w:rsidR="001E0A6A">
        <w:t>depriving them of spectrum</w:t>
      </w:r>
      <w:r w:rsidRPr="007345E5" w:rsidR="003F3B7E">
        <w:t xml:space="preserve"> access</w:t>
      </w:r>
      <w:r w:rsidRPr="007345E5" w:rsidR="001E0A6A">
        <w:t xml:space="preserve"> rights</w:t>
      </w:r>
      <w:r w:rsidRPr="007345E5" w:rsidR="000551DD">
        <w:t xml:space="preserve"> without compensation</w:t>
      </w:r>
      <w:r w:rsidRPr="007345E5" w:rsidR="003B5C6D">
        <w:t xml:space="preserve">. </w:t>
      </w:r>
      <w:r w:rsidR="006315C5">
        <w:t xml:space="preserve"> </w:t>
      </w:r>
      <w:r w:rsidRPr="007345E5" w:rsidR="003B5C6D">
        <w:t xml:space="preserve">On the merits, </w:t>
      </w:r>
      <w:r w:rsidR="00DB3EEE">
        <w:t>they</w:t>
      </w:r>
      <w:r w:rsidRPr="007345E5" w:rsidR="003B5C6D">
        <w:t xml:space="preserve"> argue that </w:t>
      </w:r>
      <w:r w:rsidRPr="007345E5" w:rsidR="00461FBF">
        <w:t>the Commission</w:t>
      </w:r>
      <w:r w:rsidRPr="007345E5" w:rsidR="003B5C6D">
        <w:t xml:space="preserve"> exceed</w:t>
      </w:r>
      <w:r w:rsidRPr="007345E5" w:rsidR="00461FBF">
        <w:t>ed</w:t>
      </w:r>
      <w:r w:rsidRPr="007345E5" w:rsidR="003B5C6D">
        <w:t xml:space="preserve"> </w:t>
      </w:r>
      <w:r w:rsidRPr="007345E5" w:rsidR="00461FBF">
        <w:t>its</w:t>
      </w:r>
      <w:r w:rsidRPr="007345E5" w:rsidR="003B5C6D">
        <w:t xml:space="preserve"> authorit</w:t>
      </w:r>
      <w:r w:rsidRPr="007345E5" w:rsidR="000551DD">
        <w:t>y</w:t>
      </w:r>
      <w:r w:rsidRPr="007345E5" w:rsidR="003F3B7E">
        <w:t xml:space="preserve"> to modify their spectrum access rights</w:t>
      </w:r>
      <w:r w:rsidRPr="007345E5" w:rsidR="003B5C6D">
        <w:t>,</w:t>
      </w:r>
      <w:r w:rsidRPr="007345E5" w:rsidR="003F3B7E">
        <w:t xml:space="preserve"> </w:t>
      </w:r>
      <w:r w:rsidR="00B42B61">
        <w:t>allocated</w:t>
      </w:r>
      <w:r w:rsidRPr="007345E5" w:rsidR="003B5C6D">
        <w:t xml:space="preserve"> too much money </w:t>
      </w:r>
      <w:r w:rsidRPr="007345E5" w:rsidR="000551DD">
        <w:t xml:space="preserve">available </w:t>
      </w:r>
      <w:r w:rsidR="00E117D0">
        <w:t>to certain space station incumbents in the form of</w:t>
      </w:r>
      <w:r w:rsidR="00AB59FA">
        <w:t xml:space="preserve"> </w:t>
      </w:r>
      <w:r w:rsidR="006315C5">
        <w:t>accelerated relocation</w:t>
      </w:r>
      <w:r w:rsidRPr="007345E5" w:rsidR="006315C5">
        <w:t xml:space="preserve"> </w:t>
      </w:r>
      <w:r w:rsidRPr="007345E5" w:rsidR="000551DD">
        <w:t>payments</w:t>
      </w:r>
      <w:r w:rsidRPr="007345E5" w:rsidR="003F3B7E">
        <w:t xml:space="preserve"> and reimbursement of relocation </w:t>
      </w:r>
      <w:r w:rsidRPr="007345E5" w:rsidR="00461FBF">
        <w:t xml:space="preserve">costs </w:t>
      </w:r>
      <w:r w:rsidRPr="007345E5" w:rsidR="003F3B7E">
        <w:t xml:space="preserve">associated with </w:t>
      </w:r>
      <w:r w:rsidRPr="007345E5" w:rsidR="00461FBF">
        <w:t>new satellites</w:t>
      </w:r>
      <w:r w:rsidRPr="007345E5" w:rsidR="003B5C6D">
        <w:t xml:space="preserve">, and arbitrarily </w:t>
      </w:r>
      <w:r w:rsidRPr="007345E5" w:rsidR="003F3B7E">
        <w:t>excluded</w:t>
      </w:r>
      <w:r w:rsidRPr="007345E5" w:rsidR="003B5C6D">
        <w:t xml:space="preserve"> </w:t>
      </w:r>
      <w:r w:rsidRPr="007345E5" w:rsidR="003F3B7E">
        <w:t xml:space="preserve">Petitioners from </w:t>
      </w:r>
      <w:r w:rsidR="00B42B61">
        <w:t>receiving any</w:t>
      </w:r>
      <w:r w:rsidR="00DB3EEE">
        <w:t xml:space="preserve"> </w:t>
      </w:r>
      <w:r w:rsidR="006315C5">
        <w:t>relocation</w:t>
      </w:r>
      <w:r w:rsidR="004730AB">
        <w:t xml:space="preserve"> p</w:t>
      </w:r>
      <w:r w:rsidRPr="007345E5" w:rsidR="003F3B7E">
        <w:t>ayment</w:t>
      </w:r>
      <w:r w:rsidR="00B42B61">
        <w:t>s</w:t>
      </w:r>
      <w:r w:rsidRPr="007345E5" w:rsidR="000551DD">
        <w:t>.</w:t>
      </w:r>
      <w:r w:rsidR="00E96649">
        <w:t xml:space="preserve"> </w:t>
      </w:r>
      <w:r w:rsidRPr="007345E5" w:rsidR="00E96649">
        <w:t xml:space="preserve"> </w:t>
      </w:r>
      <w:r w:rsidR="00E96649">
        <w:t xml:space="preserve">Comments were filed on May 27, 2020, and replies </w:t>
      </w:r>
      <w:r w:rsidR="007B241E">
        <w:t xml:space="preserve">were filed </w:t>
      </w:r>
      <w:r w:rsidR="00E96649">
        <w:t>on June 1, 2020.</w:t>
      </w:r>
      <w:r w:rsidRPr="007345E5" w:rsidR="003B5C6D">
        <w:t xml:space="preserve">    </w:t>
      </w:r>
      <w:r w:rsidRPr="007345E5" w:rsidR="001E0A6A">
        <w:t xml:space="preserve">   </w:t>
      </w:r>
      <w:r w:rsidRPr="007345E5" w:rsidR="00C03D8E">
        <w:t xml:space="preserve"> </w:t>
      </w:r>
    </w:p>
    <w:p w:rsidR="00325670" w:rsidRPr="007345E5" w:rsidP="00325670" w14:paraId="50BFE1CB" w14:textId="77777777">
      <w:pPr>
        <w:pStyle w:val="Heading1"/>
        <w:rPr>
          <w:rFonts w:ascii="Times New Roman" w:hAnsi="Times New Roman"/>
        </w:rPr>
      </w:pPr>
      <w:bookmarkStart w:id="6" w:name="_Toc42600715"/>
      <w:r w:rsidRPr="007345E5">
        <w:rPr>
          <w:rFonts w:ascii="Times New Roman" w:hAnsi="Times New Roman"/>
        </w:rPr>
        <w:t>Discussion</w:t>
      </w:r>
      <w:bookmarkEnd w:id="6"/>
    </w:p>
    <w:p w:rsidR="00A0781F" w:rsidRPr="007345E5" w:rsidP="00A0781F" w14:paraId="57E503D5" w14:textId="6C57201E">
      <w:pPr>
        <w:pStyle w:val="ParaNum"/>
        <w:rPr>
          <w:szCs w:val="22"/>
        </w:rPr>
      </w:pPr>
      <w:r w:rsidRPr="007345E5">
        <w:rPr>
          <w:color w:val="000000"/>
          <w:szCs w:val="22"/>
        </w:rPr>
        <w:t xml:space="preserve">In determining whether to stay the effectiveness of one of its </w:t>
      </w:r>
      <w:r w:rsidR="004B1FD8">
        <w:rPr>
          <w:color w:val="000000"/>
          <w:szCs w:val="22"/>
        </w:rPr>
        <w:t>o</w:t>
      </w:r>
      <w:r w:rsidRPr="007345E5">
        <w:rPr>
          <w:color w:val="000000"/>
          <w:szCs w:val="22"/>
        </w:rPr>
        <w:t>rders, the Commission applies the traditional four-factor test</w:t>
      </w:r>
      <w:r w:rsidRPr="007345E5" w:rsidR="0026143B">
        <w:rPr>
          <w:color w:val="000000"/>
          <w:szCs w:val="22"/>
        </w:rPr>
        <w:t xml:space="preserve">, under which the party requesting a stay </w:t>
      </w:r>
      <w:r w:rsidRPr="007345E5">
        <w:rPr>
          <w:color w:val="000000"/>
          <w:szCs w:val="22"/>
        </w:rPr>
        <w:t xml:space="preserve">must show that: </w:t>
      </w:r>
      <w:r w:rsidR="00E96649">
        <w:rPr>
          <w:color w:val="000000"/>
          <w:szCs w:val="22"/>
        </w:rPr>
        <w:t xml:space="preserve"> </w:t>
      </w:r>
      <w:r w:rsidRPr="007345E5">
        <w:rPr>
          <w:color w:val="000000"/>
          <w:szCs w:val="22"/>
        </w:rPr>
        <w:t>(1)</w:t>
      </w:r>
      <w:r w:rsidRPr="007345E5" w:rsidR="0026143B">
        <w:rPr>
          <w:color w:val="000000"/>
          <w:szCs w:val="22"/>
        </w:rPr>
        <w:t xml:space="preserve"> it is</w:t>
      </w:r>
      <w:r w:rsidRPr="007345E5">
        <w:rPr>
          <w:color w:val="000000"/>
          <w:szCs w:val="22"/>
        </w:rPr>
        <w:t xml:space="preserve"> likely to prevail on the merits; (2) </w:t>
      </w:r>
      <w:r w:rsidRPr="007345E5" w:rsidR="0026143B">
        <w:rPr>
          <w:color w:val="000000"/>
          <w:szCs w:val="22"/>
        </w:rPr>
        <w:t>it</w:t>
      </w:r>
      <w:r w:rsidRPr="007345E5">
        <w:rPr>
          <w:color w:val="000000"/>
          <w:szCs w:val="22"/>
        </w:rPr>
        <w:t xml:space="preserve"> will suffer irreparable harm absent the grant of preliminary relief; (3) other parties will not be harmed if the stay is granted; and (4) the public interest would favor grant of the </w:t>
      </w:r>
      <w:r w:rsidRPr="007345E5">
        <w:rPr>
          <w:color w:val="000000"/>
          <w:szCs w:val="22"/>
        </w:rPr>
        <w:t>stay.</w:t>
      </w:r>
      <w:r>
        <w:rPr>
          <w:rStyle w:val="FootnoteReference"/>
          <w:sz w:val="22"/>
          <w:szCs w:val="22"/>
        </w:rPr>
        <w:footnoteReference w:id="25"/>
      </w:r>
      <w:r w:rsidRPr="007345E5" w:rsidR="00325670">
        <w:rPr>
          <w:szCs w:val="22"/>
        </w:rPr>
        <w:t xml:space="preserve"> </w:t>
      </w:r>
      <w:r w:rsidR="006315C5">
        <w:rPr>
          <w:szCs w:val="22"/>
        </w:rPr>
        <w:t xml:space="preserve"> </w:t>
      </w:r>
      <w:r w:rsidRPr="007345E5">
        <w:t>“A stay is an ‘intrusion into the ordinary processes of administration and judicial review,’ … and accordingly ‘is not a matter of right, even if irreparable injury might otherwise result</w:t>
      </w:r>
      <w:r w:rsidRPr="007345E5" w:rsidR="0026143B">
        <w:t>’”</w:t>
      </w:r>
      <w:r w:rsidRPr="007345E5">
        <w:t xml:space="preserve"> to the </w:t>
      </w:r>
      <w:r w:rsidRPr="007345E5" w:rsidR="0026143B">
        <w:t>mov</w:t>
      </w:r>
      <w:r w:rsidRPr="007345E5">
        <w:t>ant.</w:t>
      </w:r>
      <w:r>
        <w:rPr>
          <w:rStyle w:val="FootnoteReference"/>
        </w:rPr>
        <w:footnoteReference w:id="26"/>
      </w:r>
      <w:r w:rsidRPr="007345E5" w:rsidR="00B95AB9">
        <w:t xml:space="preserve"> </w:t>
      </w:r>
      <w:r w:rsidR="006315C5">
        <w:t xml:space="preserve"> </w:t>
      </w:r>
      <w:r w:rsidRPr="007345E5">
        <w:t>“The party requesting a stay bears the burden of showing that the circumstances justify an exercise of that discretion.”</w:t>
      </w:r>
      <w:r>
        <w:rPr>
          <w:rStyle w:val="FootnoteReference"/>
        </w:rPr>
        <w:footnoteReference w:id="27"/>
      </w:r>
      <w:r w:rsidR="006315C5">
        <w:t xml:space="preserve"> </w:t>
      </w:r>
      <w:r w:rsidRPr="007345E5" w:rsidR="001670B6">
        <w:t xml:space="preserve"> </w:t>
      </w:r>
      <w:r w:rsidRPr="007345E5" w:rsidR="0026143B">
        <w:rPr>
          <w:color w:val="000000"/>
          <w:szCs w:val="22"/>
        </w:rPr>
        <w:t>P</w:t>
      </w:r>
      <w:r w:rsidRPr="007345E5">
        <w:rPr>
          <w:color w:val="000000"/>
          <w:szCs w:val="22"/>
        </w:rPr>
        <w:t xml:space="preserve">etitioners have failed to </w:t>
      </w:r>
      <w:r w:rsidRPr="007345E5" w:rsidR="001670B6">
        <w:rPr>
          <w:color w:val="000000"/>
          <w:szCs w:val="22"/>
        </w:rPr>
        <w:t>make the required showing</w:t>
      </w:r>
      <w:r w:rsidRPr="007345E5">
        <w:rPr>
          <w:color w:val="000000"/>
          <w:szCs w:val="22"/>
        </w:rPr>
        <w:t xml:space="preserve"> for this extraordinary equitable relief.</w:t>
      </w:r>
    </w:p>
    <w:p w:rsidR="00A0781F" w:rsidRPr="007345E5" w:rsidP="00A0781F" w14:paraId="316D7F4A" w14:textId="73FDBBD4">
      <w:pPr>
        <w:pStyle w:val="Heading2"/>
      </w:pPr>
      <w:bookmarkStart w:id="7" w:name="_Toc42600716"/>
      <w:r w:rsidRPr="007345E5">
        <w:t>Petitioners Have Not Shown That They Will Suffer Irreparable Harm.</w:t>
      </w:r>
      <w:bookmarkEnd w:id="7"/>
    </w:p>
    <w:p w:rsidR="004257A9" w:rsidRPr="007345E5" w:rsidP="00F87CA7" w14:paraId="00C23E9B" w14:textId="00E3AF63">
      <w:pPr>
        <w:pStyle w:val="ParaNum"/>
        <w:rPr>
          <w:szCs w:val="22"/>
        </w:rPr>
      </w:pPr>
      <w:r w:rsidRPr="007345E5">
        <w:t>T</w:t>
      </w:r>
      <w:r w:rsidR="00C612B2">
        <w:t xml:space="preserve">o establish irreparable harm, a moving party must show that it will suffer injury that is </w:t>
      </w:r>
      <w:r w:rsidRPr="007345E5">
        <w:t xml:space="preserve">“‘both certain and great,’ ‘actual and not theoretical,’ ‘beyond remediation,’ and ‘of such </w:t>
      </w:r>
      <w:r w:rsidRPr="007345E5">
        <w:rPr>
          <w:i/>
          <w:iCs/>
        </w:rPr>
        <w:t>imminence</w:t>
      </w:r>
      <w:r w:rsidRPr="007345E5">
        <w:t xml:space="preserve"> that there is a present need for equitable relief to prevent irreparable harm.’”</w:t>
      </w:r>
      <w:r>
        <w:rPr>
          <w:rStyle w:val="FootnoteReference"/>
        </w:rPr>
        <w:footnoteReference w:id="28"/>
      </w:r>
      <w:r w:rsidRPr="007345E5">
        <w:t xml:space="preserve"> </w:t>
      </w:r>
      <w:r w:rsidR="006315C5">
        <w:t xml:space="preserve"> </w:t>
      </w:r>
      <w:r w:rsidRPr="007345E5" w:rsidR="001A1FC7">
        <w:t>The harm that Petitioners alleg</w:t>
      </w:r>
      <w:r w:rsidR="001A1FC7">
        <w:t>e</w:t>
      </w:r>
      <w:r w:rsidRPr="007345E5" w:rsidR="001A1FC7">
        <w:t xml:space="preserve"> is </w:t>
      </w:r>
      <w:r w:rsidR="001A1FC7">
        <w:t>not imminent</w:t>
      </w:r>
      <w:r w:rsidR="00D02C3E">
        <w:t xml:space="preserve">, is conjectural, </w:t>
      </w:r>
      <w:r w:rsidR="001A1FC7">
        <w:t xml:space="preserve">and consists of economic </w:t>
      </w:r>
      <w:r w:rsidR="00D02C3E">
        <w:t>injurie</w:t>
      </w:r>
      <w:r w:rsidR="001A1FC7">
        <w:t xml:space="preserve">s that are </w:t>
      </w:r>
      <w:r w:rsidRPr="007345E5" w:rsidR="001A1FC7">
        <w:t xml:space="preserve">not severe enough to be cognizable as irreparable </w:t>
      </w:r>
      <w:r w:rsidR="00D02C3E">
        <w:t>harm</w:t>
      </w:r>
      <w:r w:rsidRPr="007345E5" w:rsidR="001A1FC7">
        <w:t>.</w:t>
      </w:r>
    </w:p>
    <w:p w:rsidR="00C612B2" w:rsidRPr="001F472B" w:rsidP="001F472B" w14:paraId="6F033D1D" w14:textId="2752D126">
      <w:pPr>
        <w:pStyle w:val="ParaNum"/>
        <w:rPr>
          <w:szCs w:val="22"/>
        </w:rPr>
      </w:pPr>
      <w:r w:rsidRPr="007345E5">
        <w:rPr>
          <w:i/>
          <w:iCs/>
        </w:rPr>
        <w:t>First</w:t>
      </w:r>
      <w:r w:rsidRPr="007345E5">
        <w:t xml:space="preserve">, </w:t>
      </w:r>
      <w:r w:rsidRPr="007345E5">
        <w:rPr>
          <w:snapToGrid/>
          <w:kern w:val="0"/>
          <w:szCs w:val="22"/>
        </w:rPr>
        <w:t>the harm that Petitioners allege is r</w:t>
      </w:r>
      <w:r>
        <w:rPr>
          <w:snapToGrid/>
          <w:kern w:val="0"/>
          <w:szCs w:val="22"/>
        </w:rPr>
        <w:t>emote rather than imminent</w:t>
      </w:r>
      <w:r w:rsidRPr="007345E5">
        <w:rPr>
          <w:snapToGrid/>
          <w:kern w:val="0"/>
          <w:szCs w:val="22"/>
        </w:rPr>
        <w:t>.</w:t>
      </w:r>
      <w:r>
        <w:rPr>
          <w:rStyle w:val="FootnoteReference"/>
          <w:szCs w:val="22"/>
        </w:rPr>
        <w:footnoteReference w:id="29"/>
      </w:r>
      <w:r>
        <w:rPr>
          <w:snapToGrid/>
          <w:kern w:val="0"/>
          <w:szCs w:val="22"/>
        </w:rPr>
        <w:t xml:space="preserve"> </w:t>
      </w:r>
      <w:r w:rsidR="006315C5">
        <w:rPr>
          <w:snapToGrid/>
          <w:kern w:val="0"/>
          <w:szCs w:val="22"/>
        </w:rPr>
        <w:t xml:space="preserve"> </w:t>
      </w:r>
      <w:r>
        <w:t xml:space="preserve">The </w:t>
      </w:r>
      <w:r w:rsidR="006315C5">
        <w:rPr>
          <w:i/>
          <w:iCs/>
        </w:rPr>
        <w:t xml:space="preserve">3.7 GHz Report and </w:t>
      </w:r>
      <w:r w:rsidRPr="00C612B2">
        <w:rPr>
          <w:i/>
          <w:iCs/>
        </w:rPr>
        <w:t>Order</w:t>
      </w:r>
      <w:r>
        <w:t xml:space="preserve"> will not have any direct impact on Petitioners </w:t>
      </w:r>
      <w:r w:rsidR="005D01FD">
        <w:t xml:space="preserve">before the </w:t>
      </w:r>
      <w:r w:rsidR="006315C5">
        <w:t xml:space="preserve">Final Relocation Deadline </w:t>
      </w:r>
      <w:r w:rsidR="005D01FD">
        <w:t>of December 5, 2025</w:t>
      </w:r>
      <w:r w:rsidRPr="007345E5">
        <w:t>.</w:t>
      </w:r>
      <w:r>
        <w:rPr>
          <w:rStyle w:val="FootnoteReference"/>
        </w:rPr>
        <w:footnoteReference w:id="30"/>
      </w:r>
      <w:r w:rsidRPr="007345E5">
        <w:rPr>
          <w:szCs w:val="22"/>
        </w:rPr>
        <w:t xml:space="preserve"> </w:t>
      </w:r>
      <w:bookmarkStart w:id="8" w:name="_Hlk42159852"/>
      <w:r w:rsidR="006315C5">
        <w:rPr>
          <w:szCs w:val="22"/>
        </w:rPr>
        <w:t xml:space="preserve"> </w:t>
      </w:r>
      <w:r w:rsidRPr="007345E5">
        <w:t xml:space="preserve">Petitioners allege </w:t>
      </w:r>
      <w:r w:rsidR="005D01FD">
        <w:t xml:space="preserve">that they will be </w:t>
      </w:r>
      <w:r w:rsidRPr="007345E5">
        <w:t>harm</w:t>
      </w:r>
      <w:r w:rsidR="005D01FD">
        <w:t>ed</w:t>
      </w:r>
      <w:r w:rsidRPr="007345E5">
        <w:t xml:space="preserve"> </w:t>
      </w:r>
      <w:r w:rsidR="005D01FD">
        <w:t>indirectly by</w:t>
      </w:r>
      <w:r w:rsidRPr="007345E5">
        <w:t xml:space="preserve"> </w:t>
      </w:r>
      <w:r w:rsidR="006315C5">
        <w:t>accelerated relocation</w:t>
      </w:r>
      <w:r w:rsidRPr="007345E5" w:rsidR="006315C5">
        <w:t xml:space="preserve"> </w:t>
      </w:r>
      <w:r w:rsidRPr="007345E5">
        <w:t xml:space="preserve">payments </w:t>
      </w:r>
      <w:r w:rsidR="005D01FD">
        <w:t xml:space="preserve">to competing </w:t>
      </w:r>
      <w:r w:rsidR="006315C5">
        <w:t xml:space="preserve">space station </w:t>
      </w:r>
      <w:r w:rsidR="005D01FD">
        <w:t xml:space="preserve">operators, </w:t>
      </w:r>
      <w:r w:rsidRPr="007345E5">
        <w:t xml:space="preserve">and </w:t>
      </w:r>
      <w:r w:rsidR="005D01FD">
        <w:t xml:space="preserve">by </w:t>
      </w:r>
      <w:r>
        <w:t xml:space="preserve">reimbursement of </w:t>
      </w:r>
      <w:r w:rsidR="001F472B">
        <w:t xml:space="preserve">competing operators’ </w:t>
      </w:r>
      <w:r w:rsidRPr="007345E5">
        <w:t xml:space="preserve">relocation </w:t>
      </w:r>
      <w:r>
        <w:t>cos</w:t>
      </w:r>
      <w:r w:rsidRPr="007345E5">
        <w:t>ts related to new satellites.</w:t>
      </w:r>
      <w:r>
        <w:rPr>
          <w:rStyle w:val="FootnoteReference"/>
        </w:rPr>
        <w:footnoteReference w:id="31"/>
      </w:r>
      <w:r w:rsidRPr="001F472B">
        <w:rPr>
          <w:snapToGrid/>
          <w:kern w:val="0"/>
          <w:szCs w:val="22"/>
        </w:rPr>
        <w:t xml:space="preserve"> </w:t>
      </w:r>
      <w:r w:rsidR="003C723E">
        <w:rPr>
          <w:snapToGrid/>
          <w:kern w:val="0"/>
          <w:szCs w:val="22"/>
        </w:rPr>
        <w:t xml:space="preserve"> </w:t>
      </w:r>
      <w:r w:rsidR="001F472B">
        <w:rPr>
          <w:snapToGrid/>
          <w:kern w:val="0"/>
          <w:szCs w:val="22"/>
        </w:rPr>
        <w:t xml:space="preserve">But </w:t>
      </w:r>
      <w:r w:rsidR="000F6CA6">
        <w:rPr>
          <w:snapToGrid/>
          <w:kern w:val="0"/>
          <w:szCs w:val="22"/>
        </w:rPr>
        <w:t xml:space="preserve">no </w:t>
      </w:r>
      <w:r w:rsidR="003C723E">
        <w:rPr>
          <w:snapToGrid/>
          <w:kern w:val="0"/>
          <w:szCs w:val="22"/>
        </w:rPr>
        <w:t>accelerated relocation</w:t>
      </w:r>
      <w:r w:rsidRPr="001F472B" w:rsidR="003C723E">
        <w:rPr>
          <w:snapToGrid/>
          <w:kern w:val="0"/>
          <w:szCs w:val="22"/>
        </w:rPr>
        <w:t xml:space="preserve"> </w:t>
      </w:r>
      <w:r w:rsidRPr="001F472B">
        <w:rPr>
          <w:snapToGrid/>
          <w:kern w:val="0"/>
          <w:szCs w:val="22"/>
        </w:rPr>
        <w:t xml:space="preserve">payments </w:t>
      </w:r>
      <w:r w:rsidR="000F6CA6">
        <w:rPr>
          <w:snapToGrid/>
          <w:kern w:val="0"/>
          <w:szCs w:val="22"/>
        </w:rPr>
        <w:t xml:space="preserve">are due until </w:t>
      </w:r>
      <w:r w:rsidRPr="000F6CA6" w:rsidR="000F6CA6">
        <w:rPr>
          <w:i/>
          <w:iCs/>
          <w:snapToGrid/>
          <w:kern w:val="0"/>
          <w:szCs w:val="22"/>
        </w:rPr>
        <w:t>after</w:t>
      </w:r>
      <w:r w:rsidR="000F6CA6">
        <w:rPr>
          <w:snapToGrid/>
          <w:kern w:val="0"/>
          <w:szCs w:val="22"/>
        </w:rPr>
        <w:t xml:space="preserve"> </w:t>
      </w:r>
      <w:r w:rsidR="003C723E">
        <w:rPr>
          <w:snapToGrid/>
          <w:kern w:val="0"/>
          <w:szCs w:val="22"/>
        </w:rPr>
        <w:t xml:space="preserve">eligible space station </w:t>
      </w:r>
      <w:r w:rsidR="000F6CA6">
        <w:rPr>
          <w:snapToGrid/>
          <w:kern w:val="0"/>
          <w:szCs w:val="22"/>
        </w:rPr>
        <w:t xml:space="preserve">operators demonstrate that they have met the December 5, 2021 and December 5, 2023 </w:t>
      </w:r>
      <w:r w:rsidR="003C723E">
        <w:rPr>
          <w:snapToGrid/>
          <w:kern w:val="0"/>
          <w:szCs w:val="22"/>
        </w:rPr>
        <w:t>Accelerated Relocation Deadlines</w:t>
      </w:r>
      <w:r w:rsidRPr="001F472B">
        <w:rPr>
          <w:snapToGrid/>
          <w:kern w:val="0"/>
          <w:szCs w:val="22"/>
        </w:rPr>
        <w:t>.</w:t>
      </w:r>
      <w:r>
        <w:rPr>
          <w:rStyle w:val="FootnoteReference"/>
          <w:snapToGrid/>
          <w:kern w:val="0"/>
          <w:szCs w:val="22"/>
        </w:rPr>
        <w:footnoteReference w:id="32"/>
      </w:r>
      <w:r w:rsidRPr="001F472B">
        <w:rPr>
          <w:snapToGrid/>
          <w:kern w:val="0"/>
          <w:szCs w:val="22"/>
        </w:rPr>
        <w:t xml:space="preserve"> </w:t>
      </w:r>
      <w:r w:rsidR="003C723E">
        <w:rPr>
          <w:snapToGrid/>
          <w:kern w:val="0"/>
          <w:szCs w:val="22"/>
        </w:rPr>
        <w:t xml:space="preserve"> </w:t>
      </w:r>
      <w:r w:rsidRPr="001F472B">
        <w:rPr>
          <w:snapToGrid/>
          <w:kern w:val="0"/>
          <w:szCs w:val="22"/>
        </w:rPr>
        <w:t>The lion’</w:t>
      </w:r>
      <w:r w:rsidR="00D02C3E">
        <w:rPr>
          <w:snapToGrid/>
          <w:kern w:val="0"/>
          <w:szCs w:val="22"/>
        </w:rPr>
        <w:t>s</w:t>
      </w:r>
      <w:r w:rsidRPr="001F472B">
        <w:rPr>
          <w:snapToGrid/>
          <w:kern w:val="0"/>
          <w:szCs w:val="22"/>
        </w:rPr>
        <w:t xml:space="preserve"> share of </w:t>
      </w:r>
      <w:r w:rsidR="003C723E">
        <w:rPr>
          <w:snapToGrid/>
          <w:kern w:val="0"/>
          <w:szCs w:val="22"/>
        </w:rPr>
        <w:t>accelerated relocation</w:t>
      </w:r>
      <w:r w:rsidRPr="001F472B" w:rsidR="003C723E">
        <w:rPr>
          <w:snapToGrid/>
          <w:kern w:val="0"/>
          <w:szCs w:val="22"/>
        </w:rPr>
        <w:t xml:space="preserve"> </w:t>
      </w:r>
      <w:r w:rsidRPr="001F472B">
        <w:rPr>
          <w:snapToGrid/>
          <w:kern w:val="0"/>
          <w:szCs w:val="22"/>
        </w:rPr>
        <w:t>payments</w:t>
      </w:r>
      <w:r w:rsidR="003C723E">
        <w:rPr>
          <w:snapToGrid/>
          <w:kern w:val="0"/>
          <w:szCs w:val="22"/>
        </w:rPr>
        <w:t>—</w:t>
      </w:r>
      <w:r w:rsidRPr="001F472B">
        <w:rPr>
          <w:snapToGrid/>
          <w:kern w:val="0"/>
          <w:szCs w:val="22"/>
        </w:rPr>
        <w:t>over 75 percent</w:t>
      </w:r>
      <w:r w:rsidR="003C723E">
        <w:rPr>
          <w:snapToGrid/>
          <w:kern w:val="0"/>
          <w:szCs w:val="22"/>
        </w:rPr>
        <w:t>—</w:t>
      </w:r>
      <w:r w:rsidRPr="001F472B">
        <w:rPr>
          <w:snapToGrid/>
          <w:kern w:val="0"/>
          <w:szCs w:val="22"/>
        </w:rPr>
        <w:t xml:space="preserve">will not be </w:t>
      </w:r>
      <w:r w:rsidR="000F6CA6">
        <w:rPr>
          <w:snapToGrid/>
          <w:kern w:val="0"/>
          <w:szCs w:val="22"/>
        </w:rPr>
        <w:t>due</w:t>
      </w:r>
      <w:r w:rsidRPr="001F472B">
        <w:rPr>
          <w:snapToGrid/>
          <w:kern w:val="0"/>
          <w:szCs w:val="22"/>
        </w:rPr>
        <w:t xml:space="preserve"> until after</w:t>
      </w:r>
      <w:r w:rsidR="00C404CE">
        <w:rPr>
          <w:snapToGrid/>
          <w:kern w:val="0"/>
          <w:szCs w:val="22"/>
        </w:rPr>
        <w:t xml:space="preserve"> eligible space station</w:t>
      </w:r>
      <w:r w:rsidRPr="001F472B">
        <w:rPr>
          <w:snapToGrid/>
          <w:kern w:val="0"/>
          <w:szCs w:val="22"/>
        </w:rPr>
        <w:t xml:space="preserve"> </w:t>
      </w:r>
      <w:r w:rsidR="00D02C3E">
        <w:rPr>
          <w:snapToGrid/>
          <w:kern w:val="0"/>
          <w:szCs w:val="22"/>
        </w:rPr>
        <w:t xml:space="preserve">operators meet </w:t>
      </w:r>
      <w:r w:rsidR="000F6CA6">
        <w:rPr>
          <w:snapToGrid/>
          <w:kern w:val="0"/>
          <w:szCs w:val="22"/>
        </w:rPr>
        <w:t>the December 2023</w:t>
      </w:r>
      <w:r w:rsidRPr="001F472B">
        <w:rPr>
          <w:snapToGrid/>
          <w:kern w:val="0"/>
          <w:szCs w:val="22"/>
        </w:rPr>
        <w:t xml:space="preserve"> deadline.</w:t>
      </w:r>
      <w:r>
        <w:rPr>
          <w:rStyle w:val="FootnoteReference"/>
          <w:snapToGrid/>
          <w:kern w:val="0"/>
          <w:szCs w:val="22"/>
        </w:rPr>
        <w:footnoteReference w:id="33"/>
      </w:r>
      <w:r w:rsidRPr="001F472B">
        <w:rPr>
          <w:snapToGrid/>
          <w:kern w:val="0"/>
          <w:szCs w:val="22"/>
        </w:rPr>
        <w:t xml:space="preserve"> </w:t>
      </w:r>
      <w:r w:rsidR="0063360C">
        <w:rPr>
          <w:snapToGrid/>
          <w:kern w:val="0"/>
          <w:szCs w:val="22"/>
        </w:rPr>
        <w:t>R</w:t>
      </w:r>
      <w:r w:rsidRPr="001F472B">
        <w:rPr>
          <w:snapToGrid/>
          <w:kern w:val="0"/>
          <w:szCs w:val="22"/>
        </w:rPr>
        <w:t>eimbursement of relocation costs</w:t>
      </w:r>
      <w:r w:rsidR="00476EAA">
        <w:rPr>
          <w:snapToGrid/>
          <w:kern w:val="0"/>
          <w:szCs w:val="22"/>
        </w:rPr>
        <w:t>, meanwhile,</w:t>
      </w:r>
      <w:r w:rsidRPr="001F472B">
        <w:rPr>
          <w:snapToGrid/>
          <w:kern w:val="0"/>
          <w:szCs w:val="22"/>
        </w:rPr>
        <w:t xml:space="preserve"> may begin </w:t>
      </w:r>
      <w:r w:rsidR="00476EAA">
        <w:rPr>
          <w:snapToGrid/>
          <w:kern w:val="0"/>
          <w:szCs w:val="22"/>
        </w:rPr>
        <w:t xml:space="preserve">only </w:t>
      </w:r>
      <w:r w:rsidRPr="001F472B">
        <w:rPr>
          <w:snapToGrid/>
          <w:kern w:val="0"/>
          <w:szCs w:val="22"/>
        </w:rPr>
        <w:t>once the auction is complete</w:t>
      </w:r>
      <w:r w:rsidR="00C35706">
        <w:rPr>
          <w:snapToGrid/>
          <w:kern w:val="0"/>
          <w:szCs w:val="22"/>
        </w:rPr>
        <w:t>,</w:t>
      </w:r>
      <w:r w:rsidRPr="001F472B">
        <w:rPr>
          <w:snapToGrid/>
          <w:kern w:val="0"/>
          <w:szCs w:val="22"/>
        </w:rPr>
        <w:t xml:space="preserve"> new licenses are issued</w:t>
      </w:r>
      <w:r w:rsidR="006060D0">
        <w:rPr>
          <w:snapToGrid/>
          <w:kern w:val="0"/>
          <w:szCs w:val="22"/>
        </w:rPr>
        <w:t xml:space="preserve">, and new licensees make payments to the </w:t>
      </w:r>
      <w:r w:rsidR="007B547D">
        <w:rPr>
          <w:snapToGrid/>
          <w:kern w:val="0"/>
          <w:szCs w:val="22"/>
        </w:rPr>
        <w:t>Relocation Payment Clearinghouse</w:t>
      </w:r>
      <w:r w:rsidRPr="001F472B">
        <w:rPr>
          <w:snapToGrid/>
          <w:kern w:val="0"/>
          <w:szCs w:val="22"/>
        </w:rPr>
        <w:t>.</w:t>
      </w:r>
      <w:r>
        <w:rPr>
          <w:rStyle w:val="FootnoteReference"/>
          <w:snapToGrid/>
          <w:kern w:val="0"/>
          <w:szCs w:val="22"/>
        </w:rPr>
        <w:footnoteReference w:id="34"/>
      </w:r>
      <w:r w:rsidRPr="001F472B">
        <w:rPr>
          <w:snapToGrid/>
          <w:kern w:val="0"/>
          <w:szCs w:val="22"/>
        </w:rPr>
        <w:t xml:space="preserve"> </w:t>
      </w:r>
      <w:r w:rsidR="003C723E">
        <w:rPr>
          <w:snapToGrid/>
          <w:kern w:val="0"/>
          <w:szCs w:val="22"/>
        </w:rPr>
        <w:t xml:space="preserve"> </w:t>
      </w:r>
      <w:r w:rsidR="003D651B">
        <w:rPr>
          <w:snapToGrid/>
          <w:kern w:val="0"/>
          <w:szCs w:val="22"/>
        </w:rPr>
        <w:t xml:space="preserve">Based </w:t>
      </w:r>
      <w:r w:rsidR="00005F6A">
        <w:rPr>
          <w:snapToGrid/>
          <w:kern w:val="0"/>
          <w:szCs w:val="22"/>
        </w:rPr>
        <w:t xml:space="preserve">on </w:t>
      </w:r>
      <w:r w:rsidR="005D1B22">
        <w:rPr>
          <w:snapToGrid/>
          <w:kern w:val="0"/>
          <w:szCs w:val="22"/>
        </w:rPr>
        <w:t xml:space="preserve">the </w:t>
      </w:r>
      <w:r w:rsidR="00013EAB">
        <w:rPr>
          <w:snapToGrid/>
          <w:kern w:val="0"/>
          <w:szCs w:val="22"/>
        </w:rPr>
        <w:t>schedules</w:t>
      </w:r>
      <w:r w:rsidR="005D1B22">
        <w:rPr>
          <w:snapToGrid/>
          <w:kern w:val="0"/>
          <w:szCs w:val="22"/>
        </w:rPr>
        <w:t xml:space="preserve"> for recent Commission auctions, it is likely that such payments would not </w:t>
      </w:r>
      <w:r w:rsidR="0001166C">
        <w:rPr>
          <w:snapToGrid/>
          <w:kern w:val="0"/>
          <w:szCs w:val="22"/>
        </w:rPr>
        <w:t>be due until</w:t>
      </w:r>
      <w:r w:rsidRPr="001F472B">
        <w:rPr>
          <w:snapToGrid/>
          <w:kern w:val="0"/>
          <w:szCs w:val="22"/>
        </w:rPr>
        <w:t xml:space="preserve"> </w:t>
      </w:r>
      <w:r w:rsidR="005D22D5">
        <w:rPr>
          <w:snapToGrid/>
          <w:kern w:val="0"/>
          <w:szCs w:val="22"/>
        </w:rPr>
        <w:t>between</w:t>
      </w:r>
      <w:r w:rsidRPr="001F472B">
        <w:rPr>
          <w:snapToGrid/>
          <w:kern w:val="0"/>
          <w:szCs w:val="22"/>
        </w:rPr>
        <w:t xml:space="preserve"> </w:t>
      </w:r>
      <w:r w:rsidR="004275FD">
        <w:rPr>
          <w:snapToGrid/>
          <w:kern w:val="0"/>
          <w:szCs w:val="22"/>
        </w:rPr>
        <w:t xml:space="preserve">July </w:t>
      </w:r>
      <w:r w:rsidR="005D22D5">
        <w:rPr>
          <w:snapToGrid/>
          <w:kern w:val="0"/>
          <w:szCs w:val="22"/>
        </w:rPr>
        <w:t xml:space="preserve">and </w:t>
      </w:r>
      <w:r w:rsidR="004275FD">
        <w:rPr>
          <w:snapToGrid/>
          <w:kern w:val="0"/>
          <w:szCs w:val="22"/>
        </w:rPr>
        <w:t>October</w:t>
      </w:r>
      <w:r w:rsidRPr="001F472B" w:rsidR="004275FD">
        <w:rPr>
          <w:snapToGrid/>
          <w:kern w:val="0"/>
          <w:szCs w:val="22"/>
        </w:rPr>
        <w:t xml:space="preserve"> </w:t>
      </w:r>
      <w:r w:rsidRPr="001F472B">
        <w:rPr>
          <w:snapToGrid/>
          <w:kern w:val="0"/>
          <w:szCs w:val="22"/>
        </w:rPr>
        <w:t>of 2021.</w:t>
      </w:r>
      <w:r>
        <w:rPr>
          <w:rStyle w:val="FootnoteReference"/>
          <w:snapToGrid/>
          <w:kern w:val="0"/>
          <w:sz w:val="22"/>
          <w:szCs w:val="22"/>
        </w:rPr>
        <w:footnoteReference w:id="35"/>
      </w:r>
      <w:r w:rsidRPr="001F472B">
        <w:rPr>
          <w:snapToGrid/>
          <w:kern w:val="0"/>
          <w:szCs w:val="22"/>
        </w:rPr>
        <w:t xml:space="preserve"> </w:t>
      </w:r>
      <w:r w:rsidR="003C723E">
        <w:rPr>
          <w:snapToGrid/>
          <w:kern w:val="0"/>
          <w:szCs w:val="22"/>
        </w:rPr>
        <w:t xml:space="preserve"> </w:t>
      </w:r>
      <w:r w:rsidRPr="001F472B">
        <w:rPr>
          <w:szCs w:val="22"/>
        </w:rPr>
        <w:t>The record also reflects that</w:t>
      </w:r>
      <w:r w:rsidRPr="001F472B">
        <w:rPr>
          <w:snapToGrid/>
          <w:kern w:val="0"/>
          <w:szCs w:val="22"/>
        </w:rPr>
        <w:t xml:space="preserve"> no new satellites are </w:t>
      </w:r>
      <w:r w:rsidR="00177950">
        <w:rPr>
          <w:snapToGrid/>
          <w:kern w:val="0"/>
          <w:szCs w:val="22"/>
        </w:rPr>
        <w:t>needed</w:t>
      </w:r>
      <w:r w:rsidRPr="001F472B" w:rsidR="00177950">
        <w:rPr>
          <w:snapToGrid/>
          <w:kern w:val="0"/>
          <w:szCs w:val="22"/>
        </w:rPr>
        <w:t xml:space="preserve"> </w:t>
      </w:r>
      <w:r w:rsidRPr="001F472B">
        <w:rPr>
          <w:snapToGrid/>
          <w:kern w:val="0"/>
          <w:szCs w:val="22"/>
        </w:rPr>
        <w:t xml:space="preserve">to </w:t>
      </w:r>
      <w:r w:rsidR="00177950">
        <w:rPr>
          <w:snapToGrid/>
          <w:kern w:val="0"/>
          <w:szCs w:val="22"/>
        </w:rPr>
        <w:t>meet</w:t>
      </w:r>
      <w:r w:rsidRPr="001F472B">
        <w:rPr>
          <w:snapToGrid/>
          <w:kern w:val="0"/>
          <w:szCs w:val="22"/>
        </w:rPr>
        <w:t xml:space="preserve"> the </w:t>
      </w:r>
      <w:r w:rsidR="003C723E">
        <w:rPr>
          <w:snapToGrid/>
          <w:kern w:val="0"/>
          <w:szCs w:val="22"/>
        </w:rPr>
        <w:t>Phase I</w:t>
      </w:r>
      <w:r w:rsidRPr="001F472B" w:rsidR="003C723E">
        <w:rPr>
          <w:snapToGrid/>
          <w:kern w:val="0"/>
          <w:szCs w:val="22"/>
        </w:rPr>
        <w:t xml:space="preserve"> </w:t>
      </w:r>
      <w:r w:rsidR="003C723E">
        <w:rPr>
          <w:snapToGrid/>
          <w:kern w:val="0"/>
          <w:szCs w:val="22"/>
        </w:rPr>
        <w:t>A</w:t>
      </w:r>
      <w:r w:rsidRPr="001F472B" w:rsidR="003C723E">
        <w:rPr>
          <w:snapToGrid/>
          <w:kern w:val="0"/>
          <w:szCs w:val="22"/>
        </w:rPr>
        <w:t>ccelerat</w:t>
      </w:r>
      <w:r w:rsidR="008E47E4">
        <w:rPr>
          <w:snapToGrid/>
          <w:kern w:val="0"/>
          <w:szCs w:val="22"/>
        </w:rPr>
        <w:t>ed</w:t>
      </w:r>
      <w:r w:rsidRPr="001F472B" w:rsidR="003C723E">
        <w:rPr>
          <w:snapToGrid/>
          <w:kern w:val="0"/>
          <w:szCs w:val="22"/>
        </w:rPr>
        <w:t xml:space="preserve"> </w:t>
      </w:r>
      <w:r w:rsidR="003C723E">
        <w:rPr>
          <w:snapToGrid/>
          <w:kern w:val="0"/>
          <w:szCs w:val="22"/>
        </w:rPr>
        <w:t>Relocation D</w:t>
      </w:r>
      <w:r w:rsidRPr="001F472B">
        <w:rPr>
          <w:snapToGrid/>
          <w:kern w:val="0"/>
          <w:szCs w:val="22"/>
        </w:rPr>
        <w:t>eadline</w:t>
      </w:r>
      <w:r w:rsidR="00476EAA">
        <w:rPr>
          <w:snapToGrid/>
          <w:kern w:val="0"/>
          <w:szCs w:val="22"/>
        </w:rPr>
        <w:t xml:space="preserve"> in December 202</w:t>
      </w:r>
      <w:r w:rsidR="003C723E">
        <w:rPr>
          <w:snapToGrid/>
          <w:kern w:val="0"/>
          <w:szCs w:val="22"/>
        </w:rPr>
        <w:t>1.</w:t>
      </w:r>
      <w:r>
        <w:rPr>
          <w:rStyle w:val="FootnoteReference"/>
          <w:snapToGrid/>
          <w:kern w:val="0"/>
          <w:szCs w:val="22"/>
        </w:rPr>
        <w:footnoteReference w:id="36"/>
      </w:r>
      <w:r w:rsidR="00476EAA">
        <w:rPr>
          <w:snapToGrid/>
          <w:kern w:val="0"/>
          <w:szCs w:val="22"/>
        </w:rPr>
        <w:t xml:space="preserve"> </w:t>
      </w:r>
      <w:r w:rsidR="003C723E">
        <w:rPr>
          <w:snapToGrid/>
          <w:kern w:val="0"/>
          <w:szCs w:val="22"/>
        </w:rPr>
        <w:t xml:space="preserve"> </w:t>
      </w:r>
      <w:bookmarkEnd w:id="8"/>
      <w:r w:rsidRPr="001F472B">
        <w:rPr>
          <w:snapToGrid/>
          <w:kern w:val="0"/>
          <w:szCs w:val="22"/>
        </w:rPr>
        <w:t xml:space="preserve">Furthermore, </w:t>
      </w:r>
      <w:r w:rsidRPr="007E6FC7" w:rsidR="00992EFF">
        <w:rPr>
          <w:snapToGrid/>
        </w:rPr>
        <w:t>requests for reimbursement of relocation costs related to new satellites are likely to require complex cost allocations that may take longer to review and process.</w:t>
      </w:r>
      <w:r>
        <w:rPr>
          <w:rStyle w:val="FootnoteReference"/>
        </w:rPr>
        <w:footnoteReference w:id="37"/>
      </w:r>
      <w:r w:rsidR="00992EFF">
        <w:rPr>
          <w:snapToGrid/>
        </w:rPr>
        <w:t xml:space="preserve">  </w:t>
      </w:r>
      <w:r w:rsidRPr="001F472B">
        <w:rPr>
          <w:snapToGrid/>
          <w:kern w:val="0"/>
          <w:szCs w:val="22"/>
        </w:rPr>
        <w:t>Petitioners’ claimed</w:t>
      </w:r>
      <w:r w:rsidR="001F472B">
        <w:rPr>
          <w:snapToGrid/>
          <w:kern w:val="0"/>
          <w:szCs w:val="22"/>
        </w:rPr>
        <w:t xml:space="preserve"> competitive injuries</w:t>
      </w:r>
      <w:r w:rsidRPr="001F472B">
        <w:rPr>
          <w:snapToGrid/>
          <w:kern w:val="0"/>
          <w:szCs w:val="22"/>
        </w:rPr>
        <w:t xml:space="preserve"> </w:t>
      </w:r>
      <w:r w:rsidR="00010524">
        <w:rPr>
          <w:snapToGrid/>
          <w:kern w:val="0"/>
          <w:szCs w:val="22"/>
        </w:rPr>
        <w:t xml:space="preserve">also </w:t>
      </w:r>
      <w:r w:rsidRPr="001F472B">
        <w:rPr>
          <w:snapToGrid/>
          <w:kern w:val="0"/>
          <w:szCs w:val="22"/>
        </w:rPr>
        <w:t>rest on “</w:t>
      </w:r>
      <w:r w:rsidRPr="002229AF">
        <w:t>a chain of assumptions about the state of the satellite marketplace years from now.”</w:t>
      </w:r>
      <w:r>
        <w:rPr>
          <w:rStyle w:val="FootnoteReference"/>
        </w:rPr>
        <w:footnoteReference w:id="38"/>
      </w:r>
      <w:r w:rsidR="001F472B">
        <w:rPr>
          <w:snapToGrid/>
          <w:kern w:val="0"/>
          <w:szCs w:val="22"/>
        </w:rPr>
        <w:t xml:space="preserve"> </w:t>
      </w:r>
      <w:r w:rsidR="004622EF">
        <w:rPr>
          <w:snapToGrid/>
          <w:kern w:val="0"/>
          <w:szCs w:val="22"/>
        </w:rPr>
        <w:t xml:space="preserve"> </w:t>
      </w:r>
      <w:r w:rsidRPr="001F472B">
        <w:rPr>
          <w:snapToGrid/>
          <w:kern w:val="0"/>
          <w:szCs w:val="22"/>
        </w:rPr>
        <w:t>In sum, th</w:t>
      </w:r>
      <w:r w:rsidR="001F472B">
        <w:rPr>
          <w:snapToGrid/>
          <w:kern w:val="0"/>
          <w:szCs w:val="22"/>
        </w:rPr>
        <w:t xml:space="preserve">e </w:t>
      </w:r>
      <w:r w:rsidRPr="001F472B">
        <w:rPr>
          <w:snapToGrid/>
          <w:kern w:val="0"/>
          <w:szCs w:val="22"/>
        </w:rPr>
        <w:t xml:space="preserve">harms that Petitioners </w:t>
      </w:r>
      <w:r w:rsidR="001F472B">
        <w:rPr>
          <w:snapToGrid/>
          <w:kern w:val="0"/>
          <w:szCs w:val="22"/>
        </w:rPr>
        <w:t>allege</w:t>
      </w:r>
      <w:r w:rsidRPr="001F472B">
        <w:rPr>
          <w:snapToGrid/>
          <w:kern w:val="0"/>
          <w:szCs w:val="22"/>
        </w:rPr>
        <w:t xml:space="preserve"> </w:t>
      </w:r>
      <w:r w:rsidRPr="001F472B">
        <w:rPr>
          <w:sz w:val="23"/>
          <w:szCs w:val="23"/>
        </w:rPr>
        <w:t xml:space="preserve">will not occur until </w:t>
      </w:r>
      <w:r w:rsidR="000C1A88">
        <w:rPr>
          <w:sz w:val="23"/>
          <w:szCs w:val="23"/>
        </w:rPr>
        <w:t>well over a</w:t>
      </w:r>
      <w:r w:rsidRPr="001F472B">
        <w:rPr>
          <w:sz w:val="23"/>
          <w:szCs w:val="23"/>
        </w:rPr>
        <w:t xml:space="preserve"> year from now</w:t>
      </w:r>
      <w:r w:rsidR="000C1A88">
        <w:rPr>
          <w:sz w:val="23"/>
          <w:szCs w:val="23"/>
        </w:rPr>
        <w:t xml:space="preserve"> at the earliest</w:t>
      </w:r>
      <w:r w:rsidRPr="001F472B">
        <w:rPr>
          <w:sz w:val="23"/>
          <w:szCs w:val="23"/>
        </w:rPr>
        <w:t xml:space="preserve">. </w:t>
      </w:r>
      <w:r w:rsidR="004622EF">
        <w:rPr>
          <w:sz w:val="23"/>
          <w:szCs w:val="23"/>
        </w:rPr>
        <w:t xml:space="preserve"> </w:t>
      </w:r>
      <w:r w:rsidRPr="001F472B">
        <w:rPr>
          <w:sz w:val="23"/>
          <w:szCs w:val="23"/>
        </w:rPr>
        <w:t>Th</w:t>
      </w:r>
      <w:r w:rsidR="000C1A88">
        <w:rPr>
          <w:sz w:val="23"/>
          <w:szCs w:val="23"/>
        </w:rPr>
        <w:t>us</w:t>
      </w:r>
      <w:r w:rsidRPr="001F472B">
        <w:rPr>
          <w:sz w:val="23"/>
          <w:szCs w:val="23"/>
        </w:rPr>
        <w:t xml:space="preserve">, they </w:t>
      </w:r>
      <w:r w:rsidRPr="001F472B">
        <w:rPr>
          <w:szCs w:val="22"/>
        </w:rPr>
        <w:t>are not “of such imminence that there is a ‘clear and present need’ for equitable relief to prevent irreparable harm.’</w:t>
      </w:r>
      <w:r w:rsidR="0063360C">
        <w:rPr>
          <w:szCs w:val="22"/>
        </w:rPr>
        <w:t>”</w:t>
      </w:r>
      <w:r>
        <w:rPr>
          <w:rStyle w:val="FootnoteReference"/>
          <w:szCs w:val="22"/>
        </w:rPr>
        <w:footnoteReference w:id="39"/>
      </w:r>
      <w:r w:rsidRPr="001F472B" w:rsidR="0063360C">
        <w:rPr>
          <w:szCs w:val="22"/>
        </w:rPr>
        <w:t xml:space="preserve"> </w:t>
      </w:r>
    </w:p>
    <w:p w:rsidR="000302EE" w:rsidRPr="007345E5" w:rsidP="007C7293" w14:paraId="00157F4C" w14:textId="0DFF5741">
      <w:pPr>
        <w:pStyle w:val="ParaNum"/>
      </w:pPr>
      <w:r>
        <w:rPr>
          <w:i/>
          <w:iCs/>
        </w:rPr>
        <w:t>Second</w:t>
      </w:r>
      <w:r>
        <w:t xml:space="preserve">, </w:t>
      </w:r>
      <w:r w:rsidR="007F2C82">
        <w:t>the</w:t>
      </w:r>
      <w:r w:rsidRPr="007345E5" w:rsidR="00211F06">
        <w:t xml:space="preserve"> alleged harm is speculative. </w:t>
      </w:r>
      <w:r w:rsidR="004622EF">
        <w:t xml:space="preserve"> </w:t>
      </w:r>
      <w:r>
        <w:t>Even if Petitioners prevail in court, they argue, competing</w:t>
      </w:r>
      <w:r w:rsidRPr="007345E5" w:rsidR="00B00438">
        <w:t xml:space="preserve"> </w:t>
      </w:r>
      <w:r w:rsidRPr="007345E5" w:rsidR="00F5486F">
        <w:t xml:space="preserve">satellite </w:t>
      </w:r>
      <w:r w:rsidRPr="007345E5" w:rsidR="00B00438">
        <w:t>operators “will claim entitlement” to</w:t>
      </w:r>
      <w:r w:rsidRPr="007345E5" w:rsidR="00C66CDF">
        <w:t xml:space="preserve"> </w:t>
      </w:r>
      <w:r w:rsidRPr="007345E5" w:rsidR="00B00438">
        <w:t>payments because t</w:t>
      </w:r>
      <w:r w:rsidRPr="007345E5" w:rsidR="001E2557">
        <w:t xml:space="preserve">he </w:t>
      </w:r>
      <w:r w:rsidR="004622EF">
        <w:rPr>
          <w:i/>
          <w:iCs/>
        </w:rPr>
        <w:t xml:space="preserve">3.7 GHz Report and </w:t>
      </w:r>
      <w:r w:rsidRPr="007345E5" w:rsidR="001E2557">
        <w:rPr>
          <w:i/>
          <w:iCs/>
        </w:rPr>
        <w:t>Order</w:t>
      </w:r>
      <w:r w:rsidRPr="007345E5" w:rsidR="001E2557">
        <w:t xml:space="preserve"> “provides no clear mechanism to rescind” </w:t>
      </w:r>
      <w:r w:rsidRPr="007345E5" w:rsidR="00F5486F">
        <w:t>funding commitments</w:t>
      </w:r>
      <w:r w:rsidRPr="007345E5" w:rsidR="00461FBF">
        <w:t>,</w:t>
      </w:r>
      <w:r w:rsidRPr="007345E5" w:rsidR="001E2557">
        <w:t xml:space="preserve"> </w:t>
      </w:r>
      <w:r w:rsidRPr="007345E5" w:rsidR="00C304EA">
        <w:t>and makes</w:t>
      </w:r>
      <w:r w:rsidR="00095B88">
        <w:t xml:space="preserve"> operator</w:t>
      </w:r>
      <w:r w:rsidRPr="007345E5" w:rsidR="00C304EA">
        <w:t xml:space="preserve"> election</w:t>
      </w:r>
      <w:r w:rsidR="00095B88">
        <w:t>s</w:t>
      </w:r>
      <w:r w:rsidRPr="007345E5" w:rsidR="00C304EA">
        <w:t xml:space="preserve"> to relocate on an accelerated basis “irrevocable</w:t>
      </w:r>
      <w:r w:rsidRPr="007345E5" w:rsidR="00B00438">
        <w:t>.”</w:t>
      </w:r>
      <w:r>
        <w:rPr>
          <w:rStyle w:val="FootnoteReference"/>
        </w:rPr>
        <w:footnoteReference w:id="40"/>
      </w:r>
      <w:r w:rsidR="004622EF">
        <w:t xml:space="preserve"> </w:t>
      </w:r>
      <w:r w:rsidRPr="007345E5" w:rsidR="00C304EA">
        <w:t xml:space="preserve"> </w:t>
      </w:r>
      <w:r w:rsidR="007D47B4">
        <w:t xml:space="preserve">These concerns are unfounded. </w:t>
      </w:r>
      <w:r w:rsidR="004622EF">
        <w:t xml:space="preserve"> </w:t>
      </w:r>
      <w:r w:rsidR="007D47B4">
        <w:t xml:space="preserve">What is “irrevocable” under the </w:t>
      </w:r>
      <w:r w:rsidR="004622EF">
        <w:rPr>
          <w:i/>
          <w:iCs/>
        </w:rPr>
        <w:t xml:space="preserve">3.7 GHz Report and </w:t>
      </w:r>
      <w:r w:rsidRPr="007D47B4" w:rsidR="007D47B4">
        <w:rPr>
          <w:i/>
          <w:iCs/>
        </w:rPr>
        <w:t>Order</w:t>
      </w:r>
      <w:r w:rsidR="007D47B4">
        <w:t xml:space="preserve"> is an operator’s commitment to meet the </w:t>
      </w:r>
      <w:r w:rsidR="004622EF">
        <w:t>Accelerated Relocation Deadlines</w:t>
      </w:r>
      <w:r w:rsidR="007D47B4">
        <w:t xml:space="preserve">. </w:t>
      </w:r>
      <w:r w:rsidR="004622EF">
        <w:t xml:space="preserve"> </w:t>
      </w:r>
      <w:r w:rsidRPr="007345E5" w:rsidR="00F5486F">
        <w:t>A</w:t>
      </w:r>
      <w:r w:rsidRPr="007345E5" w:rsidR="002E2264">
        <w:t xml:space="preserve">s </w:t>
      </w:r>
      <w:r w:rsidRPr="007345E5" w:rsidR="00C304EA">
        <w:t xml:space="preserve">Verizon </w:t>
      </w:r>
      <w:r w:rsidRPr="007345E5" w:rsidR="00C66CDF">
        <w:t>argue</w:t>
      </w:r>
      <w:r w:rsidR="007D47B4">
        <w:t>s,</w:t>
      </w:r>
      <w:r w:rsidR="007F2C82">
        <w:t xml:space="preserve"> </w:t>
      </w:r>
      <w:r w:rsidRPr="007345E5" w:rsidR="00C304EA">
        <w:t>“in the unlikely event that [Petitioners] were to prevail on their appeal, the Commission would have ‘broad authority’ to ‘undo what is wrongfully done by virtue of its order.’”</w:t>
      </w:r>
      <w:r>
        <w:rPr>
          <w:rStyle w:val="FootnoteReference"/>
        </w:rPr>
        <w:footnoteReference w:id="41"/>
      </w:r>
      <w:r w:rsidR="00D02C3E">
        <w:t xml:space="preserve"> </w:t>
      </w:r>
      <w:r w:rsidR="00D02C3E">
        <w:rPr>
          <w:rStyle w:val="FootnoteReference"/>
        </w:rPr>
        <w:t xml:space="preserve"> </w:t>
      </w:r>
      <w:r w:rsidRPr="007345E5">
        <w:t xml:space="preserve"> </w:t>
      </w:r>
    </w:p>
    <w:p w:rsidR="00CE7226" w:rsidRPr="007345E5" w:rsidP="00CA0300" w14:paraId="10A94B93" w14:textId="16FCA58C">
      <w:pPr>
        <w:pStyle w:val="ParaNum"/>
      </w:pPr>
      <w:r w:rsidRPr="007345E5">
        <w:t xml:space="preserve">The same goes for Petitioners’ argument that they cannot be compensated for lost spectrum </w:t>
      </w:r>
      <w:r w:rsidRPr="007345E5" w:rsidR="00F5486F">
        <w:t>access</w:t>
      </w:r>
      <w:r w:rsidRPr="007345E5">
        <w:t xml:space="preserve"> rights </w:t>
      </w:r>
      <w:r w:rsidR="00EC7127">
        <w:t>once</w:t>
      </w:r>
      <w:r w:rsidRPr="007345E5">
        <w:t xml:space="preserve"> the auction is held because new licensees </w:t>
      </w:r>
      <w:r w:rsidR="00842FC3">
        <w:t>might</w:t>
      </w:r>
      <w:r w:rsidRPr="007345E5" w:rsidR="00842FC3">
        <w:t xml:space="preserve"> </w:t>
      </w:r>
      <w:r w:rsidRPr="007345E5">
        <w:t>balk at payment</w:t>
      </w:r>
      <w:r w:rsidRPr="007345E5" w:rsidR="00F5486F">
        <w:t xml:space="preserve"> obligation</w:t>
      </w:r>
      <w:r w:rsidRPr="007345E5">
        <w:t>s</w:t>
      </w:r>
      <w:r w:rsidRPr="007345E5" w:rsidR="00F5486F">
        <w:t xml:space="preserve"> that are</w:t>
      </w:r>
      <w:r w:rsidRPr="007345E5">
        <w:t xml:space="preserve"> not specified in the </w:t>
      </w:r>
      <w:r w:rsidR="004622EF">
        <w:rPr>
          <w:i/>
          <w:iCs/>
        </w:rPr>
        <w:t xml:space="preserve">3.7 GHz Report and </w:t>
      </w:r>
      <w:r w:rsidRPr="007345E5">
        <w:rPr>
          <w:i/>
          <w:iCs/>
        </w:rPr>
        <w:t>Order</w:t>
      </w:r>
      <w:r w:rsidRPr="007345E5">
        <w:t>.</w:t>
      </w:r>
      <w:r>
        <w:rPr>
          <w:rStyle w:val="FootnoteReference"/>
        </w:rPr>
        <w:footnoteReference w:id="42"/>
      </w:r>
      <w:r w:rsidRPr="007345E5" w:rsidR="00902882">
        <w:rPr>
          <w:szCs w:val="22"/>
        </w:rPr>
        <w:t xml:space="preserve"> </w:t>
      </w:r>
      <w:r w:rsidR="004622EF">
        <w:rPr>
          <w:szCs w:val="22"/>
        </w:rPr>
        <w:t xml:space="preserve"> </w:t>
      </w:r>
      <w:r w:rsidRPr="00152508" w:rsidR="00EC7127">
        <w:t xml:space="preserve">Petitioners point to disagreement among commenters regarding who would pay them </w:t>
      </w:r>
      <w:r w:rsidR="00EC7127">
        <w:t>if</w:t>
      </w:r>
      <w:r w:rsidRPr="00152508" w:rsidR="00EC7127">
        <w:t xml:space="preserve"> they</w:t>
      </w:r>
      <w:r w:rsidR="00EC7127">
        <w:t xml:space="preserve"> were to </w:t>
      </w:r>
      <w:r w:rsidRPr="00152508" w:rsidR="00EC7127">
        <w:t>p</w:t>
      </w:r>
      <w:r w:rsidR="00EC7127">
        <w:t xml:space="preserve">ersuade the </w:t>
      </w:r>
      <w:r w:rsidR="007F2C82">
        <w:t>Cour</w:t>
      </w:r>
      <w:r w:rsidR="00EC7127">
        <w:t xml:space="preserve">t </w:t>
      </w:r>
      <w:r w:rsidRPr="00152508" w:rsidR="00EC7127">
        <w:t xml:space="preserve">that they are entitled to </w:t>
      </w:r>
      <w:r w:rsidRPr="00152508" w:rsidR="00EC7127">
        <w:t>compensation,</w:t>
      </w:r>
      <w:r>
        <w:rPr>
          <w:rStyle w:val="FootnoteReference"/>
        </w:rPr>
        <w:footnoteReference w:id="43"/>
      </w:r>
      <w:r w:rsidRPr="00152508" w:rsidR="00EC7127">
        <w:t xml:space="preserve"> but the </w:t>
      </w:r>
      <w:r w:rsidR="004622EF">
        <w:rPr>
          <w:i/>
          <w:iCs/>
        </w:rPr>
        <w:t xml:space="preserve">3.7 GHz Report and </w:t>
      </w:r>
      <w:r w:rsidRPr="00152508" w:rsidR="00EC7127">
        <w:rPr>
          <w:i/>
          <w:iCs/>
        </w:rPr>
        <w:t xml:space="preserve">Order </w:t>
      </w:r>
      <w:r w:rsidR="00EC7127">
        <w:t>makes clear</w:t>
      </w:r>
      <w:r w:rsidRPr="00152508" w:rsidR="00EC7127">
        <w:t xml:space="preserve">s that new licensees are responsible for </w:t>
      </w:r>
      <w:r w:rsidR="00EC7127">
        <w:t xml:space="preserve">any </w:t>
      </w:r>
      <w:r w:rsidRPr="00152508" w:rsidR="00EC7127">
        <w:t>unanticipated funding requirements.</w:t>
      </w:r>
      <w:r>
        <w:rPr>
          <w:rStyle w:val="FootnoteReference"/>
        </w:rPr>
        <w:footnoteReference w:id="44"/>
      </w:r>
      <w:r w:rsidR="00EC7127">
        <w:t xml:space="preserve"> </w:t>
      </w:r>
      <w:r w:rsidR="004622EF">
        <w:t xml:space="preserve"> </w:t>
      </w:r>
      <w:r w:rsidRPr="007345E5">
        <w:t xml:space="preserve">Petitioners </w:t>
      </w:r>
      <w:r w:rsidRPr="007345E5" w:rsidR="00A81808">
        <w:t>also</w:t>
      </w:r>
      <w:r w:rsidRPr="007345E5">
        <w:t xml:space="preserve"> </w:t>
      </w:r>
      <w:r w:rsidRPr="007345E5" w:rsidR="00A81808">
        <w:t>claim</w:t>
      </w:r>
      <w:r w:rsidRPr="007345E5">
        <w:t xml:space="preserve"> that </w:t>
      </w:r>
      <w:r w:rsidRPr="007345E5" w:rsidR="003C584A">
        <w:t xml:space="preserve">their </w:t>
      </w:r>
      <w:r w:rsidR="00EC7127">
        <w:t xml:space="preserve">rights </w:t>
      </w:r>
      <w:r w:rsidRPr="007345E5">
        <w:t>could not</w:t>
      </w:r>
      <w:r w:rsidRPr="007345E5">
        <w:t xml:space="preserve"> be restored </w:t>
      </w:r>
      <w:r w:rsidRPr="007345E5" w:rsidR="00A81808">
        <w:t xml:space="preserve">once the auction is held </w:t>
      </w:r>
      <w:r w:rsidRPr="007345E5" w:rsidR="00C66CDF">
        <w:t>because new licenses w</w:t>
      </w:r>
      <w:r w:rsidRPr="007345E5">
        <w:t>ill</w:t>
      </w:r>
      <w:r w:rsidRPr="007345E5" w:rsidR="00C66CDF">
        <w:t xml:space="preserve"> be assigned for use</w:t>
      </w:r>
      <w:r w:rsidRPr="007345E5">
        <w:t xml:space="preserve"> of</w:t>
      </w:r>
      <w:r w:rsidRPr="007345E5" w:rsidR="00C66CDF">
        <w:t xml:space="preserve"> th</w:t>
      </w:r>
      <w:r w:rsidRPr="007345E5" w:rsidR="00A81808">
        <w:t xml:space="preserve">e </w:t>
      </w:r>
      <w:r w:rsidR="00EC7127">
        <w:t>lower portion of the C-</w:t>
      </w:r>
      <w:r w:rsidRPr="007345E5" w:rsidR="00A81808">
        <w:t xml:space="preserve">band </w:t>
      </w:r>
      <w:r w:rsidRPr="007345E5">
        <w:t xml:space="preserve">that will interfere with </w:t>
      </w:r>
      <w:r w:rsidRPr="007345E5" w:rsidR="00A81808">
        <w:t>satellite operations</w:t>
      </w:r>
      <w:r w:rsidRPr="007345E5" w:rsidR="00C66CDF">
        <w:t>.</w:t>
      </w:r>
      <w:r>
        <w:rPr>
          <w:rStyle w:val="FootnoteReference"/>
        </w:rPr>
        <w:footnoteReference w:id="45"/>
      </w:r>
      <w:r w:rsidR="00EC7127">
        <w:t xml:space="preserve"> </w:t>
      </w:r>
      <w:r w:rsidR="004622EF">
        <w:t xml:space="preserve"> </w:t>
      </w:r>
      <w:r w:rsidR="00EC7127">
        <w:t xml:space="preserve">Again, however, </w:t>
      </w:r>
      <w:r w:rsidRPr="007345E5">
        <w:t>if Petitioners were to prevail</w:t>
      </w:r>
      <w:r w:rsidR="00EC7127">
        <w:t xml:space="preserve"> in challenging the </w:t>
      </w:r>
      <w:r w:rsidR="00D5373F">
        <w:t>Commission</w:t>
      </w:r>
      <w:r w:rsidR="00EC7127">
        <w:t>’s authority</w:t>
      </w:r>
      <w:r w:rsidRPr="007345E5">
        <w:t xml:space="preserve">, then the </w:t>
      </w:r>
      <w:r w:rsidR="00542940">
        <w:t>Court</w:t>
      </w:r>
      <w:r w:rsidR="008C1105">
        <w:t xml:space="preserve"> </w:t>
      </w:r>
      <w:r w:rsidR="00EC7127">
        <w:t>c</w:t>
      </w:r>
      <w:r w:rsidRPr="007345E5" w:rsidR="00A81808">
        <w:t>ould</w:t>
      </w:r>
      <w:r w:rsidR="008C1105">
        <w:t xml:space="preserve"> </w:t>
      </w:r>
      <w:r w:rsidR="00542940">
        <w:t xml:space="preserve">order the </w:t>
      </w:r>
      <w:r w:rsidR="00D5373F">
        <w:t>Commission</w:t>
      </w:r>
      <w:r w:rsidR="00542940">
        <w:t xml:space="preserve"> to </w:t>
      </w:r>
      <w:r w:rsidR="008C1105">
        <w:t>re</w:t>
      </w:r>
      <w:r w:rsidR="00542940">
        <w:t>scind</w:t>
      </w:r>
      <w:r w:rsidR="008C1105">
        <w:t xml:space="preserve"> the new licenses</w:t>
      </w:r>
      <w:r w:rsidRPr="007345E5">
        <w:t>.</w:t>
      </w:r>
      <w:r>
        <w:rPr>
          <w:rStyle w:val="FootnoteReference"/>
        </w:rPr>
        <w:footnoteReference w:id="46"/>
      </w:r>
      <w:r w:rsidR="004622EF">
        <w:t xml:space="preserve"> </w:t>
      </w:r>
      <w:r w:rsidRPr="007345E5">
        <w:t xml:space="preserve"> “[T]he Commission has successfully unwound judicially invalidated auctions before</w:t>
      </w:r>
      <w:r w:rsidRPr="007345E5" w:rsidR="003C584A">
        <w:t>.</w:t>
      </w:r>
      <w:r w:rsidRPr="007345E5">
        <w:t>”</w:t>
      </w:r>
      <w:r>
        <w:rPr>
          <w:rStyle w:val="FootnoteReference"/>
        </w:rPr>
        <w:footnoteReference w:id="47"/>
      </w:r>
      <w:r w:rsidRPr="007345E5" w:rsidR="00DC3DA1">
        <w:t xml:space="preserve"> </w:t>
      </w:r>
      <w:r w:rsidR="004622EF">
        <w:t xml:space="preserve"> </w:t>
      </w:r>
      <w:r w:rsidRPr="007345E5" w:rsidR="00A81808">
        <w:t>In short</w:t>
      </w:r>
      <w:r w:rsidRPr="007345E5" w:rsidR="00DC3DA1">
        <w:t>, the premise on which Petitioners’ injury claims rest</w:t>
      </w:r>
      <w:r w:rsidR="004622EF">
        <w:t>—</w:t>
      </w:r>
      <w:r w:rsidRPr="007345E5" w:rsidR="00DC3DA1">
        <w:t>that the</w:t>
      </w:r>
      <w:r w:rsidRPr="007345E5" w:rsidR="00E041F5">
        <w:t xml:space="preserve"> auction and transition process that the</w:t>
      </w:r>
      <w:r w:rsidRPr="007345E5" w:rsidR="00DC3DA1">
        <w:t xml:space="preserve"> </w:t>
      </w:r>
      <w:r w:rsidR="004622EF">
        <w:rPr>
          <w:i/>
          <w:iCs/>
        </w:rPr>
        <w:t xml:space="preserve">3.7 GHz Report and </w:t>
      </w:r>
      <w:r w:rsidRPr="007345E5" w:rsidR="00DC3DA1">
        <w:rPr>
          <w:i/>
          <w:iCs/>
        </w:rPr>
        <w:t>Order</w:t>
      </w:r>
      <w:r w:rsidRPr="007345E5" w:rsidR="00DC3DA1">
        <w:t xml:space="preserve"> </w:t>
      </w:r>
      <w:r w:rsidRPr="007345E5" w:rsidR="00A81808">
        <w:t>sets in motion cannot be undone</w:t>
      </w:r>
      <w:r w:rsidRPr="007345E5" w:rsidR="00DC3DA1">
        <w:t xml:space="preserve"> </w:t>
      </w:r>
      <w:r w:rsidRPr="007345E5" w:rsidR="00A81808">
        <w:t>absent a</w:t>
      </w:r>
      <w:r w:rsidRPr="007345E5" w:rsidR="00DC3DA1">
        <w:t xml:space="preserve"> stay</w:t>
      </w:r>
      <w:r w:rsidR="004622EF">
        <w:t>—</w:t>
      </w:r>
      <w:r w:rsidRPr="007345E5" w:rsidR="00DC3DA1">
        <w:t xml:space="preserve">is </w:t>
      </w:r>
      <w:r w:rsidR="00542940">
        <w:t>unfounded</w:t>
      </w:r>
      <w:r w:rsidRPr="007345E5" w:rsidR="00DC3DA1">
        <w:t xml:space="preserve">.  </w:t>
      </w:r>
    </w:p>
    <w:p w:rsidR="00314002" w:rsidRPr="007345E5" w:rsidP="00CA0300" w14:paraId="5C742E7B" w14:textId="71FCC7B5">
      <w:pPr>
        <w:pStyle w:val="ParaNum"/>
        <w:rPr>
          <w:szCs w:val="22"/>
        </w:rPr>
      </w:pPr>
      <w:r w:rsidRPr="007345E5">
        <w:rPr>
          <w:szCs w:val="22"/>
        </w:rPr>
        <w:t xml:space="preserve">Petitioners </w:t>
      </w:r>
      <w:r w:rsidRPr="007345E5" w:rsidR="00642FD6">
        <w:rPr>
          <w:szCs w:val="22"/>
        </w:rPr>
        <w:t xml:space="preserve">effectively </w:t>
      </w:r>
      <w:r w:rsidRPr="007345E5">
        <w:rPr>
          <w:szCs w:val="22"/>
        </w:rPr>
        <w:t xml:space="preserve">concede the </w:t>
      </w:r>
      <w:r w:rsidR="00D5373F">
        <w:rPr>
          <w:szCs w:val="22"/>
        </w:rPr>
        <w:t>Commission</w:t>
      </w:r>
      <w:r w:rsidRPr="007345E5" w:rsidR="00642FD6">
        <w:rPr>
          <w:szCs w:val="22"/>
        </w:rPr>
        <w:t xml:space="preserve">’s </w:t>
      </w:r>
      <w:r w:rsidRPr="007345E5">
        <w:rPr>
          <w:szCs w:val="22"/>
        </w:rPr>
        <w:t xml:space="preserve">authority </w:t>
      </w:r>
      <w:r w:rsidRPr="007345E5" w:rsidR="00642FD6">
        <w:rPr>
          <w:szCs w:val="22"/>
        </w:rPr>
        <w:t>“to retroactively correct its own legal mistakes” in their Reply,</w:t>
      </w:r>
      <w:r>
        <w:rPr>
          <w:rStyle w:val="FootnoteReference"/>
          <w:szCs w:val="22"/>
        </w:rPr>
        <w:footnoteReference w:id="48"/>
      </w:r>
      <w:r w:rsidRPr="007345E5" w:rsidR="00642FD6">
        <w:rPr>
          <w:szCs w:val="22"/>
        </w:rPr>
        <w:t xml:space="preserve"> </w:t>
      </w:r>
      <w:r w:rsidRPr="007345E5">
        <w:rPr>
          <w:szCs w:val="22"/>
        </w:rPr>
        <w:t xml:space="preserve">instead focusing on </w:t>
      </w:r>
      <w:r w:rsidRPr="007345E5" w:rsidR="00642FD6">
        <w:rPr>
          <w:szCs w:val="22"/>
        </w:rPr>
        <w:t xml:space="preserve">alleged </w:t>
      </w:r>
      <w:r w:rsidRPr="007345E5">
        <w:rPr>
          <w:szCs w:val="22"/>
        </w:rPr>
        <w:t xml:space="preserve">“practical … difficulties,” </w:t>
      </w:r>
      <w:r w:rsidR="00224C26">
        <w:rPr>
          <w:szCs w:val="22"/>
        </w:rPr>
        <w:t xml:space="preserve">including </w:t>
      </w:r>
      <w:r w:rsidRPr="007345E5">
        <w:rPr>
          <w:szCs w:val="22"/>
        </w:rPr>
        <w:t>in particular “retracting funds from satellite operators.”</w:t>
      </w:r>
      <w:r>
        <w:rPr>
          <w:rStyle w:val="FootnoteReference"/>
          <w:szCs w:val="22"/>
        </w:rPr>
        <w:footnoteReference w:id="49"/>
      </w:r>
      <w:r w:rsidR="004622EF">
        <w:rPr>
          <w:szCs w:val="22"/>
        </w:rPr>
        <w:t xml:space="preserve"> </w:t>
      </w:r>
      <w:r w:rsidRPr="007345E5">
        <w:rPr>
          <w:szCs w:val="22"/>
        </w:rPr>
        <w:t xml:space="preserve"> But even if Petitioners were to prevail in court, no such difficulties are likely to arise.</w:t>
      </w:r>
      <w:r w:rsidR="00A80B28">
        <w:rPr>
          <w:szCs w:val="22"/>
        </w:rPr>
        <w:t xml:space="preserve"> </w:t>
      </w:r>
      <w:r w:rsidRPr="007345E5">
        <w:rPr>
          <w:szCs w:val="22"/>
        </w:rPr>
        <w:t xml:space="preserve"> As </w:t>
      </w:r>
      <w:r w:rsidR="007F2C82">
        <w:rPr>
          <w:szCs w:val="22"/>
        </w:rPr>
        <w:t>stated above</w:t>
      </w:r>
      <w:r w:rsidRPr="007345E5">
        <w:rPr>
          <w:szCs w:val="22"/>
        </w:rPr>
        <w:t xml:space="preserve">, no payments </w:t>
      </w:r>
      <w:r w:rsidR="00542940">
        <w:rPr>
          <w:szCs w:val="22"/>
        </w:rPr>
        <w:t>are likely to</w:t>
      </w:r>
      <w:r w:rsidRPr="007345E5">
        <w:rPr>
          <w:szCs w:val="22"/>
        </w:rPr>
        <w:t xml:space="preserve"> be disbursed for a year or more, and Petitioners’ appeal can be decided long before </w:t>
      </w:r>
      <w:r w:rsidRPr="007345E5">
        <w:rPr>
          <w:szCs w:val="22"/>
        </w:rPr>
        <w:t xml:space="preserve">the </w:t>
      </w:r>
      <w:r w:rsidR="00542940">
        <w:rPr>
          <w:szCs w:val="22"/>
        </w:rPr>
        <w:t>majority of</w:t>
      </w:r>
      <w:r w:rsidR="00542940">
        <w:rPr>
          <w:szCs w:val="22"/>
        </w:rPr>
        <w:t xml:space="preserve"> the payments</w:t>
      </w:r>
      <w:r w:rsidRPr="007345E5">
        <w:rPr>
          <w:szCs w:val="22"/>
        </w:rPr>
        <w:t xml:space="preserve"> are disbursed. </w:t>
      </w:r>
      <w:r w:rsidR="00F9080F">
        <w:rPr>
          <w:szCs w:val="22"/>
        </w:rPr>
        <w:t>Pe</w:t>
      </w:r>
      <w:r w:rsidRPr="007345E5" w:rsidR="00642FD6">
        <w:rPr>
          <w:szCs w:val="22"/>
        </w:rPr>
        <w:t xml:space="preserve">titioners </w:t>
      </w:r>
      <w:r w:rsidR="008C1105">
        <w:rPr>
          <w:szCs w:val="22"/>
        </w:rPr>
        <w:t xml:space="preserve">also </w:t>
      </w:r>
      <w:r w:rsidRPr="007345E5" w:rsidR="00642FD6">
        <w:rPr>
          <w:szCs w:val="22"/>
        </w:rPr>
        <w:t>contend that the C-</w:t>
      </w:r>
      <w:r w:rsidR="00A80B28">
        <w:rPr>
          <w:szCs w:val="22"/>
        </w:rPr>
        <w:t>b</w:t>
      </w:r>
      <w:r w:rsidRPr="007345E5" w:rsidR="00A80B28">
        <w:rPr>
          <w:szCs w:val="22"/>
        </w:rPr>
        <w:t xml:space="preserve">and </w:t>
      </w:r>
      <w:r w:rsidRPr="007345E5" w:rsidR="00642FD6">
        <w:rPr>
          <w:szCs w:val="22"/>
        </w:rPr>
        <w:t>auction would be more difficult to unwind than Auction No. 35,</w:t>
      </w:r>
      <w:r>
        <w:rPr>
          <w:rStyle w:val="FootnoteReference"/>
          <w:szCs w:val="22"/>
        </w:rPr>
        <w:footnoteReference w:id="50"/>
      </w:r>
      <w:r w:rsidRPr="007345E5" w:rsidR="00642FD6">
        <w:rPr>
          <w:szCs w:val="22"/>
        </w:rPr>
        <w:t xml:space="preserve"> but </w:t>
      </w:r>
      <w:r w:rsidR="008C1105">
        <w:rPr>
          <w:szCs w:val="22"/>
        </w:rPr>
        <w:t xml:space="preserve">they </w:t>
      </w:r>
      <w:r w:rsidRPr="007345E5" w:rsidR="00642FD6">
        <w:rPr>
          <w:szCs w:val="22"/>
        </w:rPr>
        <w:t>identify no case</w:t>
      </w:r>
      <w:r w:rsidR="00A80B28">
        <w:t>—</w:t>
      </w:r>
      <w:r w:rsidRPr="007345E5" w:rsidR="00642FD6">
        <w:rPr>
          <w:szCs w:val="22"/>
        </w:rPr>
        <w:t>and we are aware of none</w:t>
      </w:r>
      <w:r w:rsidR="00A80B28">
        <w:t>—</w:t>
      </w:r>
      <w:r w:rsidRPr="007345E5" w:rsidR="00642FD6">
        <w:rPr>
          <w:szCs w:val="22"/>
        </w:rPr>
        <w:t xml:space="preserve">in which </w:t>
      </w:r>
      <w:r w:rsidR="008C1105">
        <w:rPr>
          <w:szCs w:val="22"/>
        </w:rPr>
        <w:t xml:space="preserve">the agency or </w:t>
      </w:r>
      <w:r w:rsidRPr="007345E5" w:rsidR="00642FD6">
        <w:rPr>
          <w:szCs w:val="22"/>
        </w:rPr>
        <w:t>a court has stayed a</w:t>
      </w:r>
      <w:r w:rsidR="00542940">
        <w:rPr>
          <w:szCs w:val="22"/>
        </w:rPr>
        <w:t xml:space="preserve"> Commission</w:t>
      </w:r>
      <w:r w:rsidRPr="007345E5" w:rsidR="00642FD6">
        <w:rPr>
          <w:szCs w:val="22"/>
        </w:rPr>
        <w:t xml:space="preserve"> auction because it might be difficult to unwind.</w:t>
      </w:r>
      <w:r>
        <w:rPr>
          <w:rStyle w:val="FootnoteReference"/>
          <w:szCs w:val="22"/>
        </w:rPr>
        <w:footnoteReference w:id="51"/>
      </w:r>
      <w:r w:rsidRPr="007345E5" w:rsidR="00642FD6">
        <w:rPr>
          <w:szCs w:val="22"/>
        </w:rPr>
        <w:t xml:space="preserve"> </w:t>
      </w:r>
      <w:r w:rsidR="00A80B28">
        <w:rPr>
          <w:szCs w:val="22"/>
        </w:rPr>
        <w:t xml:space="preserve"> </w:t>
      </w:r>
      <w:r w:rsidRPr="007345E5">
        <w:rPr>
          <w:szCs w:val="22"/>
        </w:rPr>
        <w:t xml:space="preserve">Petitioners also </w:t>
      </w:r>
      <w:r w:rsidR="00542940">
        <w:rPr>
          <w:szCs w:val="22"/>
        </w:rPr>
        <w:t>contend</w:t>
      </w:r>
      <w:r w:rsidRPr="007345E5">
        <w:rPr>
          <w:szCs w:val="22"/>
        </w:rPr>
        <w:t xml:space="preserve"> that “the presumption of retroactivity</w:t>
      </w:r>
      <w:r w:rsidR="00542940">
        <w:rPr>
          <w:szCs w:val="22"/>
        </w:rPr>
        <w:t>” that attaches to judicial decisions</w:t>
      </w:r>
      <w:r w:rsidRPr="007345E5">
        <w:rPr>
          <w:szCs w:val="22"/>
        </w:rPr>
        <w:t xml:space="preserve"> </w:t>
      </w:r>
      <w:r w:rsidR="00542940">
        <w:rPr>
          <w:szCs w:val="22"/>
        </w:rPr>
        <w:t>“</w:t>
      </w:r>
      <w:r w:rsidRPr="007345E5">
        <w:rPr>
          <w:szCs w:val="22"/>
        </w:rPr>
        <w:t>could give way where reliance interests are at stake</w:t>
      </w:r>
      <w:r w:rsidRPr="007345E5" w:rsidR="003F1C35">
        <w:rPr>
          <w:szCs w:val="22"/>
        </w:rPr>
        <w:t>.</w:t>
      </w:r>
      <w:r w:rsidRPr="007345E5">
        <w:rPr>
          <w:szCs w:val="22"/>
        </w:rPr>
        <w:t>”</w:t>
      </w:r>
      <w:r>
        <w:rPr>
          <w:rStyle w:val="FootnoteReference"/>
          <w:szCs w:val="22"/>
        </w:rPr>
        <w:footnoteReference w:id="52"/>
      </w:r>
      <w:r w:rsidRPr="007345E5" w:rsidR="003F1C35">
        <w:rPr>
          <w:szCs w:val="22"/>
        </w:rPr>
        <w:t xml:space="preserve"> </w:t>
      </w:r>
      <w:r w:rsidR="00A80B28">
        <w:rPr>
          <w:szCs w:val="22"/>
        </w:rPr>
        <w:t xml:space="preserve"> </w:t>
      </w:r>
      <w:r w:rsidR="008C1105">
        <w:rPr>
          <w:szCs w:val="22"/>
        </w:rPr>
        <w:t xml:space="preserve">But </w:t>
      </w:r>
      <w:r w:rsidR="0068596F">
        <w:rPr>
          <w:szCs w:val="22"/>
        </w:rPr>
        <w:t xml:space="preserve">those reliance interests are not controlling, and </w:t>
      </w:r>
      <w:r w:rsidR="008C1105">
        <w:rPr>
          <w:szCs w:val="22"/>
        </w:rPr>
        <w:t>a</w:t>
      </w:r>
      <w:r w:rsidRPr="007345E5" w:rsidR="003F1C35">
        <w:rPr>
          <w:szCs w:val="22"/>
        </w:rPr>
        <w:t>ny claims of detrimental relianc</w:t>
      </w:r>
      <w:r w:rsidR="000241F0">
        <w:rPr>
          <w:szCs w:val="22"/>
        </w:rPr>
        <w:t xml:space="preserve">e </w:t>
      </w:r>
      <w:r w:rsidR="00542940">
        <w:rPr>
          <w:szCs w:val="22"/>
        </w:rPr>
        <w:t xml:space="preserve">by </w:t>
      </w:r>
      <w:r w:rsidR="00A80B28">
        <w:rPr>
          <w:szCs w:val="22"/>
        </w:rPr>
        <w:t xml:space="preserve">space station </w:t>
      </w:r>
      <w:r w:rsidR="00542940">
        <w:rPr>
          <w:szCs w:val="22"/>
        </w:rPr>
        <w:t>operators</w:t>
      </w:r>
      <w:r w:rsidRPr="007345E5" w:rsidR="007B40E1">
        <w:rPr>
          <w:szCs w:val="22"/>
        </w:rPr>
        <w:t xml:space="preserve"> </w:t>
      </w:r>
      <w:r w:rsidRPr="007345E5">
        <w:rPr>
          <w:szCs w:val="22"/>
        </w:rPr>
        <w:t>would</w:t>
      </w:r>
      <w:r w:rsidRPr="007345E5" w:rsidR="00D82FBC">
        <w:rPr>
          <w:szCs w:val="22"/>
        </w:rPr>
        <w:t xml:space="preserve"> not encompass </w:t>
      </w:r>
      <w:r w:rsidR="000241F0">
        <w:rPr>
          <w:szCs w:val="22"/>
        </w:rPr>
        <w:t xml:space="preserve">the </w:t>
      </w:r>
      <w:r w:rsidR="00A80B28">
        <w:rPr>
          <w:szCs w:val="22"/>
        </w:rPr>
        <w:t>accelerated relocation</w:t>
      </w:r>
      <w:r w:rsidRPr="007345E5" w:rsidR="00A80B28">
        <w:rPr>
          <w:szCs w:val="22"/>
        </w:rPr>
        <w:t xml:space="preserve"> </w:t>
      </w:r>
      <w:r w:rsidRPr="007345E5" w:rsidR="00D82FBC">
        <w:rPr>
          <w:szCs w:val="22"/>
        </w:rPr>
        <w:t>payments</w:t>
      </w:r>
      <w:r w:rsidR="000241F0">
        <w:rPr>
          <w:szCs w:val="22"/>
        </w:rPr>
        <w:t xml:space="preserve"> that are </w:t>
      </w:r>
      <w:r w:rsidR="0068596F">
        <w:rPr>
          <w:szCs w:val="22"/>
        </w:rPr>
        <w:t>Petitioners’</w:t>
      </w:r>
      <w:r w:rsidR="000241F0">
        <w:rPr>
          <w:szCs w:val="22"/>
        </w:rPr>
        <w:t xml:space="preserve"> main target</w:t>
      </w:r>
      <w:r w:rsidRPr="007345E5" w:rsidR="00D82FBC">
        <w:rPr>
          <w:szCs w:val="22"/>
        </w:rPr>
        <w:t>.</w:t>
      </w:r>
      <w:r>
        <w:rPr>
          <w:rStyle w:val="FootnoteReference"/>
          <w:szCs w:val="22"/>
        </w:rPr>
        <w:footnoteReference w:id="53"/>
      </w:r>
    </w:p>
    <w:p w:rsidR="004512CA" w:rsidRPr="004512CA" w:rsidP="00945846" w14:paraId="29DDFAD9" w14:textId="50C76CA4">
      <w:pPr>
        <w:pStyle w:val="ParaNum"/>
        <w:rPr>
          <w:szCs w:val="22"/>
        </w:rPr>
      </w:pPr>
      <w:r>
        <w:rPr>
          <w:i/>
          <w:iCs/>
        </w:rPr>
        <w:t>Thir</w:t>
      </w:r>
      <w:r w:rsidRPr="007345E5" w:rsidR="00DC3DA1">
        <w:rPr>
          <w:i/>
          <w:iCs/>
        </w:rPr>
        <w:t>d</w:t>
      </w:r>
      <w:r w:rsidRPr="007345E5" w:rsidR="00DC3DA1">
        <w:t xml:space="preserve">, the harm </w:t>
      </w:r>
      <w:r w:rsidRPr="007345E5" w:rsidR="000860A8">
        <w:t xml:space="preserve">that Petitioners allege </w:t>
      </w:r>
      <w:r w:rsidR="000241F0">
        <w:t xml:space="preserve">simply </w:t>
      </w:r>
      <w:r w:rsidRPr="007345E5" w:rsidR="00DC3DA1">
        <w:t xml:space="preserve">does not rise to the level of irreparable </w:t>
      </w:r>
      <w:r w:rsidRPr="007345E5" w:rsidR="00DC3DA1">
        <w:t xml:space="preserve">injury. </w:t>
      </w:r>
      <w:r w:rsidR="00A80B28">
        <w:t xml:space="preserve"> </w:t>
      </w:r>
      <w:r w:rsidRPr="007345E5" w:rsidR="000860A8">
        <w:t>“</w:t>
      </w:r>
      <w:r w:rsidRPr="007345E5" w:rsidR="000860A8">
        <w:rPr>
          <w:szCs w:val="22"/>
          <w:shd w:val="clear" w:color="auto" w:fill="FFFFFF"/>
        </w:rPr>
        <w:t>Where the injuries alleged are purely financial or economic, the barrier to proving irreparable injury is higher still, for it is ‘well settled that economic loss does not, in and of itself, constitute irreparable harm.’”</w:t>
      </w:r>
      <w:r>
        <w:rPr>
          <w:rStyle w:val="FootnoteReference"/>
          <w:szCs w:val="22"/>
          <w:shd w:val="clear" w:color="auto" w:fill="FFFFFF"/>
        </w:rPr>
        <w:footnoteReference w:id="54"/>
      </w:r>
      <w:r w:rsidRPr="007345E5" w:rsidR="000860A8">
        <w:rPr>
          <w:szCs w:val="22"/>
          <w:shd w:val="clear" w:color="auto" w:fill="FFFFFF"/>
        </w:rPr>
        <w:t xml:space="preserve"> </w:t>
      </w:r>
      <w:r w:rsidR="00A80B28">
        <w:rPr>
          <w:szCs w:val="22"/>
          <w:shd w:val="clear" w:color="auto" w:fill="FFFFFF"/>
        </w:rPr>
        <w:t xml:space="preserve"> </w:t>
      </w:r>
      <w:r w:rsidRPr="007345E5" w:rsidR="007A6E43">
        <w:t>Petitioners’ claimed injuries are</w:t>
      </w:r>
      <w:r w:rsidRPr="007345E5" w:rsidR="00DC3DA1">
        <w:t xml:space="preserve"> </w:t>
      </w:r>
      <w:r w:rsidRPr="007345E5" w:rsidR="000860A8">
        <w:t xml:space="preserve">purely </w:t>
      </w:r>
      <w:r w:rsidRPr="007345E5" w:rsidR="00DC3DA1">
        <w:t>economic</w:t>
      </w:r>
      <w:r w:rsidRPr="007345E5" w:rsidR="000860A8">
        <w:t>.</w:t>
      </w:r>
      <w:r>
        <w:rPr>
          <w:rStyle w:val="FootnoteReference"/>
        </w:rPr>
        <w:footnoteReference w:id="55"/>
      </w:r>
      <w:r w:rsidRPr="007345E5" w:rsidR="000860A8">
        <w:t xml:space="preserve"> </w:t>
      </w:r>
      <w:r w:rsidR="00A80B28">
        <w:t xml:space="preserve"> </w:t>
      </w:r>
      <w:r w:rsidRPr="007345E5" w:rsidR="000860A8">
        <w:rPr>
          <w:color w:val="000000"/>
          <w:szCs w:val="22"/>
        </w:rPr>
        <w:t>“Recoverable monetary loss may constitute irreparable harm only where the loss threatens the very existence of the movant’s business.”</w:t>
      </w:r>
      <w:r>
        <w:rPr>
          <w:rStyle w:val="FootnoteReference"/>
          <w:szCs w:val="22"/>
        </w:rPr>
        <w:footnoteReference w:id="56"/>
      </w:r>
      <w:r w:rsidRPr="007345E5" w:rsidR="00D72979">
        <w:rPr>
          <w:color w:val="000000"/>
          <w:szCs w:val="22"/>
        </w:rPr>
        <w:t xml:space="preserve"> </w:t>
      </w:r>
      <w:r w:rsidR="00A80B28">
        <w:rPr>
          <w:color w:val="000000"/>
          <w:szCs w:val="22"/>
        </w:rPr>
        <w:t xml:space="preserve"> </w:t>
      </w:r>
      <w:r w:rsidRPr="00152508">
        <w:t xml:space="preserve">Conceding the point, Petitioners argue that </w:t>
      </w:r>
      <w:r w:rsidR="00476EAA">
        <w:t>economic</w:t>
      </w:r>
      <w:r w:rsidRPr="00152508">
        <w:t xml:space="preserve"> injuries </w:t>
      </w:r>
      <w:r w:rsidR="00476EAA">
        <w:t>that are unrecoverable can constitute irreparable harm if they</w:t>
      </w:r>
      <w:r w:rsidRPr="00152508">
        <w:t xml:space="preserve"> have a “serious” effect on the moving party.</w:t>
      </w:r>
      <w:r>
        <w:rPr>
          <w:rStyle w:val="FootnoteReference"/>
        </w:rPr>
        <w:footnoteReference w:id="57"/>
      </w:r>
      <w:r w:rsidR="00A80B28">
        <w:t xml:space="preserve"> </w:t>
      </w:r>
      <w:r w:rsidRPr="00152508">
        <w:t xml:space="preserve"> But </w:t>
      </w:r>
      <w:r>
        <w:t xml:space="preserve">as set forth above, </w:t>
      </w:r>
      <w:r w:rsidRPr="00152508">
        <w:t xml:space="preserve">Petitioners have not shown that their claimed injuries are unrecoverable. </w:t>
      </w:r>
      <w:r w:rsidR="00A80B28">
        <w:t xml:space="preserve"> </w:t>
      </w:r>
      <w:r w:rsidR="00156C4E">
        <w:t xml:space="preserve">In any event, the </w:t>
      </w:r>
      <w:r w:rsidR="00A80B28">
        <w:rPr>
          <w:i/>
          <w:iCs/>
        </w:rPr>
        <w:t xml:space="preserve">3.7 GHz Report and </w:t>
      </w:r>
      <w:r w:rsidR="00156C4E">
        <w:rPr>
          <w:i/>
          <w:iCs/>
        </w:rPr>
        <w:t xml:space="preserve">Order </w:t>
      </w:r>
      <w:r w:rsidRPr="00152508">
        <w:t>explained why</w:t>
      </w:r>
      <w:r w:rsidR="00156C4E">
        <w:t xml:space="preserve"> </w:t>
      </w:r>
      <w:r>
        <w:t>Petitioner</w:t>
      </w:r>
      <w:r>
        <w:t>s’</w:t>
      </w:r>
      <w:r w:rsidRPr="00152508">
        <w:t xml:space="preserve"> </w:t>
      </w:r>
      <w:r w:rsidR="0087763F">
        <w:t>claim</w:t>
      </w:r>
      <w:r w:rsidRPr="00152508">
        <w:t>s that they have made “vast investments to enter the U.S. market to provide international satellite links that include the U.S. market”</w:t>
      </w:r>
      <w:r w:rsidR="0087763F">
        <w:t xml:space="preserve"> </w:t>
      </w:r>
      <w:r w:rsidR="00156C4E">
        <w:t xml:space="preserve">were </w:t>
      </w:r>
      <w:r w:rsidRPr="00152508">
        <w:t>unpersuasive.</w:t>
      </w:r>
      <w:r>
        <w:rPr>
          <w:rStyle w:val="FootnoteReference"/>
        </w:rPr>
        <w:footnoteReference w:id="58"/>
      </w:r>
    </w:p>
    <w:p w:rsidR="00945846" w:rsidRPr="007345E5" w:rsidP="00945846" w14:paraId="30881817" w14:textId="1123D691">
      <w:pPr>
        <w:pStyle w:val="ParaNum"/>
        <w:rPr>
          <w:szCs w:val="22"/>
        </w:rPr>
      </w:pPr>
      <w:r>
        <w:t xml:space="preserve">Petitioners have not come close to demonstrating an existential threat to their businesses. </w:t>
      </w:r>
      <w:r w:rsidR="00A80B28">
        <w:t xml:space="preserve"> </w:t>
      </w:r>
      <w:r>
        <w:t xml:space="preserve">The record reflects that </w:t>
      </w:r>
      <w:r w:rsidR="001A20D7">
        <w:t>their</w:t>
      </w:r>
      <w:r>
        <w:t xml:space="preserve"> </w:t>
      </w:r>
      <w:r w:rsidRPr="007345E5">
        <w:t>business</w:t>
      </w:r>
      <w:r w:rsidR="001A20D7">
        <w:t xml:space="preserve"> is primarily, if not exclusively,</w:t>
      </w:r>
      <w:r w:rsidR="00604C6E">
        <w:rPr>
          <w:rStyle w:val="CommentReference"/>
        </w:rPr>
        <w:t xml:space="preserve"> </w:t>
      </w:r>
      <w:r w:rsidR="00604C6E">
        <w:t>o</w:t>
      </w:r>
      <w:r>
        <w:t>utside the U</w:t>
      </w:r>
      <w:r w:rsidR="00A80B28">
        <w:t xml:space="preserve">nited </w:t>
      </w:r>
      <w:r>
        <w:t>S</w:t>
      </w:r>
      <w:r w:rsidR="00A80B28">
        <w:t>tates</w:t>
      </w:r>
      <w:r w:rsidRPr="007345E5">
        <w:t>.</w:t>
      </w:r>
      <w:r>
        <w:rPr>
          <w:rStyle w:val="FootnoteReference"/>
        </w:rPr>
        <w:footnoteReference w:id="59"/>
      </w:r>
      <w:r w:rsidRPr="007345E5" w:rsidR="007967B2">
        <w:t xml:space="preserve"> </w:t>
      </w:r>
      <w:r w:rsidR="00A80B28">
        <w:t xml:space="preserve"> </w:t>
      </w:r>
      <w:r w:rsidRPr="007345E5" w:rsidR="007967B2">
        <w:t xml:space="preserve">“As non-U.S. companies providing ‘little to no service in the contiguous United States today,’ the bulk of Petitioners’ revenues are derived from services they provide to overseas clients and thus </w:t>
      </w:r>
      <w:r w:rsidR="00FA0061">
        <w:t xml:space="preserve">are </w:t>
      </w:r>
      <w:r w:rsidRPr="007345E5" w:rsidR="007967B2">
        <w:t xml:space="preserve">unaffected by the </w:t>
      </w:r>
      <w:r w:rsidRPr="007345E5" w:rsidR="007967B2">
        <w:rPr>
          <w:i/>
          <w:iCs/>
        </w:rPr>
        <w:t>Order</w:t>
      </w:r>
      <w:r w:rsidRPr="007345E5" w:rsidR="007967B2">
        <w:t>’s repurposing of C-band spectrum.”</w:t>
      </w:r>
      <w:r>
        <w:rPr>
          <w:rStyle w:val="FootnoteReference"/>
        </w:rPr>
        <w:footnoteReference w:id="60"/>
      </w:r>
      <w:r w:rsidRPr="007345E5">
        <w:t xml:space="preserve"> </w:t>
      </w:r>
      <w:r w:rsidR="00102C25">
        <w:t xml:space="preserve"> </w:t>
      </w:r>
      <w:r w:rsidRPr="007345E5" w:rsidR="008879BE">
        <w:rPr>
          <w:szCs w:val="22"/>
        </w:rPr>
        <w:t>ABS</w:t>
      </w:r>
      <w:r w:rsidRPr="007345E5" w:rsidR="00790059">
        <w:rPr>
          <w:szCs w:val="22"/>
        </w:rPr>
        <w:t>, for example,</w:t>
      </w:r>
      <w:r w:rsidRPr="007345E5" w:rsidR="008879BE">
        <w:rPr>
          <w:szCs w:val="22"/>
        </w:rPr>
        <w:t xml:space="preserve"> </w:t>
      </w:r>
      <w:r w:rsidRPr="007345E5" w:rsidR="00790059">
        <w:rPr>
          <w:szCs w:val="22"/>
        </w:rPr>
        <w:t>i</w:t>
      </w:r>
      <w:r w:rsidRPr="007345E5" w:rsidR="008879BE">
        <w:rPr>
          <w:szCs w:val="22"/>
        </w:rPr>
        <w:t>s a “global operator” with aspirations to “</w:t>
      </w:r>
      <w:r w:rsidRPr="007345E5" w:rsidR="008879BE">
        <w:rPr>
          <w:snapToGrid/>
          <w:kern w:val="0"/>
          <w:szCs w:val="22"/>
        </w:rPr>
        <w:t>exchange data, video, and other information between the United States and regions where ABS has established market share.”</w:t>
      </w:r>
      <w:r>
        <w:rPr>
          <w:rStyle w:val="FootnoteReference"/>
          <w:snapToGrid/>
          <w:kern w:val="0"/>
          <w:szCs w:val="22"/>
        </w:rPr>
        <w:footnoteReference w:id="61"/>
      </w:r>
      <w:r w:rsidRPr="007345E5" w:rsidR="008879BE">
        <w:rPr>
          <w:snapToGrid/>
          <w:kern w:val="0"/>
          <w:szCs w:val="22"/>
        </w:rPr>
        <w:t xml:space="preserve"> </w:t>
      </w:r>
      <w:r w:rsidR="00102C25">
        <w:rPr>
          <w:snapToGrid/>
          <w:kern w:val="0"/>
          <w:szCs w:val="22"/>
        </w:rPr>
        <w:t xml:space="preserve"> </w:t>
      </w:r>
      <w:r w:rsidRPr="007345E5">
        <w:rPr>
          <w:snapToGrid/>
          <w:kern w:val="0"/>
          <w:szCs w:val="22"/>
        </w:rPr>
        <w:t>ABS’s</w:t>
      </w:r>
      <w:r w:rsidRPr="007345E5" w:rsidR="00790059">
        <w:rPr>
          <w:snapToGrid/>
          <w:kern w:val="0"/>
          <w:szCs w:val="22"/>
        </w:rPr>
        <w:t xml:space="preserve"> one satellite capable of serving the U</w:t>
      </w:r>
      <w:r w:rsidR="00102C25">
        <w:rPr>
          <w:snapToGrid/>
          <w:kern w:val="0"/>
          <w:szCs w:val="22"/>
        </w:rPr>
        <w:t xml:space="preserve">nited </w:t>
      </w:r>
      <w:r w:rsidR="00C47A23">
        <w:rPr>
          <w:snapToGrid/>
          <w:kern w:val="0"/>
          <w:szCs w:val="22"/>
        </w:rPr>
        <w:t>S</w:t>
      </w:r>
      <w:r w:rsidR="00102C25">
        <w:rPr>
          <w:snapToGrid/>
          <w:kern w:val="0"/>
          <w:szCs w:val="22"/>
        </w:rPr>
        <w:t>tates</w:t>
      </w:r>
      <w:r w:rsidRPr="007345E5" w:rsidR="00790059">
        <w:rPr>
          <w:snapToGrid/>
          <w:kern w:val="0"/>
          <w:szCs w:val="22"/>
        </w:rPr>
        <w:t xml:space="preserve"> “is positioned just south of the Ivory Coast of northwest Africa,</w:t>
      </w:r>
      <w:r w:rsidRPr="007345E5">
        <w:rPr>
          <w:snapToGrid/>
          <w:kern w:val="0"/>
          <w:szCs w:val="22"/>
        </w:rPr>
        <w:t>”</w:t>
      </w:r>
      <w:r w:rsidRPr="007345E5" w:rsidR="00790059">
        <w:rPr>
          <w:snapToGrid/>
          <w:kern w:val="0"/>
          <w:szCs w:val="22"/>
        </w:rPr>
        <w:t xml:space="preserve"> and </w:t>
      </w:r>
      <w:r w:rsidRPr="007345E5" w:rsidR="00F402F4">
        <w:rPr>
          <w:snapToGrid/>
          <w:kern w:val="0"/>
          <w:szCs w:val="22"/>
        </w:rPr>
        <w:t>target</w:t>
      </w:r>
      <w:r w:rsidRPr="007345E5">
        <w:rPr>
          <w:snapToGrid/>
          <w:kern w:val="0"/>
          <w:szCs w:val="22"/>
        </w:rPr>
        <w:t>s</w:t>
      </w:r>
      <w:r w:rsidRPr="007345E5" w:rsidR="00F402F4">
        <w:rPr>
          <w:snapToGrid/>
          <w:kern w:val="0"/>
          <w:szCs w:val="22"/>
        </w:rPr>
        <w:t xml:space="preserve"> “all or most of the South Atlantic Ocean, Africa, the Middle East, Europe, and South America</w:t>
      </w:r>
      <w:r w:rsidRPr="007345E5" w:rsidR="007967B2">
        <w:rPr>
          <w:snapToGrid/>
          <w:kern w:val="0"/>
          <w:szCs w:val="22"/>
        </w:rPr>
        <w:t>,</w:t>
      </w:r>
      <w:r w:rsidRPr="007345E5" w:rsidR="00F402F4">
        <w:rPr>
          <w:snapToGrid/>
          <w:kern w:val="0"/>
          <w:szCs w:val="22"/>
        </w:rPr>
        <w:t>”</w:t>
      </w:r>
      <w:r w:rsidRPr="007345E5" w:rsidR="007967B2">
        <w:rPr>
          <w:snapToGrid/>
          <w:kern w:val="0"/>
          <w:szCs w:val="22"/>
        </w:rPr>
        <w:t xml:space="preserve"> whereas it provides “only edge coverage to portions of the Eastern United States.”</w:t>
      </w:r>
      <w:r>
        <w:rPr>
          <w:rStyle w:val="FootnoteReference"/>
          <w:snapToGrid/>
          <w:kern w:val="0"/>
          <w:szCs w:val="22"/>
        </w:rPr>
        <w:footnoteReference w:id="62"/>
      </w:r>
      <w:r w:rsidRPr="007345E5" w:rsidR="003A3548">
        <w:rPr>
          <w:snapToGrid/>
          <w:kern w:val="0"/>
          <w:szCs w:val="22"/>
        </w:rPr>
        <w:t xml:space="preserve"> </w:t>
      </w:r>
      <w:r w:rsidR="00102C25">
        <w:rPr>
          <w:snapToGrid/>
          <w:kern w:val="0"/>
          <w:szCs w:val="22"/>
        </w:rPr>
        <w:t xml:space="preserve"> </w:t>
      </w:r>
      <w:r w:rsidRPr="007345E5" w:rsidR="00790059">
        <w:rPr>
          <w:snapToGrid/>
          <w:kern w:val="0"/>
          <w:szCs w:val="22"/>
        </w:rPr>
        <w:t>Hispasat</w:t>
      </w:r>
      <w:r w:rsidRPr="007345E5" w:rsidR="003A3548">
        <w:rPr>
          <w:snapToGrid/>
          <w:kern w:val="0"/>
          <w:szCs w:val="22"/>
        </w:rPr>
        <w:t xml:space="preserve"> has leased nearly all of the capacity on </w:t>
      </w:r>
      <w:r w:rsidR="001A20D7">
        <w:rPr>
          <w:snapToGrid/>
          <w:kern w:val="0"/>
          <w:szCs w:val="22"/>
        </w:rPr>
        <w:t>the only</w:t>
      </w:r>
      <w:r w:rsidRPr="007345E5" w:rsidR="00790059">
        <w:rPr>
          <w:snapToGrid/>
          <w:kern w:val="0"/>
          <w:szCs w:val="22"/>
        </w:rPr>
        <w:t xml:space="preserve"> satellite</w:t>
      </w:r>
      <w:r w:rsidR="001A20D7">
        <w:rPr>
          <w:snapToGrid/>
          <w:kern w:val="0"/>
          <w:szCs w:val="22"/>
        </w:rPr>
        <w:t xml:space="preserve"> it has that could provide coverage to the United States</w:t>
      </w:r>
      <w:r w:rsidR="00604C6E">
        <w:rPr>
          <w:rStyle w:val="CommentReference"/>
        </w:rPr>
        <w:t xml:space="preserve"> </w:t>
      </w:r>
      <w:r w:rsidR="00604C6E">
        <w:rPr>
          <w:snapToGrid/>
          <w:kern w:val="0"/>
          <w:szCs w:val="22"/>
        </w:rPr>
        <w:t>to</w:t>
      </w:r>
      <w:r w:rsidRPr="007345E5" w:rsidR="003A3548">
        <w:rPr>
          <w:snapToGrid/>
          <w:kern w:val="0"/>
          <w:szCs w:val="22"/>
        </w:rPr>
        <w:t xml:space="preserve"> clients</w:t>
      </w:r>
      <w:r w:rsidRPr="007345E5" w:rsidR="007967B2">
        <w:rPr>
          <w:snapToGrid/>
          <w:kern w:val="0"/>
          <w:szCs w:val="22"/>
        </w:rPr>
        <w:t xml:space="preserve"> outside the U</w:t>
      </w:r>
      <w:r w:rsidR="00102C25">
        <w:rPr>
          <w:snapToGrid/>
          <w:kern w:val="0"/>
          <w:szCs w:val="22"/>
        </w:rPr>
        <w:t xml:space="preserve">nited </w:t>
      </w:r>
      <w:r w:rsidR="00C47A23">
        <w:rPr>
          <w:snapToGrid/>
          <w:kern w:val="0"/>
          <w:szCs w:val="22"/>
        </w:rPr>
        <w:t>S</w:t>
      </w:r>
      <w:r w:rsidR="00102C25">
        <w:rPr>
          <w:snapToGrid/>
          <w:kern w:val="0"/>
          <w:szCs w:val="22"/>
        </w:rPr>
        <w:t>tates</w:t>
      </w:r>
      <w:r w:rsidRPr="007345E5" w:rsidR="003A3548">
        <w:rPr>
          <w:snapToGrid/>
          <w:kern w:val="0"/>
          <w:szCs w:val="22"/>
        </w:rPr>
        <w:t xml:space="preserve"> since the satellite’s launch in 2013.</w:t>
      </w:r>
      <w:r>
        <w:rPr>
          <w:rStyle w:val="FootnoteReference"/>
          <w:szCs w:val="23"/>
        </w:rPr>
        <w:footnoteReference w:id="63"/>
      </w:r>
      <w:r w:rsidRPr="007345E5">
        <w:rPr>
          <w:snapToGrid/>
          <w:kern w:val="0"/>
          <w:szCs w:val="22"/>
        </w:rPr>
        <w:t xml:space="preserve"> </w:t>
      </w:r>
      <w:r w:rsidR="00102C25">
        <w:rPr>
          <w:snapToGrid/>
          <w:kern w:val="0"/>
          <w:szCs w:val="22"/>
        </w:rPr>
        <w:t xml:space="preserve"> </w:t>
      </w:r>
      <w:r>
        <w:rPr>
          <w:snapToGrid/>
          <w:kern w:val="0"/>
          <w:szCs w:val="22"/>
        </w:rPr>
        <w:t xml:space="preserve">And </w:t>
      </w:r>
      <w:r w:rsidRPr="007345E5" w:rsidR="009E002D">
        <w:t>“</w:t>
      </w:r>
      <w:r>
        <w:t>t</w:t>
      </w:r>
      <w:r w:rsidRPr="007345E5" w:rsidR="009E002D">
        <w:t>here is no evidence that [ARSAT] provides any service to the contiguous United States.”</w:t>
      </w:r>
      <w:r>
        <w:rPr>
          <w:rStyle w:val="FootnoteReference"/>
          <w:szCs w:val="23"/>
        </w:rPr>
        <w:footnoteReference w:id="64"/>
      </w:r>
      <w:r w:rsidRPr="007345E5" w:rsidR="009E002D">
        <w:t xml:space="preserve"> </w:t>
      </w:r>
      <w:r w:rsidR="00102C25">
        <w:t xml:space="preserve"> </w:t>
      </w:r>
      <w:r w:rsidRPr="007345E5" w:rsidR="001824D1">
        <w:rPr>
          <w:snapToGrid/>
          <w:kern w:val="0"/>
          <w:szCs w:val="22"/>
        </w:rPr>
        <w:t xml:space="preserve">Because </w:t>
      </w:r>
      <w:r w:rsidRPr="007345E5" w:rsidR="001824D1">
        <w:rPr>
          <w:szCs w:val="22"/>
        </w:rPr>
        <w:t xml:space="preserve">Petitioners </w:t>
      </w:r>
      <w:r w:rsidRPr="007345E5" w:rsidR="00B77209">
        <w:t>provide little or no service to</w:t>
      </w:r>
      <w:r w:rsidRPr="007345E5" w:rsidR="001824D1">
        <w:t xml:space="preserve"> </w:t>
      </w:r>
      <w:r w:rsidR="00C47A23">
        <w:t>U</w:t>
      </w:r>
      <w:r w:rsidR="00102C25">
        <w:t xml:space="preserve">nited </w:t>
      </w:r>
      <w:r w:rsidR="00C47A23">
        <w:t>S</w:t>
      </w:r>
      <w:r w:rsidR="00102C25">
        <w:t>tates</w:t>
      </w:r>
      <w:r w:rsidR="00C47A23">
        <w:t xml:space="preserve"> </w:t>
      </w:r>
      <w:r w:rsidRPr="007345E5" w:rsidR="001824D1">
        <w:t>customers</w:t>
      </w:r>
      <w:r w:rsidRPr="007345E5" w:rsidR="00B77209">
        <w:t xml:space="preserve"> using C-</w:t>
      </w:r>
      <w:r w:rsidR="00102C25">
        <w:t>b</w:t>
      </w:r>
      <w:r w:rsidRPr="007345E5" w:rsidR="00102C25">
        <w:t xml:space="preserve">and </w:t>
      </w:r>
      <w:r w:rsidRPr="007345E5" w:rsidR="00B77209">
        <w:t>spectrum</w:t>
      </w:r>
      <w:r w:rsidRPr="007345E5" w:rsidR="001824D1">
        <w:t xml:space="preserve">, any </w:t>
      </w:r>
      <w:r w:rsidR="00085485">
        <w:t xml:space="preserve">economic </w:t>
      </w:r>
      <w:r w:rsidRPr="007345E5" w:rsidR="00B77209">
        <w:t>loss</w:t>
      </w:r>
      <w:r w:rsidRPr="007345E5" w:rsidR="001824D1">
        <w:t>es</w:t>
      </w:r>
      <w:r w:rsidR="00085485">
        <w:t xml:space="preserve"> they may suffer</w:t>
      </w:r>
      <w:r w:rsidRPr="007345E5" w:rsidR="00B77209">
        <w:t xml:space="preserve"> as a result of</w:t>
      </w:r>
      <w:r w:rsidR="00085485">
        <w:t xml:space="preserve"> the </w:t>
      </w:r>
      <w:r w:rsidR="00102C25">
        <w:rPr>
          <w:i/>
          <w:iCs/>
        </w:rPr>
        <w:t xml:space="preserve">3.7 GHz Report and </w:t>
      </w:r>
      <w:r w:rsidRPr="00085485" w:rsidR="00085485">
        <w:rPr>
          <w:i/>
          <w:iCs/>
        </w:rPr>
        <w:t>Order</w:t>
      </w:r>
      <w:r w:rsidR="00085485">
        <w:t xml:space="preserve"> </w:t>
      </w:r>
      <w:r w:rsidRPr="007345E5" w:rsidR="001824D1">
        <w:t xml:space="preserve">“are, on a practical level, </w:t>
      </w:r>
      <w:r w:rsidRPr="007345E5" w:rsidR="001824D1">
        <w:rPr>
          <w:i/>
          <w:iCs/>
        </w:rPr>
        <w:t>de minimis</w:t>
      </w:r>
      <w:r w:rsidRPr="007345E5" w:rsidR="001824D1">
        <w:t>.”</w:t>
      </w:r>
      <w:r>
        <w:rPr>
          <w:rStyle w:val="FootnoteReference"/>
        </w:rPr>
        <w:footnoteReference w:id="65"/>
      </w:r>
      <w:r w:rsidRPr="007345E5" w:rsidR="001824D1">
        <w:t xml:space="preserve"> </w:t>
      </w:r>
      <w:r w:rsidR="00102C25">
        <w:t xml:space="preserve"> </w:t>
      </w:r>
      <w:r w:rsidRPr="007345E5" w:rsidR="001824D1">
        <w:t xml:space="preserve">As such, they </w:t>
      </w:r>
      <w:r w:rsidRPr="007345E5" w:rsidR="00B77209">
        <w:rPr>
          <w:snapToGrid/>
          <w:kern w:val="0"/>
          <w:szCs w:val="22"/>
        </w:rPr>
        <w:t>are not cognizable as</w:t>
      </w:r>
      <w:r w:rsidRPr="007345E5" w:rsidR="003A3548">
        <w:rPr>
          <w:snapToGrid/>
          <w:kern w:val="0"/>
          <w:szCs w:val="22"/>
        </w:rPr>
        <w:t xml:space="preserve"> irreparable harm</w:t>
      </w:r>
      <w:r w:rsidRPr="007345E5" w:rsidR="00B77209">
        <w:rPr>
          <w:snapToGrid/>
          <w:kern w:val="0"/>
          <w:szCs w:val="22"/>
        </w:rPr>
        <w:t xml:space="preserve"> under the D.C. Circuit’s high standard</w:t>
      </w:r>
      <w:r w:rsidRPr="007345E5" w:rsidR="003A3548">
        <w:rPr>
          <w:snapToGrid/>
          <w:kern w:val="0"/>
          <w:szCs w:val="22"/>
        </w:rPr>
        <w:t>.</w:t>
      </w:r>
    </w:p>
    <w:p w:rsidR="00AB7E55" w:rsidRPr="000416D8" w:rsidP="000416D8" w14:paraId="6DE18923" w14:textId="2A8B04FD">
      <w:pPr>
        <w:pStyle w:val="ParaNum"/>
      </w:pPr>
      <w:r w:rsidRPr="003F543E">
        <w:t xml:space="preserve">PSSI </w:t>
      </w:r>
      <w:r>
        <w:t xml:space="preserve">Global </w:t>
      </w:r>
      <w:r w:rsidRPr="003F543E">
        <w:t xml:space="preserve">argues </w:t>
      </w:r>
      <w:r>
        <w:t xml:space="preserve">that </w:t>
      </w:r>
      <w:r w:rsidRPr="003F543E">
        <w:t xml:space="preserve">it will also suffer irreparable harm absent </w:t>
      </w:r>
      <w:r w:rsidR="0001101A">
        <w:t>a stay</w:t>
      </w:r>
      <w:r w:rsidRPr="003F543E">
        <w:t>.</w:t>
      </w:r>
      <w:r>
        <w:rPr>
          <w:rStyle w:val="FootnoteReference"/>
        </w:rPr>
        <w:footnoteReference w:id="66"/>
      </w:r>
      <w:r w:rsidRPr="003F543E">
        <w:t xml:space="preserve"> </w:t>
      </w:r>
      <w:r w:rsidR="00A96636">
        <w:t xml:space="preserve"> </w:t>
      </w:r>
      <w:r w:rsidRPr="003F543E">
        <w:t xml:space="preserve">PSSI </w:t>
      </w:r>
      <w:r w:rsidR="00F257B5">
        <w:t>contend</w:t>
      </w:r>
      <w:r w:rsidRPr="003F543E">
        <w:t xml:space="preserve">s </w:t>
      </w:r>
      <w:r w:rsidR="0001101A">
        <w:t xml:space="preserve">that </w:t>
      </w:r>
      <w:r w:rsidRPr="003F543E">
        <w:t xml:space="preserve">the </w:t>
      </w:r>
      <w:r w:rsidR="00102C25">
        <w:rPr>
          <w:i/>
          <w:iCs/>
        </w:rPr>
        <w:t xml:space="preserve">3.7 GHz Report and </w:t>
      </w:r>
      <w:r>
        <w:rPr>
          <w:i/>
          <w:iCs/>
        </w:rPr>
        <w:t>Order</w:t>
      </w:r>
      <w:r>
        <w:t xml:space="preserve"> </w:t>
      </w:r>
      <w:r w:rsidRPr="003F543E">
        <w:t xml:space="preserve">will </w:t>
      </w:r>
      <w:r w:rsidR="00F257B5">
        <w:t>“</w:t>
      </w:r>
      <w:r w:rsidRPr="00F257B5">
        <w:t>accelerate</w:t>
      </w:r>
      <w:r w:rsidR="00F257B5">
        <w:t>”</w:t>
      </w:r>
      <w:r w:rsidRPr="003F543E">
        <w:t xml:space="preserve"> </w:t>
      </w:r>
      <w:r w:rsidR="00F257B5">
        <w:t>a</w:t>
      </w:r>
      <w:r w:rsidRPr="003F543E">
        <w:t xml:space="preserve"> decline in available </w:t>
      </w:r>
      <w:r w:rsidR="007C1259">
        <w:t>o</w:t>
      </w:r>
      <w:r w:rsidRPr="003F543E">
        <w:t xml:space="preserve">ccasional </w:t>
      </w:r>
      <w:r w:rsidR="007C1259">
        <w:t>u</w:t>
      </w:r>
      <w:r w:rsidRPr="003F543E">
        <w:t xml:space="preserve">se transponder inventory and of </w:t>
      </w:r>
      <w:r w:rsidR="007C1259">
        <w:t>C-</w:t>
      </w:r>
      <w:r w:rsidR="00102C25">
        <w:t>band</w:t>
      </w:r>
      <w:r w:rsidRPr="003F543E" w:rsidR="00102C25">
        <w:t xml:space="preserve"> </w:t>
      </w:r>
      <w:r w:rsidRPr="003F543E">
        <w:t>spectrum.</w:t>
      </w:r>
      <w:r>
        <w:rPr>
          <w:rStyle w:val="FootnoteReference"/>
        </w:rPr>
        <w:footnoteReference w:id="67"/>
      </w:r>
      <w:r>
        <w:t xml:space="preserve"> </w:t>
      </w:r>
      <w:r w:rsidR="00102C25">
        <w:t xml:space="preserve"> </w:t>
      </w:r>
      <w:r w:rsidRPr="002229AF">
        <w:t>PSSI further a</w:t>
      </w:r>
      <w:r w:rsidR="000416D8">
        <w:t>lleg</w:t>
      </w:r>
      <w:r w:rsidRPr="002229AF">
        <w:t xml:space="preserve">es </w:t>
      </w:r>
      <w:r w:rsidR="000416D8">
        <w:t>that</w:t>
      </w:r>
      <w:r w:rsidRPr="002229AF">
        <w:t xml:space="preserve"> harmful </w:t>
      </w:r>
      <w:r w:rsidR="000416D8">
        <w:t>interference</w:t>
      </w:r>
      <w:r w:rsidRPr="002229AF">
        <w:t xml:space="preserve"> from 5G </w:t>
      </w:r>
      <w:r w:rsidR="003E2177">
        <w:t>operations</w:t>
      </w:r>
      <w:r w:rsidRPr="002229AF" w:rsidR="003E2177">
        <w:t xml:space="preserve"> </w:t>
      </w:r>
      <w:r w:rsidRPr="002229AF">
        <w:t xml:space="preserve">and the lack of antenna filters will </w:t>
      </w:r>
      <w:r w:rsidR="000416D8">
        <w:t>“</w:t>
      </w:r>
      <w:r w:rsidRPr="002229AF">
        <w:t>cause catastrophic failure</w:t>
      </w:r>
      <w:r w:rsidR="000416D8">
        <w:t>”</w:t>
      </w:r>
      <w:r w:rsidRPr="002229AF">
        <w:t xml:space="preserve"> to its </w:t>
      </w:r>
      <w:r w:rsidR="003E2177">
        <w:t>mobile earth station</w:t>
      </w:r>
      <w:r w:rsidR="007C02D0">
        <w:t xml:space="preserve"> operations</w:t>
      </w:r>
      <w:r w:rsidRPr="002229AF">
        <w:t>.</w:t>
      </w:r>
      <w:r>
        <w:rPr>
          <w:rStyle w:val="FootnoteReference"/>
        </w:rPr>
        <w:footnoteReference w:id="68"/>
      </w:r>
      <w:r w:rsidR="00D237F0">
        <w:t xml:space="preserve"> </w:t>
      </w:r>
      <w:r w:rsidR="00102C25">
        <w:t xml:space="preserve"> </w:t>
      </w:r>
      <w:r w:rsidR="0001101A">
        <w:t xml:space="preserve">Like Petitioners, </w:t>
      </w:r>
      <w:r w:rsidR="00D237F0">
        <w:t xml:space="preserve">PSSI has not </w:t>
      </w:r>
      <w:r w:rsidR="0001101A">
        <w:t>shown</w:t>
      </w:r>
      <w:r w:rsidR="00D237F0">
        <w:t xml:space="preserve"> that the</w:t>
      </w:r>
      <w:r w:rsidR="0001101A">
        <w:t xml:space="preserve"> harms it</w:t>
      </w:r>
      <w:r w:rsidR="00D237F0">
        <w:t xml:space="preserve"> alleges are </w:t>
      </w:r>
      <w:r w:rsidR="0001101A">
        <w:t xml:space="preserve">either </w:t>
      </w:r>
      <w:r w:rsidR="00D237F0">
        <w:t xml:space="preserve">imminent or irreparable </w:t>
      </w:r>
      <w:r w:rsidR="0001101A">
        <w:t>if</w:t>
      </w:r>
      <w:r w:rsidR="00D237F0">
        <w:t xml:space="preserve"> </w:t>
      </w:r>
      <w:r w:rsidR="0001101A">
        <w:t>PSSI</w:t>
      </w:r>
      <w:r w:rsidR="00D237F0">
        <w:t xml:space="preserve"> prevails in Court. </w:t>
      </w:r>
      <w:r w:rsidR="00F974FC">
        <w:t xml:space="preserve"> </w:t>
      </w:r>
      <w:r w:rsidR="00836BD8">
        <w:t>In</w:t>
      </w:r>
      <w:r w:rsidR="001A20D7">
        <w:t>deed, since 5G operations cannot commence until after FSS operations have been cleared from the band, the alleged harm would not occur until after the December 2021 Accelerated Relocation Deadline, at the earliest.</w:t>
      </w:r>
    </w:p>
    <w:p w:rsidR="007348CC" w:rsidRPr="007345E5" w:rsidP="00FD237D" w14:paraId="127135DB" w14:textId="4A1F9036">
      <w:pPr>
        <w:pStyle w:val="ParaNum"/>
        <w:rPr>
          <w:szCs w:val="22"/>
        </w:rPr>
      </w:pPr>
      <w:r w:rsidRPr="007345E5">
        <w:t>Petitioners’ failure to show irreparable harm would be “grounds for refusing to issue a preliminary injunction, even if the other three factors entering the calculus merit such relief.”</w:t>
      </w:r>
      <w:r>
        <w:rPr>
          <w:rStyle w:val="FootnoteReference"/>
        </w:rPr>
        <w:footnoteReference w:id="69"/>
      </w:r>
      <w:r w:rsidRPr="007345E5">
        <w:t xml:space="preserve"> </w:t>
      </w:r>
      <w:r w:rsidR="009F637D">
        <w:t>H</w:t>
      </w:r>
      <w:r w:rsidRPr="007345E5">
        <w:t xml:space="preserve">owever, </w:t>
      </w:r>
      <w:r w:rsidRPr="007345E5" w:rsidR="006372ED">
        <w:t xml:space="preserve">the three remaining factors also militate against grant of a stay. </w:t>
      </w:r>
      <w:r w:rsidRPr="007345E5">
        <w:t xml:space="preserve"> </w:t>
      </w:r>
    </w:p>
    <w:p w:rsidR="00CB114A" w:rsidRPr="007345E5" w:rsidP="00CB114A" w14:paraId="62C5FDCD" w14:textId="7BFA4D49">
      <w:pPr>
        <w:pStyle w:val="Heading2"/>
      </w:pPr>
      <w:bookmarkStart w:id="10" w:name="_Toc42600717"/>
      <w:r w:rsidRPr="007345E5">
        <w:t>Petitioners</w:t>
      </w:r>
      <w:r w:rsidRPr="007345E5" w:rsidR="002745D8">
        <w:t xml:space="preserve"> </w:t>
      </w:r>
      <w:r w:rsidRPr="007345E5" w:rsidR="00610ABB">
        <w:t>Have Not Shown a Likelihood of</w:t>
      </w:r>
      <w:r w:rsidRPr="007345E5">
        <w:t xml:space="preserve"> Succe</w:t>
      </w:r>
      <w:r w:rsidRPr="007345E5" w:rsidR="00610ABB">
        <w:t>ss</w:t>
      </w:r>
      <w:r w:rsidRPr="007345E5">
        <w:t xml:space="preserve"> </w:t>
      </w:r>
      <w:r w:rsidR="00280A02">
        <w:t>o</w:t>
      </w:r>
      <w:r w:rsidRPr="007345E5">
        <w:t>n the Merits.</w:t>
      </w:r>
      <w:bookmarkEnd w:id="10"/>
    </w:p>
    <w:p w:rsidR="00A16885" w:rsidRPr="007345E5" w:rsidP="00A16885" w14:paraId="23755F38" w14:textId="36124270">
      <w:pPr>
        <w:pStyle w:val="ParaNum"/>
        <w:rPr>
          <w:szCs w:val="22"/>
        </w:rPr>
      </w:pPr>
      <w:r w:rsidRPr="007345E5">
        <w:rPr>
          <w:snapToGrid/>
          <w:kern w:val="0"/>
          <w:szCs w:val="22"/>
        </w:rPr>
        <w:t>Petitioners</w:t>
      </w:r>
      <w:r w:rsidR="008633A4">
        <w:rPr>
          <w:snapToGrid/>
          <w:kern w:val="0"/>
          <w:szCs w:val="22"/>
        </w:rPr>
        <w:t xml:space="preserve"> </w:t>
      </w:r>
      <w:r w:rsidRPr="007345E5">
        <w:rPr>
          <w:snapToGrid/>
          <w:kern w:val="0"/>
          <w:szCs w:val="22"/>
        </w:rPr>
        <w:t xml:space="preserve">fail to demonstrate that they are likely to succeed on the merits. </w:t>
      </w:r>
      <w:r w:rsidR="00102C25">
        <w:rPr>
          <w:snapToGrid/>
          <w:kern w:val="0"/>
          <w:szCs w:val="22"/>
        </w:rPr>
        <w:t xml:space="preserve"> </w:t>
      </w:r>
      <w:r w:rsidRPr="007345E5" w:rsidR="00D12C99">
        <w:rPr>
          <w:snapToGrid/>
          <w:kern w:val="0"/>
          <w:szCs w:val="22"/>
        </w:rPr>
        <w:t>T</w:t>
      </w:r>
      <w:r w:rsidRPr="007345E5" w:rsidR="005016EC">
        <w:rPr>
          <w:snapToGrid/>
          <w:kern w:val="0"/>
          <w:szCs w:val="22"/>
        </w:rPr>
        <w:t>he Commission</w:t>
      </w:r>
      <w:r w:rsidRPr="007345E5" w:rsidR="00390B9B">
        <w:rPr>
          <w:snapToGrid/>
          <w:kern w:val="0"/>
          <w:szCs w:val="22"/>
        </w:rPr>
        <w:t xml:space="preserve"> </w:t>
      </w:r>
      <w:r w:rsidR="008633A4">
        <w:rPr>
          <w:snapToGrid/>
          <w:kern w:val="0"/>
          <w:szCs w:val="22"/>
        </w:rPr>
        <w:t>address</w:t>
      </w:r>
      <w:r w:rsidRPr="007345E5" w:rsidR="00390B9B">
        <w:rPr>
          <w:snapToGrid/>
          <w:kern w:val="0"/>
          <w:szCs w:val="22"/>
        </w:rPr>
        <w:t xml:space="preserve">ed </w:t>
      </w:r>
      <w:r w:rsidRPr="007345E5" w:rsidR="005016EC">
        <w:rPr>
          <w:snapToGrid/>
          <w:kern w:val="0"/>
          <w:szCs w:val="22"/>
        </w:rPr>
        <w:t xml:space="preserve">Petitioners’ </w:t>
      </w:r>
      <w:r w:rsidR="008633A4">
        <w:rPr>
          <w:snapToGrid/>
          <w:kern w:val="0"/>
          <w:szCs w:val="22"/>
        </w:rPr>
        <w:t>principal</w:t>
      </w:r>
      <w:r w:rsidR="00EE15ED">
        <w:rPr>
          <w:snapToGrid/>
          <w:kern w:val="0"/>
          <w:szCs w:val="22"/>
        </w:rPr>
        <w:t xml:space="preserve"> </w:t>
      </w:r>
      <w:r w:rsidRPr="007345E5" w:rsidR="005016EC">
        <w:rPr>
          <w:snapToGrid/>
          <w:kern w:val="0"/>
          <w:szCs w:val="22"/>
        </w:rPr>
        <w:t xml:space="preserve">arguments </w:t>
      </w:r>
      <w:r w:rsidR="008633A4">
        <w:rPr>
          <w:snapToGrid/>
          <w:kern w:val="0"/>
          <w:szCs w:val="22"/>
        </w:rPr>
        <w:t xml:space="preserve">at length </w:t>
      </w:r>
      <w:r w:rsidRPr="007345E5" w:rsidR="005016EC">
        <w:rPr>
          <w:snapToGrid/>
          <w:kern w:val="0"/>
          <w:szCs w:val="22"/>
        </w:rPr>
        <w:t xml:space="preserve">in the </w:t>
      </w:r>
      <w:r w:rsidR="00102C25">
        <w:rPr>
          <w:i/>
          <w:iCs/>
        </w:rPr>
        <w:t xml:space="preserve">3.7 GHz Report and </w:t>
      </w:r>
      <w:r w:rsidRPr="008633A4" w:rsidR="005016EC">
        <w:rPr>
          <w:i/>
          <w:iCs/>
          <w:snapToGrid/>
          <w:kern w:val="0"/>
          <w:szCs w:val="22"/>
        </w:rPr>
        <w:t>Order</w:t>
      </w:r>
      <w:r w:rsidRPr="007345E5" w:rsidR="005016EC">
        <w:rPr>
          <w:snapToGrid/>
          <w:kern w:val="0"/>
          <w:szCs w:val="22"/>
        </w:rPr>
        <w:t xml:space="preserve">, </w:t>
      </w:r>
      <w:r w:rsidRPr="007345E5" w:rsidR="00D12C99">
        <w:rPr>
          <w:snapToGrid/>
          <w:kern w:val="0"/>
          <w:szCs w:val="22"/>
        </w:rPr>
        <w:t xml:space="preserve">so </w:t>
      </w:r>
      <w:r w:rsidRPr="007345E5" w:rsidR="00390B9B">
        <w:rPr>
          <w:snapToGrid/>
          <w:kern w:val="0"/>
          <w:szCs w:val="22"/>
        </w:rPr>
        <w:t>we need not</w:t>
      </w:r>
      <w:r w:rsidRPr="007345E5" w:rsidR="00D12C99">
        <w:rPr>
          <w:snapToGrid/>
          <w:kern w:val="0"/>
          <w:szCs w:val="22"/>
        </w:rPr>
        <w:t xml:space="preserve"> </w:t>
      </w:r>
      <w:r w:rsidR="008633A4">
        <w:rPr>
          <w:snapToGrid/>
          <w:kern w:val="0"/>
          <w:szCs w:val="22"/>
        </w:rPr>
        <w:t>do so</w:t>
      </w:r>
      <w:r w:rsidRPr="007345E5" w:rsidR="00390B9B">
        <w:rPr>
          <w:snapToGrid/>
          <w:kern w:val="0"/>
          <w:szCs w:val="22"/>
        </w:rPr>
        <w:t xml:space="preserve"> here.</w:t>
      </w:r>
      <w:r>
        <w:rPr>
          <w:rStyle w:val="FootnoteReference"/>
          <w:snapToGrid/>
          <w:kern w:val="0"/>
          <w:szCs w:val="22"/>
        </w:rPr>
        <w:footnoteReference w:id="70"/>
      </w:r>
      <w:r w:rsidRPr="007345E5" w:rsidR="00390B9B">
        <w:rPr>
          <w:snapToGrid/>
          <w:kern w:val="0"/>
          <w:szCs w:val="22"/>
        </w:rPr>
        <w:t xml:space="preserve"> </w:t>
      </w:r>
      <w:r w:rsidR="00102C25">
        <w:rPr>
          <w:snapToGrid/>
          <w:kern w:val="0"/>
          <w:szCs w:val="22"/>
        </w:rPr>
        <w:t xml:space="preserve"> </w:t>
      </w:r>
      <w:r w:rsidRPr="007345E5" w:rsidR="00D12C99">
        <w:rPr>
          <w:snapToGrid/>
          <w:kern w:val="0"/>
          <w:szCs w:val="22"/>
        </w:rPr>
        <w:t xml:space="preserve">The Stay </w:t>
      </w:r>
      <w:r w:rsidR="00EE15ED">
        <w:rPr>
          <w:snapToGrid/>
          <w:kern w:val="0"/>
          <w:szCs w:val="22"/>
        </w:rPr>
        <w:t>Petition</w:t>
      </w:r>
      <w:r w:rsidRPr="007345E5" w:rsidR="00D12C99">
        <w:rPr>
          <w:snapToGrid/>
          <w:kern w:val="0"/>
          <w:szCs w:val="22"/>
        </w:rPr>
        <w:t xml:space="preserve"> </w:t>
      </w:r>
      <w:r w:rsidR="008633A4">
        <w:rPr>
          <w:snapToGrid/>
          <w:kern w:val="0"/>
          <w:szCs w:val="22"/>
        </w:rPr>
        <w:t>does not persuade us</w:t>
      </w:r>
      <w:r w:rsidRPr="007345E5" w:rsidR="00D12C99">
        <w:rPr>
          <w:snapToGrid/>
          <w:kern w:val="0"/>
          <w:szCs w:val="22"/>
        </w:rPr>
        <w:t xml:space="preserve"> that </w:t>
      </w:r>
      <w:r w:rsidR="00EE15ED">
        <w:rPr>
          <w:snapToGrid/>
          <w:kern w:val="0"/>
          <w:szCs w:val="22"/>
        </w:rPr>
        <w:t>these</w:t>
      </w:r>
      <w:r w:rsidRPr="007345E5" w:rsidR="00D12C99">
        <w:rPr>
          <w:snapToGrid/>
          <w:kern w:val="0"/>
          <w:szCs w:val="22"/>
        </w:rPr>
        <w:t xml:space="preserve"> arguments are likely to succe</w:t>
      </w:r>
      <w:r w:rsidR="00EE15ED">
        <w:rPr>
          <w:snapToGrid/>
          <w:kern w:val="0"/>
          <w:szCs w:val="22"/>
        </w:rPr>
        <w:t>ed</w:t>
      </w:r>
      <w:r w:rsidRPr="007345E5" w:rsidR="00D12C99">
        <w:rPr>
          <w:snapToGrid/>
          <w:kern w:val="0"/>
          <w:szCs w:val="22"/>
        </w:rPr>
        <w:t xml:space="preserve"> in court </w:t>
      </w:r>
      <w:r w:rsidR="00EE15ED">
        <w:rPr>
          <w:snapToGrid/>
          <w:kern w:val="0"/>
          <w:szCs w:val="22"/>
        </w:rPr>
        <w:t xml:space="preserve">any more </w:t>
      </w:r>
      <w:r w:rsidRPr="007345E5" w:rsidR="00D12C99">
        <w:rPr>
          <w:snapToGrid/>
          <w:kern w:val="0"/>
          <w:szCs w:val="22"/>
        </w:rPr>
        <w:t xml:space="preserve">than they </w:t>
      </w:r>
      <w:r w:rsidR="00EE15ED">
        <w:rPr>
          <w:snapToGrid/>
          <w:kern w:val="0"/>
          <w:szCs w:val="22"/>
        </w:rPr>
        <w:t>di</w:t>
      </w:r>
      <w:r w:rsidRPr="007345E5" w:rsidR="00D12C99">
        <w:rPr>
          <w:snapToGrid/>
          <w:kern w:val="0"/>
          <w:szCs w:val="22"/>
        </w:rPr>
        <w:t xml:space="preserve">d before the agency.   </w:t>
      </w:r>
    </w:p>
    <w:p w:rsidR="00F06718" w:rsidRPr="0054141B" w:rsidP="00D237F0" w14:paraId="740FF23B" w14:textId="7CDFFF73">
      <w:pPr>
        <w:pStyle w:val="ParaNum"/>
      </w:pPr>
      <w:r w:rsidRPr="007345E5">
        <w:rPr>
          <w:i/>
          <w:iCs/>
          <w:snapToGrid/>
          <w:kern w:val="0"/>
          <w:szCs w:val="22"/>
        </w:rPr>
        <w:t>S</w:t>
      </w:r>
      <w:r w:rsidR="00005E3C">
        <w:rPr>
          <w:i/>
          <w:iCs/>
          <w:snapToGrid/>
          <w:kern w:val="0"/>
          <w:szCs w:val="22"/>
        </w:rPr>
        <w:t>ection 316</w:t>
      </w:r>
      <w:r w:rsidRPr="007345E5">
        <w:rPr>
          <w:i/>
          <w:iCs/>
          <w:snapToGrid/>
          <w:kern w:val="0"/>
          <w:szCs w:val="22"/>
        </w:rPr>
        <w:t xml:space="preserve"> authority</w:t>
      </w:r>
      <w:r w:rsidRPr="007345E5">
        <w:rPr>
          <w:snapToGrid/>
          <w:kern w:val="0"/>
          <w:szCs w:val="22"/>
        </w:rPr>
        <w:t xml:space="preserve">. </w:t>
      </w:r>
      <w:r w:rsidR="00102C25">
        <w:rPr>
          <w:snapToGrid/>
          <w:kern w:val="0"/>
          <w:szCs w:val="22"/>
        </w:rPr>
        <w:t xml:space="preserve"> </w:t>
      </w:r>
      <w:r w:rsidR="008633A4">
        <w:rPr>
          <w:snapToGrid/>
          <w:kern w:val="0"/>
          <w:szCs w:val="22"/>
        </w:rPr>
        <w:t xml:space="preserve">The Commission </w:t>
      </w:r>
      <w:r w:rsidR="00005E3C">
        <w:rPr>
          <w:snapToGrid/>
          <w:kern w:val="0"/>
          <w:szCs w:val="22"/>
        </w:rPr>
        <w:t>thorough</w:t>
      </w:r>
      <w:r w:rsidR="008633A4">
        <w:rPr>
          <w:snapToGrid/>
          <w:kern w:val="0"/>
          <w:szCs w:val="22"/>
        </w:rPr>
        <w:t xml:space="preserve">ly justified its exercise of </w:t>
      </w:r>
      <w:r w:rsidR="00176481">
        <w:rPr>
          <w:snapToGrid/>
          <w:kern w:val="0"/>
          <w:szCs w:val="22"/>
        </w:rPr>
        <w:t xml:space="preserve">authority </w:t>
      </w:r>
      <w:r w:rsidRPr="00D237F0" w:rsidR="00176481">
        <w:rPr>
          <w:snapToGrid/>
          <w:kern w:val="0"/>
          <w:szCs w:val="22"/>
        </w:rPr>
        <w:t xml:space="preserve">under </w:t>
      </w:r>
      <w:r w:rsidRPr="00D237F0" w:rsidR="00176481">
        <w:rPr>
          <w:szCs w:val="22"/>
        </w:rPr>
        <w:t>47 U.S.C. § 316 to modify C-</w:t>
      </w:r>
      <w:r w:rsidR="00102C25">
        <w:rPr>
          <w:szCs w:val="22"/>
        </w:rPr>
        <w:t>b</w:t>
      </w:r>
      <w:r w:rsidRPr="00D237F0" w:rsidR="00102C25">
        <w:rPr>
          <w:szCs w:val="22"/>
        </w:rPr>
        <w:t xml:space="preserve">and </w:t>
      </w:r>
      <w:r w:rsidRPr="00D237F0" w:rsidR="00176481">
        <w:rPr>
          <w:szCs w:val="22"/>
        </w:rPr>
        <w:t>satellite operators’ spectrum access rights</w:t>
      </w:r>
      <w:r w:rsidR="00176481">
        <w:rPr>
          <w:sz w:val="23"/>
          <w:szCs w:val="23"/>
        </w:rPr>
        <w:t>.</w:t>
      </w:r>
      <w:r>
        <w:rPr>
          <w:rStyle w:val="FootnoteReference"/>
          <w:szCs w:val="23"/>
        </w:rPr>
        <w:footnoteReference w:id="71"/>
      </w:r>
      <w:r w:rsidRPr="007345E5" w:rsidR="00176481">
        <w:t xml:space="preserve"> </w:t>
      </w:r>
      <w:r w:rsidR="00102C25">
        <w:t xml:space="preserve"> </w:t>
      </w:r>
      <w:r w:rsidRPr="007345E5">
        <w:rPr>
          <w:snapToGrid/>
          <w:kern w:val="0"/>
          <w:szCs w:val="22"/>
        </w:rPr>
        <w:t xml:space="preserve">Petitioners </w:t>
      </w:r>
      <w:r w:rsidR="00D9587E">
        <w:rPr>
          <w:snapToGrid/>
          <w:kern w:val="0"/>
          <w:szCs w:val="22"/>
        </w:rPr>
        <w:t xml:space="preserve">do not challenge the </w:t>
      </w:r>
      <w:r w:rsidR="00D5373F">
        <w:rPr>
          <w:snapToGrid/>
          <w:kern w:val="0"/>
          <w:szCs w:val="22"/>
        </w:rPr>
        <w:t>Commission</w:t>
      </w:r>
      <w:r w:rsidR="00D9587E">
        <w:rPr>
          <w:snapToGrid/>
          <w:kern w:val="0"/>
          <w:szCs w:val="22"/>
        </w:rPr>
        <w:t>’s judgment that its action</w:t>
      </w:r>
      <w:r w:rsidR="006E57CD">
        <w:rPr>
          <w:snapToGrid/>
          <w:kern w:val="0"/>
          <w:szCs w:val="22"/>
        </w:rPr>
        <w:t>s</w:t>
      </w:r>
      <w:r w:rsidR="00D9587E">
        <w:rPr>
          <w:snapToGrid/>
          <w:kern w:val="0"/>
          <w:szCs w:val="22"/>
        </w:rPr>
        <w:t xml:space="preserve"> would serve the public interest.</w:t>
      </w:r>
      <w:r>
        <w:rPr>
          <w:rStyle w:val="FootnoteReference"/>
          <w:snapToGrid/>
          <w:kern w:val="0"/>
          <w:szCs w:val="22"/>
        </w:rPr>
        <w:footnoteReference w:id="72"/>
      </w:r>
      <w:r w:rsidR="00D9587E">
        <w:rPr>
          <w:snapToGrid/>
          <w:kern w:val="0"/>
          <w:szCs w:val="22"/>
        </w:rPr>
        <w:t xml:space="preserve"> </w:t>
      </w:r>
      <w:r w:rsidR="00102C25">
        <w:rPr>
          <w:snapToGrid/>
          <w:kern w:val="0"/>
          <w:szCs w:val="22"/>
        </w:rPr>
        <w:t xml:space="preserve"> </w:t>
      </w:r>
      <w:r w:rsidR="007C3EF1">
        <w:rPr>
          <w:snapToGrid/>
          <w:kern w:val="0"/>
          <w:szCs w:val="22"/>
        </w:rPr>
        <w:t xml:space="preserve">Instead, they repeat arguments that the </w:t>
      </w:r>
      <w:r w:rsidR="00D5373F">
        <w:rPr>
          <w:snapToGrid/>
          <w:kern w:val="0"/>
          <w:szCs w:val="22"/>
        </w:rPr>
        <w:t>Commission</w:t>
      </w:r>
      <w:r w:rsidR="007C3EF1">
        <w:rPr>
          <w:snapToGrid/>
          <w:kern w:val="0"/>
          <w:szCs w:val="22"/>
        </w:rPr>
        <w:t xml:space="preserve"> impermissibly effected a “fundamental change” </w:t>
      </w:r>
      <w:r w:rsidRPr="007345E5" w:rsidR="00C26EB9">
        <w:rPr>
          <w:szCs w:val="22"/>
        </w:rPr>
        <w:t>by</w:t>
      </w:r>
      <w:r w:rsidRPr="007345E5" w:rsidR="003101DF">
        <w:rPr>
          <w:szCs w:val="22"/>
        </w:rPr>
        <w:t xml:space="preserve"> </w:t>
      </w:r>
      <w:r w:rsidRPr="007345E5" w:rsidR="00162682">
        <w:rPr>
          <w:szCs w:val="22"/>
        </w:rPr>
        <w:t>depriving</w:t>
      </w:r>
      <w:r w:rsidRPr="007345E5" w:rsidR="00162682">
        <w:rPr>
          <w:sz w:val="23"/>
          <w:szCs w:val="23"/>
        </w:rPr>
        <w:t xml:space="preserve"> them of</w:t>
      </w:r>
      <w:r w:rsidRPr="007345E5">
        <w:t xml:space="preserve"> </w:t>
      </w:r>
      <w:r w:rsidR="007C3EF1">
        <w:t>spectrum access rights without their consent</w:t>
      </w:r>
      <w:r w:rsidRPr="007345E5">
        <w:t>.</w:t>
      </w:r>
      <w:r>
        <w:rPr>
          <w:rStyle w:val="FootnoteReference"/>
        </w:rPr>
        <w:footnoteReference w:id="73"/>
      </w:r>
      <w:r w:rsidRPr="007345E5">
        <w:t xml:space="preserve"> </w:t>
      </w:r>
      <w:r w:rsidR="00102C25">
        <w:t xml:space="preserve"> </w:t>
      </w:r>
      <w:r w:rsidR="006C766F">
        <w:rPr>
          <w:szCs w:val="22"/>
        </w:rPr>
        <w:t>But “[t]</w:t>
      </w:r>
      <w:r w:rsidR="006C766F">
        <w:t>he D.C. Circuit has consistently upheld the Commission’s authority to modify licenses where the affected licensee is able to continue providing substantially the same service following the modification</w:t>
      </w:r>
      <w:r w:rsidR="007C3EF1">
        <w:t>.”</w:t>
      </w:r>
      <w:r>
        <w:rPr>
          <w:rStyle w:val="FootnoteReference"/>
        </w:rPr>
        <w:footnoteReference w:id="74"/>
      </w:r>
      <w:r w:rsidR="007C3EF1">
        <w:t xml:space="preserve"> </w:t>
      </w:r>
      <w:r w:rsidR="00102C25">
        <w:t xml:space="preserve"> </w:t>
      </w:r>
      <w:r w:rsidR="007C3EF1">
        <w:t>The record demonstrated that Petitioners</w:t>
      </w:r>
      <w:r w:rsidR="006C766F">
        <w:t xml:space="preserve"> </w:t>
      </w:r>
      <w:r w:rsidR="007C3EF1">
        <w:t>“</w:t>
      </w:r>
      <w:r w:rsidR="006C766F">
        <w:t>provide little to no service in the contiguous United States today and, as such, the remaining 200 megahertz of spectrum available after the transition period exceeds any reasonable estimate of their needs.”</w:t>
      </w:r>
      <w:r>
        <w:rPr>
          <w:rStyle w:val="FootnoteReference"/>
        </w:rPr>
        <w:footnoteReference w:id="75"/>
      </w:r>
      <w:r w:rsidRPr="0054141B" w:rsidR="0054141B">
        <w:rPr>
          <w:szCs w:val="22"/>
        </w:rPr>
        <w:t xml:space="preserve"> </w:t>
      </w:r>
    </w:p>
    <w:p w:rsidR="004C0BDD" w:rsidRPr="003E27C1" w:rsidP="004C0BDD" w14:paraId="6F959979" w14:textId="12BA434C">
      <w:pPr>
        <w:pStyle w:val="ParaNum"/>
      </w:pPr>
      <w:r w:rsidRPr="007345E5">
        <w:t xml:space="preserve">Petitioners </w:t>
      </w:r>
      <w:r w:rsidRPr="007345E5" w:rsidR="005D7B4C">
        <w:t>contend</w:t>
      </w:r>
      <w:r w:rsidRPr="007345E5">
        <w:t xml:space="preserve"> that other Title III provisions confirm that the </w:t>
      </w:r>
      <w:r w:rsidR="00D5373F">
        <w:t>Commission</w:t>
      </w:r>
      <w:r w:rsidRPr="007345E5">
        <w:t xml:space="preserve"> exceeded its </w:t>
      </w:r>
      <w:r w:rsidR="00B902EA">
        <w:t xml:space="preserve">Section 316 </w:t>
      </w:r>
      <w:r w:rsidRPr="007345E5">
        <w:t>authority</w:t>
      </w:r>
      <w:r w:rsidRPr="007345E5" w:rsidR="00A71302">
        <w:t>.</w:t>
      </w:r>
      <w:r>
        <w:rPr>
          <w:rStyle w:val="FootnoteReference"/>
        </w:rPr>
        <w:footnoteReference w:id="76"/>
      </w:r>
      <w:r w:rsidRPr="007345E5" w:rsidR="00A71302">
        <w:t xml:space="preserve"> </w:t>
      </w:r>
      <w:r w:rsidR="00102C25">
        <w:t xml:space="preserve"> </w:t>
      </w:r>
      <w:r w:rsidRPr="007345E5" w:rsidR="00A71302">
        <w:t xml:space="preserve">First, they </w:t>
      </w:r>
      <w:r w:rsidR="006F3672">
        <w:t>contend</w:t>
      </w:r>
      <w:r w:rsidRPr="007345E5" w:rsidR="00A71302">
        <w:t xml:space="preserve"> that</w:t>
      </w:r>
      <w:r w:rsidRPr="007345E5">
        <w:t xml:space="preserve"> the Commission cannot revoke licenses under </w:t>
      </w:r>
      <w:r w:rsidRPr="007345E5" w:rsidR="00A71302">
        <w:t>47 U.S.C. §</w:t>
      </w:r>
      <w:r w:rsidRPr="007345E5">
        <w:t xml:space="preserve"> 312(a)</w:t>
      </w:r>
      <w:r w:rsidR="00B902EA">
        <w:t xml:space="preserve"> </w:t>
      </w:r>
      <w:r w:rsidRPr="007345E5" w:rsidR="00B902EA">
        <w:t xml:space="preserve">to make room for new </w:t>
      </w:r>
      <w:r w:rsidR="00B902EA">
        <w:t xml:space="preserve">spectrum </w:t>
      </w:r>
      <w:r w:rsidRPr="007345E5" w:rsidR="00B902EA">
        <w:t>uses</w:t>
      </w:r>
      <w:r w:rsidRPr="007345E5" w:rsidR="00A71302">
        <w:t xml:space="preserve">. </w:t>
      </w:r>
      <w:r w:rsidR="00102C25">
        <w:t xml:space="preserve"> </w:t>
      </w:r>
      <w:r w:rsidR="00EA7BB5">
        <w:t>T</w:t>
      </w:r>
      <w:r w:rsidRPr="007345E5" w:rsidR="00A71302">
        <w:t xml:space="preserve">he </w:t>
      </w:r>
      <w:r w:rsidR="00D5373F">
        <w:t>Commission</w:t>
      </w:r>
      <w:r w:rsidRPr="007345E5" w:rsidR="00A71302">
        <w:t xml:space="preserve"> </w:t>
      </w:r>
      <w:r w:rsidR="00666CFF">
        <w:t>did</w:t>
      </w:r>
      <w:r w:rsidRPr="007345E5" w:rsidR="00A71302">
        <w:t xml:space="preserve"> not revok</w:t>
      </w:r>
      <w:r w:rsidR="00666CFF">
        <w:t>e any</w:t>
      </w:r>
      <w:r w:rsidRPr="007345E5" w:rsidR="00A71302">
        <w:t xml:space="preserve"> license</w:t>
      </w:r>
      <w:r w:rsidR="00B902EA">
        <w:t>s</w:t>
      </w:r>
      <w:r w:rsidR="00EA7BB5">
        <w:t>, however</w:t>
      </w:r>
      <w:r w:rsidR="00B902EA">
        <w:t>.</w:t>
      </w:r>
      <w:r w:rsidRPr="007345E5" w:rsidR="00A71302">
        <w:t xml:space="preserve"> </w:t>
      </w:r>
      <w:r w:rsidR="00102C25">
        <w:t xml:space="preserve"> </w:t>
      </w:r>
      <w:r w:rsidRPr="007345E5" w:rsidR="00A71302">
        <w:t xml:space="preserve">Second, Petitioners </w:t>
      </w:r>
      <w:r w:rsidR="00666CFF">
        <w:t>argue</w:t>
      </w:r>
      <w:r w:rsidRPr="007345E5" w:rsidR="00A71302">
        <w:t xml:space="preserve"> that</w:t>
      </w:r>
      <w:r w:rsidRPr="007345E5">
        <w:t xml:space="preserve"> </w:t>
      </w:r>
      <w:r w:rsidR="00666CFF">
        <w:t xml:space="preserve">Section 303(y)’s authorization to allocate spectrum for </w:t>
      </w:r>
      <w:r w:rsidRPr="007345E5">
        <w:t>flexible</w:t>
      </w:r>
      <w:r w:rsidR="00666CFF">
        <w:t xml:space="preserve"> </w:t>
      </w:r>
      <w:r w:rsidRPr="007345E5">
        <w:t xml:space="preserve">use </w:t>
      </w:r>
      <w:r w:rsidR="00666CFF">
        <w:t xml:space="preserve">if, among other things, “such use would not result in </w:t>
      </w:r>
      <w:r w:rsidRPr="007345E5">
        <w:t>harmful interference among users</w:t>
      </w:r>
      <w:r w:rsidR="00666CFF">
        <w:t>,</w:t>
      </w:r>
      <w:r w:rsidRPr="007345E5">
        <w:t>”</w:t>
      </w:r>
      <w:r>
        <w:rPr>
          <w:rStyle w:val="FootnoteReference"/>
        </w:rPr>
        <w:footnoteReference w:id="77"/>
      </w:r>
      <w:r w:rsidRPr="007345E5" w:rsidR="00A71302">
        <w:t xml:space="preserve"> </w:t>
      </w:r>
      <w:r w:rsidRPr="007345E5">
        <w:t>would be unnecessary if</w:t>
      </w:r>
      <w:r w:rsidRPr="007345E5" w:rsidR="00A71302">
        <w:t xml:space="preserve"> the Commission could simply</w:t>
      </w:r>
      <w:r w:rsidRPr="007345E5">
        <w:t xml:space="preserve"> modify</w:t>
      </w:r>
      <w:r w:rsidRPr="007345E5" w:rsidR="00A71302">
        <w:t xml:space="preserve"> </w:t>
      </w:r>
      <w:r w:rsidRPr="007345E5">
        <w:t>licenses</w:t>
      </w:r>
      <w:r w:rsidRPr="007345E5" w:rsidR="00A71302">
        <w:t xml:space="preserve"> </w:t>
      </w:r>
      <w:r w:rsidRPr="007345E5">
        <w:t>t</w:t>
      </w:r>
      <w:r w:rsidRPr="007345E5" w:rsidR="00A71302">
        <w:t xml:space="preserve">o make way for new uses. </w:t>
      </w:r>
      <w:r w:rsidR="00102C25">
        <w:t xml:space="preserve"> </w:t>
      </w:r>
      <w:r w:rsidR="00EA7BB5">
        <w:t>But t</w:t>
      </w:r>
      <w:r w:rsidRPr="007345E5" w:rsidR="00320D55">
        <w:t xml:space="preserve">he </w:t>
      </w:r>
      <w:r w:rsidR="00D5373F">
        <w:t>Commission</w:t>
      </w:r>
      <w:r w:rsidRPr="007345E5" w:rsidR="00320D55">
        <w:t xml:space="preserve">’s exercise of authority </w:t>
      </w:r>
      <w:r w:rsidR="00666CFF">
        <w:t>to repurpose</w:t>
      </w:r>
      <w:r w:rsidRPr="007345E5" w:rsidR="00320D55">
        <w:t xml:space="preserve"> a portion of the C-</w:t>
      </w:r>
      <w:r w:rsidR="00102C25">
        <w:t>b</w:t>
      </w:r>
      <w:r w:rsidRPr="007345E5" w:rsidR="00102C25">
        <w:t xml:space="preserve">and </w:t>
      </w:r>
      <w:r w:rsidRPr="007345E5" w:rsidR="00320D55">
        <w:t xml:space="preserve">did not avoid Section 303(y)’s </w:t>
      </w:r>
      <w:r w:rsidR="00666CFF">
        <w:t xml:space="preserve">no-interference </w:t>
      </w:r>
      <w:r w:rsidRPr="007345E5" w:rsidR="00320D55">
        <w:t>requirement</w:t>
      </w:r>
      <w:r w:rsidR="00666CFF">
        <w:t xml:space="preserve">. </w:t>
      </w:r>
      <w:r w:rsidR="00102C25">
        <w:t xml:space="preserve"> </w:t>
      </w:r>
      <w:r w:rsidR="00666CFF">
        <w:t>T</w:t>
      </w:r>
      <w:r w:rsidRPr="007345E5" w:rsidR="00320D55">
        <w:t xml:space="preserve">he </w:t>
      </w:r>
      <w:r w:rsidR="00D5373F">
        <w:t>Commission</w:t>
      </w:r>
      <w:r w:rsidRPr="007345E5" w:rsidR="00A71302">
        <w:t xml:space="preserve"> establish</w:t>
      </w:r>
      <w:r w:rsidRPr="007345E5" w:rsidR="00320D55">
        <w:t>ed</w:t>
      </w:r>
      <w:r w:rsidRPr="007345E5" w:rsidR="00A71302">
        <w:t xml:space="preserve"> guard band and transition requirements</w:t>
      </w:r>
      <w:r w:rsidRPr="007345E5" w:rsidR="00320D55">
        <w:t xml:space="preserve"> to avoid interference between incumbents and new, flexible-use licensees</w:t>
      </w:r>
      <w:r w:rsidRPr="007345E5" w:rsidR="00A71302">
        <w:t>.</w:t>
      </w:r>
      <w:r>
        <w:rPr>
          <w:rStyle w:val="FootnoteReference"/>
        </w:rPr>
        <w:footnoteReference w:id="78"/>
      </w:r>
      <w:r w:rsidRPr="007345E5" w:rsidR="00A71302">
        <w:rPr>
          <w:color w:val="000000"/>
        </w:rPr>
        <w:t xml:space="preserve"> </w:t>
      </w:r>
      <w:r w:rsidR="00102C25">
        <w:rPr>
          <w:color w:val="000000"/>
        </w:rPr>
        <w:t xml:space="preserve"> </w:t>
      </w:r>
      <w:r w:rsidRPr="007345E5" w:rsidR="00320D55">
        <w:rPr>
          <w:color w:val="000000"/>
        </w:rPr>
        <w:t xml:space="preserve">Third, </w:t>
      </w:r>
      <w:r w:rsidRPr="007345E5" w:rsidR="00320D55">
        <w:t xml:space="preserve">Petitioners suggest that a </w:t>
      </w:r>
      <w:r w:rsidRPr="007345E5" w:rsidR="00320D55">
        <w:rPr>
          <w:szCs w:val="22"/>
        </w:rPr>
        <w:t xml:space="preserve">reverse auction under 47 U.S.C. § 309(j)(8)(G) is the appropriate mechanism for incumbents to relinquish spectrum access rights. </w:t>
      </w:r>
      <w:r w:rsidR="00102C25">
        <w:rPr>
          <w:szCs w:val="22"/>
        </w:rPr>
        <w:t xml:space="preserve"> </w:t>
      </w:r>
      <w:r w:rsidRPr="007345E5">
        <w:t xml:space="preserve">But the </w:t>
      </w:r>
      <w:r w:rsidR="00D5373F">
        <w:t>Commission</w:t>
      </w:r>
      <w:r w:rsidRPr="007345E5">
        <w:t>’s reverse auction authority is discretionary,</w:t>
      </w:r>
      <w:r>
        <w:rPr>
          <w:rStyle w:val="FootnoteReference"/>
        </w:rPr>
        <w:footnoteReference w:id="79"/>
      </w:r>
      <w:r w:rsidRPr="007345E5">
        <w:t xml:space="preserve"> and in all events is inapplicable here</w:t>
      </w:r>
      <w:r w:rsidRPr="00102C25">
        <w:t>.</w:t>
      </w:r>
      <w:r>
        <w:rPr>
          <w:rStyle w:val="FootnoteReference"/>
        </w:rPr>
        <w:footnoteReference w:id="80"/>
      </w:r>
    </w:p>
    <w:p w:rsidR="00005E3C" w:rsidRPr="003E27C1" w:rsidP="008D4259" w14:paraId="375AA346" w14:textId="6EA21EDF">
      <w:pPr>
        <w:pStyle w:val="ParaNum"/>
      </w:pPr>
      <w:r w:rsidRPr="007345E5">
        <w:t xml:space="preserve">Petitioners </w:t>
      </w:r>
      <w:r w:rsidRPr="007345E5" w:rsidR="00FC37A1">
        <w:t>a</w:t>
      </w:r>
      <w:r w:rsidR="007C75D7">
        <w:t xml:space="preserve">lso contend that whether the </w:t>
      </w:r>
      <w:r w:rsidR="00D5373F">
        <w:t>Commission</w:t>
      </w:r>
      <w:r w:rsidR="007C75D7">
        <w:t xml:space="preserve"> effects a “fundamental change” </w:t>
      </w:r>
      <w:r w:rsidRPr="007345E5">
        <w:t xml:space="preserve">must </w:t>
      </w:r>
      <w:r w:rsidRPr="007345E5" w:rsidR="00615AF2">
        <w:t>be de</w:t>
      </w:r>
      <w:r w:rsidR="007C75D7">
        <w:t>termin</w:t>
      </w:r>
      <w:r w:rsidRPr="007345E5" w:rsidR="00615AF2">
        <w:t>ed</w:t>
      </w:r>
      <w:r w:rsidR="007C75D7">
        <w:t xml:space="preserve"> by the</w:t>
      </w:r>
      <w:r w:rsidRPr="007345E5">
        <w:t xml:space="preserve"> </w:t>
      </w:r>
      <w:r w:rsidR="007C75D7">
        <w:t>impact on</w:t>
      </w:r>
      <w:r w:rsidR="0054141B">
        <w:t xml:space="preserve"> </w:t>
      </w:r>
      <w:r w:rsidRPr="007345E5">
        <w:t>rights</w:t>
      </w:r>
      <w:r w:rsidRPr="007345E5" w:rsidR="00615AF2">
        <w:t xml:space="preserve"> held</w:t>
      </w:r>
      <w:r w:rsidRPr="007345E5" w:rsidR="00FC37A1">
        <w:t xml:space="preserve"> because</w:t>
      </w:r>
      <w:r w:rsidRPr="007345E5">
        <w:t xml:space="preserve"> the statut</w:t>
      </w:r>
      <w:r w:rsidRPr="007345E5" w:rsidR="00615AF2">
        <w:t>e</w:t>
      </w:r>
      <w:r w:rsidRPr="007345E5">
        <w:t xml:space="preserve"> “says nothing about current levels of service to existing customers</w:t>
      </w:r>
      <w:r w:rsidRPr="007345E5" w:rsidR="00725E1F">
        <w:t>.</w:t>
      </w:r>
      <w:r w:rsidRPr="007345E5">
        <w:t>”</w:t>
      </w:r>
      <w:r>
        <w:rPr>
          <w:rStyle w:val="FootnoteReference"/>
        </w:rPr>
        <w:footnoteReference w:id="81"/>
      </w:r>
      <w:r w:rsidRPr="007345E5" w:rsidR="00725E1F">
        <w:t xml:space="preserve"> </w:t>
      </w:r>
      <w:r w:rsidR="00102C25">
        <w:t xml:space="preserve"> </w:t>
      </w:r>
      <w:r w:rsidRPr="007345E5" w:rsidR="001B08BA">
        <w:t>Petitioners’ cramped interpretation is inconsistent with th</w:t>
      </w:r>
      <w:r w:rsidR="001B08BA">
        <w:t>e</w:t>
      </w:r>
      <w:r w:rsidRPr="007345E5" w:rsidR="001B08BA">
        <w:t xml:space="preserve"> “broad power”</w:t>
      </w:r>
      <w:r w:rsidR="001B08BA">
        <w:t xml:space="preserve"> that Section 316 grants the Commission to modify licenses (short of fundamentally changing them) when it finds that doing so would serve the public interest.</w:t>
      </w:r>
      <w:r>
        <w:rPr>
          <w:rStyle w:val="FootnoteReference"/>
        </w:rPr>
        <w:footnoteReference w:id="82"/>
      </w:r>
      <w:r w:rsidR="001B08BA">
        <w:t xml:space="preserve">  </w:t>
      </w:r>
      <w:r w:rsidRPr="007345E5" w:rsidR="00FC37A1">
        <w:t xml:space="preserve">Petitioners also complain that the </w:t>
      </w:r>
      <w:r w:rsidR="00D5373F">
        <w:t>Commission</w:t>
      </w:r>
      <w:r w:rsidRPr="007345E5">
        <w:t xml:space="preserve">’s </w:t>
      </w:r>
      <w:r w:rsidRPr="007345E5" w:rsidR="00CC6AC2">
        <w:t xml:space="preserve">functional test </w:t>
      </w:r>
      <w:r w:rsidRPr="007345E5" w:rsidR="00FC37A1">
        <w:t xml:space="preserve">would </w:t>
      </w:r>
      <w:r w:rsidRPr="007345E5">
        <w:t xml:space="preserve">allow it to eliminate virtually all </w:t>
      </w:r>
      <w:r w:rsidRPr="007345E5" w:rsidR="00FC37A1">
        <w:t>spectrum access</w:t>
      </w:r>
      <w:r w:rsidRPr="007345E5">
        <w:t xml:space="preserve"> rights at any time prior to</w:t>
      </w:r>
      <w:r w:rsidRPr="007345E5" w:rsidR="00FC37A1">
        <w:t xml:space="preserve"> </w:t>
      </w:r>
      <w:r w:rsidRPr="007345E5">
        <w:t>commercial rollout</w:t>
      </w:r>
      <w:r w:rsidRPr="007345E5" w:rsidR="00FC37A1">
        <w:t>.</w:t>
      </w:r>
      <w:r>
        <w:rPr>
          <w:rStyle w:val="FootnoteReference"/>
        </w:rPr>
        <w:footnoteReference w:id="83"/>
      </w:r>
      <w:r w:rsidRPr="007345E5" w:rsidR="00FC37A1">
        <w:rPr>
          <w:b/>
          <w:bCs/>
        </w:rPr>
        <w:t xml:space="preserve"> </w:t>
      </w:r>
      <w:r w:rsidR="00102C25">
        <w:rPr>
          <w:b/>
          <w:bCs/>
        </w:rPr>
        <w:t xml:space="preserve"> </w:t>
      </w:r>
      <w:r w:rsidRPr="007345E5" w:rsidR="00FC37A1">
        <w:t>But the</w:t>
      </w:r>
      <w:r w:rsidR="00EA7BB5">
        <w:t xml:space="preserve"> </w:t>
      </w:r>
      <w:r w:rsidR="00D5373F">
        <w:t>Commission</w:t>
      </w:r>
      <w:r w:rsidRPr="007345E5" w:rsidR="00FC37A1">
        <w:t xml:space="preserve"> </w:t>
      </w:r>
      <w:r w:rsidRPr="007345E5">
        <w:t xml:space="preserve">found that all </w:t>
      </w:r>
      <w:r w:rsidR="00743591">
        <w:t>satellite operators</w:t>
      </w:r>
      <w:r w:rsidRPr="007345E5">
        <w:t xml:space="preserve"> would be able to provide substantially the same service</w:t>
      </w:r>
      <w:r w:rsidR="00743591">
        <w:t xml:space="preserve"> after </w:t>
      </w:r>
      <w:r w:rsidR="00EA7BB5">
        <w:t>the C-</w:t>
      </w:r>
      <w:r w:rsidR="00102C25">
        <w:t xml:space="preserve">band </w:t>
      </w:r>
      <w:r w:rsidR="00EA7BB5">
        <w:t xml:space="preserve">is </w:t>
      </w:r>
      <w:r w:rsidR="00743591">
        <w:t>repurpos</w:t>
      </w:r>
      <w:r w:rsidR="00EA7BB5">
        <w:t>ed</w:t>
      </w:r>
      <w:r w:rsidRPr="007345E5">
        <w:t>, not just</w:t>
      </w:r>
      <w:r w:rsidRPr="007345E5" w:rsidR="001E42C4">
        <w:t xml:space="preserve"> </w:t>
      </w:r>
      <w:r w:rsidR="00743591">
        <w:t>those</w:t>
      </w:r>
      <w:r w:rsidRPr="007345E5" w:rsidR="00FC37A1">
        <w:t xml:space="preserve"> like Petitioners</w:t>
      </w:r>
      <w:r w:rsidRPr="007345E5" w:rsidR="001E42C4">
        <w:t xml:space="preserve"> </w:t>
      </w:r>
      <w:r w:rsidRPr="007345E5" w:rsidR="00FC37A1">
        <w:t>with</w:t>
      </w:r>
      <w:r w:rsidRPr="007345E5">
        <w:t xml:space="preserve"> few or no </w:t>
      </w:r>
      <w:r w:rsidR="00C47A23">
        <w:t>U</w:t>
      </w:r>
      <w:r w:rsidR="00102C25">
        <w:t xml:space="preserve">nited </w:t>
      </w:r>
      <w:r w:rsidR="00C47A23">
        <w:t>S</w:t>
      </w:r>
      <w:r w:rsidR="00102C25">
        <w:t>tates</w:t>
      </w:r>
      <w:r w:rsidR="00C47A23">
        <w:t xml:space="preserve"> </w:t>
      </w:r>
      <w:r w:rsidRPr="007345E5">
        <w:t>customers.</w:t>
      </w:r>
      <w:r>
        <w:rPr>
          <w:rStyle w:val="FootnoteReference"/>
        </w:rPr>
        <w:footnoteReference w:id="84"/>
      </w:r>
      <w:r w:rsidRPr="003E27C1" w:rsidR="004730AB">
        <w:t xml:space="preserve"> </w:t>
      </w:r>
    </w:p>
    <w:p w:rsidR="00572210" w:rsidRPr="003E27C1" w:rsidP="008D4259" w14:paraId="17933AD4" w14:textId="1F2F76D5">
      <w:pPr>
        <w:pStyle w:val="ParaNum"/>
        <w:rPr>
          <w:szCs w:val="22"/>
        </w:rPr>
      </w:pPr>
      <w:r w:rsidRPr="00005E3C">
        <w:rPr>
          <w:szCs w:val="22"/>
        </w:rPr>
        <w:t xml:space="preserve">Petitioners argue that </w:t>
      </w:r>
      <w:r w:rsidR="00987B6B">
        <w:rPr>
          <w:szCs w:val="22"/>
        </w:rPr>
        <w:t xml:space="preserve">they will prevail because </w:t>
      </w:r>
      <w:r w:rsidRPr="00005E3C">
        <w:rPr>
          <w:szCs w:val="22"/>
        </w:rPr>
        <w:t xml:space="preserve">the </w:t>
      </w:r>
      <w:r w:rsidR="00D5373F">
        <w:rPr>
          <w:szCs w:val="22"/>
        </w:rPr>
        <w:t>Commission</w:t>
      </w:r>
      <w:r w:rsidRPr="00005E3C">
        <w:rPr>
          <w:szCs w:val="22"/>
        </w:rPr>
        <w:t xml:space="preserve"> </w:t>
      </w:r>
      <w:r w:rsidR="00987B6B">
        <w:rPr>
          <w:szCs w:val="22"/>
        </w:rPr>
        <w:t xml:space="preserve">in the </w:t>
      </w:r>
      <w:r w:rsidR="00987B6B">
        <w:rPr>
          <w:i/>
          <w:iCs/>
          <w:szCs w:val="22"/>
        </w:rPr>
        <w:t>3.7 GHz Report and Order</w:t>
      </w:r>
      <w:r w:rsidR="00987B6B">
        <w:rPr>
          <w:szCs w:val="22"/>
        </w:rPr>
        <w:t xml:space="preserve"> </w:t>
      </w:r>
      <w:r w:rsidRPr="00005E3C">
        <w:rPr>
          <w:szCs w:val="22"/>
        </w:rPr>
        <w:t xml:space="preserve">arbitrarily departed from </w:t>
      </w:r>
      <w:r w:rsidR="00C81B8A">
        <w:rPr>
          <w:szCs w:val="22"/>
        </w:rPr>
        <w:t>a purported</w:t>
      </w:r>
      <w:r w:rsidRPr="00005E3C" w:rsidR="00C81B8A">
        <w:rPr>
          <w:szCs w:val="22"/>
        </w:rPr>
        <w:t xml:space="preserve"> </w:t>
      </w:r>
      <w:r w:rsidRPr="00005E3C">
        <w:rPr>
          <w:szCs w:val="22"/>
        </w:rPr>
        <w:t xml:space="preserve">policy of </w:t>
      </w:r>
      <w:r w:rsidR="00636AC2">
        <w:t>expanding incumbent licensees’ rights when it cannot simply migrate them, citing other proceedings.</w:t>
      </w:r>
      <w:r>
        <w:rPr>
          <w:rStyle w:val="FootnoteReference"/>
          <w:szCs w:val="22"/>
        </w:rPr>
        <w:footnoteReference w:id="85"/>
      </w:r>
      <w:r w:rsidR="00636AC2">
        <w:t xml:space="preserve"> The Commission did not change any existing policy.</w:t>
      </w:r>
      <w:r>
        <w:rPr>
          <w:rStyle w:val="FootnoteReference"/>
          <w:szCs w:val="22"/>
        </w:rPr>
        <w:footnoteReference w:id="86"/>
      </w:r>
      <w:r w:rsidR="00636AC2">
        <w:t xml:space="preserve"> Contrary to Petitioners’ suggestion,</w:t>
      </w:r>
      <w:r>
        <w:rPr>
          <w:rStyle w:val="FootnoteReference"/>
          <w:szCs w:val="22"/>
        </w:rPr>
        <w:footnoteReference w:id="87"/>
      </w:r>
      <w:r w:rsidR="00636AC2">
        <w:t xml:space="preserve"> the Commission distinguished various other proceedings by noting that when transitioning spectrum uses, it never has expanded rights solely to enable an </w:t>
      </w:r>
      <w:r w:rsidR="00636AC2">
        <w:t>incumbent licensee to sell those rights to obtain compensation for the changes being made, as Petitioners suggest it should.</w:t>
      </w:r>
      <w:r>
        <w:rPr>
          <w:rStyle w:val="FootnoteReference"/>
          <w:szCs w:val="22"/>
        </w:rPr>
        <w:footnoteReference w:id="88"/>
      </w:r>
      <w:r w:rsidRPr="00005E3C" w:rsidR="00636AC2">
        <w:rPr>
          <w:szCs w:val="22"/>
        </w:rPr>
        <w:t xml:space="preserve"> </w:t>
      </w:r>
      <w:r w:rsidR="00FD0494">
        <w:rPr>
          <w:szCs w:val="22"/>
        </w:rPr>
        <w:t xml:space="preserve"> </w:t>
      </w:r>
      <w:r w:rsidR="00636AC2">
        <w:rPr>
          <w:snapToGrid/>
          <w:kern w:val="0"/>
          <w:szCs w:val="22"/>
        </w:rPr>
        <w:t>Moreover, a</w:t>
      </w:r>
      <w:r w:rsidRPr="007345E5" w:rsidR="00636AC2">
        <w:rPr>
          <w:snapToGrid/>
          <w:kern w:val="0"/>
          <w:szCs w:val="22"/>
        </w:rPr>
        <w:t xml:space="preserve">s Verizon </w:t>
      </w:r>
      <w:r w:rsidRPr="007345E5" w:rsidR="00751D48">
        <w:rPr>
          <w:snapToGrid/>
          <w:kern w:val="0"/>
          <w:szCs w:val="22"/>
        </w:rPr>
        <w:t>points out, “[t]he Commission has previously applied § 316 to require licensees to reduce their spectrum usage rights and/or operate on different spectrum to</w:t>
      </w:r>
      <w:r w:rsidRPr="007345E5" w:rsidR="00751D48">
        <w:rPr>
          <w:i/>
          <w:iCs/>
          <w:szCs w:val="22"/>
        </w:rPr>
        <w:t xml:space="preserve"> </w:t>
      </w:r>
      <w:r w:rsidRPr="007345E5" w:rsidR="00751D48">
        <w:rPr>
          <w:snapToGrid/>
          <w:kern w:val="0"/>
          <w:szCs w:val="22"/>
        </w:rPr>
        <w:t>serve the public interest, without compensating those licensees.”</w:t>
      </w:r>
      <w:r>
        <w:rPr>
          <w:rStyle w:val="FootnoteReference"/>
          <w:snapToGrid/>
          <w:kern w:val="0"/>
          <w:szCs w:val="22"/>
        </w:rPr>
        <w:footnoteReference w:id="89"/>
      </w:r>
    </w:p>
    <w:p w:rsidR="00743669" w:rsidRPr="00743669" w:rsidP="00743669" w14:paraId="0AAD2726" w14:textId="3143A20F">
      <w:pPr>
        <w:pStyle w:val="ParaNum"/>
        <w:rPr>
          <w:szCs w:val="22"/>
        </w:rPr>
      </w:pPr>
      <w:r>
        <w:t xml:space="preserve">One mobile earth station operator, PSSI, argues in support of the </w:t>
      </w:r>
      <w:r w:rsidR="007E3E12">
        <w:t>S</w:t>
      </w:r>
      <w:r>
        <w:t xml:space="preserve">tay </w:t>
      </w:r>
      <w:r w:rsidR="007E3E12">
        <w:t>P</w:t>
      </w:r>
      <w:r>
        <w:t>etition.</w:t>
      </w:r>
      <w:r>
        <w:rPr>
          <w:rStyle w:val="FootnoteReference"/>
        </w:rPr>
        <w:footnoteReference w:id="90"/>
      </w:r>
      <w:r>
        <w:t xml:space="preserve"> </w:t>
      </w:r>
      <w:r w:rsidR="0049152E">
        <w:t xml:space="preserve"> </w:t>
      </w:r>
      <w:r>
        <w:t>PSSI leases excess satellite transponder</w:t>
      </w:r>
      <w:r>
        <w:rPr>
          <w:rStyle w:val="FootnoteReference"/>
        </w:rPr>
        <w:footnoteReference w:id="91"/>
      </w:r>
      <w:r>
        <w:t xml:space="preserve"> capacity on an </w:t>
      </w:r>
      <w:r w:rsidR="00045963">
        <w:t>o</w:t>
      </w:r>
      <w:r>
        <w:t xml:space="preserve">ccasional </w:t>
      </w:r>
      <w:r w:rsidR="00045963">
        <w:t>u</w:t>
      </w:r>
      <w:r>
        <w:t>se basis to broadcast live events.</w:t>
      </w:r>
      <w:r>
        <w:rPr>
          <w:rStyle w:val="FootnoteReference"/>
        </w:rPr>
        <w:footnoteReference w:id="92"/>
      </w:r>
      <w:r>
        <w:t xml:space="preserve"> </w:t>
      </w:r>
      <w:r w:rsidR="00584F88">
        <w:t xml:space="preserve"> </w:t>
      </w:r>
      <w:r>
        <w:t xml:space="preserve">It argues that the </w:t>
      </w:r>
      <w:r w:rsidR="00584F88">
        <w:rPr>
          <w:i/>
          <w:iCs/>
        </w:rPr>
        <w:t xml:space="preserve">3.7 GHz Report and </w:t>
      </w:r>
      <w:r w:rsidRPr="000E2984">
        <w:rPr>
          <w:i/>
          <w:iCs/>
        </w:rPr>
        <w:t>Order</w:t>
      </w:r>
      <w:r w:rsidRPr="000E2984">
        <w:t xml:space="preserve"> will “accelerate” a decline in</w:t>
      </w:r>
      <w:r>
        <w:t xml:space="preserve"> the transponder capacity</w:t>
      </w:r>
      <w:r w:rsidRPr="000E2984">
        <w:t xml:space="preserve"> and </w:t>
      </w:r>
      <w:r>
        <w:t>C-</w:t>
      </w:r>
      <w:r w:rsidR="00584F88">
        <w:t xml:space="preserve">band </w:t>
      </w:r>
      <w:r w:rsidRPr="000E2984">
        <w:t>spectrum</w:t>
      </w:r>
      <w:r>
        <w:t xml:space="preserve"> available for its occasional use,</w:t>
      </w:r>
      <w:r>
        <w:rPr>
          <w:rStyle w:val="FootnoteReference"/>
        </w:rPr>
        <w:footnoteReference w:id="93"/>
      </w:r>
      <w:r>
        <w:t xml:space="preserve"> and that </w:t>
      </w:r>
      <w:r w:rsidRPr="0054629A">
        <w:rPr>
          <w:szCs w:val="22"/>
        </w:rPr>
        <w:t xml:space="preserve">harmful interference from 5G </w:t>
      </w:r>
      <w:r w:rsidR="00AD6E31">
        <w:rPr>
          <w:szCs w:val="22"/>
        </w:rPr>
        <w:t>operations</w:t>
      </w:r>
      <w:r w:rsidRPr="0054629A" w:rsidR="00AD6E31">
        <w:rPr>
          <w:szCs w:val="22"/>
        </w:rPr>
        <w:t xml:space="preserve"> </w:t>
      </w:r>
      <w:r w:rsidRPr="0054629A">
        <w:rPr>
          <w:szCs w:val="22"/>
        </w:rPr>
        <w:t>and the lack of antenna filters will “cause catastrophic failure” to its mobile earth stations.</w:t>
      </w:r>
      <w:r>
        <w:rPr>
          <w:rStyle w:val="FootnoteReference"/>
          <w:sz w:val="22"/>
          <w:szCs w:val="22"/>
        </w:rPr>
        <w:footnoteReference w:id="94"/>
      </w:r>
      <w:r w:rsidRPr="0054629A">
        <w:rPr>
          <w:szCs w:val="22"/>
        </w:rPr>
        <w:t xml:space="preserve"> </w:t>
      </w:r>
      <w:r w:rsidR="00EC275D">
        <w:rPr>
          <w:szCs w:val="22"/>
        </w:rPr>
        <w:t xml:space="preserve"> </w:t>
      </w:r>
      <w:r w:rsidRPr="0054629A">
        <w:rPr>
          <w:szCs w:val="22"/>
        </w:rPr>
        <w:t xml:space="preserve">These arguments lack merit. </w:t>
      </w:r>
      <w:r w:rsidR="00EC275D">
        <w:rPr>
          <w:szCs w:val="22"/>
        </w:rPr>
        <w:t xml:space="preserve"> </w:t>
      </w:r>
      <w:r w:rsidRPr="0054629A">
        <w:rPr>
          <w:szCs w:val="22"/>
        </w:rPr>
        <w:t>First, earth station operators like PSSI hold no licensed spectrum usage rights in the C-</w:t>
      </w:r>
      <w:r w:rsidR="00C84DE1">
        <w:rPr>
          <w:szCs w:val="22"/>
        </w:rPr>
        <w:t>b</w:t>
      </w:r>
      <w:r w:rsidRPr="0054629A" w:rsidR="00C84DE1">
        <w:rPr>
          <w:szCs w:val="22"/>
        </w:rPr>
        <w:t>and</w:t>
      </w:r>
      <w:r w:rsidRPr="0054629A">
        <w:rPr>
          <w:szCs w:val="22"/>
        </w:rPr>
        <w:t>.</w:t>
      </w:r>
      <w:r>
        <w:rPr>
          <w:rStyle w:val="FootnoteReference"/>
          <w:sz w:val="22"/>
          <w:szCs w:val="22"/>
        </w:rPr>
        <w:footnoteReference w:id="95"/>
      </w:r>
      <w:r w:rsidRPr="0054629A">
        <w:rPr>
          <w:szCs w:val="22"/>
        </w:rPr>
        <w:t xml:space="preserve"> </w:t>
      </w:r>
      <w:r w:rsidR="009D11D2">
        <w:rPr>
          <w:szCs w:val="22"/>
        </w:rPr>
        <w:t xml:space="preserve"> </w:t>
      </w:r>
      <w:r w:rsidRPr="0054629A">
        <w:rPr>
          <w:szCs w:val="22"/>
        </w:rPr>
        <w:t xml:space="preserve">Second, </w:t>
      </w:r>
      <w:r>
        <w:rPr>
          <w:szCs w:val="22"/>
        </w:rPr>
        <w:t xml:space="preserve">PSSI’s contention that </w:t>
      </w:r>
      <w:r w:rsidRPr="0054629A">
        <w:rPr>
          <w:szCs w:val="22"/>
        </w:rPr>
        <w:t xml:space="preserve">there will be insufficient </w:t>
      </w:r>
      <w:r>
        <w:rPr>
          <w:szCs w:val="22"/>
        </w:rPr>
        <w:t>transponders for</w:t>
      </w:r>
      <w:r w:rsidRPr="0054629A">
        <w:rPr>
          <w:szCs w:val="22"/>
        </w:rPr>
        <w:t xml:space="preserve"> occasional use </w:t>
      </w:r>
      <w:r>
        <w:rPr>
          <w:szCs w:val="22"/>
        </w:rPr>
        <w:t xml:space="preserve">after the transition </w:t>
      </w:r>
      <w:r w:rsidRPr="0054629A">
        <w:rPr>
          <w:szCs w:val="22"/>
        </w:rPr>
        <w:t>is speculative</w:t>
      </w:r>
      <w:r>
        <w:rPr>
          <w:szCs w:val="22"/>
        </w:rPr>
        <w:t xml:space="preserve">. </w:t>
      </w:r>
      <w:r w:rsidR="00E1124D">
        <w:rPr>
          <w:szCs w:val="22"/>
        </w:rPr>
        <w:t xml:space="preserve"> </w:t>
      </w:r>
      <w:r>
        <w:rPr>
          <w:szCs w:val="22"/>
        </w:rPr>
        <w:t xml:space="preserve">Although </w:t>
      </w:r>
      <w:r w:rsidR="00E1124D">
        <w:rPr>
          <w:szCs w:val="22"/>
        </w:rPr>
        <w:t>space station</w:t>
      </w:r>
      <w:r w:rsidRPr="0054629A" w:rsidR="00E1124D">
        <w:rPr>
          <w:szCs w:val="22"/>
        </w:rPr>
        <w:t xml:space="preserve"> </w:t>
      </w:r>
      <w:r w:rsidRPr="0054629A">
        <w:rPr>
          <w:szCs w:val="22"/>
        </w:rPr>
        <w:t xml:space="preserve">operators are likely to </w:t>
      </w:r>
      <w:r>
        <w:rPr>
          <w:szCs w:val="22"/>
        </w:rPr>
        <w:t>have</w:t>
      </w:r>
      <w:r w:rsidRPr="0054629A">
        <w:rPr>
          <w:szCs w:val="22"/>
        </w:rPr>
        <w:t xml:space="preserve"> fewer </w:t>
      </w:r>
      <w:r>
        <w:rPr>
          <w:szCs w:val="22"/>
        </w:rPr>
        <w:t xml:space="preserve">total </w:t>
      </w:r>
      <w:r w:rsidRPr="0054629A">
        <w:rPr>
          <w:szCs w:val="22"/>
        </w:rPr>
        <w:t>transponders after the transition</w:t>
      </w:r>
      <w:r>
        <w:rPr>
          <w:szCs w:val="22"/>
        </w:rPr>
        <w:t>,</w:t>
      </w:r>
      <w:r w:rsidRPr="0054629A">
        <w:rPr>
          <w:szCs w:val="22"/>
        </w:rPr>
        <w:t xml:space="preserve"> </w:t>
      </w:r>
      <w:r>
        <w:rPr>
          <w:szCs w:val="22"/>
        </w:rPr>
        <w:t>the record reflects that customers may need fewer transponders due to more efficient spectrum use through new technologies</w:t>
      </w:r>
      <w:r>
        <w:rPr>
          <w:rStyle w:val="FootnoteReference"/>
          <w:sz w:val="22"/>
          <w:szCs w:val="22"/>
        </w:rPr>
        <w:footnoteReference w:id="96"/>
      </w:r>
      <w:r>
        <w:rPr>
          <w:szCs w:val="22"/>
        </w:rPr>
        <w:t xml:space="preserve"> and the trend in delivery services from satellite to fiber,</w:t>
      </w:r>
      <w:r>
        <w:rPr>
          <w:rStyle w:val="FootnoteReference"/>
          <w:szCs w:val="22"/>
        </w:rPr>
        <w:footnoteReference w:id="97"/>
      </w:r>
      <w:r>
        <w:rPr>
          <w:szCs w:val="22"/>
        </w:rPr>
        <w:t xml:space="preserve"> mitigating any reduction. </w:t>
      </w:r>
      <w:r w:rsidR="00A040B3">
        <w:rPr>
          <w:szCs w:val="22"/>
        </w:rPr>
        <w:t xml:space="preserve"> </w:t>
      </w:r>
      <w:r>
        <w:rPr>
          <w:szCs w:val="22"/>
        </w:rPr>
        <w:t xml:space="preserve">And </w:t>
      </w:r>
      <w:r w:rsidRPr="00A15BAD">
        <w:rPr>
          <w:szCs w:val="22"/>
        </w:rPr>
        <w:t xml:space="preserve">if demand for transponders </w:t>
      </w:r>
      <w:r w:rsidR="00DB42D8">
        <w:rPr>
          <w:szCs w:val="22"/>
        </w:rPr>
        <w:t>does</w:t>
      </w:r>
      <w:r w:rsidRPr="00A15BAD" w:rsidR="00DB42D8">
        <w:rPr>
          <w:szCs w:val="22"/>
        </w:rPr>
        <w:t xml:space="preserve"> </w:t>
      </w:r>
      <w:r w:rsidRPr="00A15BAD">
        <w:rPr>
          <w:szCs w:val="22"/>
        </w:rPr>
        <w:t xml:space="preserve">begin to outpace supply, satellite operators </w:t>
      </w:r>
      <w:r w:rsidR="00DB42D8">
        <w:rPr>
          <w:szCs w:val="22"/>
        </w:rPr>
        <w:t>may be able</w:t>
      </w:r>
      <w:r>
        <w:rPr>
          <w:szCs w:val="22"/>
        </w:rPr>
        <w:t xml:space="preserve"> to launch</w:t>
      </w:r>
      <w:r w:rsidRPr="00A15BAD">
        <w:rPr>
          <w:szCs w:val="22"/>
        </w:rPr>
        <w:t xml:space="preserve"> additional satellites to add more transponders.</w:t>
      </w:r>
      <w:r>
        <w:rPr>
          <w:szCs w:val="22"/>
        </w:rPr>
        <w:t xml:space="preserve"> </w:t>
      </w:r>
      <w:r w:rsidR="00D41027">
        <w:rPr>
          <w:szCs w:val="22"/>
        </w:rPr>
        <w:t xml:space="preserve"> </w:t>
      </w:r>
      <w:r>
        <w:rPr>
          <w:szCs w:val="22"/>
        </w:rPr>
        <w:t>Third, as SES explains, the reduction in transponders allocated to occasional use</w:t>
      </w:r>
      <w:r w:rsidR="00D41027">
        <w:rPr>
          <w:szCs w:val="22"/>
        </w:rPr>
        <w:t>—</w:t>
      </w:r>
      <w:r>
        <w:rPr>
          <w:szCs w:val="22"/>
        </w:rPr>
        <w:t xml:space="preserve">which, PSSI acknowledges, predates the </w:t>
      </w:r>
      <w:r w:rsidR="004431AD">
        <w:rPr>
          <w:i/>
          <w:iCs/>
          <w:szCs w:val="22"/>
        </w:rPr>
        <w:t xml:space="preserve">3.7 GHz Report and </w:t>
      </w:r>
      <w:r>
        <w:rPr>
          <w:i/>
          <w:szCs w:val="22"/>
        </w:rPr>
        <w:t>Order</w:t>
      </w:r>
      <w:r>
        <w:rPr>
          <w:rStyle w:val="FootnoteReference"/>
          <w:szCs w:val="22"/>
        </w:rPr>
        <w:footnoteReference w:id="98"/>
      </w:r>
      <w:r w:rsidR="00972A2A">
        <w:rPr>
          <w:szCs w:val="22"/>
        </w:rPr>
        <w:t>—</w:t>
      </w:r>
      <w:r w:rsidRPr="0054629A">
        <w:rPr>
          <w:szCs w:val="22"/>
        </w:rPr>
        <w:t xml:space="preserve">“flows from competitive forces impacting ‘demands for transponder capacity’ </w:t>
      </w:r>
      <w:r w:rsidRPr="0054629A">
        <w:rPr>
          <w:szCs w:val="22"/>
        </w:rPr>
        <w:t>and ‘customer reluctance to commit to future projects,’”</w:t>
      </w:r>
      <w:r>
        <w:rPr>
          <w:rStyle w:val="FootnoteReference"/>
          <w:sz w:val="22"/>
          <w:szCs w:val="22"/>
        </w:rPr>
        <w:footnoteReference w:id="99"/>
      </w:r>
      <w:r w:rsidRPr="0054629A">
        <w:rPr>
          <w:szCs w:val="22"/>
        </w:rPr>
        <w:t xml:space="preserve"> not the Commission’s </w:t>
      </w:r>
      <w:r>
        <w:rPr>
          <w:szCs w:val="22"/>
        </w:rPr>
        <w:t>actions here</w:t>
      </w:r>
      <w:r w:rsidRPr="0054629A">
        <w:rPr>
          <w:szCs w:val="22"/>
        </w:rPr>
        <w:t xml:space="preserve">. </w:t>
      </w:r>
      <w:r w:rsidR="001A08B7">
        <w:rPr>
          <w:szCs w:val="22"/>
        </w:rPr>
        <w:t xml:space="preserve"> </w:t>
      </w:r>
      <w:r>
        <w:rPr>
          <w:szCs w:val="22"/>
        </w:rPr>
        <w:t xml:space="preserve">Last, </w:t>
      </w:r>
      <w:r>
        <w:t xml:space="preserve">PSSI, like all other </w:t>
      </w:r>
      <w:r w:rsidR="005453AE">
        <w:t xml:space="preserve">incumbent </w:t>
      </w:r>
      <w:r>
        <w:t xml:space="preserve">earth station operators, </w:t>
      </w:r>
      <w:r w:rsidR="00DB42D8">
        <w:t>may qualify</w:t>
      </w:r>
      <w:r>
        <w:t xml:space="preserve"> to be relocated by eligible </w:t>
      </w:r>
      <w:r w:rsidR="005453AE">
        <w:t xml:space="preserve">space station </w:t>
      </w:r>
      <w:r>
        <w:t>operators or to elect a lump sum payment that will enable it to obtain filters for its facilities.</w:t>
      </w:r>
      <w:r>
        <w:rPr>
          <w:rStyle w:val="FootnoteReference"/>
        </w:rPr>
        <w:footnoteReference w:id="100"/>
      </w:r>
      <w:r w:rsidR="00EB673C">
        <w:t xml:space="preserve"> </w:t>
      </w:r>
      <w:r>
        <w:t xml:space="preserve"> PSSI does not identify any technical constraints that would prevent filters from being developed for their mobile earth stations.</w:t>
      </w:r>
      <w:r>
        <w:rPr>
          <w:rStyle w:val="FootnoteReference"/>
        </w:rPr>
        <w:footnoteReference w:id="101"/>
      </w:r>
      <w:r>
        <w:t xml:space="preserve">  </w:t>
      </w:r>
    </w:p>
    <w:p w:rsidR="00562143" w:rsidRPr="008D4259" w:rsidP="008D4259" w14:paraId="2F8CC246" w14:textId="51972209">
      <w:pPr>
        <w:pStyle w:val="ParaNum"/>
        <w:rPr>
          <w:szCs w:val="22"/>
        </w:rPr>
      </w:pPr>
      <w:r>
        <w:rPr>
          <w:i/>
          <w:iCs/>
          <w:szCs w:val="22"/>
        </w:rPr>
        <w:t>Funding Commitment</w:t>
      </w:r>
      <w:r w:rsidRPr="007345E5" w:rsidR="00933114">
        <w:rPr>
          <w:i/>
          <w:iCs/>
          <w:szCs w:val="22"/>
        </w:rPr>
        <w:t>s</w:t>
      </w:r>
      <w:r w:rsidRPr="007345E5" w:rsidR="005D7B4C">
        <w:rPr>
          <w:szCs w:val="22"/>
        </w:rPr>
        <w:t xml:space="preserve">. </w:t>
      </w:r>
      <w:r w:rsidR="00B36680">
        <w:rPr>
          <w:szCs w:val="22"/>
        </w:rPr>
        <w:t xml:space="preserve"> </w:t>
      </w:r>
      <w:r w:rsidRPr="007345E5" w:rsidR="001C1AFE">
        <w:rPr>
          <w:szCs w:val="22"/>
        </w:rPr>
        <w:t xml:space="preserve">Petitioners argue that </w:t>
      </w:r>
      <w:r>
        <w:rPr>
          <w:szCs w:val="22"/>
        </w:rPr>
        <w:t xml:space="preserve">the </w:t>
      </w:r>
      <w:r w:rsidR="00B36680">
        <w:rPr>
          <w:szCs w:val="22"/>
        </w:rPr>
        <w:t>accelerated relocation</w:t>
      </w:r>
      <w:r w:rsidRPr="007345E5" w:rsidR="00B36680">
        <w:rPr>
          <w:szCs w:val="22"/>
        </w:rPr>
        <w:t xml:space="preserve"> </w:t>
      </w:r>
      <w:r w:rsidRPr="007345E5" w:rsidR="001C1AFE">
        <w:rPr>
          <w:szCs w:val="22"/>
        </w:rPr>
        <w:t>payments</w:t>
      </w:r>
      <w:r>
        <w:rPr>
          <w:szCs w:val="22"/>
        </w:rPr>
        <w:t xml:space="preserve"> the </w:t>
      </w:r>
      <w:r w:rsidR="00B36680">
        <w:rPr>
          <w:i/>
          <w:iCs/>
          <w:szCs w:val="22"/>
        </w:rPr>
        <w:t xml:space="preserve">3.7 GHz Report and </w:t>
      </w:r>
      <w:r>
        <w:rPr>
          <w:i/>
          <w:iCs/>
          <w:szCs w:val="22"/>
        </w:rPr>
        <w:t xml:space="preserve">Order </w:t>
      </w:r>
      <w:r>
        <w:rPr>
          <w:szCs w:val="22"/>
        </w:rPr>
        <w:t>provides for</w:t>
      </w:r>
      <w:r w:rsidRPr="007345E5" w:rsidR="00FD7773">
        <w:rPr>
          <w:szCs w:val="22"/>
        </w:rPr>
        <w:t xml:space="preserve"> </w:t>
      </w:r>
      <w:r w:rsidRPr="007345E5" w:rsidR="001C1AFE">
        <w:rPr>
          <w:szCs w:val="22"/>
        </w:rPr>
        <w:t xml:space="preserve">are unnecessary </w:t>
      </w:r>
      <w:r>
        <w:rPr>
          <w:szCs w:val="22"/>
        </w:rPr>
        <w:t xml:space="preserve">and </w:t>
      </w:r>
      <w:r w:rsidR="00630439">
        <w:rPr>
          <w:szCs w:val="22"/>
        </w:rPr>
        <w:t>arbitrari</w:t>
      </w:r>
      <w:r>
        <w:rPr>
          <w:szCs w:val="22"/>
        </w:rPr>
        <w:t>ly high</w:t>
      </w:r>
      <w:r w:rsidRPr="007345E5" w:rsidR="00933114">
        <w:t>.</w:t>
      </w:r>
      <w:r>
        <w:rPr>
          <w:rStyle w:val="FootnoteReference"/>
          <w:szCs w:val="22"/>
        </w:rPr>
        <w:footnoteReference w:id="102"/>
      </w:r>
      <w:r w:rsidRPr="007345E5" w:rsidR="00933114">
        <w:rPr>
          <w:szCs w:val="22"/>
        </w:rPr>
        <w:t xml:space="preserve"> </w:t>
      </w:r>
      <w:r w:rsidR="00124470">
        <w:rPr>
          <w:szCs w:val="22"/>
        </w:rPr>
        <w:t xml:space="preserve"> </w:t>
      </w:r>
      <w:r>
        <w:t>The Commission</w:t>
      </w:r>
      <w:r w:rsidR="00007859">
        <w:t xml:space="preserve"> </w:t>
      </w:r>
      <w:r w:rsidRPr="007345E5" w:rsidR="00007859">
        <w:rPr>
          <w:szCs w:val="22"/>
        </w:rPr>
        <w:t xml:space="preserve">could have </w:t>
      </w:r>
      <w:r w:rsidR="00007859">
        <w:rPr>
          <w:szCs w:val="22"/>
        </w:rPr>
        <w:t xml:space="preserve">simply </w:t>
      </w:r>
      <w:r w:rsidRPr="007345E5" w:rsidR="00007859">
        <w:rPr>
          <w:szCs w:val="22"/>
        </w:rPr>
        <w:t>mandated accelerated relocation</w:t>
      </w:r>
      <w:r w:rsidR="00007859">
        <w:rPr>
          <w:szCs w:val="22"/>
        </w:rPr>
        <w:t xml:space="preserve">, they argue, and </w:t>
      </w:r>
      <w:r w:rsidRPr="007345E5">
        <w:t xml:space="preserve">should have based </w:t>
      </w:r>
      <w:r w:rsidR="00A20EEE">
        <w:t>accelerated relocation</w:t>
      </w:r>
      <w:r w:rsidRPr="007345E5" w:rsidR="00A20EEE">
        <w:t xml:space="preserve"> </w:t>
      </w:r>
      <w:r w:rsidRPr="007345E5">
        <w:t xml:space="preserve">payments on </w:t>
      </w:r>
      <w:r>
        <w:t>the amount that</w:t>
      </w:r>
      <w:r w:rsidRPr="007345E5">
        <w:t xml:space="preserve"> incumbents </w:t>
      </w:r>
      <w:r w:rsidR="00630439">
        <w:t>might</w:t>
      </w:r>
      <w:r>
        <w:t xml:space="preserve"> </w:t>
      </w:r>
      <w:r w:rsidRPr="007345E5">
        <w:t>be willing to accept</w:t>
      </w:r>
      <w:r>
        <w:t>, not</w:t>
      </w:r>
      <w:r w:rsidRPr="007345E5">
        <w:t xml:space="preserve"> </w:t>
      </w:r>
      <w:r w:rsidR="00630439">
        <w:t>the amount that</w:t>
      </w:r>
      <w:r w:rsidRPr="007345E5">
        <w:t xml:space="preserve"> auction participants would be willing to pay.</w:t>
      </w:r>
      <w:r>
        <w:rPr>
          <w:rStyle w:val="FootnoteReference"/>
        </w:rPr>
        <w:footnoteReference w:id="103"/>
      </w:r>
      <w:r>
        <w:t xml:space="preserve"> </w:t>
      </w:r>
      <w:r w:rsidR="00A20EEE">
        <w:t xml:space="preserve"> </w:t>
      </w:r>
      <w:r w:rsidR="00007859">
        <w:t xml:space="preserve">The </w:t>
      </w:r>
      <w:r w:rsidR="00D5373F">
        <w:t>Commission</w:t>
      </w:r>
      <w:r w:rsidR="00007859">
        <w:t xml:space="preserve"> considered and rejected these arguments in the </w:t>
      </w:r>
      <w:r w:rsidR="00A20EEE">
        <w:rPr>
          <w:i/>
          <w:iCs/>
        </w:rPr>
        <w:t xml:space="preserve">3.7 GHz Report and </w:t>
      </w:r>
      <w:r w:rsidR="00007859">
        <w:rPr>
          <w:i/>
          <w:iCs/>
        </w:rPr>
        <w:t>Order</w:t>
      </w:r>
      <w:r>
        <w:t>.</w:t>
      </w:r>
      <w:r>
        <w:rPr>
          <w:rStyle w:val="FootnoteReference"/>
        </w:rPr>
        <w:footnoteReference w:id="104"/>
      </w:r>
      <w:r>
        <w:t xml:space="preserve"> </w:t>
      </w:r>
      <w:r w:rsidR="00A20EEE">
        <w:t xml:space="preserve"> </w:t>
      </w:r>
      <w:r w:rsidRPr="007345E5">
        <w:t xml:space="preserve">Notably, Petitioners do not challenge the </w:t>
      </w:r>
      <w:r w:rsidR="00D5373F">
        <w:t>Commission</w:t>
      </w:r>
      <w:r w:rsidRPr="007345E5">
        <w:t xml:space="preserve">’s authority </w:t>
      </w:r>
      <w:r w:rsidR="00EC390B">
        <w:t xml:space="preserve">to provide </w:t>
      </w:r>
      <w:r w:rsidRPr="007345E5">
        <w:t xml:space="preserve">for </w:t>
      </w:r>
      <w:r w:rsidR="00EC390B">
        <w:t>accelerated relocation</w:t>
      </w:r>
      <w:r w:rsidRPr="007345E5" w:rsidR="00EC390B">
        <w:t xml:space="preserve"> </w:t>
      </w:r>
      <w:r w:rsidRPr="007345E5">
        <w:t xml:space="preserve">payments, only the particular amount </w:t>
      </w:r>
      <w:r>
        <w:t xml:space="preserve">it </w:t>
      </w:r>
      <w:r w:rsidRPr="007345E5">
        <w:t>chose.</w:t>
      </w:r>
      <w:r>
        <w:rPr>
          <w:rStyle w:val="FootnoteReference"/>
        </w:rPr>
        <w:footnoteReference w:id="105"/>
      </w:r>
      <w:r>
        <w:t xml:space="preserve"> </w:t>
      </w:r>
      <w:r w:rsidR="0045015A">
        <w:t xml:space="preserve"> </w:t>
      </w:r>
      <w:r w:rsidRPr="007345E5" w:rsidR="00933114">
        <w:t>Given evidence that the transition will be complex and demandin</w:t>
      </w:r>
      <w:r>
        <w:t>g</w:t>
      </w:r>
      <w:r w:rsidRPr="007345E5" w:rsidR="00FD7773">
        <w:t>,</w:t>
      </w:r>
      <w:r>
        <w:rPr>
          <w:rStyle w:val="FootnoteReference"/>
        </w:rPr>
        <w:footnoteReference w:id="106"/>
      </w:r>
      <w:r w:rsidRPr="007345E5" w:rsidR="00933114">
        <w:t xml:space="preserve"> </w:t>
      </w:r>
      <w:r w:rsidR="00630439">
        <w:t xml:space="preserve">the </w:t>
      </w:r>
      <w:r w:rsidR="00702B58">
        <w:t>Commission</w:t>
      </w:r>
      <w:r w:rsidR="00630439">
        <w:t xml:space="preserve"> </w:t>
      </w:r>
      <w:r w:rsidRPr="007345E5" w:rsidR="00933114">
        <w:t>reasonabl</w:t>
      </w:r>
      <w:r w:rsidR="00630439">
        <w:t>y</w:t>
      </w:r>
      <w:r w:rsidRPr="007345E5" w:rsidR="00933114">
        <w:t xml:space="preserve"> conclude</w:t>
      </w:r>
      <w:r w:rsidR="00630439">
        <w:t>d</w:t>
      </w:r>
      <w:r w:rsidRPr="007345E5" w:rsidR="00933114">
        <w:t xml:space="preserve"> that voluntary acceleration </w:t>
      </w:r>
      <w:r w:rsidR="00A76CEE">
        <w:t>was the best approach for achieving early clearing</w:t>
      </w:r>
      <w:r w:rsidRPr="007345E5" w:rsidR="00933114">
        <w:t>.</w:t>
      </w:r>
      <w:r>
        <w:rPr>
          <w:rStyle w:val="FootnoteReference"/>
        </w:rPr>
        <w:footnoteReference w:id="107"/>
      </w:r>
      <w:r w:rsidRPr="007345E5" w:rsidR="001C1AFE">
        <w:t xml:space="preserve"> </w:t>
      </w:r>
      <w:r w:rsidR="002719D8">
        <w:t xml:space="preserve"> </w:t>
      </w:r>
      <w:r w:rsidR="00007859">
        <w:t>It</w:t>
      </w:r>
      <w:r w:rsidRPr="007345E5">
        <w:t xml:space="preserve"> </w:t>
      </w:r>
      <w:r w:rsidR="00630439">
        <w:t>also</w:t>
      </w:r>
      <w:r w:rsidRPr="007345E5">
        <w:t xml:space="preserve"> explained that it</w:t>
      </w:r>
      <w:r w:rsidRPr="007345E5" w:rsidR="001C1AFE">
        <w:t xml:space="preserve"> had no means of reliably determining what incumbents </w:t>
      </w:r>
      <w:r w:rsidR="00630439">
        <w:t>might</w:t>
      </w:r>
      <w:r w:rsidRPr="007345E5" w:rsidR="001C1AFE">
        <w:t xml:space="preserve"> be willing to accept,</w:t>
      </w:r>
      <w:r>
        <w:rPr>
          <w:rStyle w:val="FootnoteReference"/>
        </w:rPr>
        <w:footnoteReference w:id="108"/>
      </w:r>
      <w:r w:rsidRPr="007345E5" w:rsidR="001C1AFE">
        <w:t xml:space="preserve"> and </w:t>
      </w:r>
      <w:r w:rsidRPr="007345E5">
        <w:t xml:space="preserve">reasonably </w:t>
      </w:r>
      <w:r w:rsidRPr="007345E5" w:rsidR="001C1AFE">
        <w:t xml:space="preserve">concluded that $9.7 </w:t>
      </w:r>
      <w:r w:rsidRPr="007345E5">
        <w:t>billion</w:t>
      </w:r>
      <w:r w:rsidRPr="007345E5" w:rsidR="001C1AFE">
        <w:t xml:space="preserve"> strikes an “appropriate balance” betwee</w:t>
      </w:r>
      <w:r w:rsidR="00630439">
        <w:t xml:space="preserve">n </w:t>
      </w:r>
      <w:r w:rsidRPr="007345E5" w:rsidR="00630439">
        <w:t xml:space="preserve">“fairly </w:t>
      </w:r>
      <w:r w:rsidRPr="007345E5" w:rsidR="00630439">
        <w:t>incentiviz</w:t>
      </w:r>
      <w:r w:rsidR="00630439">
        <w:t>[</w:t>
      </w:r>
      <w:r w:rsidR="00630439">
        <w:t>ing</w:t>
      </w:r>
      <w:r w:rsidR="00630439">
        <w:t>]</w:t>
      </w:r>
      <w:r w:rsidRPr="007345E5" w:rsidR="00630439">
        <w:t xml:space="preserve"> incumbent space station operators to expedite the transition</w:t>
      </w:r>
      <w:r w:rsidR="00630439">
        <w:t>” and</w:t>
      </w:r>
      <w:r w:rsidRPr="007345E5" w:rsidR="00630439">
        <w:t xml:space="preserve"> </w:t>
      </w:r>
      <w:r w:rsidR="00630439">
        <w:t>“</w:t>
      </w:r>
      <w:r w:rsidRPr="007345E5" w:rsidR="00630439">
        <w:t>increasing the value of the entire transition effort for the American public</w:t>
      </w:r>
      <w:r w:rsidR="00630439">
        <w:t>.</w:t>
      </w:r>
      <w:r w:rsidRPr="007345E5" w:rsidR="00630439">
        <w:t>”</w:t>
      </w:r>
      <w:r>
        <w:rPr>
          <w:rStyle w:val="FootnoteReference"/>
        </w:rPr>
        <w:footnoteReference w:id="109"/>
      </w:r>
      <w:r w:rsidR="00630439">
        <w:t xml:space="preserve"> </w:t>
      </w:r>
      <w:r w:rsidR="00692F5C">
        <w:t xml:space="preserve"> </w:t>
      </w:r>
      <w:r w:rsidRPr="007345E5">
        <w:t xml:space="preserve">The </w:t>
      </w:r>
      <w:r w:rsidR="00702B58">
        <w:t>Commission</w:t>
      </w:r>
      <w:r w:rsidRPr="007345E5">
        <w:t xml:space="preserve"> also </w:t>
      </w:r>
      <w:r w:rsidR="00630439">
        <w:t>detail</w:t>
      </w:r>
      <w:r w:rsidR="00F35DC2">
        <w:t>ed</w:t>
      </w:r>
      <w:r w:rsidR="00630439">
        <w:t xml:space="preserve"> </w:t>
      </w:r>
      <w:r w:rsidRPr="007345E5">
        <w:t xml:space="preserve">its reasons for </w:t>
      </w:r>
      <w:r w:rsidR="00F35DC2">
        <w:t>disagree</w:t>
      </w:r>
      <w:r w:rsidRPr="007345E5">
        <w:t xml:space="preserve">ing </w:t>
      </w:r>
      <w:r w:rsidR="00F35DC2">
        <w:t xml:space="preserve">with </w:t>
      </w:r>
      <w:r w:rsidRPr="007345E5">
        <w:t xml:space="preserve">Petitioners’ argument </w:t>
      </w:r>
      <w:r w:rsidR="00F35DC2">
        <w:t>for a lower amount</w:t>
      </w:r>
      <w:r w:rsidRPr="007345E5">
        <w:t>.</w:t>
      </w:r>
      <w:r>
        <w:rPr>
          <w:rStyle w:val="FootnoteReference"/>
        </w:rPr>
        <w:footnoteReference w:id="110"/>
      </w:r>
      <w:r w:rsidRPr="007345E5">
        <w:t xml:space="preserve"> </w:t>
      </w:r>
      <w:r w:rsidR="00A14E31">
        <w:t xml:space="preserve"> </w:t>
      </w:r>
      <w:r w:rsidR="00702B58">
        <w:t>S</w:t>
      </w:r>
      <w:r w:rsidRPr="007345E5" w:rsidR="00630439">
        <w:t xml:space="preserve">uch a “line-drawing exercise” </w:t>
      </w:r>
      <w:r w:rsidR="00F35DC2">
        <w:t>involve</w:t>
      </w:r>
      <w:r w:rsidR="00702B58">
        <w:t>s a</w:t>
      </w:r>
      <w:r w:rsidRPr="007345E5" w:rsidR="00630439">
        <w:t xml:space="preserve"> predictive judgment squarely within </w:t>
      </w:r>
      <w:r w:rsidR="00702B58">
        <w:t xml:space="preserve">the </w:t>
      </w:r>
      <w:r w:rsidR="00702B58">
        <w:t>agency’s</w:t>
      </w:r>
      <w:r w:rsidRPr="007345E5" w:rsidR="00630439">
        <w:t xml:space="preserve"> expertise.</w:t>
      </w:r>
      <w:r>
        <w:rPr>
          <w:rStyle w:val="FootnoteReference"/>
        </w:rPr>
        <w:footnoteReference w:id="111"/>
      </w:r>
    </w:p>
    <w:p w:rsidR="00C66C3C" w:rsidRPr="003E27C1" w:rsidP="00CE1CCE" w14:paraId="06E9D018" w14:textId="103572D1">
      <w:pPr>
        <w:pStyle w:val="ParaNum"/>
        <w:rPr>
          <w:szCs w:val="22"/>
        </w:rPr>
      </w:pPr>
      <w:r w:rsidRPr="007345E5">
        <w:rPr>
          <w:szCs w:val="22"/>
        </w:rPr>
        <w:t xml:space="preserve">Petitioners </w:t>
      </w:r>
      <w:r w:rsidRPr="007345E5" w:rsidR="00FD7773">
        <w:rPr>
          <w:szCs w:val="22"/>
        </w:rPr>
        <w:t xml:space="preserve">also </w:t>
      </w:r>
      <w:r w:rsidRPr="007345E5">
        <w:rPr>
          <w:szCs w:val="22"/>
        </w:rPr>
        <w:t xml:space="preserve">challenge the Commission’s decision to reimburse eligible </w:t>
      </w:r>
      <w:r w:rsidR="005573AA">
        <w:rPr>
          <w:szCs w:val="22"/>
        </w:rPr>
        <w:t>space station</w:t>
      </w:r>
      <w:r w:rsidRPr="007345E5" w:rsidR="005573AA">
        <w:rPr>
          <w:szCs w:val="22"/>
        </w:rPr>
        <w:t xml:space="preserve"> </w:t>
      </w:r>
      <w:r w:rsidRPr="007345E5">
        <w:rPr>
          <w:szCs w:val="22"/>
        </w:rPr>
        <w:t xml:space="preserve">operators for the costs of </w:t>
      </w:r>
      <w:r w:rsidRPr="007345E5" w:rsidR="00FD7773">
        <w:rPr>
          <w:szCs w:val="22"/>
        </w:rPr>
        <w:t>new satellites ne</w:t>
      </w:r>
      <w:r w:rsidR="00AD2E66">
        <w:rPr>
          <w:szCs w:val="22"/>
        </w:rPr>
        <w:t>eded</w:t>
      </w:r>
      <w:r w:rsidRPr="007345E5" w:rsidR="00FD7773">
        <w:rPr>
          <w:szCs w:val="22"/>
        </w:rPr>
        <w:t xml:space="preserve"> to </w:t>
      </w:r>
      <w:r w:rsidRPr="007345E5">
        <w:rPr>
          <w:szCs w:val="22"/>
        </w:rPr>
        <w:t>relocat</w:t>
      </w:r>
      <w:r w:rsidRPr="007345E5" w:rsidR="00FD7773">
        <w:rPr>
          <w:szCs w:val="22"/>
        </w:rPr>
        <w:t>e</w:t>
      </w:r>
      <w:r w:rsidRPr="007345E5">
        <w:rPr>
          <w:szCs w:val="22"/>
        </w:rPr>
        <w:t xml:space="preserve"> </w:t>
      </w:r>
      <w:r w:rsidR="00E60AFD">
        <w:rPr>
          <w:szCs w:val="22"/>
        </w:rPr>
        <w:t xml:space="preserve">existing </w:t>
      </w:r>
      <w:r w:rsidRPr="007345E5">
        <w:rPr>
          <w:szCs w:val="22"/>
        </w:rPr>
        <w:t>operations</w:t>
      </w:r>
      <w:r w:rsidRPr="007345E5" w:rsidR="00FD7773">
        <w:rPr>
          <w:szCs w:val="22"/>
        </w:rPr>
        <w:t>, contending that operators planned to launch new satellites in any event.</w:t>
      </w:r>
      <w:r>
        <w:rPr>
          <w:rStyle w:val="FootnoteReference"/>
          <w:szCs w:val="22"/>
        </w:rPr>
        <w:footnoteReference w:id="112"/>
      </w:r>
      <w:r w:rsidR="009F7CB9">
        <w:rPr>
          <w:szCs w:val="22"/>
        </w:rPr>
        <w:t xml:space="preserve"> </w:t>
      </w:r>
      <w:r w:rsidRPr="007345E5">
        <w:rPr>
          <w:szCs w:val="22"/>
        </w:rPr>
        <w:t xml:space="preserve"> </w:t>
      </w:r>
      <w:r w:rsidRPr="00FB63B4" w:rsidR="00FB63B4">
        <w:rPr>
          <w:szCs w:val="22"/>
        </w:rPr>
        <w:t xml:space="preserve">The Commission made clear that the only </w:t>
      </w:r>
      <w:r w:rsidR="00FB63B4">
        <w:rPr>
          <w:szCs w:val="22"/>
        </w:rPr>
        <w:t>relocation costs</w:t>
      </w:r>
      <w:r w:rsidRPr="00FB63B4" w:rsidR="00FB63B4">
        <w:rPr>
          <w:szCs w:val="22"/>
        </w:rPr>
        <w:t xml:space="preserve"> </w:t>
      </w:r>
      <w:r w:rsidR="00FB63B4">
        <w:rPr>
          <w:szCs w:val="22"/>
        </w:rPr>
        <w:t>that will be</w:t>
      </w:r>
      <w:r w:rsidRPr="00FB63B4" w:rsidR="00FB63B4">
        <w:rPr>
          <w:szCs w:val="22"/>
        </w:rPr>
        <w:t xml:space="preserve"> reimburse</w:t>
      </w:r>
      <w:r w:rsidR="00FB63B4">
        <w:rPr>
          <w:szCs w:val="22"/>
        </w:rPr>
        <w:t>d a</w:t>
      </w:r>
      <w:r w:rsidRPr="00FB63B4" w:rsidR="00FB63B4">
        <w:rPr>
          <w:szCs w:val="22"/>
        </w:rPr>
        <w:t>re those “directly attributable to” and “necessary” “as a result of” relocation.</w:t>
      </w:r>
      <w:r>
        <w:rPr>
          <w:rStyle w:val="FootnoteReference"/>
          <w:szCs w:val="22"/>
        </w:rPr>
        <w:footnoteReference w:id="113"/>
      </w:r>
      <w:r w:rsidRPr="00FB63B4" w:rsidR="00FB63B4">
        <w:rPr>
          <w:szCs w:val="22"/>
        </w:rPr>
        <w:t xml:space="preserve"> </w:t>
      </w:r>
      <w:r w:rsidR="00D21CEC">
        <w:rPr>
          <w:szCs w:val="22"/>
        </w:rPr>
        <w:t xml:space="preserve"> </w:t>
      </w:r>
      <w:r w:rsidRPr="007345E5" w:rsidR="00CE1CCE">
        <w:t xml:space="preserve">The </w:t>
      </w:r>
      <w:r w:rsidR="00D5373F">
        <w:t>Commission</w:t>
      </w:r>
      <w:r w:rsidR="00CE1CCE">
        <w:t xml:space="preserve"> reasonably stated its </w:t>
      </w:r>
      <w:r w:rsidRPr="007345E5" w:rsidR="00CE1CCE">
        <w:t xml:space="preserve">expectation that </w:t>
      </w:r>
      <w:r w:rsidR="00CE1CCE">
        <w:t xml:space="preserve">such costs would </w:t>
      </w:r>
      <w:r w:rsidR="00964309">
        <w:t xml:space="preserve">likely </w:t>
      </w:r>
      <w:r w:rsidR="00CE1CCE">
        <w:t xml:space="preserve">include </w:t>
      </w:r>
      <w:r w:rsidRPr="007345E5" w:rsidR="00CE1CCE">
        <w:t>new satellites</w:t>
      </w:r>
      <w:r w:rsidR="00CE1CCE">
        <w:t xml:space="preserve"> </w:t>
      </w:r>
      <w:r w:rsidRPr="007345E5" w:rsidR="00CE1CCE">
        <w:t>based on the record</w:t>
      </w:r>
      <w:r w:rsidR="00CE1CCE">
        <w:t xml:space="preserve"> before it.</w:t>
      </w:r>
      <w:r>
        <w:rPr>
          <w:rStyle w:val="FootnoteReference"/>
        </w:rPr>
        <w:footnoteReference w:id="114"/>
      </w:r>
      <w:r w:rsidR="00CE1CCE">
        <w:t xml:space="preserve"> </w:t>
      </w:r>
      <w:r w:rsidR="008820BB">
        <w:t xml:space="preserve"> </w:t>
      </w:r>
      <w:r w:rsidR="00702B58">
        <w:t>As o</w:t>
      </w:r>
      <w:r w:rsidR="00AD2E66">
        <w:t>ne satellite operator explain</w:t>
      </w:r>
      <w:r w:rsidRPr="00CE1CCE" w:rsidR="00FD7773">
        <w:rPr>
          <w:szCs w:val="22"/>
        </w:rPr>
        <w:t>s</w:t>
      </w:r>
      <w:r w:rsidR="00702B58">
        <w:rPr>
          <w:szCs w:val="22"/>
        </w:rPr>
        <w:t>,</w:t>
      </w:r>
      <w:r w:rsidRPr="00CE1CCE" w:rsidR="0004729A">
        <w:rPr>
          <w:szCs w:val="22"/>
        </w:rPr>
        <w:t xml:space="preserve"> </w:t>
      </w:r>
      <w:r w:rsidRPr="00CE1CCE" w:rsidR="00266364">
        <w:rPr>
          <w:szCs w:val="22"/>
        </w:rPr>
        <w:t xml:space="preserve">its prior plans to launch new </w:t>
      </w:r>
      <w:r w:rsidRPr="00F8549B" w:rsidR="00266364">
        <w:rPr>
          <w:szCs w:val="22"/>
        </w:rPr>
        <w:t xml:space="preserve">satellites changed substantially as a result of </w:t>
      </w:r>
      <w:r w:rsidRPr="00F8549B" w:rsidR="00FD7773">
        <w:rPr>
          <w:szCs w:val="22"/>
        </w:rPr>
        <w:t xml:space="preserve">the </w:t>
      </w:r>
      <w:r w:rsidRPr="0014160A" w:rsidR="008820BB">
        <w:rPr>
          <w:i/>
          <w:iCs/>
          <w:szCs w:val="22"/>
        </w:rPr>
        <w:t xml:space="preserve">3.7 GHz Report and </w:t>
      </w:r>
      <w:r w:rsidRPr="00F8549B" w:rsidR="00FD7773">
        <w:rPr>
          <w:i/>
          <w:iCs/>
          <w:szCs w:val="22"/>
        </w:rPr>
        <w:t>Order</w:t>
      </w:r>
      <w:r w:rsidRPr="00F8549B" w:rsidR="0004729A">
        <w:rPr>
          <w:szCs w:val="22"/>
        </w:rPr>
        <w:t>.</w:t>
      </w:r>
      <w:r>
        <w:rPr>
          <w:rStyle w:val="FootnoteReference"/>
          <w:sz w:val="22"/>
          <w:szCs w:val="22"/>
        </w:rPr>
        <w:footnoteReference w:id="115"/>
      </w:r>
      <w:r w:rsidRPr="00F8549B" w:rsidR="00266364">
        <w:rPr>
          <w:szCs w:val="22"/>
        </w:rPr>
        <w:t xml:space="preserve"> </w:t>
      </w:r>
      <w:r w:rsidRPr="00F8549B" w:rsidR="008820BB">
        <w:rPr>
          <w:szCs w:val="22"/>
        </w:rPr>
        <w:t xml:space="preserve"> </w:t>
      </w:r>
      <w:r w:rsidRPr="0014160A" w:rsidR="0046597B">
        <w:rPr>
          <w:szCs w:val="22"/>
        </w:rPr>
        <w:t xml:space="preserve">According to Intelsat, </w:t>
      </w:r>
      <w:r w:rsidRPr="00F8549B" w:rsidR="00C76C78">
        <w:rPr>
          <w:szCs w:val="22"/>
        </w:rPr>
        <w:t>“</w:t>
      </w:r>
      <w:r w:rsidRPr="00F8549B" w:rsidR="0046597B">
        <w:rPr>
          <w:szCs w:val="22"/>
        </w:rPr>
        <w:t>t</w:t>
      </w:r>
      <w:r w:rsidRPr="0063360C" w:rsidR="00C76C78">
        <w:rPr>
          <w:szCs w:val="22"/>
        </w:rPr>
        <w:t xml:space="preserve">he transition cannot be accomplished without additional satellites </w:t>
      </w:r>
      <w:r w:rsidRPr="0063360C" w:rsidR="00266364">
        <w:rPr>
          <w:szCs w:val="22"/>
        </w:rPr>
        <w:t xml:space="preserve">[that] </w:t>
      </w:r>
      <w:r w:rsidRPr="0063360C" w:rsidR="00C76C78">
        <w:rPr>
          <w:szCs w:val="22"/>
        </w:rPr>
        <w:t>would not have been necessary in the next three years if Intelsat had been able to continue to make use of the full 500 MHz of C-band spectrum.”</w:t>
      </w:r>
      <w:r>
        <w:rPr>
          <w:rStyle w:val="FootnoteReference"/>
          <w:sz w:val="22"/>
          <w:szCs w:val="22"/>
        </w:rPr>
        <w:footnoteReference w:id="116"/>
      </w:r>
      <w:r w:rsidRPr="0063360C" w:rsidR="00702B58">
        <w:rPr>
          <w:szCs w:val="22"/>
        </w:rPr>
        <w:t xml:space="preserve"> </w:t>
      </w:r>
      <w:r w:rsidRPr="0063360C" w:rsidR="006C1BDF">
        <w:rPr>
          <w:szCs w:val="22"/>
        </w:rPr>
        <w:t xml:space="preserve"> </w:t>
      </w:r>
      <w:r w:rsidRPr="00F8549B" w:rsidR="00702B58">
        <w:rPr>
          <w:szCs w:val="22"/>
        </w:rPr>
        <w:t>But like all other relocation costs, satellite-related c</w:t>
      </w:r>
      <w:r w:rsidRPr="0014160A" w:rsidR="00702B58">
        <w:rPr>
          <w:szCs w:val="22"/>
        </w:rPr>
        <w:t>osts will be subject to</w:t>
      </w:r>
      <w:r w:rsidRPr="001A20D7" w:rsidR="00702B58">
        <w:rPr>
          <w:szCs w:val="22"/>
        </w:rPr>
        <w:t xml:space="preserve"> review to confirm that they are</w:t>
      </w:r>
      <w:r w:rsidR="00702B58">
        <w:t xml:space="preserve"> “reasonably necessary</w:t>
      </w:r>
      <w:r w:rsidRPr="007345E5" w:rsidR="00702B58">
        <w:t>.</w:t>
      </w:r>
      <w:r w:rsidR="00702B58">
        <w:t>”</w:t>
      </w:r>
      <w:r>
        <w:rPr>
          <w:rStyle w:val="FootnoteReference"/>
        </w:rPr>
        <w:footnoteReference w:id="117"/>
      </w:r>
      <w:r w:rsidR="00702B58">
        <w:t xml:space="preserve"> </w:t>
      </w:r>
    </w:p>
    <w:p w:rsidR="00FE2B42" w:rsidRPr="003E27C1" w:rsidP="005013A5" w14:paraId="61CF6708" w14:textId="66004CF8">
      <w:pPr>
        <w:pStyle w:val="ParaNum"/>
        <w:rPr>
          <w:szCs w:val="22"/>
        </w:rPr>
      </w:pPr>
      <w:r w:rsidRPr="007345E5">
        <w:rPr>
          <w:szCs w:val="22"/>
        </w:rPr>
        <w:t xml:space="preserve">Finally, Petitioners </w:t>
      </w:r>
      <w:r w:rsidR="008D40CF">
        <w:rPr>
          <w:szCs w:val="22"/>
        </w:rPr>
        <w:t xml:space="preserve">argue that the Commission </w:t>
      </w:r>
      <w:r w:rsidR="00751D48">
        <w:rPr>
          <w:szCs w:val="22"/>
        </w:rPr>
        <w:t xml:space="preserve">arbitrarily excluded them </w:t>
      </w:r>
      <w:r w:rsidRPr="007345E5">
        <w:rPr>
          <w:szCs w:val="22"/>
        </w:rPr>
        <w:t xml:space="preserve">from the </w:t>
      </w:r>
      <w:r w:rsidR="00753D6C">
        <w:rPr>
          <w:i/>
          <w:iCs/>
          <w:szCs w:val="22"/>
        </w:rPr>
        <w:t xml:space="preserve">3.7 GHz Report and </w:t>
      </w:r>
      <w:r w:rsidRPr="00751D48">
        <w:rPr>
          <w:i/>
          <w:iCs/>
          <w:szCs w:val="22"/>
        </w:rPr>
        <w:t>Order</w:t>
      </w:r>
      <w:r w:rsidRPr="007345E5">
        <w:rPr>
          <w:szCs w:val="22"/>
        </w:rPr>
        <w:t xml:space="preserve">’s payment </w:t>
      </w:r>
      <w:r w:rsidR="0083678C">
        <w:rPr>
          <w:szCs w:val="22"/>
        </w:rPr>
        <w:t>arrangements</w:t>
      </w:r>
      <w:r w:rsidRPr="007345E5">
        <w:rPr>
          <w:szCs w:val="22"/>
        </w:rPr>
        <w:t>.</w:t>
      </w:r>
      <w:r>
        <w:rPr>
          <w:rStyle w:val="FootnoteReference"/>
          <w:szCs w:val="22"/>
        </w:rPr>
        <w:footnoteReference w:id="118"/>
      </w:r>
      <w:r w:rsidR="00753D6C">
        <w:rPr>
          <w:szCs w:val="22"/>
        </w:rPr>
        <w:t xml:space="preserve"> </w:t>
      </w:r>
      <w:r w:rsidRPr="007345E5" w:rsidR="00203ED4">
        <w:rPr>
          <w:szCs w:val="22"/>
        </w:rPr>
        <w:t xml:space="preserve"> </w:t>
      </w:r>
      <w:r w:rsidR="00CE1CCE">
        <w:t>But t</w:t>
      </w:r>
      <w:r w:rsidRPr="007345E5" w:rsidR="00CE1CCE">
        <w:t xml:space="preserve">he Commission explained that the </w:t>
      </w:r>
      <w:r w:rsidRPr="007345E5" w:rsidR="00CE1CCE">
        <w:rPr>
          <w:szCs w:val="22"/>
        </w:rPr>
        <w:t xml:space="preserve">purpose of relocation </w:t>
      </w:r>
      <w:r w:rsidR="002975A3">
        <w:rPr>
          <w:szCs w:val="22"/>
        </w:rPr>
        <w:t xml:space="preserve">and accelerated relocation </w:t>
      </w:r>
      <w:r w:rsidRPr="007345E5" w:rsidR="00CE1CCE">
        <w:rPr>
          <w:szCs w:val="22"/>
        </w:rPr>
        <w:t xml:space="preserve">payments would not be served by compensation for relinquished </w:t>
      </w:r>
      <w:r w:rsidRPr="007345E5" w:rsidR="00CE1CCE">
        <w:rPr>
          <w:szCs w:val="22"/>
        </w:rPr>
        <w:t>spectrum rights.</w:t>
      </w:r>
      <w:r>
        <w:rPr>
          <w:rStyle w:val="FootnoteReference"/>
          <w:sz w:val="22"/>
          <w:szCs w:val="22"/>
        </w:rPr>
        <w:footnoteReference w:id="119"/>
      </w:r>
      <w:r w:rsidRPr="007345E5" w:rsidR="00CE1CCE">
        <w:rPr>
          <w:szCs w:val="22"/>
        </w:rPr>
        <w:t xml:space="preserve"> </w:t>
      </w:r>
      <w:r w:rsidR="00B54C7D">
        <w:rPr>
          <w:szCs w:val="22"/>
        </w:rPr>
        <w:t xml:space="preserve"> </w:t>
      </w:r>
      <w:r w:rsidRPr="007345E5" w:rsidR="007B1303">
        <w:rPr>
          <w:color w:val="000000"/>
        </w:rPr>
        <w:t xml:space="preserve">The purpose </w:t>
      </w:r>
      <w:r w:rsidRPr="007345E5" w:rsidR="007B1303">
        <w:t xml:space="preserve">of </w:t>
      </w:r>
      <w:r w:rsidR="007B1303">
        <w:t>such</w:t>
      </w:r>
      <w:r w:rsidRPr="007345E5" w:rsidR="007B1303">
        <w:t xml:space="preserve"> payments is to compensate satellite operators “that provide C-band services to </w:t>
      </w:r>
      <w:r w:rsidRPr="007345E5" w:rsidR="007B1303">
        <w:rPr>
          <w:i/>
          <w:iCs/>
        </w:rPr>
        <w:t xml:space="preserve">existing </w:t>
      </w:r>
      <w:r w:rsidRPr="007345E5" w:rsidR="007B1303">
        <w:t xml:space="preserve">U.S. customers using </w:t>
      </w:r>
      <w:r w:rsidRPr="007345E5" w:rsidR="007B1303">
        <w:rPr>
          <w:i/>
          <w:iCs/>
        </w:rPr>
        <w:t xml:space="preserve">incumbent </w:t>
      </w:r>
      <w:r w:rsidRPr="007345E5" w:rsidR="007B1303">
        <w:t>U.S. earth stations that will need to be transitioned to the upper portion of the band or otherwise accommodated in order to avoid harmful interference from new flexible-use operations.”</w:t>
      </w:r>
      <w:r>
        <w:rPr>
          <w:rStyle w:val="FootnoteReference"/>
        </w:rPr>
        <w:footnoteReference w:id="120"/>
      </w:r>
      <w:r w:rsidR="007B1303">
        <w:t xml:space="preserve">  </w:t>
      </w:r>
      <w:r w:rsidRPr="007345E5" w:rsidR="007D39FB">
        <w:t xml:space="preserve">In declining to reimburse </w:t>
      </w:r>
      <w:r w:rsidR="005013A5">
        <w:t>Petitioners</w:t>
      </w:r>
      <w:r w:rsidRPr="007345E5" w:rsidR="007D39FB">
        <w:t xml:space="preserve"> for the speculative value of lost business opportunities, the </w:t>
      </w:r>
      <w:r w:rsidR="00D5373F">
        <w:t>Commission</w:t>
      </w:r>
      <w:r w:rsidRPr="007345E5" w:rsidR="007D39FB">
        <w:t xml:space="preserve"> did not rely on the </w:t>
      </w:r>
      <w:r w:rsidRPr="005013A5" w:rsidR="007D39FB">
        <w:rPr>
          <w:i/>
          <w:iCs/>
        </w:rPr>
        <w:t>Emerging Technologies</w:t>
      </w:r>
      <w:r w:rsidRPr="007345E5" w:rsidR="007D39FB">
        <w:t xml:space="preserve"> framework, as Petitioners suggest, but rather explained that it “has consistently limited </w:t>
      </w:r>
      <w:r w:rsidRPr="005013A5" w:rsidR="007D39FB">
        <w:rPr>
          <w:i/>
          <w:iCs/>
        </w:rPr>
        <w:t>reimbursement</w:t>
      </w:r>
      <w:r w:rsidRPr="007345E5" w:rsidR="007D39FB">
        <w:t xml:space="preserve"> to costs directly tied to relocation.”</w:t>
      </w:r>
      <w:r>
        <w:rPr>
          <w:rStyle w:val="FootnoteReference"/>
        </w:rPr>
        <w:footnoteReference w:id="121"/>
      </w:r>
      <w:r w:rsidRPr="007345E5" w:rsidR="007D39FB">
        <w:t xml:space="preserve"> </w:t>
      </w:r>
    </w:p>
    <w:p w:rsidR="00203ED4" w:rsidRPr="003E27C1" w:rsidP="00583987" w14:paraId="64017219" w14:textId="55C819FC">
      <w:pPr>
        <w:pStyle w:val="ParaNum"/>
        <w:rPr>
          <w:szCs w:val="22"/>
        </w:rPr>
      </w:pPr>
      <w:r w:rsidRPr="007345E5">
        <w:rPr>
          <w:szCs w:val="22"/>
        </w:rPr>
        <w:t xml:space="preserve">Nor have Petitioners shown that the </w:t>
      </w:r>
      <w:r w:rsidR="00D5373F">
        <w:rPr>
          <w:szCs w:val="22"/>
        </w:rPr>
        <w:t>Commission</w:t>
      </w:r>
      <w:r w:rsidRPr="007345E5">
        <w:rPr>
          <w:szCs w:val="22"/>
        </w:rPr>
        <w:t xml:space="preserve"> was wrong to </w:t>
      </w:r>
      <w:r w:rsidR="008D40CF">
        <w:rPr>
          <w:szCs w:val="22"/>
        </w:rPr>
        <w:t>concl</w:t>
      </w:r>
      <w:r w:rsidRPr="007345E5" w:rsidR="00FE2B42">
        <w:rPr>
          <w:szCs w:val="22"/>
        </w:rPr>
        <w:t>ude</w:t>
      </w:r>
      <w:r w:rsidR="008D40CF">
        <w:rPr>
          <w:szCs w:val="22"/>
        </w:rPr>
        <w:t xml:space="preserve"> that</w:t>
      </w:r>
      <w:r w:rsidRPr="007345E5" w:rsidR="00FE2B42">
        <w:rPr>
          <w:szCs w:val="22"/>
        </w:rPr>
        <w:t xml:space="preserve"> </w:t>
      </w:r>
      <w:r w:rsidRPr="007345E5" w:rsidR="00FE2B42">
        <w:rPr>
          <w:szCs w:val="22"/>
        </w:rPr>
        <w:t>Hispasat</w:t>
      </w:r>
      <w:r w:rsidRPr="007345E5" w:rsidR="00FE2B42">
        <w:rPr>
          <w:szCs w:val="22"/>
        </w:rPr>
        <w:t xml:space="preserve"> and ABS </w:t>
      </w:r>
      <w:r w:rsidR="005D0312">
        <w:rPr>
          <w:szCs w:val="22"/>
        </w:rPr>
        <w:t>do not satisfy its definition of eligibility for payments</w:t>
      </w:r>
      <w:r w:rsidRPr="007345E5" w:rsidR="00FE2B42">
        <w:rPr>
          <w:szCs w:val="22"/>
        </w:rPr>
        <w:t>.</w:t>
      </w:r>
      <w:r>
        <w:rPr>
          <w:rStyle w:val="FootnoteReference"/>
          <w:szCs w:val="22"/>
        </w:rPr>
        <w:footnoteReference w:id="122"/>
      </w:r>
      <w:r w:rsidRPr="007345E5" w:rsidR="00FE2B42">
        <w:rPr>
          <w:szCs w:val="22"/>
        </w:rPr>
        <w:t xml:space="preserve"> </w:t>
      </w:r>
      <w:r w:rsidR="00197BCE">
        <w:rPr>
          <w:szCs w:val="22"/>
        </w:rPr>
        <w:t xml:space="preserve"> </w:t>
      </w:r>
      <w:r w:rsidR="005013A5">
        <w:rPr>
          <w:szCs w:val="22"/>
        </w:rPr>
        <w:t xml:space="preserve">As SES puts it, </w:t>
      </w:r>
      <w:r w:rsidR="005958BA">
        <w:t>Petitioners</w:t>
      </w:r>
      <w:r w:rsidRPr="002229AF" w:rsidR="005013A5">
        <w:t xml:space="preserve"> “are not similarly situated to eligible satellite operators. </w:t>
      </w:r>
      <w:r w:rsidR="0083678C">
        <w:t xml:space="preserve"> </w:t>
      </w:r>
      <w:r w:rsidRPr="002229AF" w:rsidR="005013A5">
        <w:t xml:space="preserve">Because they have </w:t>
      </w:r>
      <w:r w:rsidRPr="005013A5" w:rsidR="005013A5">
        <w:rPr>
          <w:i/>
          <w:iCs/>
        </w:rPr>
        <w:t xml:space="preserve">no </w:t>
      </w:r>
      <w:r w:rsidRPr="002229AF" w:rsidR="005013A5">
        <w:t xml:space="preserve">customers and provide </w:t>
      </w:r>
      <w:r w:rsidRPr="005013A5" w:rsidR="005013A5">
        <w:rPr>
          <w:i/>
          <w:iCs/>
        </w:rPr>
        <w:t xml:space="preserve">no </w:t>
      </w:r>
      <w:r w:rsidRPr="002229AF" w:rsidR="005013A5">
        <w:t xml:space="preserve">service in the U.S., they do not need to clear the spectrum to enable 5G deployment in the U.S. and thus will of course incur </w:t>
      </w:r>
      <w:r w:rsidRPr="005013A5" w:rsidR="005013A5">
        <w:rPr>
          <w:i/>
          <w:iCs/>
        </w:rPr>
        <w:t xml:space="preserve">no </w:t>
      </w:r>
      <w:r w:rsidRPr="002229AF" w:rsidR="005013A5">
        <w:t>transition costs</w:t>
      </w:r>
      <w:r w:rsidR="005013A5">
        <w:t>.</w:t>
      </w:r>
      <w:r w:rsidRPr="002229AF" w:rsidR="005013A5">
        <w:t>”</w:t>
      </w:r>
      <w:r>
        <w:rPr>
          <w:rStyle w:val="FootnoteReference"/>
        </w:rPr>
        <w:footnoteReference w:id="123"/>
      </w:r>
      <w:r w:rsidR="005635FD">
        <w:t xml:space="preserve"> </w:t>
      </w:r>
      <w:r w:rsidR="005013A5">
        <w:t xml:space="preserve"> </w:t>
      </w:r>
      <w:r w:rsidRPr="007345E5" w:rsidR="00FE2B42">
        <w:rPr>
          <w:snapToGrid/>
          <w:kern w:val="0"/>
          <w:szCs w:val="22"/>
        </w:rPr>
        <w:t xml:space="preserve">Petitioners assert that </w:t>
      </w:r>
      <w:r w:rsidRPr="007345E5" w:rsidR="00FE2B42">
        <w:rPr>
          <w:snapToGrid/>
          <w:kern w:val="0"/>
          <w:szCs w:val="22"/>
        </w:rPr>
        <w:t>Hispasat</w:t>
      </w:r>
      <w:r w:rsidRPr="007345E5" w:rsidR="00FE2B42">
        <w:rPr>
          <w:snapToGrid/>
          <w:kern w:val="0"/>
          <w:szCs w:val="22"/>
        </w:rPr>
        <w:t xml:space="preserve"> “serves several earth stations” that failed to register.</w:t>
      </w:r>
      <w:r>
        <w:rPr>
          <w:rStyle w:val="FootnoteReference"/>
          <w:snapToGrid/>
          <w:kern w:val="0"/>
          <w:sz w:val="22"/>
          <w:szCs w:val="22"/>
        </w:rPr>
        <w:footnoteReference w:id="124"/>
      </w:r>
      <w:r w:rsidR="005635FD">
        <w:rPr>
          <w:snapToGrid/>
          <w:kern w:val="0"/>
          <w:szCs w:val="22"/>
        </w:rPr>
        <w:t xml:space="preserve"> </w:t>
      </w:r>
      <w:r w:rsidRPr="007345E5" w:rsidR="00FE2B42">
        <w:rPr>
          <w:snapToGrid/>
          <w:kern w:val="0"/>
          <w:szCs w:val="22"/>
        </w:rPr>
        <w:t xml:space="preserve"> But, as the Commission observed, “</w:t>
      </w:r>
      <w:r w:rsidRPr="007345E5" w:rsidR="00FE2B42">
        <w:rPr>
          <w:snapToGrid/>
          <w:kern w:val="0"/>
          <w:szCs w:val="22"/>
        </w:rPr>
        <w:t>Hispasat</w:t>
      </w:r>
      <w:r w:rsidRPr="007345E5" w:rsidR="00FE2B42">
        <w:rPr>
          <w:snapToGrid/>
          <w:kern w:val="0"/>
          <w:szCs w:val="22"/>
        </w:rPr>
        <w:t xml:space="preserve"> appears</w:t>
      </w:r>
      <w:r w:rsidRPr="007345E5" w:rsidR="00FE2B42">
        <w:rPr>
          <w:i/>
          <w:iCs/>
          <w:szCs w:val="22"/>
        </w:rPr>
        <w:t xml:space="preserve"> </w:t>
      </w:r>
      <w:r w:rsidRPr="007345E5" w:rsidR="00FE2B42">
        <w:rPr>
          <w:snapToGrid/>
          <w:kern w:val="0"/>
          <w:szCs w:val="22"/>
        </w:rPr>
        <w:t xml:space="preserve">to be careful in its filings not to claim that it used the </w:t>
      </w:r>
      <w:r w:rsidRPr="007345E5" w:rsidR="00FE2B42">
        <w:rPr>
          <w:i/>
          <w:iCs/>
          <w:snapToGrid/>
          <w:kern w:val="0"/>
          <w:szCs w:val="22"/>
        </w:rPr>
        <w:t xml:space="preserve">C-band </w:t>
      </w:r>
      <w:r w:rsidRPr="007345E5" w:rsidR="00FE2B42">
        <w:rPr>
          <w:snapToGrid/>
          <w:kern w:val="0"/>
          <w:szCs w:val="22"/>
        </w:rPr>
        <w:t>spectrum to provide service to all those earth stations.”</w:t>
      </w:r>
      <w:r>
        <w:rPr>
          <w:rStyle w:val="FootnoteReference"/>
          <w:snapToGrid/>
          <w:kern w:val="0"/>
          <w:sz w:val="22"/>
          <w:szCs w:val="22"/>
        </w:rPr>
        <w:footnoteReference w:id="125"/>
      </w:r>
      <w:r w:rsidRPr="007345E5" w:rsidR="00586A70">
        <w:rPr>
          <w:snapToGrid/>
          <w:kern w:val="0"/>
          <w:szCs w:val="22"/>
        </w:rPr>
        <w:t xml:space="preserve"> </w:t>
      </w:r>
      <w:r w:rsidR="007477A3">
        <w:rPr>
          <w:snapToGrid/>
          <w:kern w:val="0"/>
          <w:szCs w:val="22"/>
        </w:rPr>
        <w:t xml:space="preserve"> </w:t>
      </w:r>
      <w:r w:rsidRPr="007345E5" w:rsidR="00586A70">
        <w:rPr>
          <w:snapToGrid/>
          <w:kern w:val="0"/>
          <w:szCs w:val="22"/>
        </w:rPr>
        <w:t>Petitioners “offer no factual response here, instead asserting only that the</w:t>
      </w:r>
      <w:r w:rsidRPr="007345E5" w:rsidR="00586A70">
        <w:rPr>
          <w:i/>
          <w:iCs/>
          <w:szCs w:val="22"/>
        </w:rPr>
        <w:t xml:space="preserve"> </w:t>
      </w:r>
      <w:r w:rsidRPr="007345E5" w:rsidR="00586A70">
        <w:rPr>
          <w:snapToGrid/>
          <w:kern w:val="0"/>
          <w:szCs w:val="22"/>
        </w:rPr>
        <w:t xml:space="preserve">Commission’s ‘suggestion that </w:t>
      </w:r>
      <w:r w:rsidRPr="007345E5" w:rsidR="00586A70">
        <w:rPr>
          <w:snapToGrid/>
          <w:kern w:val="0"/>
          <w:szCs w:val="22"/>
        </w:rPr>
        <w:t>Hispasat</w:t>
      </w:r>
      <w:r w:rsidRPr="007345E5" w:rsidR="00586A70">
        <w:rPr>
          <w:snapToGrid/>
          <w:kern w:val="0"/>
          <w:szCs w:val="22"/>
        </w:rPr>
        <w:t xml:space="preserve"> was fabricating its existing services was irrational.’”</w:t>
      </w:r>
      <w:r>
        <w:rPr>
          <w:rStyle w:val="FootnoteReference"/>
          <w:snapToGrid/>
          <w:kern w:val="0"/>
          <w:szCs w:val="22"/>
        </w:rPr>
        <w:footnoteReference w:id="126"/>
      </w:r>
      <w:r w:rsidR="003B165B">
        <w:rPr>
          <w:snapToGrid/>
          <w:kern w:val="0"/>
          <w:szCs w:val="22"/>
        </w:rPr>
        <w:t xml:space="preserve"> </w:t>
      </w:r>
      <w:r w:rsidRPr="007345E5" w:rsidR="00586A70">
        <w:rPr>
          <w:snapToGrid/>
          <w:kern w:val="0"/>
          <w:szCs w:val="22"/>
        </w:rPr>
        <w:t xml:space="preserve"> </w:t>
      </w:r>
      <w:r w:rsidR="005D0312">
        <w:rPr>
          <w:snapToGrid/>
          <w:kern w:val="0"/>
          <w:szCs w:val="22"/>
        </w:rPr>
        <w:t>T</w:t>
      </w:r>
      <w:r w:rsidRPr="007345E5" w:rsidR="00586A70">
        <w:rPr>
          <w:snapToGrid/>
          <w:kern w:val="0"/>
          <w:szCs w:val="22"/>
        </w:rPr>
        <w:t xml:space="preserve">he </w:t>
      </w:r>
      <w:r w:rsidR="003B165B">
        <w:rPr>
          <w:i/>
          <w:iCs/>
          <w:snapToGrid/>
          <w:kern w:val="0"/>
          <w:szCs w:val="22"/>
        </w:rPr>
        <w:t xml:space="preserve">3.7 GHz Report and </w:t>
      </w:r>
      <w:r w:rsidRPr="005D0312" w:rsidR="00586A70">
        <w:rPr>
          <w:i/>
          <w:iCs/>
          <w:snapToGrid/>
          <w:kern w:val="0"/>
          <w:szCs w:val="22"/>
        </w:rPr>
        <w:t>Order</w:t>
      </w:r>
      <w:r w:rsidRPr="007345E5" w:rsidR="00586A70">
        <w:rPr>
          <w:snapToGrid/>
          <w:kern w:val="0"/>
          <w:szCs w:val="22"/>
        </w:rPr>
        <w:t xml:space="preserve"> </w:t>
      </w:r>
      <w:r w:rsidR="005958BA">
        <w:rPr>
          <w:snapToGrid/>
          <w:kern w:val="0"/>
          <w:szCs w:val="22"/>
        </w:rPr>
        <w:t xml:space="preserve">also </w:t>
      </w:r>
      <w:r w:rsidRPr="007345E5" w:rsidR="00586A70">
        <w:rPr>
          <w:snapToGrid/>
          <w:kern w:val="0"/>
          <w:szCs w:val="22"/>
        </w:rPr>
        <w:t>“recites a host of facts” supporting the conclusion that ABS did not intend its satellite for U</w:t>
      </w:r>
      <w:r w:rsidR="00702931">
        <w:rPr>
          <w:snapToGrid/>
          <w:kern w:val="0"/>
          <w:szCs w:val="22"/>
        </w:rPr>
        <w:t xml:space="preserve">nited </w:t>
      </w:r>
      <w:r w:rsidR="005D0312">
        <w:rPr>
          <w:snapToGrid/>
          <w:kern w:val="0"/>
          <w:szCs w:val="22"/>
        </w:rPr>
        <w:t>S</w:t>
      </w:r>
      <w:r w:rsidR="00702931">
        <w:rPr>
          <w:snapToGrid/>
          <w:kern w:val="0"/>
          <w:szCs w:val="22"/>
        </w:rPr>
        <w:t>tates</w:t>
      </w:r>
      <w:r w:rsidRPr="007345E5" w:rsidR="00586A70">
        <w:rPr>
          <w:snapToGrid/>
          <w:kern w:val="0"/>
          <w:szCs w:val="22"/>
        </w:rPr>
        <w:t xml:space="preserve"> business.</w:t>
      </w:r>
      <w:r>
        <w:rPr>
          <w:rStyle w:val="FootnoteReference"/>
          <w:snapToGrid/>
          <w:kern w:val="0"/>
          <w:szCs w:val="22"/>
        </w:rPr>
        <w:footnoteReference w:id="127"/>
      </w:r>
      <w:r w:rsidR="004730AB">
        <w:rPr>
          <w:snapToGrid/>
          <w:kern w:val="0"/>
          <w:szCs w:val="22"/>
        </w:rPr>
        <w:t xml:space="preserve"> P</w:t>
      </w:r>
      <w:r w:rsidR="005013A5">
        <w:rPr>
          <w:snapToGrid/>
          <w:kern w:val="0"/>
          <w:szCs w:val="22"/>
        </w:rPr>
        <w:t xml:space="preserve">etitioners </w:t>
      </w:r>
      <w:r w:rsidR="00843107">
        <w:rPr>
          <w:snapToGrid/>
          <w:kern w:val="0"/>
          <w:szCs w:val="22"/>
        </w:rPr>
        <w:t>complain</w:t>
      </w:r>
      <w:r w:rsidR="005013A5">
        <w:rPr>
          <w:snapToGrid/>
          <w:kern w:val="0"/>
          <w:szCs w:val="22"/>
        </w:rPr>
        <w:t xml:space="preserve"> that </w:t>
      </w:r>
      <w:r w:rsidR="00843107">
        <w:rPr>
          <w:snapToGrid/>
          <w:kern w:val="0"/>
          <w:szCs w:val="22"/>
        </w:rPr>
        <w:t xml:space="preserve">the </w:t>
      </w:r>
      <w:r w:rsidR="00D5373F">
        <w:rPr>
          <w:snapToGrid/>
          <w:kern w:val="0"/>
          <w:szCs w:val="22"/>
        </w:rPr>
        <w:t>Commission</w:t>
      </w:r>
      <w:r w:rsidR="00843107">
        <w:rPr>
          <w:snapToGrid/>
          <w:kern w:val="0"/>
          <w:szCs w:val="22"/>
        </w:rPr>
        <w:t xml:space="preserve"> ignored evidence that the</w:t>
      </w:r>
      <w:r w:rsidR="00583987">
        <w:rPr>
          <w:snapToGrid/>
          <w:kern w:val="0"/>
          <w:szCs w:val="22"/>
        </w:rPr>
        <w:t>ir business model relies on delivering content and information “</w:t>
      </w:r>
      <w:r w:rsidR="00583987">
        <w:t>into and out of the United States,” so that they need not “lure” U</w:t>
      </w:r>
      <w:r w:rsidR="00931ABD">
        <w:t xml:space="preserve">nited </w:t>
      </w:r>
      <w:r w:rsidR="00583987">
        <w:t>S</w:t>
      </w:r>
      <w:r w:rsidR="00931ABD">
        <w:t>tates</w:t>
      </w:r>
      <w:r w:rsidR="00583987">
        <w:t xml:space="preserve"> customers and </w:t>
      </w:r>
      <w:r w:rsidR="00843107">
        <w:rPr>
          <w:snapToGrid/>
          <w:kern w:val="0"/>
          <w:szCs w:val="22"/>
        </w:rPr>
        <w:t xml:space="preserve">can compensate for marginal </w:t>
      </w:r>
      <w:r w:rsidR="00D53C7D">
        <w:rPr>
          <w:snapToGrid/>
          <w:kern w:val="0"/>
          <w:szCs w:val="22"/>
        </w:rPr>
        <w:t xml:space="preserve">United States </w:t>
      </w:r>
      <w:r w:rsidR="005958BA">
        <w:rPr>
          <w:snapToGrid/>
          <w:kern w:val="0"/>
          <w:szCs w:val="22"/>
        </w:rPr>
        <w:t>satellite</w:t>
      </w:r>
      <w:r w:rsidR="00754CB3">
        <w:rPr>
          <w:snapToGrid/>
          <w:kern w:val="0"/>
          <w:szCs w:val="22"/>
        </w:rPr>
        <w:t xml:space="preserve"> </w:t>
      </w:r>
      <w:r w:rsidR="00843107">
        <w:rPr>
          <w:snapToGrid/>
          <w:kern w:val="0"/>
          <w:szCs w:val="22"/>
        </w:rPr>
        <w:t xml:space="preserve">coverage </w:t>
      </w:r>
      <w:r w:rsidRPr="004776FE" w:rsidR="005013A5">
        <w:t>with fiber</w:t>
      </w:r>
      <w:r w:rsidR="00843107">
        <w:t xml:space="preserve"> delivery to the rest </w:t>
      </w:r>
      <w:r w:rsidR="00843107">
        <w:t xml:space="preserve">of the </w:t>
      </w:r>
      <w:r w:rsidR="008924AD">
        <w:t>United States</w:t>
      </w:r>
      <w:r w:rsidRPr="004776FE" w:rsidR="005013A5">
        <w:t>.</w:t>
      </w:r>
      <w:r>
        <w:rPr>
          <w:rStyle w:val="FootnoteReference"/>
        </w:rPr>
        <w:footnoteReference w:id="128"/>
      </w:r>
      <w:r w:rsidR="00FF317A">
        <w:t xml:space="preserve"> </w:t>
      </w:r>
      <w:r w:rsidRPr="004776FE" w:rsidR="005013A5">
        <w:t> This argument is belied by the SSO</w:t>
      </w:r>
      <w:r w:rsidR="008D4259">
        <w:t>s’</w:t>
      </w:r>
      <w:r w:rsidRPr="004776FE" w:rsidR="005013A5">
        <w:t xml:space="preserve"> responses to the Commission’s questions in May 2019</w:t>
      </w:r>
      <w:r w:rsidR="00843107">
        <w:t xml:space="preserve">, which </w:t>
      </w:r>
      <w:r w:rsidRPr="004776FE" w:rsidR="00843107">
        <w:t>demonstrate</w:t>
      </w:r>
      <w:r w:rsidR="005958BA">
        <w:t>d</w:t>
      </w:r>
      <w:r w:rsidR="00D75800">
        <w:t xml:space="preserve"> that none of their C-band capacity was contracted for services within the United States</w:t>
      </w:r>
      <w:r w:rsidR="00843107">
        <w:t>,</w:t>
      </w:r>
      <w:r>
        <w:rPr>
          <w:rStyle w:val="FootnoteReference"/>
        </w:rPr>
        <w:footnoteReference w:id="129"/>
      </w:r>
      <w:r w:rsidR="00843107">
        <w:t xml:space="preserve"> as well as record evidence that fiber </w:t>
      </w:r>
      <w:r w:rsidR="005958BA">
        <w:t xml:space="preserve">increasingly </w:t>
      </w:r>
      <w:r w:rsidR="00843107">
        <w:t>is a substitute rather than a supplement to satellite service.</w:t>
      </w:r>
      <w:r>
        <w:rPr>
          <w:rStyle w:val="FootnoteReference"/>
        </w:rPr>
        <w:footnoteReference w:id="130"/>
      </w:r>
    </w:p>
    <w:p w:rsidR="00CB114A" w:rsidRPr="007345E5" w:rsidP="00CB114A" w14:paraId="2F0AAD21" w14:textId="2EC208ED">
      <w:pPr>
        <w:pStyle w:val="Heading2"/>
      </w:pPr>
      <w:bookmarkStart w:id="11" w:name="_Toc42600718"/>
      <w:r w:rsidRPr="007345E5">
        <w:t>Petitioners Have Not Shown That the Equities Favor a Stay</w:t>
      </w:r>
      <w:r w:rsidRPr="007345E5">
        <w:t>.</w:t>
      </w:r>
      <w:bookmarkEnd w:id="11"/>
    </w:p>
    <w:p w:rsidR="00202807" w:rsidRPr="003E27C1" w:rsidP="00936B29" w14:paraId="17CCFDD7" w14:textId="2CA6D0A0">
      <w:pPr>
        <w:pStyle w:val="ParaNum"/>
      </w:pPr>
      <w:r w:rsidRPr="007345E5">
        <w:t xml:space="preserve">Finally, </w:t>
      </w:r>
      <w:r w:rsidRPr="007345E5" w:rsidR="00CB114A">
        <w:t>Petitioners have not</w:t>
      </w:r>
      <w:r w:rsidRPr="007345E5" w:rsidR="00B53CA5">
        <w:t xml:space="preserve"> </w:t>
      </w:r>
      <w:r w:rsidRPr="007345E5" w:rsidR="00610ABB">
        <w:t xml:space="preserve">met their burden of </w:t>
      </w:r>
      <w:r w:rsidRPr="007345E5" w:rsidR="00CB114A">
        <w:t>sho</w:t>
      </w:r>
      <w:r w:rsidRPr="007345E5" w:rsidR="00B53CA5">
        <w:t>w</w:t>
      </w:r>
      <w:r w:rsidRPr="007345E5" w:rsidR="00610ABB">
        <w:t>ing</w:t>
      </w:r>
      <w:r w:rsidRPr="007345E5" w:rsidR="00CB114A">
        <w:t xml:space="preserve"> that the public interest </w:t>
      </w:r>
      <w:r w:rsidRPr="007345E5" w:rsidR="00B53CA5">
        <w:t>militates in favor</w:t>
      </w:r>
      <w:r w:rsidRPr="007345E5" w:rsidR="00CB114A">
        <w:t xml:space="preserve"> of a stay </w:t>
      </w:r>
      <w:r w:rsidRPr="007345E5" w:rsidR="00610ABB">
        <w:t>and</w:t>
      </w:r>
      <w:r w:rsidRPr="007345E5" w:rsidR="00CB114A">
        <w:t xml:space="preserve"> that </w:t>
      </w:r>
      <w:r w:rsidRPr="007345E5" w:rsidR="00610ABB">
        <w:t xml:space="preserve">others would not be harmed by </w:t>
      </w:r>
      <w:r w:rsidRPr="007345E5" w:rsidR="00E72FD9">
        <w:t>a stay</w:t>
      </w:r>
      <w:r w:rsidRPr="007345E5" w:rsidR="00CB114A">
        <w:t>.</w:t>
      </w:r>
      <w:r w:rsidRPr="007345E5" w:rsidR="00B53CA5">
        <w:t xml:space="preserve"> </w:t>
      </w:r>
      <w:r w:rsidR="00501463">
        <w:t xml:space="preserve"> </w:t>
      </w:r>
      <w:r w:rsidRPr="007345E5" w:rsidR="00936B29">
        <w:t xml:space="preserve">They argue that grant of a stay would delay </w:t>
      </w:r>
      <w:r w:rsidRPr="007345E5">
        <w:t>the transition only</w:t>
      </w:r>
      <w:r w:rsidRPr="007345E5" w:rsidR="00936B29">
        <w:t xml:space="preserve"> briefly, that </w:t>
      </w:r>
      <w:r w:rsidR="00D14E98">
        <w:t>most</w:t>
      </w:r>
      <w:r w:rsidRPr="007345E5" w:rsidR="00610ABB">
        <w:t xml:space="preserve"> </w:t>
      </w:r>
      <w:r w:rsidRPr="007345E5" w:rsidR="00936B29">
        <w:t>5G deployments in the C-</w:t>
      </w:r>
      <w:r w:rsidR="00501463">
        <w:t>b</w:t>
      </w:r>
      <w:r w:rsidRPr="007345E5" w:rsidR="00501463">
        <w:t xml:space="preserve">and </w:t>
      </w:r>
      <w:r w:rsidRPr="007345E5" w:rsidR="00936B29">
        <w:t>will not occur for years under th</w:t>
      </w:r>
      <w:r w:rsidRPr="007345E5">
        <w:t xml:space="preserve">e </w:t>
      </w:r>
      <w:r w:rsidR="00501463">
        <w:rPr>
          <w:i/>
          <w:iCs/>
        </w:rPr>
        <w:t xml:space="preserve">3.7 GHz Report and </w:t>
      </w:r>
      <w:r w:rsidRPr="00D56FF7" w:rsidR="00D56FF7">
        <w:rPr>
          <w:i/>
          <w:iCs/>
        </w:rPr>
        <w:t>Order</w:t>
      </w:r>
      <w:r w:rsidRPr="007345E5" w:rsidR="00936B29">
        <w:t>’s transition schedule,</w:t>
      </w:r>
      <w:r w:rsidRPr="007345E5">
        <w:t xml:space="preserve"> and</w:t>
      </w:r>
      <w:r w:rsidRPr="007345E5" w:rsidR="00936B29">
        <w:t xml:space="preserve"> that other mid-band spectrum is or will soon be available for 5G.</w:t>
      </w:r>
      <w:r>
        <w:rPr>
          <w:rStyle w:val="FootnoteReference"/>
        </w:rPr>
        <w:footnoteReference w:id="131"/>
      </w:r>
      <w:r w:rsidRPr="007345E5" w:rsidR="00936B29">
        <w:t xml:space="preserve"> </w:t>
      </w:r>
      <w:r w:rsidR="00501463">
        <w:t xml:space="preserve"> </w:t>
      </w:r>
      <w:r w:rsidRPr="007345E5" w:rsidR="00936B29">
        <w:t xml:space="preserve">They also argue that </w:t>
      </w:r>
      <w:r w:rsidRPr="007345E5">
        <w:t>“</w:t>
      </w:r>
      <w:r w:rsidRPr="007345E5">
        <w:rPr>
          <w:i/>
          <w:iCs/>
        </w:rPr>
        <w:t xml:space="preserve">any </w:t>
      </w:r>
      <w:r w:rsidRPr="007345E5">
        <w:t>auction will result in dramatically reduced proceeds for the Treasury” because of the</w:t>
      </w:r>
      <w:r w:rsidR="00D56FF7">
        <w:t xml:space="preserve"> Commission</w:t>
      </w:r>
      <w:r w:rsidRPr="007345E5">
        <w:t xml:space="preserve">’s funding commitments to </w:t>
      </w:r>
      <w:r w:rsidR="00501463">
        <w:t>eligible</w:t>
      </w:r>
      <w:r w:rsidRPr="007345E5" w:rsidR="00501463">
        <w:t xml:space="preserve"> </w:t>
      </w:r>
      <w:r w:rsidR="00501463">
        <w:t>space station</w:t>
      </w:r>
      <w:r w:rsidRPr="007345E5" w:rsidR="00501463">
        <w:t xml:space="preserve"> </w:t>
      </w:r>
      <w:r w:rsidRPr="007345E5">
        <w:t>operators that elect to relocate on an accelerated basis.</w:t>
      </w:r>
      <w:r>
        <w:rPr>
          <w:rStyle w:val="FootnoteReference"/>
        </w:rPr>
        <w:footnoteReference w:id="132"/>
      </w:r>
      <w:r w:rsidRPr="007345E5">
        <w:t xml:space="preserve"> </w:t>
      </w:r>
      <w:r w:rsidR="00501463">
        <w:t xml:space="preserve"> </w:t>
      </w:r>
      <w:r w:rsidRPr="007345E5">
        <w:t xml:space="preserve">None of these arguments </w:t>
      </w:r>
      <w:r w:rsidRPr="007345E5" w:rsidR="00610ABB">
        <w:t>withstand</w:t>
      </w:r>
      <w:r w:rsidRPr="007345E5">
        <w:t xml:space="preserve"> scrutiny.</w:t>
      </w:r>
      <w:r w:rsidRPr="007345E5">
        <w:t xml:space="preserve"> </w:t>
      </w:r>
    </w:p>
    <w:p w:rsidR="00215C7D" w:rsidRPr="003E27C1" w:rsidP="00202807" w14:paraId="4C2BE98C" w14:textId="5ED0BF42">
      <w:pPr>
        <w:pStyle w:val="ParaNum"/>
      </w:pPr>
      <w:r w:rsidRPr="007345E5">
        <w:rPr>
          <w:szCs w:val="22"/>
        </w:rPr>
        <w:t>The Commission’s actions to r</w:t>
      </w:r>
      <w:r w:rsidRPr="007345E5" w:rsidR="00E72FD9">
        <w:rPr>
          <w:szCs w:val="22"/>
        </w:rPr>
        <w:t>epurpos</w:t>
      </w:r>
      <w:r w:rsidRPr="007345E5">
        <w:rPr>
          <w:szCs w:val="22"/>
        </w:rPr>
        <w:t>e</w:t>
      </w:r>
      <w:r w:rsidRPr="007345E5" w:rsidR="00E72FD9">
        <w:rPr>
          <w:szCs w:val="22"/>
        </w:rPr>
        <w:t xml:space="preserve"> the C-</w:t>
      </w:r>
      <w:r w:rsidR="00367268">
        <w:rPr>
          <w:szCs w:val="22"/>
        </w:rPr>
        <w:t>b</w:t>
      </w:r>
      <w:r w:rsidRPr="007345E5" w:rsidR="00367268">
        <w:rPr>
          <w:szCs w:val="22"/>
        </w:rPr>
        <w:t xml:space="preserve">and </w:t>
      </w:r>
      <w:r w:rsidRPr="007345E5">
        <w:rPr>
          <w:szCs w:val="22"/>
        </w:rPr>
        <w:t>are</w:t>
      </w:r>
      <w:r w:rsidRPr="007345E5" w:rsidR="00E72FD9">
        <w:rPr>
          <w:szCs w:val="22"/>
        </w:rPr>
        <w:t xml:space="preserve"> an indispensable element of </w:t>
      </w:r>
      <w:r w:rsidRPr="007345E5">
        <w:rPr>
          <w:szCs w:val="22"/>
        </w:rPr>
        <w:t>it</w:t>
      </w:r>
      <w:r w:rsidRPr="007345E5" w:rsidR="00E72FD9">
        <w:rPr>
          <w:szCs w:val="22"/>
        </w:rPr>
        <w:t>s</w:t>
      </w:r>
      <w:r w:rsidRPr="007345E5" w:rsidR="009E372E">
        <w:rPr>
          <w:szCs w:val="22"/>
        </w:rPr>
        <w:t xml:space="preserve"> overall</w:t>
      </w:r>
      <w:r w:rsidRPr="007345E5" w:rsidR="00610ABB">
        <w:rPr>
          <w:szCs w:val="22"/>
        </w:rPr>
        <w:t xml:space="preserve"> </w:t>
      </w:r>
      <w:r w:rsidRPr="007345E5" w:rsidR="00E72FD9">
        <w:rPr>
          <w:szCs w:val="22"/>
        </w:rPr>
        <w:t>strategy</w:t>
      </w:r>
      <w:r w:rsidR="00702B58">
        <w:rPr>
          <w:szCs w:val="22"/>
        </w:rPr>
        <w:t xml:space="preserve"> of promoting the deployment of fifth generation (5G) wireless services</w:t>
      </w:r>
      <w:r w:rsidRPr="007345E5" w:rsidR="00E72FD9">
        <w:rPr>
          <w:szCs w:val="22"/>
        </w:rPr>
        <w:t>, with millions of jobs</w:t>
      </w:r>
      <w:r w:rsidRPr="007345E5" w:rsidR="00202807">
        <w:rPr>
          <w:szCs w:val="22"/>
        </w:rPr>
        <w:t>,</w:t>
      </w:r>
      <w:r w:rsidRPr="007345E5" w:rsidR="00E72FD9">
        <w:rPr>
          <w:szCs w:val="22"/>
        </w:rPr>
        <w:t xml:space="preserve"> and billions of dollars in economic growth and </w:t>
      </w:r>
      <w:r w:rsidRPr="007345E5" w:rsidR="004E003C">
        <w:rPr>
          <w:szCs w:val="22"/>
        </w:rPr>
        <w:t>other public</w:t>
      </w:r>
      <w:r w:rsidRPr="007345E5" w:rsidR="00E72FD9">
        <w:rPr>
          <w:szCs w:val="22"/>
        </w:rPr>
        <w:t xml:space="preserve"> benefits</w:t>
      </w:r>
      <w:r w:rsidRPr="007345E5" w:rsidR="00202807">
        <w:rPr>
          <w:szCs w:val="22"/>
        </w:rPr>
        <w:t>,</w:t>
      </w:r>
      <w:r w:rsidRPr="007345E5" w:rsidR="00E72FD9">
        <w:rPr>
          <w:szCs w:val="22"/>
        </w:rPr>
        <w:t xml:space="preserve"> at stake</w:t>
      </w:r>
      <w:r w:rsidRPr="007345E5" w:rsidR="00B53CA5">
        <w:rPr>
          <w:szCs w:val="22"/>
        </w:rPr>
        <w:t>.</w:t>
      </w:r>
      <w:r>
        <w:rPr>
          <w:rStyle w:val="FootnoteReference"/>
          <w:sz w:val="22"/>
          <w:szCs w:val="22"/>
        </w:rPr>
        <w:footnoteReference w:id="133"/>
      </w:r>
      <w:r w:rsidRPr="007345E5" w:rsidR="00B53CA5">
        <w:rPr>
          <w:szCs w:val="22"/>
        </w:rPr>
        <w:t xml:space="preserve"> </w:t>
      </w:r>
      <w:r w:rsidR="00367268">
        <w:rPr>
          <w:szCs w:val="22"/>
        </w:rPr>
        <w:t xml:space="preserve"> </w:t>
      </w:r>
      <w:r w:rsidRPr="007345E5" w:rsidR="009E372E">
        <w:rPr>
          <w:szCs w:val="22"/>
        </w:rPr>
        <w:t>S</w:t>
      </w:r>
      <w:r w:rsidRPr="007345E5" w:rsidR="004E003C">
        <w:rPr>
          <w:szCs w:val="22"/>
        </w:rPr>
        <w:t>peed is essential</w:t>
      </w:r>
      <w:r w:rsidRPr="007345E5" w:rsidR="00610ABB">
        <w:rPr>
          <w:szCs w:val="22"/>
        </w:rPr>
        <w:t xml:space="preserve"> to that strategy</w:t>
      </w:r>
      <w:r w:rsidRPr="007345E5" w:rsidR="009E372E">
        <w:rPr>
          <w:szCs w:val="22"/>
        </w:rPr>
        <w:t xml:space="preserve">. </w:t>
      </w:r>
      <w:r w:rsidR="00367268">
        <w:rPr>
          <w:szCs w:val="22"/>
        </w:rPr>
        <w:t xml:space="preserve"> </w:t>
      </w:r>
      <w:r w:rsidRPr="007345E5" w:rsidR="00610ABB">
        <w:rPr>
          <w:szCs w:val="22"/>
        </w:rPr>
        <w:t xml:space="preserve">Stakeholders </w:t>
      </w:r>
      <w:r w:rsidRPr="007345E5" w:rsidR="009E372E">
        <w:rPr>
          <w:szCs w:val="22"/>
        </w:rPr>
        <w:t xml:space="preserve">“repeatedly emphasized the need to make C-band spectrum available for flexible use </w:t>
      </w:r>
      <w:r w:rsidRPr="007345E5" w:rsidR="009E372E">
        <w:rPr>
          <w:i/>
          <w:iCs/>
          <w:szCs w:val="22"/>
        </w:rPr>
        <w:t>as quickly as possible</w:t>
      </w:r>
      <w:r w:rsidRPr="007345E5" w:rsidR="009E372E">
        <w:rPr>
          <w:szCs w:val="22"/>
        </w:rPr>
        <w:t>, with the goal of conducting an auction of overlay licenses in the 3.7-3.98 GHz band by the end of 2020.”</w:t>
      </w:r>
      <w:r>
        <w:rPr>
          <w:rStyle w:val="FootnoteReference"/>
        </w:rPr>
        <w:footnoteReference w:id="134"/>
      </w:r>
      <w:r w:rsidRPr="007345E5" w:rsidR="00202807">
        <w:rPr>
          <w:szCs w:val="22"/>
        </w:rPr>
        <w:t xml:space="preserve"> </w:t>
      </w:r>
      <w:r w:rsidR="00235985">
        <w:rPr>
          <w:szCs w:val="22"/>
        </w:rPr>
        <w:t xml:space="preserve"> </w:t>
      </w:r>
      <w:r w:rsidRPr="00152508" w:rsidR="0083678C">
        <w:t>Petitioners themselves “expressed support for repurposing 300 megahertz of C-band spectrum, suggesting it could be done quickly through the use of compression technology.”</w:t>
      </w:r>
      <w:r>
        <w:rPr>
          <w:rStyle w:val="FootnoteReference"/>
        </w:rPr>
        <w:footnoteReference w:id="135"/>
      </w:r>
      <w:r w:rsidRPr="00152508" w:rsidR="0083678C">
        <w:t xml:space="preserve"> </w:t>
      </w:r>
      <w:r w:rsidR="0083678C">
        <w:t xml:space="preserve"> </w:t>
      </w:r>
      <w:r w:rsidRPr="007345E5" w:rsidR="00610ABB">
        <w:t xml:space="preserve">The </w:t>
      </w:r>
      <w:r w:rsidR="00D5373F">
        <w:t>Commission</w:t>
      </w:r>
      <w:r w:rsidRPr="007345E5" w:rsidR="00610ABB">
        <w:t xml:space="preserve"> agreed, finding that “delaying the transition of this spectrum any longer than necessary will have significant negative effects for the American consumer and American leadership in 5G.”</w:t>
      </w:r>
      <w:r>
        <w:rPr>
          <w:rStyle w:val="FootnoteReference"/>
        </w:rPr>
        <w:footnoteReference w:id="136"/>
      </w:r>
      <w:r w:rsidRPr="007345E5" w:rsidR="00610ABB">
        <w:t xml:space="preserve"> </w:t>
      </w:r>
      <w:r w:rsidR="00235985">
        <w:t xml:space="preserve"> </w:t>
      </w:r>
      <w:r w:rsidRPr="007345E5" w:rsidR="004E003C">
        <w:t xml:space="preserve">Accordingly, the </w:t>
      </w:r>
      <w:r w:rsidRPr="007345E5" w:rsidR="00202807">
        <w:t xml:space="preserve">Commission </w:t>
      </w:r>
      <w:r w:rsidRPr="007345E5" w:rsidR="004E003C">
        <w:t>established an aggressive</w:t>
      </w:r>
      <w:r w:rsidRPr="007345E5" w:rsidR="00B2627C">
        <w:t xml:space="preserve"> schedule</w:t>
      </w:r>
      <w:r w:rsidRPr="007345E5" w:rsidR="004E003C">
        <w:t xml:space="preserve">, with the auction scheduled </w:t>
      </w:r>
      <w:r w:rsidRPr="007345E5" w:rsidR="004E003C">
        <w:t xml:space="preserve">to commence </w:t>
      </w:r>
      <w:r w:rsidRPr="007345E5" w:rsidR="00610ABB">
        <w:t>later this year</w:t>
      </w:r>
      <w:r w:rsidRPr="007345E5" w:rsidR="00B2627C">
        <w:t>.</w:t>
      </w:r>
      <w:r>
        <w:rPr>
          <w:rStyle w:val="FootnoteReference"/>
        </w:rPr>
        <w:footnoteReference w:id="137"/>
      </w:r>
      <w:r w:rsidR="00235985">
        <w:t xml:space="preserve"> </w:t>
      </w:r>
      <w:r w:rsidRPr="007345E5" w:rsidR="00B2627C">
        <w:t xml:space="preserve"> </w:t>
      </w:r>
      <w:r w:rsidRPr="007345E5">
        <w:rPr>
          <w:szCs w:val="22"/>
        </w:rPr>
        <w:t>A</w:t>
      </w:r>
      <w:r w:rsidRPr="007345E5" w:rsidR="00B2627C">
        <w:t xml:space="preserve">lthough the first </w:t>
      </w:r>
      <w:r w:rsidR="00235985">
        <w:t>Accele</w:t>
      </w:r>
      <w:r w:rsidR="00115317">
        <w:t>ra</w:t>
      </w:r>
      <w:r w:rsidR="00235985">
        <w:t>ted Relocation Deadline</w:t>
      </w:r>
      <w:r w:rsidRPr="007345E5" w:rsidR="00B2627C">
        <w:t xml:space="preserve"> </w:t>
      </w:r>
      <w:r w:rsidRPr="007345E5" w:rsidR="00256197">
        <w:t>is not until December 5, 2021,</w:t>
      </w:r>
      <w:r w:rsidRPr="007345E5" w:rsidR="004E003C">
        <w:t xml:space="preserve"> the transitio</w:t>
      </w:r>
      <w:r w:rsidRPr="007345E5" w:rsidR="00256197">
        <w:t>n</w:t>
      </w:r>
      <w:r w:rsidRPr="007345E5" w:rsidR="00610ABB">
        <w:t xml:space="preserve"> itself</w:t>
      </w:r>
      <w:r w:rsidRPr="007345E5" w:rsidR="00256197">
        <w:t xml:space="preserve"> is</w:t>
      </w:r>
      <w:r w:rsidRPr="007345E5" w:rsidR="00B2627C">
        <w:t xml:space="preserve"> </w:t>
      </w:r>
      <w:r w:rsidRPr="007345E5" w:rsidR="004E003C">
        <w:t>already underway.</w:t>
      </w:r>
      <w:r>
        <w:rPr>
          <w:rStyle w:val="FootnoteReference"/>
        </w:rPr>
        <w:footnoteReference w:id="138"/>
      </w:r>
      <w:r w:rsidR="00025D74">
        <w:t xml:space="preserve"> </w:t>
      </w:r>
      <w:r w:rsidRPr="007345E5" w:rsidR="00B2627C">
        <w:t xml:space="preserve"> </w:t>
      </w:r>
      <w:r w:rsidRPr="007345E5" w:rsidR="00202807">
        <w:t>A</w:t>
      </w:r>
      <w:r w:rsidRPr="007345E5" w:rsidR="00202807">
        <w:rPr>
          <w:szCs w:val="22"/>
        </w:rPr>
        <w:t xml:space="preserve">s </w:t>
      </w:r>
      <w:r w:rsidRPr="007345E5" w:rsidR="008104CE">
        <w:rPr>
          <w:szCs w:val="22"/>
        </w:rPr>
        <w:t xml:space="preserve">one </w:t>
      </w:r>
      <w:r w:rsidRPr="007345E5" w:rsidR="00575677">
        <w:rPr>
          <w:szCs w:val="22"/>
        </w:rPr>
        <w:t xml:space="preserve">large </w:t>
      </w:r>
      <w:r w:rsidRPr="007345E5" w:rsidR="008104CE">
        <w:rPr>
          <w:szCs w:val="22"/>
        </w:rPr>
        <w:t>satellite operator</w:t>
      </w:r>
      <w:r w:rsidRPr="007345E5" w:rsidR="00202807">
        <w:rPr>
          <w:szCs w:val="22"/>
        </w:rPr>
        <w:t xml:space="preserve"> explains, “[c]</w:t>
      </w:r>
      <w:r w:rsidRPr="007345E5" w:rsidR="00202807">
        <w:rPr>
          <w:szCs w:val="22"/>
        </w:rPr>
        <w:t>learing</w:t>
      </w:r>
      <w:r w:rsidRPr="007345E5" w:rsidR="00202807">
        <w:rPr>
          <w:szCs w:val="22"/>
        </w:rPr>
        <w:t xml:space="preserve"> the C-band is a complex, time-consuming, and costly endeavor, and SES has just committed to meet its clearance obligations on the Commission’s accelerated timeline. </w:t>
      </w:r>
      <w:r w:rsidR="00025D74">
        <w:rPr>
          <w:szCs w:val="22"/>
        </w:rPr>
        <w:t xml:space="preserve"> </w:t>
      </w:r>
      <w:r w:rsidRPr="007345E5" w:rsidR="00202807">
        <w:rPr>
          <w:szCs w:val="22"/>
        </w:rPr>
        <w:t>To prepare for this election, SES has already undertaken substantial planning and other capital- and time-intensive activities.</w:t>
      </w:r>
      <w:r w:rsidRPr="007345E5" w:rsidR="008104CE">
        <w:rPr>
          <w:szCs w:val="22"/>
        </w:rPr>
        <w:t>”</w:t>
      </w:r>
      <w:r>
        <w:rPr>
          <w:rStyle w:val="FootnoteReference"/>
          <w:szCs w:val="22"/>
        </w:rPr>
        <w:footnoteReference w:id="139"/>
      </w:r>
      <w:r w:rsidRPr="007345E5" w:rsidR="00575677">
        <w:rPr>
          <w:szCs w:val="22"/>
        </w:rPr>
        <w:t xml:space="preserve"> </w:t>
      </w:r>
    </w:p>
    <w:p w:rsidR="00215C7D" w:rsidRPr="007345E5" w:rsidP="003E1D56" w14:paraId="09BF5BA7" w14:textId="1EAF054F">
      <w:pPr>
        <w:pStyle w:val="ParaNum"/>
        <w:rPr>
          <w:szCs w:val="22"/>
        </w:rPr>
      </w:pPr>
      <w:r w:rsidRPr="007345E5">
        <w:rPr>
          <w:snapToGrid/>
          <w:kern w:val="0"/>
          <w:szCs w:val="22"/>
        </w:rPr>
        <w:t xml:space="preserve">For these reasons, </w:t>
      </w:r>
      <w:r w:rsidR="00D32647">
        <w:rPr>
          <w:snapToGrid/>
          <w:kern w:val="0"/>
          <w:szCs w:val="22"/>
        </w:rPr>
        <w:t xml:space="preserve">grant of </w:t>
      </w:r>
      <w:r w:rsidRPr="007345E5">
        <w:rPr>
          <w:snapToGrid/>
          <w:kern w:val="0"/>
          <w:szCs w:val="22"/>
        </w:rPr>
        <w:t>a</w:t>
      </w:r>
      <w:r w:rsidRPr="007345E5" w:rsidR="003E1D56">
        <w:rPr>
          <w:snapToGrid/>
          <w:kern w:val="0"/>
          <w:szCs w:val="22"/>
        </w:rPr>
        <w:t xml:space="preserve"> stay pending </w:t>
      </w:r>
      <w:r w:rsidRPr="007345E5">
        <w:rPr>
          <w:snapToGrid/>
          <w:kern w:val="0"/>
          <w:szCs w:val="22"/>
        </w:rPr>
        <w:t>judicial review</w:t>
      </w:r>
      <w:r w:rsidRPr="007345E5" w:rsidR="003E1D56">
        <w:rPr>
          <w:snapToGrid/>
          <w:kern w:val="0"/>
          <w:szCs w:val="22"/>
        </w:rPr>
        <w:t xml:space="preserve"> would significantly delay the auction and transition process</w:t>
      </w:r>
      <w:r w:rsidRPr="007345E5" w:rsidR="00AD7E8C">
        <w:rPr>
          <w:snapToGrid/>
          <w:kern w:val="0"/>
          <w:szCs w:val="22"/>
        </w:rPr>
        <w:t xml:space="preserve"> and harm multiple stakeholders, including prospective bidders and </w:t>
      </w:r>
      <w:r w:rsidRPr="007345E5">
        <w:rPr>
          <w:snapToGrid/>
          <w:kern w:val="0"/>
          <w:szCs w:val="22"/>
        </w:rPr>
        <w:t xml:space="preserve">the </w:t>
      </w:r>
      <w:r w:rsidRPr="007345E5" w:rsidR="00AD7E8C">
        <w:rPr>
          <w:snapToGrid/>
          <w:kern w:val="0"/>
          <w:szCs w:val="22"/>
        </w:rPr>
        <w:t>diverse incumbents involved in the transition process</w:t>
      </w:r>
      <w:r w:rsidRPr="007345E5" w:rsidR="003E1D56">
        <w:rPr>
          <w:snapToGrid/>
          <w:kern w:val="0"/>
          <w:szCs w:val="22"/>
        </w:rPr>
        <w:t>.</w:t>
      </w:r>
      <w:r>
        <w:rPr>
          <w:rStyle w:val="FootnoteReference"/>
          <w:snapToGrid/>
          <w:kern w:val="0"/>
          <w:szCs w:val="22"/>
        </w:rPr>
        <w:footnoteReference w:id="140"/>
      </w:r>
      <w:r w:rsidRPr="007345E5" w:rsidR="00B2627C">
        <w:rPr>
          <w:szCs w:val="22"/>
        </w:rPr>
        <w:t xml:space="preserve"> </w:t>
      </w:r>
      <w:r w:rsidR="009E7080">
        <w:rPr>
          <w:szCs w:val="22"/>
        </w:rPr>
        <w:t xml:space="preserve"> </w:t>
      </w:r>
      <w:r w:rsidRPr="007345E5">
        <w:rPr>
          <w:szCs w:val="22"/>
        </w:rPr>
        <w:t xml:space="preserve">CTIA </w:t>
      </w:r>
      <w:r w:rsidR="00D32647">
        <w:rPr>
          <w:szCs w:val="22"/>
        </w:rPr>
        <w:t>state</w:t>
      </w:r>
      <w:r w:rsidRPr="007345E5" w:rsidR="00EF7C3D">
        <w:rPr>
          <w:szCs w:val="22"/>
        </w:rPr>
        <w:t>s that:</w:t>
      </w:r>
      <w:r w:rsidRPr="007345E5">
        <w:rPr>
          <w:szCs w:val="22"/>
        </w:rPr>
        <w:t xml:space="preserve"> </w:t>
      </w:r>
    </w:p>
    <w:p w:rsidR="00B2627C" w:rsidRPr="007345E5" w:rsidP="003E1D56" w14:paraId="51004543" w14:textId="5803FF16">
      <w:pPr>
        <w:pStyle w:val="ParaNum"/>
        <w:numPr>
          <w:ilvl w:val="0"/>
          <w:numId w:val="0"/>
        </w:numPr>
        <w:ind w:left="720"/>
        <w:rPr>
          <w:szCs w:val="22"/>
        </w:rPr>
      </w:pPr>
      <w:r w:rsidRPr="007345E5">
        <w:rPr>
          <w:szCs w:val="22"/>
        </w:rPr>
        <w:t xml:space="preserve">[m]any wireless operators (including CTIA members) have structured their contractual and financial arrangements in anticipation for the upcoming auction. </w:t>
      </w:r>
      <w:r w:rsidR="009E7080">
        <w:rPr>
          <w:szCs w:val="22"/>
        </w:rPr>
        <w:t xml:space="preserve"> </w:t>
      </w:r>
      <w:r w:rsidRPr="007345E5">
        <w:rPr>
          <w:szCs w:val="22"/>
        </w:rPr>
        <w:t xml:space="preserve">And their investments in next-generation technologies are predicated on the understanding that an auction </w:t>
      </w:r>
      <w:r w:rsidRPr="007345E5">
        <w:rPr>
          <w:i/>
          <w:iCs/>
          <w:szCs w:val="22"/>
        </w:rPr>
        <w:t>this year</w:t>
      </w:r>
      <w:r w:rsidRPr="007345E5">
        <w:rPr>
          <w:szCs w:val="22"/>
        </w:rPr>
        <w:t xml:space="preserve"> will afford them opportunities to bid on and obtain critical C-band spectrum for next-generation wireless services. </w:t>
      </w:r>
      <w:r w:rsidR="009E7080">
        <w:rPr>
          <w:szCs w:val="22"/>
        </w:rPr>
        <w:t xml:space="preserve"> </w:t>
      </w:r>
      <w:r w:rsidRPr="007345E5">
        <w:rPr>
          <w:szCs w:val="22"/>
        </w:rPr>
        <w:t xml:space="preserve">Similarly, wireless equipment manufacturers (also among CTIA’s members) and myriad other participants in the wireless ecosystem have relied on expectations of a swift auction. </w:t>
      </w:r>
      <w:r w:rsidR="009E7080">
        <w:rPr>
          <w:szCs w:val="22"/>
        </w:rPr>
        <w:t xml:space="preserve"> </w:t>
      </w:r>
      <w:r w:rsidRPr="007345E5">
        <w:rPr>
          <w:szCs w:val="22"/>
        </w:rPr>
        <w:t xml:space="preserve">Granting a stay of the upcoming auction and related clearing process established in the </w:t>
      </w:r>
      <w:r w:rsidRPr="007345E5">
        <w:rPr>
          <w:i/>
          <w:iCs/>
          <w:szCs w:val="22"/>
        </w:rPr>
        <w:t xml:space="preserve">Order </w:t>
      </w:r>
      <w:r w:rsidRPr="007345E5">
        <w:rPr>
          <w:szCs w:val="22"/>
        </w:rPr>
        <w:t>would upend these plans, causing tremendous uncertainty and chilling investment.</w:t>
      </w:r>
      <w:r>
        <w:rPr>
          <w:rStyle w:val="FootnoteReference"/>
          <w:szCs w:val="22"/>
        </w:rPr>
        <w:footnoteReference w:id="141"/>
      </w:r>
      <w:r w:rsidRPr="007345E5">
        <w:rPr>
          <w:szCs w:val="22"/>
        </w:rPr>
        <w:t xml:space="preserve"> </w:t>
      </w:r>
    </w:p>
    <w:p w:rsidR="001A4B48" w:rsidRPr="00D32647" w:rsidP="00936B29" w14:paraId="06E70577" w14:textId="785C5453">
      <w:pPr>
        <w:pStyle w:val="Default"/>
        <w:spacing w:after="120"/>
        <w:rPr>
          <w:sz w:val="22"/>
          <w:szCs w:val="22"/>
        </w:rPr>
      </w:pPr>
      <w:r w:rsidRPr="007345E5">
        <w:rPr>
          <w:sz w:val="22"/>
          <w:szCs w:val="22"/>
        </w:rPr>
        <w:t xml:space="preserve">The </w:t>
      </w:r>
      <w:r w:rsidRPr="007345E5" w:rsidR="00835AC9">
        <w:rPr>
          <w:sz w:val="22"/>
          <w:szCs w:val="22"/>
        </w:rPr>
        <w:t>cost</w:t>
      </w:r>
      <w:r w:rsidRPr="007345E5">
        <w:rPr>
          <w:sz w:val="22"/>
          <w:szCs w:val="22"/>
        </w:rPr>
        <w:t xml:space="preserve"> of such delay and disruption </w:t>
      </w:r>
      <w:r w:rsidRPr="007345E5" w:rsidR="00835AC9">
        <w:rPr>
          <w:sz w:val="22"/>
          <w:szCs w:val="22"/>
        </w:rPr>
        <w:t>c</w:t>
      </w:r>
      <w:r w:rsidRPr="007345E5">
        <w:rPr>
          <w:sz w:val="22"/>
          <w:szCs w:val="22"/>
        </w:rPr>
        <w:t xml:space="preserve">ould be enormous. </w:t>
      </w:r>
      <w:r w:rsidR="00926B20">
        <w:rPr>
          <w:sz w:val="22"/>
          <w:szCs w:val="22"/>
        </w:rPr>
        <w:t xml:space="preserve"> </w:t>
      </w:r>
      <w:r w:rsidRPr="007345E5">
        <w:rPr>
          <w:sz w:val="22"/>
          <w:szCs w:val="22"/>
        </w:rPr>
        <w:t>Economists estimated that one year of delay in transitioning the C-</w:t>
      </w:r>
      <w:r w:rsidR="00926B20">
        <w:rPr>
          <w:sz w:val="22"/>
          <w:szCs w:val="22"/>
        </w:rPr>
        <w:t>b</w:t>
      </w:r>
      <w:r w:rsidRPr="007345E5" w:rsidR="00926B20">
        <w:rPr>
          <w:sz w:val="22"/>
          <w:szCs w:val="22"/>
        </w:rPr>
        <w:t xml:space="preserve">and </w:t>
      </w:r>
      <w:r w:rsidRPr="007345E5">
        <w:rPr>
          <w:sz w:val="22"/>
          <w:szCs w:val="22"/>
        </w:rPr>
        <w:t xml:space="preserve">spectrum would reduce </w:t>
      </w:r>
      <w:r w:rsidRPr="007345E5" w:rsidR="009A1811">
        <w:rPr>
          <w:sz w:val="22"/>
          <w:szCs w:val="22"/>
        </w:rPr>
        <w:t>the spectrum’</w:t>
      </w:r>
      <w:r w:rsidRPr="007345E5">
        <w:rPr>
          <w:sz w:val="22"/>
          <w:szCs w:val="22"/>
        </w:rPr>
        <w:t>s value between seven and 11 percent</w:t>
      </w:r>
      <w:r w:rsidRPr="007345E5" w:rsidR="00835AC9">
        <w:rPr>
          <w:sz w:val="22"/>
          <w:szCs w:val="22"/>
        </w:rPr>
        <w:t>,</w:t>
      </w:r>
      <w:r w:rsidRPr="007345E5">
        <w:rPr>
          <w:sz w:val="22"/>
          <w:szCs w:val="22"/>
        </w:rPr>
        <w:t xml:space="preserve"> and reduce consumer welfare by $15 billion.</w:t>
      </w:r>
      <w:r>
        <w:rPr>
          <w:rStyle w:val="FootnoteReference"/>
          <w:szCs w:val="22"/>
        </w:rPr>
        <w:footnoteReference w:id="142"/>
      </w:r>
      <w:r w:rsidRPr="007345E5">
        <w:rPr>
          <w:sz w:val="22"/>
          <w:szCs w:val="22"/>
        </w:rPr>
        <w:t xml:space="preserve"> </w:t>
      </w:r>
      <w:r w:rsidR="00926B20">
        <w:rPr>
          <w:sz w:val="22"/>
          <w:szCs w:val="22"/>
        </w:rPr>
        <w:t xml:space="preserve"> </w:t>
      </w:r>
      <w:r w:rsidRPr="007345E5">
        <w:rPr>
          <w:sz w:val="22"/>
          <w:szCs w:val="22"/>
        </w:rPr>
        <w:t xml:space="preserve">The </w:t>
      </w:r>
      <w:r w:rsidR="00D5373F">
        <w:rPr>
          <w:sz w:val="22"/>
          <w:szCs w:val="22"/>
        </w:rPr>
        <w:t>Commission</w:t>
      </w:r>
      <w:r w:rsidRPr="007345E5">
        <w:rPr>
          <w:sz w:val="22"/>
          <w:szCs w:val="22"/>
        </w:rPr>
        <w:t xml:space="preserve"> estimated the </w:t>
      </w:r>
      <w:r w:rsidRPr="007345E5" w:rsidR="009A1811">
        <w:rPr>
          <w:sz w:val="22"/>
          <w:szCs w:val="22"/>
        </w:rPr>
        <w:t>total amount</w:t>
      </w:r>
      <w:r w:rsidRPr="007345E5" w:rsidR="0060234D">
        <w:rPr>
          <w:sz w:val="22"/>
          <w:szCs w:val="22"/>
        </w:rPr>
        <w:t xml:space="preserve"> that</w:t>
      </w:r>
      <w:r w:rsidRPr="007345E5">
        <w:rPr>
          <w:sz w:val="22"/>
          <w:szCs w:val="22"/>
        </w:rPr>
        <w:t xml:space="preserve"> </w:t>
      </w:r>
      <w:r w:rsidRPr="007345E5" w:rsidR="0060234D">
        <w:rPr>
          <w:sz w:val="22"/>
          <w:szCs w:val="22"/>
        </w:rPr>
        <w:t>new licensee</w:t>
      </w:r>
      <w:r w:rsidRPr="007345E5">
        <w:rPr>
          <w:sz w:val="22"/>
          <w:szCs w:val="22"/>
        </w:rPr>
        <w:t xml:space="preserve">s </w:t>
      </w:r>
      <w:r w:rsidRPr="007345E5" w:rsidR="0060234D">
        <w:rPr>
          <w:sz w:val="22"/>
          <w:szCs w:val="22"/>
        </w:rPr>
        <w:t>would willingly pay to accelerate relocation at $10.52 billion.</w:t>
      </w:r>
      <w:r>
        <w:rPr>
          <w:rStyle w:val="FootnoteReference"/>
          <w:szCs w:val="22"/>
        </w:rPr>
        <w:footnoteReference w:id="143"/>
      </w:r>
      <w:r w:rsidRPr="007345E5" w:rsidR="0060234D">
        <w:rPr>
          <w:sz w:val="22"/>
          <w:szCs w:val="22"/>
        </w:rPr>
        <w:t xml:space="preserve"> </w:t>
      </w:r>
      <w:r w:rsidR="004122DB">
        <w:rPr>
          <w:sz w:val="22"/>
          <w:szCs w:val="22"/>
        </w:rPr>
        <w:t xml:space="preserve"> </w:t>
      </w:r>
      <w:r w:rsidRPr="007345E5" w:rsidR="0060234D">
        <w:rPr>
          <w:sz w:val="22"/>
          <w:szCs w:val="22"/>
        </w:rPr>
        <w:t xml:space="preserve">Delay also could </w:t>
      </w:r>
      <w:r w:rsidRPr="007345E5" w:rsidR="009E372E">
        <w:rPr>
          <w:sz w:val="22"/>
          <w:szCs w:val="22"/>
        </w:rPr>
        <w:t xml:space="preserve">cost </w:t>
      </w:r>
      <w:r w:rsidRPr="007345E5" w:rsidR="00720623">
        <w:rPr>
          <w:sz w:val="22"/>
          <w:szCs w:val="22"/>
        </w:rPr>
        <w:t>hundreds of m</w:t>
      </w:r>
      <w:r w:rsidRPr="007345E5" w:rsidR="009E372E">
        <w:rPr>
          <w:sz w:val="22"/>
          <w:szCs w:val="22"/>
        </w:rPr>
        <w:t>ill</w:t>
      </w:r>
      <w:r w:rsidRPr="00D32647" w:rsidR="009E372E">
        <w:rPr>
          <w:sz w:val="22"/>
          <w:szCs w:val="22"/>
        </w:rPr>
        <w:t xml:space="preserve">ions of dollars in lost </w:t>
      </w:r>
      <w:r w:rsidRPr="00D32647" w:rsidR="00720623">
        <w:rPr>
          <w:sz w:val="22"/>
          <w:szCs w:val="22"/>
        </w:rPr>
        <w:t>revenue</w:t>
      </w:r>
      <w:r w:rsidRPr="00D32647" w:rsidR="009E372E">
        <w:rPr>
          <w:sz w:val="22"/>
          <w:szCs w:val="22"/>
        </w:rPr>
        <w:t>s for the U</w:t>
      </w:r>
      <w:r w:rsidRPr="00D32647" w:rsidR="00C47A23">
        <w:rPr>
          <w:sz w:val="22"/>
          <w:szCs w:val="22"/>
        </w:rPr>
        <w:t>.S.</w:t>
      </w:r>
      <w:r w:rsidRPr="00D32647" w:rsidR="009E372E">
        <w:rPr>
          <w:sz w:val="22"/>
          <w:szCs w:val="22"/>
        </w:rPr>
        <w:t xml:space="preserve"> Treasury</w:t>
      </w:r>
      <w:r w:rsidRPr="00D32647" w:rsidR="0060234D">
        <w:rPr>
          <w:sz w:val="22"/>
          <w:szCs w:val="22"/>
        </w:rPr>
        <w:t>.</w:t>
      </w:r>
      <w:r>
        <w:rPr>
          <w:rStyle w:val="FootnoteReference"/>
          <w:sz w:val="22"/>
          <w:szCs w:val="22"/>
        </w:rPr>
        <w:footnoteReference w:id="144"/>
      </w:r>
      <w:r w:rsidR="00D32647">
        <w:rPr>
          <w:sz w:val="22"/>
          <w:szCs w:val="22"/>
        </w:rPr>
        <w:t xml:space="preserve"> </w:t>
      </w:r>
      <w:r w:rsidR="00D32647">
        <w:rPr>
          <w:rStyle w:val="FootnoteReference"/>
          <w:szCs w:val="22"/>
        </w:rPr>
        <w:t xml:space="preserve"> </w:t>
      </w:r>
    </w:p>
    <w:p w:rsidR="00936B29" w:rsidRPr="008D4259" w:rsidP="004E6760" w14:paraId="0D4FF132" w14:textId="7A3816DC">
      <w:pPr>
        <w:pStyle w:val="ParaNum"/>
        <w:rPr>
          <w:szCs w:val="22"/>
        </w:rPr>
      </w:pPr>
      <w:r w:rsidRPr="008D4259">
        <w:rPr>
          <w:szCs w:val="22"/>
        </w:rPr>
        <w:t xml:space="preserve">Ignoring these estimates, </w:t>
      </w:r>
      <w:r w:rsidRPr="008D4259" w:rsidR="007345E5">
        <w:rPr>
          <w:szCs w:val="22"/>
        </w:rPr>
        <w:t xml:space="preserve">Petitioners suggest that we </w:t>
      </w:r>
      <w:r w:rsidRPr="008D4259" w:rsidR="00EF6E97">
        <w:rPr>
          <w:szCs w:val="22"/>
        </w:rPr>
        <w:t xml:space="preserve">instead </w:t>
      </w:r>
      <w:r w:rsidRPr="008D4259" w:rsidR="007345E5">
        <w:rPr>
          <w:szCs w:val="22"/>
        </w:rPr>
        <w:t xml:space="preserve">focus on the end of the transition process, </w:t>
      </w:r>
      <w:r w:rsidRPr="008D4259" w:rsidR="00EF6E97">
        <w:rPr>
          <w:szCs w:val="22"/>
        </w:rPr>
        <w:t>and</w:t>
      </w:r>
      <w:r w:rsidRPr="008D4259" w:rsidR="007345E5">
        <w:rPr>
          <w:szCs w:val="22"/>
        </w:rPr>
        <w:t xml:space="preserve"> that the Commissio</w:t>
      </w:r>
      <w:r w:rsidRPr="008D4259">
        <w:rPr>
          <w:szCs w:val="22"/>
        </w:rPr>
        <w:t>n</w:t>
      </w:r>
      <w:r w:rsidRPr="008D4259" w:rsidR="007345E5">
        <w:rPr>
          <w:szCs w:val="22"/>
        </w:rPr>
        <w:t xml:space="preserve"> </w:t>
      </w:r>
      <w:r w:rsidRPr="008D4259" w:rsidR="00EF6E97">
        <w:rPr>
          <w:szCs w:val="22"/>
        </w:rPr>
        <w:t xml:space="preserve">could </w:t>
      </w:r>
      <w:r w:rsidRPr="008D4259" w:rsidR="007345E5">
        <w:rPr>
          <w:szCs w:val="22"/>
        </w:rPr>
        <w:t xml:space="preserve">make up any </w:t>
      </w:r>
      <w:r w:rsidRPr="008D4259" w:rsidR="00EF6E97">
        <w:rPr>
          <w:szCs w:val="22"/>
        </w:rPr>
        <w:t xml:space="preserve">initial </w:t>
      </w:r>
      <w:r w:rsidRPr="008D4259" w:rsidR="007345E5">
        <w:rPr>
          <w:szCs w:val="22"/>
        </w:rPr>
        <w:t>delays</w:t>
      </w:r>
      <w:r w:rsidRPr="008D4259" w:rsidR="00EF6E97">
        <w:rPr>
          <w:szCs w:val="22"/>
        </w:rPr>
        <w:t xml:space="preserve"> </w:t>
      </w:r>
      <w:r w:rsidRPr="008D4259" w:rsidR="007345E5">
        <w:rPr>
          <w:szCs w:val="22"/>
        </w:rPr>
        <w:t xml:space="preserve">by tightening </w:t>
      </w:r>
      <w:r w:rsidR="007216CB">
        <w:rPr>
          <w:szCs w:val="22"/>
        </w:rPr>
        <w:t xml:space="preserve">future </w:t>
      </w:r>
      <w:r w:rsidRPr="008D4259" w:rsidR="007345E5">
        <w:rPr>
          <w:szCs w:val="22"/>
        </w:rPr>
        <w:t>build-out requirements and performance benchmarks for new licensees.</w:t>
      </w:r>
      <w:r>
        <w:rPr>
          <w:rStyle w:val="FootnoteReference"/>
          <w:sz w:val="22"/>
          <w:szCs w:val="22"/>
        </w:rPr>
        <w:footnoteReference w:id="145"/>
      </w:r>
      <w:r w:rsidRPr="008D4259" w:rsidR="007345E5">
        <w:rPr>
          <w:szCs w:val="22"/>
        </w:rPr>
        <w:t xml:space="preserve"> </w:t>
      </w:r>
      <w:r w:rsidR="004122DB">
        <w:rPr>
          <w:szCs w:val="22"/>
        </w:rPr>
        <w:t xml:space="preserve"> </w:t>
      </w:r>
      <w:r w:rsidRPr="008D4259">
        <w:rPr>
          <w:szCs w:val="22"/>
        </w:rPr>
        <w:t xml:space="preserve">More fundamentally, they contend that </w:t>
      </w:r>
      <w:r w:rsidRPr="008D4259" w:rsidR="007644D5">
        <w:rPr>
          <w:szCs w:val="22"/>
        </w:rPr>
        <w:t>we</w:t>
      </w:r>
      <w:r w:rsidRPr="008D4259">
        <w:rPr>
          <w:szCs w:val="22"/>
        </w:rPr>
        <w:t xml:space="preserve"> should </w:t>
      </w:r>
      <w:r w:rsidRPr="008D4259" w:rsidR="007644D5">
        <w:rPr>
          <w:szCs w:val="22"/>
        </w:rPr>
        <w:t>not move forward</w:t>
      </w:r>
      <w:r w:rsidRPr="008D4259" w:rsidR="00EF6E97">
        <w:rPr>
          <w:szCs w:val="22"/>
        </w:rPr>
        <w:t xml:space="preserve"> while </w:t>
      </w:r>
      <w:r w:rsidRPr="008D4259" w:rsidR="008459E7">
        <w:rPr>
          <w:szCs w:val="22"/>
        </w:rPr>
        <w:t xml:space="preserve">doubts </w:t>
      </w:r>
      <w:r w:rsidRPr="008D4259" w:rsidR="00EF6E97">
        <w:rPr>
          <w:szCs w:val="22"/>
        </w:rPr>
        <w:t>remain</w:t>
      </w:r>
      <w:r w:rsidRPr="008D4259" w:rsidR="008459E7">
        <w:rPr>
          <w:szCs w:val="22"/>
        </w:rPr>
        <w:t xml:space="preserve"> regarding the </w:t>
      </w:r>
      <w:r w:rsidR="00811947">
        <w:rPr>
          <w:i/>
          <w:iCs/>
          <w:szCs w:val="22"/>
        </w:rPr>
        <w:t xml:space="preserve">3.7 GHz Report and </w:t>
      </w:r>
      <w:r w:rsidRPr="008D4259" w:rsidR="008459E7">
        <w:rPr>
          <w:i/>
          <w:iCs/>
          <w:szCs w:val="22"/>
        </w:rPr>
        <w:t>Order</w:t>
      </w:r>
      <w:r w:rsidRPr="008D4259" w:rsidR="00EF6E97">
        <w:rPr>
          <w:szCs w:val="22"/>
        </w:rPr>
        <w:t>’s validity</w:t>
      </w:r>
      <w:r w:rsidRPr="008D4259" w:rsidR="008459E7">
        <w:rPr>
          <w:szCs w:val="22"/>
        </w:rPr>
        <w:t>.</w:t>
      </w:r>
      <w:r>
        <w:rPr>
          <w:rStyle w:val="FootnoteReference"/>
          <w:sz w:val="22"/>
          <w:szCs w:val="22"/>
        </w:rPr>
        <w:footnoteReference w:id="146"/>
      </w:r>
      <w:r w:rsidRPr="008D4259" w:rsidR="008459E7">
        <w:rPr>
          <w:szCs w:val="22"/>
        </w:rPr>
        <w:t xml:space="preserve"> </w:t>
      </w:r>
      <w:r w:rsidR="00811947">
        <w:rPr>
          <w:szCs w:val="22"/>
        </w:rPr>
        <w:t xml:space="preserve"> </w:t>
      </w:r>
      <w:r w:rsidRPr="008D4259" w:rsidR="008459E7">
        <w:rPr>
          <w:szCs w:val="22"/>
        </w:rPr>
        <w:t xml:space="preserve">We </w:t>
      </w:r>
      <w:r w:rsidRPr="008D4259" w:rsidR="00EF6E97">
        <w:rPr>
          <w:szCs w:val="22"/>
        </w:rPr>
        <w:t>disagree</w:t>
      </w:r>
      <w:r w:rsidRPr="008D4259" w:rsidR="008459E7">
        <w:rPr>
          <w:szCs w:val="22"/>
        </w:rPr>
        <w:t xml:space="preserve">. </w:t>
      </w:r>
      <w:r w:rsidR="00811947">
        <w:rPr>
          <w:szCs w:val="22"/>
        </w:rPr>
        <w:t xml:space="preserve"> </w:t>
      </w:r>
      <w:r w:rsidRPr="008D4259" w:rsidR="00832ED2">
        <w:rPr>
          <w:szCs w:val="22"/>
        </w:rPr>
        <w:t xml:space="preserve">In addition to </w:t>
      </w:r>
      <w:r w:rsidRPr="008D4259" w:rsidR="007644D5">
        <w:rPr>
          <w:szCs w:val="22"/>
        </w:rPr>
        <w:t xml:space="preserve">the </w:t>
      </w:r>
      <w:r w:rsidRPr="008D4259" w:rsidR="00EF6E97">
        <w:rPr>
          <w:szCs w:val="22"/>
        </w:rPr>
        <w:t xml:space="preserve">above-stated </w:t>
      </w:r>
      <w:r w:rsidRPr="008D4259" w:rsidR="007644D5">
        <w:rPr>
          <w:szCs w:val="22"/>
        </w:rPr>
        <w:t xml:space="preserve">public interest harms, </w:t>
      </w:r>
      <w:r w:rsidRPr="008D4259" w:rsidR="00832ED2">
        <w:rPr>
          <w:szCs w:val="22"/>
        </w:rPr>
        <w:t xml:space="preserve">grant of a stay would undercut the </w:t>
      </w:r>
      <w:r w:rsidRPr="008D4259" w:rsidR="00EF6E97">
        <w:rPr>
          <w:szCs w:val="22"/>
        </w:rPr>
        <w:t>specific</w:t>
      </w:r>
      <w:r w:rsidRPr="008D4259" w:rsidR="007644D5">
        <w:rPr>
          <w:szCs w:val="22"/>
        </w:rPr>
        <w:t xml:space="preserve"> </w:t>
      </w:r>
      <w:r w:rsidRPr="008D4259" w:rsidR="00835AC9">
        <w:rPr>
          <w:szCs w:val="22"/>
        </w:rPr>
        <w:t>goal of U</w:t>
      </w:r>
      <w:r w:rsidRPr="008D4259" w:rsidR="00C47A23">
        <w:rPr>
          <w:szCs w:val="22"/>
        </w:rPr>
        <w:t>.S.</w:t>
      </w:r>
      <w:r w:rsidRPr="008D4259" w:rsidR="00835AC9">
        <w:rPr>
          <w:szCs w:val="22"/>
        </w:rPr>
        <w:t xml:space="preserve"> leadership in 5G</w:t>
      </w:r>
      <w:r w:rsidRPr="008D4259" w:rsidR="00832ED2">
        <w:rPr>
          <w:szCs w:val="22"/>
        </w:rPr>
        <w:t xml:space="preserve"> and </w:t>
      </w:r>
      <w:r w:rsidRPr="008D4259" w:rsidR="004E6760">
        <w:rPr>
          <w:szCs w:val="22"/>
        </w:rPr>
        <w:t xml:space="preserve">the </w:t>
      </w:r>
      <w:r w:rsidRPr="008D4259" w:rsidR="00835AC9">
        <w:rPr>
          <w:szCs w:val="22"/>
        </w:rPr>
        <w:t xml:space="preserve">general </w:t>
      </w:r>
      <w:r w:rsidRPr="008D4259" w:rsidR="004E6760">
        <w:rPr>
          <w:szCs w:val="22"/>
        </w:rPr>
        <w:t xml:space="preserve">goals of </w:t>
      </w:r>
      <w:r w:rsidRPr="008D4259" w:rsidR="00EF6E97">
        <w:rPr>
          <w:szCs w:val="22"/>
        </w:rPr>
        <w:t>the</w:t>
      </w:r>
      <w:r w:rsidRPr="008D4259" w:rsidR="004E6760">
        <w:rPr>
          <w:szCs w:val="22"/>
        </w:rPr>
        <w:t xml:space="preserve"> auction program</w:t>
      </w:r>
      <w:r w:rsidRPr="008D4259" w:rsidR="00215C7D">
        <w:rPr>
          <w:color w:val="000000"/>
          <w:szCs w:val="22"/>
        </w:rPr>
        <w:t>.</w:t>
      </w:r>
      <w:r w:rsidRPr="008D4259" w:rsidR="0034025B">
        <w:rPr>
          <w:szCs w:val="22"/>
        </w:rPr>
        <w:t xml:space="preserve"> </w:t>
      </w:r>
      <w:r w:rsidR="0053706F">
        <w:rPr>
          <w:szCs w:val="22"/>
        </w:rPr>
        <w:t xml:space="preserve"> </w:t>
      </w:r>
      <w:r w:rsidRPr="008D4259" w:rsidR="0034025B">
        <w:rPr>
          <w:szCs w:val="22"/>
        </w:rPr>
        <w:t>“</w:t>
      </w:r>
      <w:r w:rsidRPr="008D4259" w:rsidR="0034025B">
        <w:rPr>
          <w:color w:val="000000"/>
          <w:szCs w:val="22"/>
        </w:rPr>
        <w:t xml:space="preserve">Two of the primary goals of the Commission’s auction program are to ensure the development and rapid deployment of new technologies, products, and services for the benefit of the public without </w:t>
      </w:r>
      <w:r w:rsidRPr="008D4259" w:rsidR="0034025B">
        <w:rPr>
          <w:color w:val="000000"/>
          <w:szCs w:val="22"/>
        </w:rPr>
        <w:t>delays, and</w:t>
      </w:r>
      <w:r w:rsidRPr="008D4259" w:rsidR="0034025B">
        <w:rPr>
          <w:color w:val="000000"/>
          <w:szCs w:val="22"/>
        </w:rPr>
        <w:t xml:space="preserve"> promote the efficient and intensive use of the electromagnetic spectrum. </w:t>
      </w:r>
      <w:r w:rsidR="0053706F">
        <w:rPr>
          <w:color w:val="000000"/>
          <w:szCs w:val="22"/>
        </w:rPr>
        <w:t xml:space="preserve"> </w:t>
      </w:r>
      <w:r w:rsidRPr="008D4259" w:rsidR="0034025B">
        <w:rPr>
          <w:color w:val="000000"/>
          <w:szCs w:val="22"/>
        </w:rPr>
        <w:t>These goals can best be met by moving forward with the [auction] process and maintaining the announced auction schedule.”</w:t>
      </w:r>
      <w:r>
        <w:rPr>
          <w:rStyle w:val="FootnoteReference"/>
          <w:sz w:val="22"/>
          <w:szCs w:val="22"/>
        </w:rPr>
        <w:footnoteReference w:id="147"/>
      </w:r>
      <w:r w:rsidRPr="008D4259" w:rsidR="006341F2">
        <w:rPr>
          <w:color w:val="000000"/>
          <w:szCs w:val="22"/>
        </w:rPr>
        <w:t xml:space="preserve"> </w:t>
      </w:r>
    </w:p>
    <w:p w:rsidR="00325670" w:rsidRPr="007345E5" w:rsidP="00325670" w14:paraId="5376B654" w14:textId="77777777">
      <w:pPr>
        <w:pStyle w:val="Heading1"/>
        <w:rPr>
          <w:rFonts w:ascii="Times New Roman" w:hAnsi="Times New Roman"/>
        </w:rPr>
      </w:pPr>
      <w:bookmarkStart w:id="12" w:name="_Toc42600719"/>
      <w:r w:rsidRPr="007345E5">
        <w:rPr>
          <w:rFonts w:ascii="Times New Roman" w:hAnsi="Times New Roman"/>
        </w:rPr>
        <w:t>ordering clauses</w:t>
      </w:r>
      <w:bookmarkEnd w:id="12"/>
    </w:p>
    <w:p w:rsidR="00C71B32" w:rsidRPr="007345E5" w:rsidP="00325670" w14:paraId="0C3D9E65" w14:textId="77777777">
      <w:pPr>
        <w:pStyle w:val="ParaNum"/>
      </w:pPr>
      <w:r w:rsidRPr="007345E5">
        <w:t>ACCORDINGLY, IT IS ORDERED, that, pursuant to sections 1, 4(</w:t>
      </w:r>
      <w:r w:rsidRPr="007345E5">
        <w:t>i</w:t>
      </w:r>
      <w:r w:rsidRPr="007345E5">
        <w:t>)</w:t>
      </w:r>
      <w:r w:rsidRPr="007345E5" w:rsidR="00AA482C">
        <w:t>, 4</w:t>
      </w:r>
      <w:r w:rsidRPr="007345E5">
        <w:t>(j), 201</w:t>
      </w:r>
      <w:r w:rsidRPr="007345E5" w:rsidR="00AA482C">
        <w:t xml:space="preserve">, </w:t>
      </w:r>
      <w:r w:rsidRPr="007345E5">
        <w:t xml:space="preserve">202, </w:t>
      </w:r>
      <w:r w:rsidRPr="007345E5" w:rsidR="00AA482C">
        <w:t xml:space="preserve">and 303(r) </w:t>
      </w:r>
      <w:r w:rsidRPr="007345E5">
        <w:t>of the Communications Act of 1934, as amended, 47 U.S.C. §§ 151, 154(</w:t>
      </w:r>
      <w:r w:rsidRPr="007345E5">
        <w:t>i</w:t>
      </w:r>
      <w:r w:rsidRPr="007345E5">
        <w:t>)</w:t>
      </w:r>
      <w:r w:rsidRPr="007345E5" w:rsidR="00AA482C">
        <w:t>, 154</w:t>
      </w:r>
      <w:r w:rsidRPr="007345E5">
        <w:t>(j), 201</w:t>
      </w:r>
      <w:r w:rsidRPr="007345E5" w:rsidR="00AA482C">
        <w:t xml:space="preserve">, </w:t>
      </w:r>
      <w:r w:rsidRPr="007345E5">
        <w:t xml:space="preserve">202, </w:t>
      </w:r>
      <w:r w:rsidRPr="007345E5" w:rsidR="00AA482C">
        <w:t xml:space="preserve">303(r), </w:t>
      </w:r>
      <w:r w:rsidRPr="007345E5">
        <w:t xml:space="preserve">and </w:t>
      </w:r>
      <w:r w:rsidRPr="007345E5" w:rsidR="00AA482C">
        <w:t xml:space="preserve">the authority delegated pursuant to </w:t>
      </w:r>
      <w:r w:rsidRPr="007345E5">
        <w:t xml:space="preserve">sections </w:t>
      </w:r>
      <w:r w:rsidRPr="007345E5" w:rsidR="00AA482C">
        <w:t>0</w:t>
      </w:r>
      <w:r w:rsidRPr="007345E5">
        <w:t>.</w:t>
      </w:r>
      <w:r w:rsidRPr="007345E5" w:rsidR="00AA482C">
        <w:t>1</w:t>
      </w:r>
      <w:r w:rsidRPr="007345E5">
        <w:t>3</w:t>
      </w:r>
      <w:r w:rsidRPr="007345E5" w:rsidR="00AA482C">
        <w:t>1</w:t>
      </w:r>
      <w:r w:rsidRPr="007345E5">
        <w:t xml:space="preserve"> and </w:t>
      </w:r>
      <w:r w:rsidRPr="007345E5" w:rsidR="00AA482C">
        <w:t>0</w:t>
      </w:r>
      <w:r w:rsidRPr="007345E5">
        <w:t>.</w:t>
      </w:r>
      <w:r w:rsidRPr="007345E5" w:rsidR="00AA482C">
        <w:t>331</w:t>
      </w:r>
      <w:r w:rsidRPr="007345E5">
        <w:t xml:space="preserve"> of the Commission’s rules, 47 CFR §§ </w:t>
      </w:r>
      <w:r w:rsidRPr="007345E5" w:rsidR="00AA482C">
        <w:t>0</w:t>
      </w:r>
      <w:r w:rsidRPr="007345E5">
        <w:t>.</w:t>
      </w:r>
      <w:r w:rsidRPr="007345E5" w:rsidR="00AA482C">
        <w:t>1</w:t>
      </w:r>
      <w:r w:rsidRPr="007345E5">
        <w:t>3</w:t>
      </w:r>
      <w:r w:rsidRPr="007345E5" w:rsidR="00AA482C">
        <w:t>1</w:t>
      </w:r>
      <w:r w:rsidRPr="007345E5">
        <w:t xml:space="preserve">, </w:t>
      </w:r>
      <w:r w:rsidRPr="007345E5" w:rsidR="00AA482C">
        <w:t>0</w:t>
      </w:r>
      <w:r w:rsidRPr="007345E5">
        <w:t>.</w:t>
      </w:r>
      <w:r w:rsidRPr="007345E5" w:rsidR="00AA482C">
        <w:t>331</w:t>
      </w:r>
      <w:r w:rsidRPr="007345E5">
        <w:t>,</w:t>
      </w:r>
      <w:r w:rsidRPr="007345E5">
        <w:t xml:space="preserve"> this Order Denying Stay Petition in GN Docket No. 18-122 is ADOPTED.</w:t>
      </w:r>
    </w:p>
    <w:p w:rsidR="00813239" w14:paraId="5129BD03" w14:textId="77777777">
      <w:pPr>
        <w:widowControl/>
      </w:pPr>
      <w:r>
        <w:br w:type="page"/>
      </w:r>
    </w:p>
    <w:p w:rsidR="00325670" w:rsidRPr="007345E5" w:rsidP="00C71B32" w14:paraId="32F22F0E" w14:textId="4784EA9F">
      <w:pPr>
        <w:pStyle w:val="ParaNum"/>
      </w:pPr>
      <w:r w:rsidRPr="007345E5">
        <w:t>IT IS FURTHER ORDERED that</w:t>
      </w:r>
      <w:r w:rsidRPr="007345E5">
        <w:t xml:space="preserve"> the </w:t>
      </w:r>
      <w:r w:rsidRPr="007345E5" w:rsidR="00B82D5D">
        <w:t xml:space="preserve">May 15, 2020 </w:t>
      </w:r>
      <w:r w:rsidRPr="007345E5" w:rsidR="00AA482C">
        <w:t xml:space="preserve">Joint Petition for Stay of Report and Order and Order of Proposed Modification Pending Judicial Review </w:t>
      </w:r>
      <w:r w:rsidRPr="007345E5">
        <w:t xml:space="preserve">of </w:t>
      </w:r>
      <w:r w:rsidRPr="007345E5" w:rsidR="00AA482C">
        <w:t xml:space="preserve">ABS Global Ltd., </w:t>
      </w:r>
      <w:r w:rsidRPr="007345E5" w:rsidR="00AA482C">
        <w:t>Empresa</w:t>
      </w:r>
      <w:r w:rsidRPr="007345E5" w:rsidR="00AA482C">
        <w:t xml:space="preserve"> Argentina de </w:t>
      </w:r>
      <w:r w:rsidRPr="007345E5" w:rsidR="00AA482C">
        <w:t>Soluciones</w:t>
      </w:r>
      <w:r w:rsidRPr="007345E5" w:rsidR="00AA482C">
        <w:t xml:space="preserve"> </w:t>
      </w:r>
      <w:r w:rsidRPr="007345E5" w:rsidR="00AA482C">
        <w:t>Satelitales</w:t>
      </w:r>
      <w:r w:rsidRPr="007345E5" w:rsidR="00AA482C">
        <w:t xml:space="preserve"> S.A., </w:t>
      </w:r>
      <w:r w:rsidRPr="007345E5" w:rsidR="00AA482C">
        <w:t>Hispamar</w:t>
      </w:r>
      <w:r w:rsidRPr="007345E5" w:rsidR="00AA482C">
        <w:t xml:space="preserve"> </w:t>
      </w:r>
      <w:r w:rsidRPr="007345E5" w:rsidR="00AA482C">
        <w:t>Satélites</w:t>
      </w:r>
      <w:r w:rsidRPr="007345E5" w:rsidR="00AA482C">
        <w:t xml:space="preserve"> S.A., and </w:t>
      </w:r>
      <w:r w:rsidRPr="007345E5" w:rsidR="00AA482C">
        <w:t>Hispasat</w:t>
      </w:r>
      <w:r w:rsidRPr="007345E5" w:rsidR="00AA482C">
        <w:t xml:space="preserve"> S.A.</w:t>
      </w:r>
      <w:r w:rsidRPr="007345E5">
        <w:t xml:space="preserve"> is DENIED.</w:t>
      </w:r>
    </w:p>
    <w:p w:rsidR="00325670" w:rsidRPr="007345E5" w:rsidP="00325670" w14:paraId="100405EE" w14:textId="77777777">
      <w:pPr>
        <w:spacing w:after="120"/>
      </w:pPr>
    </w:p>
    <w:p w:rsidR="00813239" w:rsidP="00325670" w14:paraId="724F6064" w14:textId="77777777">
      <w:r w:rsidRPr="007345E5">
        <w:tab/>
      </w:r>
      <w:r w:rsidRPr="007345E5">
        <w:tab/>
      </w:r>
      <w:r w:rsidRPr="007345E5">
        <w:tab/>
      </w:r>
      <w:r w:rsidRPr="007345E5">
        <w:tab/>
      </w:r>
      <w:r w:rsidRPr="007345E5">
        <w:tab/>
      </w:r>
      <w:r w:rsidRPr="007345E5">
        <w:tab/>
      </w:r>
    </w:p>
    <w:p w:rsidR="00325670" w:rsidRPr="007345E5" w:rsidP="00813239" w14:paraId="056426C6" w14:textId="5C5BC441">
      <w:pPr>
        <w:widowControl/>
        <w:ind w:left="3600" w:firstLine="720"/>
      </w:pPr>
      <w:r w:rsidRPr="007345E5">
        <w:t>FEDERAL COMMUNICATIONS COMMISSION</w:t>
      </w:r>
    </w:p>
    <w:p w:rsidR="00325670" w:rsidRPr="007345E5" w:rsidP="00325670" w14:paraId="6E302CF4" w14:textId="77777777"/>
    <w:p w:rsidR="00325670" w:rsidRPr="007345E5" w:rsidP="00325670" w14:paraId="4939813B" w14:textId="77777777"/>
    <w:p w:rsidR="005C11EE" w:rsidRPr="007345E5" w:rsidP="00325670" w14:paraId="3E1F8030" w14:textId="77777777"/>
    <w:p w:rsidR="005C11EE" w:rsidRPr="007345E5" w:rsidP="00325670" w14:paraId="59857D6A" w14:textId="77777777"/>
    <w:p w:rsidR="00325670" w:rsidRPr="007345E5" w:rsidP="00325670" w14:paraId="71292C63" w14:textId="77777777">
      <w:r w:rsidRPr="007345E5">
        <w:tab/>
      </w:r>
      <w:r w:rsidRPr="007345E5">
        <w:tab/>
      </w:r>
      <w:r w:rsidRPr="007345E5">
        <w:tab/>
      </w:r>
      <w:r w:rsidRPr="007345E5">
        <w:tab/>
      </w:r>
      <w:r w:rsidRPr="007345E5">
        <w:tab/>
      </w:r>
      <w:r w:rsidRPr="007345E5">
        <w:tab/>
      </w:r>
      <w:r w:rsidRPr="007345E5" w:rsidR="00B51C46">
        <w:t>Donald Stockdale</w:t>
      </w:r>
    </w:p>
    <w:p w:rsidR="00325670" w:rsidRPr="007345E5" w:rsidP="00D60DAE" w14:paraId="5398CCD9" w14:textId="77777777">
      <w:r w:rsidRPr="007345E5">
        <w:tab/>
      </w:r>
      <w:r w:rsidRPr="007345E5">
        <w:tab/>
      </w:r>
      <w:r w:rsidRPr="007345E5">
        <w:tab/>
      </w:r>
      <w:r w:rsidRPr="007345E5">
        <w:tab/>
      </w:r>
      <w:r w:rsidRPr="007345E5">
        <w:tab/>
      </w:r>
      <w:r w:rsidRPr="007345E5" w:rsidR="00D60DAE">
        <w:tab/>
      </w:r>
      <w:bookmarkEnd w:id="0"/>
      <w:r w:rsidRPr="007345E5" w:rsidR="00B51C46">
        <w:t>Chief</w:t>
      </w:r>
    </w:p>
    <w:p w:rsidR="00B51C46" w:rsidRPr="007345E5" w:rsidP="00D60DAE" w14:paraId="27F7767A" w14:textId="77777777">
      <w:r w:rsidRPr="007345E5">
        <w:tab/>
      </w:r>
      <w:r w:rsidRPr="007345E5">
        <w:tab/>
      </w:r>
      <w:r w:rsidRPr="007345E5">
        <w:tab/>
      </w:r>
      <w:r w:rsidRPr="007345E5">
        <w:tab/>
      </w:r>
      <w:r w:rsidRPr="007345E5">
        <w:tab/>
      </w:r>
      <w:r w:rsidRPr="007345E5">
        <w:tab/>
        <w:t>Wireless Telecommunications Bureau</w:t>
      </w:r>
    </w:p>
    <w:p w:rsidR="00412FC5" w:rsidRPr="007345E5" w:rsidP="00325670" w14:paraId="5B88F16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B28" w:rsidP="0055614C" w14:paraId="59CB7D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80B28" w14:paraId="6EA71B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B28" w14:paraId="073BC6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80B28" w14:paraId="1B2E900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B28" w14:paraId="4B9B61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AF1" w14:paraId="688DF3A8" w14:textId="77777777">
      <w:r>
        <w:separator/>
      </w:r>
    </w:p>
  </w:footnote>
  <w:footnote w:type="continuationSeparator" w:id="1">
    <w:p w:rsidR="00860AF1" w:rsidP="00C721AC" w14:paraId="4E303083" w14:textId="77777777">
      <w:pPr>
        <w:spacing w:before="120"/>
        <w:rPr>
          <w:sz w:val="20"/>
        </w:rPr>
      </w:pPr>
      <w:r>
        <w:rPr>
          <w:sz w:val="20"/>
        </w:rPr>
        <w:t xml:space="preserve">(Continued from previous page)  </w:t>
      </w:r>
      <w:r>
        <w:rPr>
          <w:sz w:val="20"/>
        </w:rPr>
        <w:separator/>
      </w:r>
    </w:p>
  </w:footnote>
  <w:footnote w:type="continuationNotice" w:id="2">
    <w:p w:rsidR="00860AF1" w:rsidP="00C721AC" w14:paraId="0DAB8112" w14:textId="77777777">
      <w:pPr>
        <w:jc w:val="right"/>
        <w:rPr>
          <w:sz w:val="20"/>
        </w:rPr>
      </w:pPr>
      <w:r>
        <w:rPr>
          <w:sz w:val="20"/>
        </w:rPr>
        <w:t>(continued….)</w:t>
      </w:r>
    </w:p>
  </w:footnote>
  <w:footnote w:id="3">
    <w:p w:rsidR="00A80B28" w:rsidRPr="00152508" w:rsidP="00152508" w14:paraId="056A9459" w14:textId="79AB861B">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Joint Petition for Stay of Report and Order and Order of Proposed Modification Pending Judicial Review of ABS Global Ltd. (ABS), </w:t>
      </w:r>
      <w:r w:rsidRPr="00152508">
        <w:rPr>
          <w:sz w:val="20"/>
        </w:rPr>
        <w:t>Empresa</w:t>
      </w:r>
      <w:r w:rsidRPr="00152508">
        <w:rPr>
          <w:sz w:val="20"/>
        </w:rPr>
        <w:t xml:space="preserve"> Argentina de </w:t>
      </w:r>
      <w:r w:rsidRPr="00152508">
        <w:rPr>
          <w:sz w:val="20"/>
        </w:rPr>
        <w:t>Soluciones</w:t>
      </w:r>
      <w:r w:rsidRPr="00152508">
        <w:rPr>
          <w:sz w:val="20"/>
        </w:rPr>
        <w:t xml:space="preserve"> </w:t>
      </w:r>
      <w:r w:rsidRPr="00152508">
        <w:rPr>
          <w:sz w:val="20"/>
        </w:rPr>
        <w:t>Satelitales</w:t>
      </w:r>
      <w:r w:rsidRPr="00152508">
        <w:rPr>
          <w:sz w:val="20"/>
        </w:rPr>
        <w:t xml:space="preserve"> S.A. (ARSAT), </w:t>
      </w:r>
      <w:r w:rsidRPr="00152508">
        <w:rPr>
          <w:sz w:val="20"/>
        </w:rPr>
        <w:t>Hispamar</w:t>
      </w:r>
      <w:r w:rsidRPr="00152508">
        <w:rPr>
          <w:sz w:val="20"/>
        </w:rPr>
        <w:t xml:space="preserve"> </w:t>
      </w:r>
      <w:r w:rsidRPr="00152508">
        <w:rPr>
          <w:sz w:val="20"/>
        </w:rPr>
        <w:t>Satélites</w:t>
      </w:r>
      <w:r w:rsidRPr="00152508">
        <w:rPr>
          <w:sz w:val="20"/>
        </w:rPr>
        <w:t xml:space="preserve"> S.A., and </w:t>
      </w:r>
      <w:r w:rsidRPr="00152508">
        <w:rPr>
          <w:sz w:val="20"/>
        </w:rPr>
        <w:t>Hispasat</w:t>
      </w:r>
      <w:r w:rsidRPr="00152508">
        <w:rPr>
          <w:sz w:val="20"/>
        </w:rPr>
        <w:t xml:space="preserve"> S.A. (</w:t>
      </w:r>
      <w:r>
        <w:rPr>
          <w:sz w:val="20"/>
        </w:rPr>
        <w:t xml:space="preserve">collectively, </w:t>
      </w:r>
      <w:r w:rsidRPr="00152508">
        <w:rPr>
          <w:sz w:val="20"/>
        </w:rPr>
        <w:t>Hispasat</w:t>
      </w:r>
      <w:r w:rsidRPr="00152508">
        <w:rPr>
          <w:sz w:val="20"/>
        </w:rPr>
        <w:t xml:space="preserve">), GN Docket No. 18-122 (filed May 15, 2020) (Stay Petition). </w:t>
      </w:r>
      <w:r>
        <w:rPr>
          <w:sz w:val="20"/>
        </w:rPr>
        <w:t xml:space="preserve"> </w:t>
      </w:r>
    </w:p>
  </w:footnote>
  <w:footnote w:id="4">
    <w:p w:rsidR="00A80B28" w:rsidRPr="00152508" w:rsidP="00152508" w14:paraId="64C9CC3B" w14:textId="50D49DD2">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w:t>
      </w:r>
      <w:r w:rsidRPr="00152508">
        <w:rPr>
          <w:i/>
          <w:iCs/>
          <w:sz w:val="20"/>
        </w:rPr>
        <w:t>Expanding Flexible Use of the 3.7-4.2 GHz Band</w:t>
      </w:r>
      <w:r w:rsidRPr="003E27C1">
        <w:rPr>
          <w:sz w:val="20"/>
        </w:rPr>
        <w:t xml:space="preserve">, </w:t>
      </w:r>
      <w:r>
        <w:rPr>
          <w:sz w:val="20"/>
        </w:rPr>
        <w:t xml:space="preserve">GN Docket No. 18-122, </w:t>
      </w:r>
      <w:r w:rsidRPr="007A7794">
        <w:rPr>
          <w:sz w:val="20"/>
        </w:rPr>
        <w:t>Report and Order and Order of Proposed Modification</w:t>
      </w:r>
      <w:r w:rsidRPr="00152508">
        <w:rPr>
          <w:sz w:val="20"/>
        </w:rPr>
        <w:t xml:space="preserve">, </w:t>
      </w:r>
      <w:r w:rsidRPr="006315C5">
        <w:rPr>
          <w:sz w:val="20"/>
        </w:rPr>
        <w:t xml:space="preserve">35 FCC </w:t>
      </w:r>
      <w:r w:rsidRPr="006315C5">
        <w:rPr>
          <w:sz w:val="20"/>
        </w:rPr>
        <w:t>Rcd</w:t>
      </w:r>
      <w:r w:rsidRPr="006315C5">
        <w:rPr>
          <w:sz w:val="20"/>
        </w:rPr>
        <w:t xml:space="preserve"> 2343 </w:t>
      </w:r>
      <w:r w:rsidRPr="00152508">
        <w:rPr>
          <w:sz w:val="20"/>
        </w:rPr>
        <w:t>(2020) (</w:t>
      </w:r>
      <w:r>
        <w:rPr>
          <w:i/>
          <w:iCs/>
          <w:sz w:val="20"/>
        </w:rPr>
        <w:t xml:space="preserve">3.7 GHz Report and </w:t>
      </w:r>
      <w:r w:rsidRPr="00152508">
        <w:rPr>
          <w:i/>
          <w:iCs/>
          <w:sz w:val="20"/>
        </w:rPr>
        <w:t>Order</w:t>
      </w:r>
      <w:r w:rsidRPr="00152508">
        <w:rPr>
          <w:sz w:val="20"/>
        </w:rPr>
        <w:t>).</w:t>
      </w:r>
      <w:r w:rsidRPr="00152508">
        <w:rPr>
          <w:snapToGrid/>
          <w:kern w:val="0"/>
          <w:sz w:val="20"/>
        </w:rPr>
        <w:t xml:space="preserve"> </w:t>
      </w:r>
      <w:r w:rsidR="00FE5823">
        <w:rPr>
          <w:snapToGrid/>
          <w:kern w:val="0"/>
          <w:sz w:val="20"/>
        </w:rPr>
        <w:t xml:space="preserve"> </w:t>
      </w:r>
      <w:r w:rsidRPr="00152508">
        <w:rPr>
          <w:snapToGrid/>
          <w:kern w:val="0"/>
          <w:sz w:val="20"/>
        </w:rPr>
        <w:t xml:space="preserve">In the </w:t>
      </w:r>
      <w:r w:rsidR="007039A7">
        <w:rPr>
          <w:i/>
          <w:iCs/>
          <w:snapToGrid/>
          <w:kern w:val="0"/>
          <w:sz w:val="20"/>
        </w:rPr>
        <w:t xml:space="preserve">3.7 GHz Report and </w:t>
      </w:r>
      <w:r w:rsidRPr="00152508">
        <w:rPr>
          <w:i/>
          <w:iCs/>
          <w:snapToGrid/>
          <w:kern w:val="0"/>
          <w:sz w:val="20"/>
        </w:rPr>
        <w:t>Order</w:t>
      </w:r>
      <w:r w:rsidRPr="00152508">
        <w:rPr>
          <w:snapToGrid/>
          <w:kern w:val="0"/>
          <w:sz w:val="20"/>
        </w:rPr>
        <w:t xml:space="preserve">, the FCC referred to ABS, </w:t>
      </w:r>
      <w:r w:rsidRPr="00152508">
        <w:rPr>
          <w:snapToGrid/>
          <w:kern w:val="0"/>
          <w:sz w:val="20"/>
        </w:rPr>
        <w:t>Hispasat</w:t>
      </w:r>
      <w:r w:rsidRPr="00152508">
        <w:rPr>
          <w:snapToGrid/>
          <w:kern w:val="0"/>
          <w:sz w:val="20"/>
        </w:rPr>
        <w:t xml:space="preserve"> S.A., and Claro S.A., which is not a party to the Stay Petition, as the “Small Satellite Operators” or “SSOs.”</w:t>
      </w:r>
    </w:p>
  </w:footnote>
  <w:footnote w:id="5">
    <w:p w:rsidR="00A80B28" w:rsidRPr="00152508" w:rsidP="00683F3A" w14:paraId="19C0A944" w14:textId="447C356A">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w:t>
      </w:r>
      <w:r>
        <w:rPr>
          <w:i/>
          <w:iCs/>
          <w:sz w:val="20"/>
        </w:rPr>
        <w:t xml:space="preserve">See </w:t>
      </w:r>
      <w:r w:rsidRPr="00152508">
        <w:rPr>
          <w:snapToGrid/>
          <w:kern w:val="0"/>
          <w:sz w:val="20"/>
        </w:rPr>
        <w:t xml:space="preserve">Notice of Appeal, </w:t>
      </w:r>
      <w:r w:rsidRPr="00152508">
        <w:rPr>
          <w:i/>
          <w:iCs/>
          <w:snapToGrid/>
          <w:kern w:val="0"/>
          <w:sz w:val="20"/>
        </w:rPr>
        <w:t>ABS Global Ltd. v. FCC</w:t>
      </w:r>
      <w:r w:rsidRPr="00152508">
        <w:rPr>
          <w:snapToGrid/>
          <w:kern w:val="0"/>
          <w:sz w:val="20"/>
        </w:rPr>
        <w:t xml:space="preserve">, No. 20-1146 (D.C. Cir. filed May 1, 2020); Protective Petition for </w:t>
      </w:r>
      <w:r w:rsidRPr="00152508">
        <w:rPr>
          <w:sz w:val="20"/>
        </w:rPr>
        <w:t xml:space="preserve">Review, </w:t>
      </w:r>
      <w:r w:rsidRPr="00152508">
        <w:rPr>
          <w:i/>
          <w:iCs/>
          <w:sz w:val="20"/>
        </w:rPr>
        <w:t>ABS Global Ltd. v. FCC</w:t>
      </w:r>
      <w:r w:rsidRPr="00152508">
        <w:rPr>
          <w:sz w:val="20"/>
        </w:rPr>
        <w:t>, No. 20-1147 (D.C. Cir. filed May 1, 2020).</w:t>
      </w:r>
    </w:p>
  </w:footnote>
  <w:footnote w:id="6">
    <w:p w:rsidR="00A80B28" w:rsidRPr="00152508" w:rsidP="00152508" w14:paraId="05F77CC3" w14:textId="2D35B952">
      <w:pPr>
        <w:autoSpaceDE w:val="0"/>
        <w:autoSpaceDN w:val="0"/>
        <w:adjustRightInd w:val="0"/>
        <w:spacing w:after="120"/>
        <w:rPr>
          <w:sz w:val="20"/>
        </w:rPr>
      </w:pPr>
      <w:r w:rsidRPr="00152508">
        <w:rPr>
          <w:rStyle w:val="FootnoteReference"/>
        </w:rPr>
        <w:footnoteRef/>
      </w:r>
      <w:r w:rsidRPr="00152508">
        <w:rPr>
          <w:sz w:val="20"/>
        </w:rPr>
        <w:t xml:space="preserve"> We also deny Petitioners’ request to “extend by 45 days the effective date of rules currently scheduled to take effect June 22, 2020.”</w:t>
      </w:r>
      <w:r>
        <w:rPr>
          <w:sz w:val="20"/>
        </w:rPr>
        <w:t xml:space="preserve"> </w:t>
      </w:r>
      <w:r w:rsidR="00402D36">
        <w:rPr>
          <w:sz w:val="20"/>
        </w:rPr>
        <w:t xml:space="preserve"> </w:t>
      </w:r>
      <w:r w:rsidRPr="00152508">
        <w:rPr>
          <w:sz w:val="20"/>
        </w:rPr>
        <w:t>Reply in Support of Stay Petition, GN Docket No. 18-122 (filed June 1, 2020).</w:t>
      </w:r>
    </w:p>
  </w:footnote>
  <w:footnote w:id="7">
    <w:p w:rsidR="00A80B28" w:rsidRPr="00152508" w:rsidP="00152508" w14:paraId="620431A5" w14:textId="091BF63C">
      <w:pPr>
        <w:pStyle w:val="FootnoteText"/>
      </w:pPr>
      <w:r w:rsidRPr="00152508">
        <w:rPr>
          <w:rStyle w:val="FootnoteReference"/>
        </w:rPr>
        <w:footnoteRef/>
      </w:r>
      <w:r w:rsidRPr="00152508">
        <w:t xml:space="preserve"> </w:t>
      </w:r>
      <w:r w:rsidR="009A4AEA">
        <w:rPr>
          <w:i/>
          <w:iCs/>
        </w:rPr>
        <w:t xml:space="preserve">3.7 GHz Report and </w:t>
      </w:r>
      <w:r w:rsidRPr="00152508">
        <w:rPr>
          <w:i/>
          <w:iCs/>
        </w:rPr>
        <w:t>Order</w:t>
      </w:r>
      <w:r w:rsidR="00925EA4">
        <w:t xml:space="preserve">, 35 FCC </w:t>
      </w:r>
      <w:r w:rsidR="00925EA4">
        <w:t>Rcd</w:t>
      </w:r>
      <w:r w:rsidR="00925EA4">
        <w:t xml:space="preserve"> at</w:t>
      </w:r>
      <w:r w:rsidR="00914132">
        <w:t xml:space="preserve"> 2345,</w:t>
      </w:r>
      <w:r w:rsidRPr="00152508">
        <w:t xml:space="preserve"> </w:t>
      </w:r>
      <w:r w:rsidR="00914132">
        <w:t>para.</w:t>
      </w:r>
      <w:r w:rsidRPr="00152508">
        <w:t xml:space="preserve"> 4. </w:t>
      </w:r>
    </w:p>
  </w:footnote>
  <w:footnote w:id="8">
    <w:p w:rsidR="00A80B28" w:rsidRPr="00152508" w:rsidP="00152508" w14:paraId="539AE03D" w14:textId="3E30427A">
      <w:pPr>
        <w:pStyle w:val="FootnoteText"/>
      </w:pPr>
      <w:r w:rsidRPr="00152508">
        <w:rPr>
          <w:rStyle w:val="FootnoteReference"/>
        </w:rPr>
        <w:footnoteRef/>
      </w:r>
      <w:r w:rsidRPr="00152508">
        <w:t xml:space="preserve"> </w:t>
      </w:r>
      <w:r w:rsidRPr="00152508">
        <w:rPr>
          <w:i/>
          <w:iCs/>
        </w:rPr>
        <w:t xml:space="preserve">Id. </w:t>
      </w:r>
      <w:r w:rsidR="00196F3A">
        <w:t>at</w:t>
      </w:r>
      <w:r w:rsidR="00E7209F">
        <w:t xml:space="preserve"> 2353, para.</w:t>
      </w:r>
      <w:r w:rsidRPr="00152508">
        <w:t xml:space="preserve"> 20; </w:t>
      </w:r>
      <w:r w:rsidRPr="00152508">
        <w:rPr>
          <w:i/>
          <w:iCs/>
        </w:rPr>
        <w:t xml:space="preserve">see id. </w:t>
      </w:r>
      <w:r w:rsidR="00055EF4">
        <w:t>at</w:t>
      </w:r>
      <w:r w:rsidR="00B652E3">
        <w:t xml:space="preserve"> 2397, para.</w:t>
      </w:r>
      <w:r w:rsidRPr="00152508">
        <w:t xml:space="preserve"> 130</w:t>
      </w:r>
      <w:r w:rsidR="00B652E3">
        <w:t>;</w:t>
      </w:r>
      <w:r w:rsidRPr="00152508">
        <w:t xml:space="preserve"> </w:t>
      </w:r>
      <w:r w:rsidR="00B652E3">
        <w:rPr>
          <w:i/>
          <w:iCs/>
        </w:rPr>
        <w:t>id.</w:t>
      </w:r>
      <w:r w:rsidR="00B652E3">
        <w:t xml:space="preserve"> at </w:t>
      </w:r>
      <w:r w:rsidR="00AB7702">
        <w:t>2399-2400, para.</w:t>
      </w:r>
      <w:r w:rsidRPr="00152508">
        <w:t xml:space="preserve"> 135 </w:t>
      </w:r>
      <w:r w:rsidR="00B13FF4">
        <w:t>&amp;</w:t>
      </w:r>
      <w:r w:rsidRPr="00152508">
        <w:t xml:space="preserve"> n.382</w:t>
      </w:r>
      <w:r w:rsidR="00AB7702">
        <w:t xml:space="preserve">; </w:t>
      </w:r>
      <w:r w:rsidR="00AB7702">
        <w:rPr>
          <w:i/>
          <w:iCs/>
        </w:rPr>
        <w:t>id</w:t>
      </w:r>
      <w:r w:rsidR="00AB7702">
        <w:t xml:space="preserve">. at </w:t>
      </w:r>
      <w:r w:rsidR="00AB54CF">
        <w:t>2402</w:t>
      </w:r>
      <w:r w:rsidRPr="00152508">
        <w:t xml:space="preserve">, </w:t>
      </w:r>
      <w:r w:rsidR="00AB54CF">
        <w:t>para.</w:t>
      </w:r>
      <w:r w:rsidRPr="00152508">
        <w:t xml:space="preserve"> 140. </w:t>
      </w:r>
      <w:r w:rsidR="00402D36">
        <w:t xml:space="preserve"> </w:t>
      </w:r>
      <w:r w:rsidRPr="00152508">
        <w:t>The Commission reserved a 20</w:t>
      </w:r>
      <w:r>
        <w:t>-</w:t>
      </w:r>
      <w:r w:rsidRPr="00152508">
        <w:t xml:space="preserve">megahertz guard band from 3.98 to 4.0 GHz. </w:t>
      </w:r>
      <w:r>
        <w:rPr>
          <w:i/>
          <w:iCs/>
        </w:rPr>
        <w:t>I</w:t>
      </w:r>
      <w:r w:rsidRPr="00152508">
        <w:rPr>
          <w:i/>
          <w:iCs/>
        </w:rPr>
        <w:t>d.</w:t>
      </w:r>
      <w:r w:rsidRPr="00152508">
        <w:t xml:space="preserve"> </w:t>
      </w:r>
      <w:r w:rsidR="00AB54CF">
        <w:t xml:space="preserve">at </w:t>
      </w:r>
      <w:r w:rsidR="00A30119">
        <w:t>2357-58, para.</w:t>
      </w:r>
      <w:r w:rsidRPr="00152508">
        <w:t xml:space="preserve"> 30. </w:t>
      </w:r>
    </w:p>
  </w:footnote>
  <w:footnote w:id="9">
    <w:p w:rsidR="00A80B28" w:rsidRPr="004B1FD8" w:rsidP="004B1FD8" w14:paraId="658914A8" w14:textId="3F3E9E4E">
      <w:pPr>
        <w:autoSpaceDE w:val="0"/>
        <w:autoSpaceDN w:val="0"/>
        <w:adjustRightInd w:val="0"/>
        <w:spacing w:after="120"/>
        <w:rPr>
          <w:sz w:val="20"/>
        </w:rPr>
      </w:pPr>
      <w:r w:rsidRPr="00152508">
        <w:rPr>
          <w:rStyle w:val="FootnoteReference"/>
        </w:rPr>
        <w:footnoteRef/>
      </w:r>
      <w:r w:rsidRPr="00152508">
        <w:t xml:space="preserve"> </w:t>
      </w:r>
      <w:r w:rsidRPr="004B1FD8">
        <w:rPr>
          <w:sz w:val="20"/>
        </w:rPr>
        <w:t xml:space="preserve">47 U.S.C. § 316; </w:t>
      </w:r>
      <w:r w:rsidRPr="004B1FD8">
        <w:rPr>
          <w:i/>
          <w:iCs/>
          <w:sz w:val="20"/>
        </w:rPr>
        <w:t xml:space="preserve">see </w:t>
      </w:r>
      <w:r w:rsidR="009A4AEA">
        <w:rPr>
          <w:i/>
          <w:iCs/>
          <w:sz w:val="20"/>
        </w:rPr>
        <w:t xml:space="preserve">3.7 GHz Report and </w:t>
      </w:r>
      <w:r w:rsidRPr="004B1FD8">
        <w:rPr>
          <w:i/>
          <w:iCs/>
          <w:sz w:val="20"/>
        </w:rPr>
        <w:t>Order</w:t>
      </w:r>
      <w:r w:rsidR="001F5CBF">
        <w:rPr>
          <w:sz w:val="20"/>
        </w:rPr>
        <w:t xml:space="preserve">, </w:t>
      </w:r>
      <w:r w:rsidRPr="00837FD0" w:rsidR="00837FD0">
        <w:rPr>
          <w:sz w:val="20"/>
        </w:rPr>
        <w:t xml:space="preserve">35 FCC </w:t>
      </w:r>
      <w:r w:rsidRPr="00837FD0" w:rsidR="00837FD0">
        <w:rPr>
          <w:sz w:val="20"/>
        </w:rPr>
        <w:t>Rcd</w:t>
      </w:r>
      <w:r w:rsidRPr="00837FD0" w:rsidR="00837FD0">
        <w:rPr>
          <w:sz w:val="20"/>
        </w:rPr>
        <w:t xml:space="preserve"> at 23</w:t>
      </w:r>
      <w:r w:rsidR="00CA4A21">
        <w:rPr>
          <w:sz w:val="20"/>
        </w:rPr>
        <w:t>94-</w:t>
      </w:r>
      <w:r w:rsidR="008C6219">
        <w:rPr>
          <w:sz w:val="20"/>
        </w:rPr>
        <w:t>2404, paras.</w:t>
      </w:r>
      <w:r w:rsidR="001F5CBF">
        <w:rPr>
          <w:i/>
          <w:iCs/>
          <w:sz w:val="20"/>
        </w:rPr>
        <w:t xml:space="preserve"> </w:t>
      </w:r>
      <w:r w:rsidRPr="004B1FD8">
        <w:rPr>
          <w:sz w:val="20"/>
        </w:rPr>
        <w:t xml:space="preserve"> 125-144. </w:t>
      </w:r>
      <w:r w:rsidR="008A13D2">
        <w:rPr>
          <w:sz w:val="20"/>
        </w:rPr>
        <w:t xml:space="preserve"> </w:t>
      </w:r>
      <w:r w:rsidRPr="004B1FD8">
        <w:rPr>
          <w:sz w:val="20"/>
        </w:rPr>
        <w:t>C-</w:t>
      </w:r>
      <w:r w:rsidR="008A13D2">
        <w:rPr>
          <w:sz w:val="20"/>
        </w:rPr>
        <w:t>b</w:t>
      </w:r>
      <w:r w:rsidRPr="004B1FD8" w:rsidR="008A13D2">
        <w:rPr>
          <w:sz w:val="20"/>
        </w:rPr>
        <w:t xml:space="preserve">and </w:t>
      </w:r>
      <w:r w:rsidR="008A13D2">
        <w:rPr>
          <w:sz w:val="20"/>
        </w:rPr>
        <w:t>space station</w:t>
      </w:r>
      <w:r w:rsidRPr="004B1FD8" w:rsidR="008A13D2">
        <w:rPr>
          <w:sz w:val="20"/>
        </w:rPr>
        <w:t xml:space="preserve"> </w:t>
      </w:r>
      <w:r w:rsidRPr="004B1FD8">
        <w:rPr>
          <w:sz w:val="20"/>
        </w:rPr>
        <w:t xml:space="preserve">operators “share the same non-exclusive rights to transmit nationwide.” </w:t>
      </w:r>
      <w:r w:rsidR="008D6D87">
        <w:rPr>
          <w:sz w:val="20"/>
        </w:rPr>
        <w:t xml:space="preserve"> </w:t>
      </w:r>
      <w:r w:rsidRPr="004B1FD8">
        <w:rPr>
          <w:i/>
          <w:iCs/>
          <w:sz w:val="20"/>
        </w:rPr>
        <w:t>Id.</w:t>
      </w:r>
      <w:r w:rsidRPr="004B1FD8">
        <w:rPr>
          <w:sz w:val="20"/>
        </w:rPr>
        <w:t xml:space="preserve"> </w:t>
      </w:r>
      <w:r w:rsidR="00BA0CEE">
        <w:rPr>
          <w:sz w:val="20"/>
        </w:rPr>
        <w:t>at</w:t>
      </w:r>
      <w:r w:rsidR="008340C7">
        <w:rPr>
          <w:sz w:val="20"/>
        </w:rPr>
        <w:t xml:space="preserve"> 2366, para.</w:t>
      </w:r>
      <w:r w:rsidRPr="004B1FD8">
        <w:rPr>
          <w:sz w:val="20"/>
        </w:rPr>
        <w:t xml:space="preserve"> 44; </w:t>
      </w:r>
      <w:r w:rsidRPr="004B1FD8">
        <w:rPr>
          <w:i/>
          <w:iCs/>
          <w:sz w:val="20"/>
        </w:rPr>
        <w:t>see id.</w:t>
      </w:r>
      <w:r w:rsidRPr="004B1FD8">
        <w:rPr>
          <w:sz w:val="20"/>
        </w:rPr>
        <w:t xml:space="preserve"> </w:t>
      </w:r>
      <w:r w:rsidR="008937E9">
        <w:rPr>
          <w:sz w:val="20"/>
        </w:rPr>
        <w:t>at</w:t>
      </w:r>
      <w:r w:rsidR="00805A36">
        <w:rPr>
          <w:sz w:val="20"/>
        </w:rPr>
        <w:t xml:space="preserve"> 2348, para.</w:t>
      </w:r>
      <w:r w:rsidRPr="004B1FD8">
        <w:rPr>
          <w:sz w:val="20"/>
        </w:rPr>
        <w:t xml:space="preserve"> 9 (</w:t>
      </w:r>
      <w:r w:rsidR="004F10D5">
        <w:rPr>
          <w:sz w:val="20"/>
        </w:rPr>
        <w:t>space station</w:t>
      </w:r>
      <w:r w:rsidRPr="004B1FD8" w:rsidR="004F10D5">
        <w:rPr>
          <w:sz w:val="20"/>
        </w:rPr>
        <w:t xml:space="preserve"> </w:t>
      </w:r>
      <w:r w:rsidRPr="004B1FD8">
        <w:rPr>
          <w:sz w:val="20"/>
        </w:rPr>
        <w:t xml:space="preserve">operators “are authorized to use all 500 megahertz exclusively at any orbital slot, but non-exclusively in terms of geographic coverage. </w:t>
      </w:r>
      <w:r w:rsidR="0093653D">
        <w:rPr>
          <w:sz w:val="20"/>
        </w:rPr>
        <w:t xml:space="preserve"> </w:t>
      </w:r>
      <w:r w:rsidRPr="004B1FD8">
        <w:rPr>
          <w:sz w:val="20"/>
        </w:rPr>
        <w:t>Therefore, multiple FSS incumbents using satellites deployed at different locations in the geostationary</w:t>
      </w:r>
      <w:r w:rsidRPr="004E1254">
        <w:rPr>
          <w:sz w:val="20"/>
        </w:rPr>
        <w:t xml:space="preserve"> orbit can transmit within overlapping geographic boundaries.”). </w:t>
      </w:r>
      <w:r w:rsidR="0093653D">
        <w:rPr>
          <w:sz w:val="20"/>
        </w:rPr>
        <w:t xml:space="preserve"> </w:t>
      </w:r>
      <w:r w:rsidRPr="004E1254">
        <w:rPr>
          <w:sz w:val="20"/>
        </w:rPr>
        <w:t xml:space="preserve">Satellites “that serve or transmit signals into the U.S. market also may be providing service to other countries.” </w:t>
      </w:r>
      <w:r w:rsidR="00BE3B8F">
        <w:rPr>
          <w:sz w:val="20"/>
        </w:rPr>
        <w:t xml:space="preserve"> </w:t>
      </w:r>
      <w:r w:rsidRPr="004E1254">
        <w:rPr>
          <w:i/>
          <w:iCs/>
          <w:sz w:val="20"/>
        </w:rPr>
        <w:t>Id.</w:t>
      </w:r>
      <w:r w:rsidRPr="00152508">
        <w:t xml:space="preserve"> </w:t>
      </w:r>
    </w:p>
  </w:footnote>
  <w:footnote w:id="10">
    <w:p w:rsidR="00A80B28" w:rsidRPr="00152508" w:rsidP="00152508" w14:paraId="1BAECC61" w14:textId="5AC2D19B">
      <w:pPr>
        <w:pStyle w:val="FootnoteText"/>
      </w:pPr>
      <w:r w:rsidRPr="00152508">
        <w:rPr>
          <w:rStyle w:val="FootnoteReference"/>
        </w:rPr>
        <w:footnoteRef/>
      </w:r>
      <w:r w:rsidRPr="00152508">
        <w:t xml:space="preserve"> </w:t>
      </w:r>
      <w:r w:rsidRPr="00152508">
        <w:rPr>
          <w:i/>
          <w:iCs/>
        </w:rPr>
        <w:t xml:space="preserve">Id. </w:t>
      </w:r>
      <w:r w:rsidR="00E958AE">
        <w:t>at 2345, para</w:t>
      </w:r>
      <w:r w:rsidR="009B5ACF">
        <w:t>.</w:t>
      </w:r>
      <w:r w:rsidRPr="00152508">
        <w:t xml:space="preserve"> 4; </w:t>
      </w:r>
      <w:r w:rsidRPr="00152508">
        <w:rPr>
          <w:i/>
          <w:iCs/>
        </w:rPr>
        <w:t>see id.</w:t>
      </w:r>
      <w:r w:rsidRPr="00152508">
        <w:t xml:space="preserve"> </w:t>
      </w:r>
      <w:r w:rsidR="009B5ACF">
        <w:t>at</w:t>
      </w:r>
      <w:r w:rsidR="00ED1D6A">
        <w:t xml:space="preserve"> 2353-</w:t>
      </w:r>
      <w:r w:rsidR="0044545E">
        <w:t>2390</w:t>
      </w:r>
      <w:r w:rsidR="00D042F6">
        <w:t>, paras.</w:t>
      </w:r>
      <w:r w:rsidRPr="00152508">
        <w:t xml:space="preserve"> 22-109.</w:t>
      </w:r>
    </w:p>
  </w:footnote>
  <w:footnote w:id="11">
    <w:p w:rsidR="00A80B28" w:rsidRPr="00152508" w:rsidP="00152508" w14:paraId="7F66B745" w14:textId="7EF01812">
      <w:pPr>
        <w:pStyle w:val="FootnoteText"/>
      </w:pPr>
      <w:r w:rsidRPr="00152508">
        <w:rPr>
          <w:rStyle w:val="FootnoteReference"/>
        </w:rPr>
        <w:footnoteRef/>
      </w:r>
      <w:r w:rsidRPr="00152508">
        <w:t xml:space="preserve"> </w:t>
      </w:r>
      <w:r w:rsidRPr="00152508">
        <w:rPr>
          <w:i/>
          <w:iCs/>
        </w:rPr>
        <w:t>Id.</w:t>
      </w:r>
      <w:r w:rsidRPr="00152508">
        <w:t xml:space="preserve"> </w:t>
      </w:r>
      <w:r w:rsidR="00E571A7">
        <w:t xml:space="preserve">at </w:t>
      </w:r>
      <w:r w:rsidR="00FB6D13">
        <w:t>2353</w:t>
      </w:r>
      <w:r w:rsidR="00E571A7">
        <w:t>, para.</w:t>
      </w:r>
      <w:r w:rsidRPr="00152508">
        <w:t xml:space="preserve"> 20.</w:t>
      </w:r>
    </w:p>
  </w:footnote>
  <w:footnote w:id="12">
    <w:p w:rsidR="00A80B28" w:rsidRPr="00152508" w:rsidP="00152508" w14:paraId="1E951BB8" w14:textId="5BD878E7">
      <w:pPr>
        <w:pStyle w:val="FootnoteText"/>
      </w:pPr>
      <w:r w:rsidRPr="00152508">
        <w:rPr>
          <w:rStyle w:val="FootnoteReference"/>
        </w:rPr>
        <w:footnoteRef/>
      </w:r>
      <w:r w:rsidRPr="00152508">
        <w:t xml:space="preserve"> </w:t>
      </w:r>
      <w:r w:rsidRPr="00152508">
        <w:rPr>
          <w:i/>
          <w:iCs/>
        </w:rPr>
        <w:t xml:space="preserve">See id. </w:t>
      </w:r>
      <w:r w:rsidR="00E571A7">
        <w:t xml:space="preserve">at </w:t>
      </w:r>
      <w:r w:rsidR="005B57C3">
        <w:t>2391</w:t>
      </w:r>
      <w:r w:rsidR="00CC7C71">
        <w:t>-2463</w:t>
      </w:r>
      <w:r w:rsidR="006E65C7">
        <w:t>, paras</w:t>
      </w:r>
      <w:r w:rsidR="00B63151">
        <w:t>.</w:t>
      </w:r>
      <w:r w:rsidRPr="00152508">
        <w:t xml:space="preserve"> 110-320.</w:t>
      </w:r>
    </w:p>
  </w:footnote>
  <w:footnote w:id="13">
    <w:p w:rsidR="00A80B28" w:rsidRPr="00152508" w:rsidP="00152508" w14:paraId="4F873B05" w14:textId="7D4CCF63">
      <w:pPr>
        <w:pStyle w:val="FootnoteText"/>
      </w:pPr>
      <w:r w:rsidRPr="00152508">
        <w:rPr>
          <w:rStyle w:val="FootnoteReference"/>
        </w:rPr>
        <w:footnoteRef/>
      </w:r>
      <w:r w:rsidRPr="00152508">
        <w:t xml:space="preserve"> </w:t>
      </w:r>
      <w:r w:rsidRPr="00152508">
        <w:rPr>
          <w:i/>
          <w:iCs/>
        </w:rPr>
        <w:t xml:space="preserve">See id. </w:t>
      </w:r>
      <w:r w:rsidR="00266A7B">
        <w:t>at 2355</w:t>
      </w:r>
      <w:r w:rsidR="0026774C">
        <w:t>-56, para.</w:t>
      </w:r>
      <w:r w:rsidRPr="00152508">
        <w:t xml:space="preserve"> 27</w:t>
      </w:r>
      <w:r w:rsidR="00777ABA">
        <w:t xml:space="preserve"> </w:t>
      </w:r>
      <w:r w:rsidRPr="00152508">
        <w:t>n.78.</w:t>
      </w:r>
    </w:p>
  </w:footnote>
  <w:footnote w:id="14">
    <w:p w:rsidR="00A80B28" w:rsidRPr="00152508" w:rsidP="00152508" w14:paraId="4E976AA9" w14:textId="1A74E6A2">
      <w:pPr>
        <w:pStyle w:val="FootnoteText"/>
      </w:pPr>
      <w:r w:rsidRPr="00152508">
        <w:rPr>
          <w:rStyle w:val="FootnoteReference"/>
        </w:rPr>
        <w:footnoteRef/>
      </w:r>
      <w:r w:rsidRPr="00152508">
        <w:t xml:space="preserve"> </w:t>
      </w:r>
      <w:r w:rsidRPr="00152508">
        <w:rPr>
          <w:i/>
          <w:iCs/>
        </w:rPr>
        <w:t>Id.</w:t>
      </w:r>
      <w:r w:rsidRPr="00152508">
        <w:t xml:space="preserve"> </w:t>
      </w:r>
      <w:r w:rsidR="00E9203C">
        <w:t>at 2391, para.</w:t>
      </w:r>
      <w:r w:rsidRPr="00152508">
        <w:t xml:space="preserve"> 111; </w:t>
      </w:r>
      <w:r w:rsidRPr="00152508">
        <w:rPr>
          <w:i/>
          <w:iCs/>
        </w:rPr>
        <w:t>see id.</w:t>
      </w:r>
      <w:r w:rsidRPr="00152508">
        <w:t xml:space="preserve"> </w:t>
      </w:r>
      <w:r w:rsidR="00342147">
        <w:t>at 2353, para.</w:t>
      </w:r>
      <w:r w:rsidRPr="00152508">
        <w:t xml:space="preserve"> 21.</w:t>
      </w:r>
    </w:p>
  </w:footnote>
  <w:footnote w:id="15">
    <w:p w:rsidR="00A80B28" w:rsidRPr="007713AC" w:rsidP="00152508" w14:paraId="0B3C155F" w14:textId="23FE1BE3">
      <w:pPr>
        <w:pStyle w:val="FootnoteText"/>
      </w:pPr>
      <w:r w:rsidRPr="00152508">
        <w:rPr>
          <w:rStyle w:val="FootnoteReference"/>
        </w:rPr>
        <w:footnoteRef/>
      </w:r>
      <w:r w:rsidRPr="00152508">
        <w:t xml:space="preserve"> </w:t>
      </w:r>
      <w:r w:rsidR="00411453">
        <w:rPr>
          <w:i/>
          <w:iCs/>
        </w:rPr>
        <w:t>3.7 GHz Report and Order</w:t>
      </w:r>
      <w:r w:rsidR="009F10C2">
        <w:t xml:space="preserve">, 35 FCC </w:t>
      </w:r>
      <w:r w:rsidR="009F10C2">
        <w:t>Rcd</w:t>
      </w:r>
      <w:r w:rsidR="00342147">
        <w:t xml:space="preserve"> at </w:t>
      </w:r>
      <w:r w:rsidR="005244EB">
        <w:t>2415-</w:t>
      </w:r>
      <w:r w:rsidR="000633C0">
        <w:t xml:space="preserve">46, paras. </w:t>
      </w:r>
      <w:r w:rsidRPr="00152508">
        <w:t>178-</w:t>
      </w:r>
      <w:r>
        <w:t>254</w:t>
      </w:r>
      <w:r w:rsidRPr="00152508">
        <w:t>.</w:t>
      </w:r>
      <w:r>
        <w:t xml:space="preserve"> </w:t>
      </w:r>
      <w:r w:rsidR="0092365A">
        <w:t xml:space="preserve"> </w:t>
      </w:r>
      <w:r>
        <w:t xml:space="preserve">As the </w:t>
      </w:r>
      <w:r w:rsidR="00FE2117">
        <w:rPr>
          <w:i/>
          <w:iCs/>
        </w:rPr>
        <w:t xml:space="preserve">3.7 GHz Report and </w:t>
      </w:r>
      <w:r>
        <w:rPr>
          <w:i/>
          <w:iCs/>
        </w:rPr>
        <w:t xml:space="preserve">Order </w:t>
      </w:r>
      <w:r>
        <w:t>explains in detail, relocation payments will reimburse incumbents for the costs they incur to clear their operations from the lower 300 megahertz of the C-</w:t>
      </w:r>
      <w:r w:rsidR="00E32363">
        <w:t>band</w:t>
      </w:r>
      <w:r>
        <w:t xml:space="preserve">; </w:t>
      </w:r>
      <w:r w:rsidR="00E32363">
        <w:t xml:space="preserve">accelerated relocation </w:t>
      </w:r>
      <w:r>
        <w:t xml:space="preserve">payments are non-cost-based payments to encourage operators to do so on an accelerated basis.  </w:t>
      </w:r>
    </w:p>
  </w:footnote>
  <w:footnote w:id="16">
    <w:p w:rsidR="00A80B28" w:rsidRPr="00152508" w:rsidP="00152508" w14:paraId="0FEA5895" w14:textId="6C7AB513">
      <w:pPr>
        <w:pStyle w:val="FootnoteText"/>
      </w:pPr>
      <w:r w:rsidRPr="00152508">
        <w:rPr>
          <w:rStyle w:val="FootnoteReference"/>
        </w:rPr>
        <w:footnoteRef/>
      </w:r>
      <w:r w:rsidRPr="00152508">
        <w:t xml:space="preserve"> </w:t>
      </w:r>
      <w:r w:rsidRPr="00152508">
        <w:rPr>
          <w:i/>
          <w:iCs/>
        </w:rPr>
        <w:t>Id.</w:t>
      </w:r>
      <w:r w:rsidRPr="00152508">
        <w:t xml:space="preserve"> </w:t>
      </w:r>
      <w:r w:rsidR="00F17C69">
        <w:t>at 2408, para.</w:t>
      </w:r>
      <w:r w:rsidRPr="00152508">
        <w:t xml:space="preserve"> 155. </w:t>
      </w:r>
      <w:r w:rsidR="0092365A">
        <w:t xml:space="preserve"> </w:t>
      </w:r>
      <w:r w:rsidRPr="00152508">
        <w:t xml:space="preserve">The </w:t>
      </w:r>
      <w:r w:rsidR="0092365A">
        <w:t>Final Relocation Deadline</w:t>
      </w:r>
      <w:r w:rsidRPr="00152508">
        <w:t xml:space="preserve"> is December 5, 2025. </w:t>
      </w:r>
      <w:r w:rsidRPr="00152508">
        <w:rPr>
          <w:i/>
          <w:iCs/>
        </w:rPr>
        <w:t>Id.</w:t>
      </w:r>
    </w:p>
  </w:footnote>
  <w:footnote w:id="17">
    <w:p w:rsidR="00A80B28" w:rsidRPr="00152508" w:rsidP="00152508" w14:paraId="0EE550EE" w14:textId="1486E316">
      <w:pPr>
        <w:pStyle w:val="FootnoteText"/>
      </w:pPr>
      <w:r w:rsidRPr="00152508">
        <w:rPr>
          <w:rStyle w:val="FootnoteReference"/>
        </w:rPr>
        <w:footnoteRef/>
      </w:r>
      <w:r w:rsidRPr="00152508">
        <w:t xml:space="preserve"> </w:t>
      </w:r>
      <w:r w:rsidRPr="00152508">
        <w:rPr>
          <w:i/>
          <w:iCs/>
        </w:rPr>
        <w:t xml:space="preserve">Id. </w:t>
      </w:r>
      <w:r w:rsidR="00C11001">
        <w:t>at</w:t>
      </w:r>
      <w:r w:rsidRPr="00152508">
        <w:t xml:space="preserve"> </w:t>
      </w:r>
      <w:r w:rsidR="00B45279">
        <w:t>24</w:t>
      </w:r>
      <w:r w:rsidR="00C11001">
        <w:t>31-</w:t>
      </w:r>
      <w:r w:rsidR="00B45279">
        <w:t xml:space="preserve">42, </w:t>
      </w:r>
      <w:r w:rsidR="00C11001">
        <w:t>paras.</w:t>
      </w:r>
      <w:r w:rsidRPr="00152508">
        <w:t xml:space="preserve"> 211-</w:t>
      </w:r>
      <w:r>
        <w:t>40</w:t>
      </w:r>
      <w:r w:rsidRPr="00152508">
        <w:t xml:space="preserve">. </w:t>
      </w:r>
      <w:r w:rsidR="0092365A">
        <w:t xml:space="preserve"> </w:t>
      </w:r>
      <w:r w:rsidRPr="00152508">
        <w:t>The FCC also provided for transition logistics</w:t>
      </w:r>
      <w:r>
        <w:t xml:space="preserve"> in the </w:t>
      </w:r>
      <w:r w:rsidR="00FE2117">
        <w:rPr>
          <w:i/>
          <w:iCs/>
        </w:rPr>
        <w:t xml:space="preserve">3.7 GHz Report and </w:t>
      </w:r>
      <w:r w:rsidRPr="007629B7">
        <w:rPr>
          <w:i/>
          <w:iCs/>
        </w:rPr>
        <w:t>Order</w:t>
      </w:r>
      <w:r w:rsidRPr="00152508">
        <w:t xml:space="preserve">, including independent parties to administer the payment process and to coordinate the transition. </w:t>
      </w:r>
      <w:r w:rsidR="0092365A">
        <w:t xml:space="preserve"> </w:t>
      </w:r>
      <w:r w:rsidRPr="00152508">
        <w:rPr>
          <w:i/>
          <w:iCs/>
        </w:rPr>
        <w:t xml:space="preserve">Id. </w:t>
      </w:r>
      <w:r w:rsidR="009B1637">
        <w:t xml:space="preserve">at </w:t>
      </w:r>
      <w:r w:rsidR="00145601">
        <w:t>2446-</w:t>
      </w:r>
      <w:r w:rsidR="006D3828">
        <w:t>61, paras.</w:t>
      </w:r>
      <w:r w:rsidRPr="00152508">
        <w:t xml:space="preserve"> 255-</w:t>
      </w:r>
      <w:r>
        <w:t>317</w:t>
      </w:r>
      <w:r w:rsidRPr="00152508">
        <w:t>.</w:t>
      </w:r>
    </w:p>
  </w:footnote>
  <w:footnote w:id="18">
    <w:p w:rsidR="00A80B28" w:rsidRPr="007713AC" w:rsidP="007629B7" w14:paraId="78520B28" w14:textId="0D544F84">
      <w:pPr>
        <w:pStyle w:val="FootnoteText"/>
      </w:pPr>
      <w:r w:rsidRPr="00152508">
        <w:rPr>
          <w:rStyle w:val="FootnoteReference"/>
        </w:rPr>
        <w:footnoteRef/>
      </w:r>
      <w:r w:rsidRPr="00152508">
        <w:t xml:space="preserve"> </w:t>
      </w:r>
      <w:r w:rsidRPr="00152508">
        <w:rPr>
          <w:i/>
          <w:iCs/>
        </w:rPr>
        <w:t xml:space="preserve">Id. </w:t>
      </w:r>
      <w:r w:rsidR="00426699">
        <w:t>2432, para</w:t>
      </w:r>
      <w:r w:rsidR="007002BA">
        <w:t>.</w:t>
      </w:r>
      <w:r w:rsidRPr="00152508">
        <w:t xml:space="preserve"> 214.</w:t>
      </w:r>
      <w:r>
        <w:t xml:space="preserve"> </w:t>
      </w:r>
      <w:r w:rsidR="0092365A">
        <w:t xml:space="preserve"> </w:t>
      </w:r>
      <w:r>
        <w:t xml:space="preserve">All eligible </w:t>
      </w:r>
      <w:r w:rsidR="0092365A">
        <w:t xml:space="preserve">space station </w:t>
      </w:r>
      <w:r>
        <w:t xml:space="preserve">operators have now elected to relocate on an accelerated basis. </w:t>
      </w:r>
      <w:r w:rsidR="0092365A">
        <w:t xml:space="preserve"> </w:t>
      </w:r>
      <w:r>
        <w:rPr>
          <w:i/>
          <w:iCs/>
        </w:rPr>
        <w:t xml:space="preserve">See </w:t>
      </w:r>
      <w:r w:rsidRPr="001436ED" w:rsidR="00D212F9">
        <w:rPr>
          <w:i/>
          <w:iCs/>
        </w:rPr>
        <w:t>Wireless Telecommunications Bureau Announces Accelerated Clearing in the 3.7-4.2 GHz Band</w:t>
      </w:r>
      <w:r w:rsidR="00D212F9">
        <w:t xml:space="preserve">, GN Docket No. 18-122, </w:t>
      </w:r>
      <w:r w:rsidRPr="001436ED" w:rsidR="00D212F9">
        <w:t>Public Notice</w:t>
      </w:r>
      <w:r w:rsidR="00D212F9">
        <w:t>, DA 20-578 (rel. June 1, 2020)</w:t>
      </w:r>
      <w:r w:rsidR="0086586A">
        <w:t xml:space="preserve"> (</w:t>
      </w:r>
      <w:r w:rsidR="0086586A">
        <w:rPr>
          <w:i/>
          <w:iCs/>
        </w:rPr>
        <w:t>Accelerated C</w:t>
      </w:r>
      <w:r w:rsidR="009E200F">
        <w:rPr>
          <w:i/>
          <w:iCs/>
        </w:rPr>
        <w:t>learing</w:t>
      </w:r>
      <w:r w:rsidRPr="009E200F" w:rsidR="009E200F">
        <w:rPr>
          <w:i/>
          <w:iCs/>
        </w:rPr>
        <w:t xml:space="preserve"> P</w:t>
      </w:r>
      <w:r w:rsidR="00A83F45">
        <w:rPr>
          <w:i/>
          <w:iCs/>
        </w:rPr>
        <w:t xml:space="preserve">ublic </w:t>
      </w:r>
      <w:r w:rsidRPr="009E200F" w:rsidR="009E200F">
        <w:rPr>
          <w:i/>
          <w:iCs/>
        </w:rPr>
        <w:t>N</w:t>
      </w:r>
      <w:r w:rsidR="00A83F45">
        <w:rPr>
          <w:i/>
          <w:iCs/>
        </w:rPr>
        <w:t>otice</w:t>
      </w:r>
      <w:r w:rsidR="009E200F">
        <w:t>)</w:t>
      </w:r>
      <w:r>
        <w:t>.</w:t>
      </w:r>
    </w:p>
  </w:footnote>
  <w:footnote w:id="19">
    <w:p w:rsidR="00A80B28" w:rsidRPr="00152508" w:rsidP="00152508" w14:paraId="6FAF8F84" w14:textId="624B9DD2">
      <w:pPr>
        <w:autoSpaceDE w:val="0"/>
        <w:autoSpaceDN w:val="0"/>
        <w:adjustRightInd w:val="0"/>
        <w:spacing w:after="120"/>
        <w:rPr>
          <w:i/>
          <w:iCs/>
          <w:sz w:val="20"/>
        </w:rPr>
      </w:pPr>
      <w:r w:rsidRPr="00152508">
        <w:rPr>
          <w:rStyle w:val="FootnoteReference"/>
        </w:rPr>
        <w:footnoteRef/>
      </w:r>
      <w:r w:rsidRPr="00152508">
        <w:rPr>
          <w:sz w:val="20"/>
        </w:rPr>
        <w:t xml:space="preserve"> </w:t>
      </w:r>
      <w:r>
        <w:rPr>
          <w:sz w:val="20"/>
        </w:rPr>
        <w:t xml:space="preserve">Specifically, </w:t>
      </w:r>
      <w:r w:rsidRPr="00152508">
        <w:rPr>
          <w:sz w:val="20"/>
        </w:rPr>
        <w:t xml:space="preserve">ABS is a Bermuda company owned by various “investment vehicles” and a “new entrant in the U.S. satellite market.” </w:t>
      </w:r>
      <w:r w:rsidR="0092365A">
        <w:rPr>
          <w:sz w:val="20"/>
        </w:rPr>
        <w:t xml:space="preserve"> </w:t>
      </w:r>
      <w:r w:rsidRPr="00152508">
        <w:rPr>
          <w:sz w:val="20"/>
        </w:rPr>
        <w:t>Corporate Disc</w:t>
      </w:r>
      <w:r>
        <w:rPr>
          <w:sz w:val="20"/>
        </w:rPr>
        <w:t>losure</w:t>
      </w:r>
      <w:r w:rsidRPr="00152508">
        <w:rPr>
          <w:sz w:val="20"/>
        </w:rPr>
        <w:t xml:space="preserve"> Statement, </w:t>
      </w:r>
      <w:r w:rsidRPr="00152508">
        <w:rPr>
          <w:i/>
          <w:iCs/>
          <w:sz w:val="20"/>
        </w:rPr>
        <w:t>ABS Global Ltd. v. FCC</w:t>
      </w:r>
      <w:r w:rsidRPr="00152508">
        <w:rPr>
          <w:sz w:val="20"/>
        </w:rPr>
        <w:t>, No. 20-1146</w:t>
      </w:r>
      <w:r w:rsidR="002A50BC">
        <w:rPr>
          <w:sz w:val="20"/>
        </w:rPr>
        <w:t xml:space="preserve"> at 1</w:t>
      </w:r>
      <w:r w:rsidRPr="00152508">
        <w:rPr>
          <w:sz w:val="20"/>
        </w:rPr>
        <w:t xml:space="preserve"> (D.C. Cir. filed May 1, 2020); Stay Pet., Attach</w:t>
      </w:r>
      <w:r>
        <w:rPr>
          <w:sz w:val="20"/>
        </w:rPr>
        <w:t>ment</w:t>
      </w:r>
      <w:r w:rsidRPr="00152508">
        <w:rPr>
          <w:sz w:val="20"/>
        </w:rPr>
        <w:t xml:space="preserve"> A, Decl</w:t>
      </w:r>
      <w:r>
        <w:rPr>
          <w:sz w:val="20"/>
        </w:rPr>
        <w:t>aration</w:t>
      </w:r>
      <w:r w:rsidRPr="00152508">
        <w:rPr>
          <w:sz w:val="20"/>
        </w:rPr>
        <w:t xml:space="preserve"> of James B. </w:t>
      </w:r>
      <w:r w:rsidRPr="00152508">
        <w:rPr>
          <w:sz w:val="20"/>
        </w:rPr>
        <w:t>Frownfelter</w:t>
      </w:r>
      <w:r w:rsidRPr="00152508">
        <w:rPr>
          <w:sz w:val="20"/>
        </w:rPr>
        <w:t xml:space="preserve"> at </w:t>
      </w:r>
      <w:r w:rsidR="0031190F">
        <w:rPr>
          <w:sz w:val="20"/>
        </w:rPr>
        <w:t>para.</w:t>
      </w:r>
      <w:r w:rsidRPr="00152508">
        <w:rPr>
          <w:sz w:val="20"/>
        </w:rPr>
        <w:t xml:space="preserve"> 5 (“</w:t>
      </w:r>
      <w:r w:rsidRPr="00152508">
        <w:rPr>
          <w:sz w:val="20"/>
        </w:rPr>
        <w:t>Frownfelter</w:t>
      </w:r>
      <w:r w:rsidRPr="00152508">
        <w:rPr>
          <w:sz w:val="20"/>
        </w:rPr>
        <w:t xml:space="preserve"> Decl.”). </w:t>
      </w:r>
      <w:r w:rsidR="00D31B8A">
        <w:rPr>
          <w:sz w:val="20"/>
        </w:rPr>
        <w:t xml:space="preserve">  </w:t>
      </w:r>
      <w:r w:rsidRPr="00152508">
        <w:rPr>
          <w:sz w:val="20"/>
        </w:rPr>
        <w:t>Hispasat</w:t>
      </w:r>
      <w:r w:rsidRPr="00152508">
        <w:rPr>
          <w:sz w:val="20"/>
        </w:rPr>
        <w:t xml:space="preserve"> S.A. is a Spanish </w:t>
      </w:r>
      <w:r w:rsidRPr="00152508">
        <w:rPr>
          <w:sz w:val="20"/>
        </w:rPr>
        <w:t>sociedad</w:t>
      </w:r>
      <w:r w:rsidRPr="00152508">
        <w:rPr>
          <w:sz w:val="20"/>
        </w:rPr>
        <w:t xml:space="preserve"> </w:t>
      </w:r>
      <w:r w:rsidRPr="00152508">
        <w:rPr>
          <w:sz w:val="20"/>
        </w:rPr>
        <w:t>anónima</w:t>
      </w:r>
      <w:r w:rsidRPr="00152508">
        <w:rPr>
          <w:sz w:val="20"/>
        </w:rPr>
        <w:t xml:space="preserve">, and its affiliate, </w:t>
      </w:r>
      <w:r w:rsidRPr="00152508">
        <w:rPr>
          <w:sz w:val="20"/>
        </w:rPr>
        <w:t>Hispamar</w:t>
      </w:r>
      <w:r w:rsidRPr="00152508">
        <w:rPr>
          <w:sz w:val="20"/>
        </w:rPr>
        <w:t xml:space="preserve"> </w:t>
      </w:r>
      <w:r w:rsidRPr="00152508">
        <w:rPr>
          <w:sz w:val="20"/>
        </w:rPr>
        <w:t>Satélites</w:t>
      </w:r>
      <w:r w:rsidRPr="00152508">
        <w:rPr>
          <w:sz w:val="20"/>
        </w:rPr>
        <w:t xml:space="preserve"> S.A., operates </w:t>
      </w:r>
      <w:r w:rsidRPr="00152508">
        <w:rPr>
          <w:sz w:val="20"/>
        </w:rPr>
        <w:t>Hispasat</w:t>
      </w:r>
      <w:r w:rsidRPr="00152508">
        <w:rPr>
          <w:sz w:val="20"/>
        </w:rPr>
        <w:t xml:space="preserve"> satellites in Brazil. </w:t>
      </w:r>
      <w:r w:rsidRPr="0012010F" w:rsidR="0012010F">
        <w:rPr>
          <w:i/>
          <w:iCs/>
          <w:sz w:val="20"/>
        </w:rPr>
        <w:t>3.7 GHz Report and Order</w:t>
      </w:r>
      <w:r w:rsidRPr="0063360C" w:rsidR="0012010F">
        <w:rPr>
          <w:sz w:val="20"/>
        </w:rPr>
        <w:t xml:space="preserve">, </w:t>
      </w:r>
      <w:r w:rsidRPr="009178F6" w:rsidR="0012010F">
        <w:rPr>
          <w:sz w:val="20"/>
        </w:rPr>
        <w:t xml:space="preserve">35 FCC </w:t>
      </w:r>
      <w:r w:rsidRPr="009178F6" w:rsidR="0012010F">
        <w:rPr>
          <w:sz w:val="20"/>
        </w:rPr>
        <w:t>Rcd</w:t>
      </w:r>
      <w:r w:rsidRPr="009178F6" w:rsidR="0012010F">
        <w:rPr>
          <w:sz w:val="20"/>
        </w:rPr>
        <w:t xml:space="preserve"> at 23</w:t>
      </w:r>
      <w:r w:rsidR="00D513B7">
        <w:rPr>
          <w:sz w:val="20"/>
        </w:rPr>
        <w:t>48</w:t>
      </w:r>
      <w:r w:rsidR="00D513B7">
        <w:rPr>
          <w:sz w:val="20"/>
        </w:rPr>
        <w:t xml:space="preserve">, </w:t>
      </w:r>
      <w:r w:rsidRPr="00152508">
        <w:rPr>
          <w:sz w:val="20"/>
        </w:rPr>
        <w:t xml:space="preserve"> n.30.</w:t>
      </w:r>
      <w:r w:rsidRPr="00152508">
        <w:rPr>
          <w:sz w:val="20"/>
        </w:rPr>
        <w:t xml:space="preserve"> </w:t>
      </w:r>
      <w:r w:rsidR="00A90CC4">
        <w:rPr>
          <w:sz w:val="20"/>
        </w:rPr>
        <w:t xml:space="preserve"> </w:t>
      </w:r>
      <w:r w:rsidRPr="00152508">
        <w:rPr>
          <w:sz w:val="20"/>
        </w:rPr>
        <w:t xml:space="preserve">ARSAT is an Argentinian </w:t>
      </w:r>
      <w:r w:rsidRPr="00152508">
        <w:rPr>
          <w:sz w:val="20"/>
        </w:rPr>
        <w:t>sociedad</w:t>
      </w:r>
      <w:r w:rsidRPr="00152508">
        <w:rPr>
          <w:sz w:val="20"/>
        </w:rPr>
        <w:t xml:space="preserve"> </w:t>
      </w:r>
      <w:r w:rsidRPr="00152508">
        <w:rPr>
          <w:sz w:val="20"/>
        </w:rPr>
        <w:t>anónima</w:t>
      </w:r>
      <w:r w:rsidRPr="00152508">
        <w:rPr>
          <w:sz w:val="20"/>
        </w:rPr>
        <w:t xml:space="preserve"> authorized to operate one satellite in the C-band under a grant of market access to serve the United States. </w:t>
      </w:r>
      <w:r w:rsidR="00A90CC4">
        <w:rPr>
          <w:sz w:val="20"/>
        </w:rPr>
        <w:t xml:space="preserve"> </w:t>
      </w:r>
      <w:r w:rsidRPr="00152508">
        <w:rPr>
          <w:i/>
          <w:iCs/>
          <w:sz w:val="20"/>
        </w:rPr>
        <w:t>Id.</w:t>
      </w:r>
    </w:p>
  </w:footnote>
  <w:footnote w:id="20">
    <w:p w:rsidR="00A80B28" w:rsidRPr="00152508" w:rsidP="00152508" w14:paraId="15BF3110" w14:textId="3F397B84">
      <w:pPr>
        <w:pStyle w:val="FootnoteText"/>
      </w:pPr>
      <w:r w:rsidRPr="00152508">
        <w:rPr>
          <w:rStyle w:val="FootnoteReference"/>
        </w:rPr>
        <w:footnoteRef/>
      </w:r>
      <w:r w:rsidR="00E55C0D">
        <w:rPr>
          <w:i/>
          <w:iCs/>
        </w:rPr>
        <w:t xml:space="preserve"> </w:t>
      </w:r>
      <w:r w:rsidR="00A9029C">
        <w:rPr>
          <w:i/>
          <w:iCs/>
        </w:rPr>
        <w:t>3.7 GHz Report and Order</w:t>
      </w:r>
      <w:r w:rsidR="00A9029C">
        <w:t xml:space="preserve">, 35 FCC </w:t>
      </w:r>
      <w:r w:rsidR="00A9029C">
        <w:t>Rcd</w:t>
      </w:r>
      <w:r w:rsidRPr="00152508">
        <w:t xml:space="preserve"> </w:t>
      </w:r>
      <w:r w:rsidR="000A6B02">
        <w:t xml:space="preserve">at </w:t>
      </w:r>
      <w:r w:rsidR="00BF72D2">
        <w:t>2</w:t>
      </w:r>
      <w:r w:rsidR="006F2FB3">
        <w:t>398-99</w:t>
      </w:r>
      <w:r w:rsidR="000A6B02">
        <w:t>,</w:t>
      </w:r>
      <w:r w:rsidR="00CA132D">
        <w:t xml:space="preserve"> </w:t>
      </w:r>
      <w:r w:rsidR="00665C93">
        <w:t>2</w:t>
      </w:r>
      <w:r w:rsidR="001D7D6C">
        <w:t>40</w:t>
      </w:r>
      <w:r w:rsidR="00AD05DB">
        <w:t>1</w:t>
      </w:r>
      <w:r w:rsidR="00E00738">
        <w:t>-0</w:t>
      </w:r>
      <w:r w:rsidR="00AD05DB">
        <w:t>2</w:t>
      </w:r>
      <w:r w:rsidR="00276524">
        <w:t>,</w:t>
      </w:r>
      <w:r w:rsidR="00CA132D">
        <w:t xml:space="preserve"> </w:t>
      </w:r>
      <w:r w:rsidR="00ED15FA">
        <w:t xml:space="preserve">2423-24, </w:t>
      </w:r>
      <w:r w:rsidR="00C71E3A">
        <w:t>2442-</w:t>
      </w:r>
      <w:r w:rsidR="0018518C">
        <w:t>45,</w:t>
      </w:r>
      <w:r w:rsidR="00CA132D">
        <w:t xml:space="preserve"> </w:t>
      </w:r>
      <w:r w:rsidR="000A6B02">
        <w:t>para</w:t>
      </w:r>
      <w:r w:rsidR="00035285">
        <w:t>s</w:t>
      </w:r>
      <w:r w:rsidR="00CA132D">
        <w:t>.</w:t>
      </w:r>
      <w:r w:rsidRPr="00152508">
        <w:t xml:space="preserve"> 134 n.382 and accompanying text, 139, 196, 241-249.</w:t>
      </w:r>
    </w:p>
  </w:footnote>
  <w:footnote w:id="21">
    <w:p w:rsidR="00A80B28" w:rsidRPr="00152508" w:rsidP="00152508" w14:paraId="2D451682" w14:textId="71ED08E2">
      <w:pPr>
        <w:pStyle w:val="FootnoteText"/>
      </w:pPr>
      <w:r w:rsidRPr="00152508">
        <w:rPr>
          <w:rStyle w:val="FootnoteReference"/>
        </w:rPr>
        <w:footnoteRef/>
      </w:r>
      <w:r w:rsidRPr="00152508">
        <w:t xml:space="preserve"> </w:t>
      </w:r>
      <w:r w:rsidRPr="00152508">
        <w:rPr>
          <w:i/>
          <w:iCs/>
        </w:rPr>
        <w:t xml:space="preserve">Id. </w:t>
      </w:r>
      <w:r w:rsidR="000A2A54">
        <w:t xml:space="preserve">at 2442, para. </w:t>
      </w:r>
      <w:r w:rsidRPr="00152508">
        <w:rPr>
          <w:i/>
          <w:iCs/>
        </w:rPr>
        <w:t xml:space="preserve"> </w:t>
      </w:r>
      <w:r w:rsidRPr="00152508">
        <w:t>241</w:t>
      </w:r>
      <w:r w:rsidR="0036416C">
        <w:t xml:space="preserve"> (emphasis in original)</w:t>
      </w:r>
      <w:r w:rsidRPr="00152508">
        <w:t xml:space="preserve">. </w:t>
      </w:r>
    </w:p>
  </w:footnote>
  <w:footnote w:id="22">
    <w:p w:rsidR="00A80B28" w:rsidRPr="00152508" w:rsidP="00152508" w14:paraId="76AAB1AB" w14:textId="2D7ABBD1">
      <w:pPr>
        <w:pStyle w:val="FootnoteText"/>
      </w:pPr>
      <w:r w:rsidRPr="00152508">
        <w:rPr>
          <w:rStyle w:val="FootnoteReference"/>
        </w:rPr>
        <w:footnoteRef/>
      </w:r>
      <w:r w:rsidRPr="00152508">
        <w:t xml:space="preserve"> </w:t>
      </w:r>
      <w:r w:rsidRPr="00152508">
        <w:rPr>
          <w:i/>
          <w:iCs/>
        </w:rPr>
        <w:t xml:space="preserve">Id. </w:t>
      </w:r>
      <w:r w:rsidR="00700333">
        <w:t>at 2423</w:t>
      </w:r>
      <w:r w:rsidR="00A72444">
        <w:t>-24, para.</w:t>
      </w:r>
      <w:r w:rsidRPr="00152508">
        <w:t xml:space="preserve"> 196</w:t>
      </w:r>
      <w:r w:rsidR="00A72444">
        <w:t>.</w:t>
      </w:r>
    </w:p>
  </w:footnote>
  <w:footnote w:id="23">
    <w:p w:rsidR="00A80B28" w:rsidRPr="00683F3A" w:rsidP="00152508" w14:paraId="5F5A7BFE" w14:textId="0582F326">
      <w:pPr>
        <w:autoSpaceDE w:val="0"/>
        <w:autoSpaceDN w:val="0"/>
        <w:adjustRightInd w:val="0"/>
        <w:spacing w:after="120"/>
        <w:rPr>
          <w:sz w:val="20"/>
        </w:rPr>
      </w:pPr>
      <w:r w:rsidRPr="00152508">
        <w:rPr>
          <w:rStyle w:val="FootnoteReference"/>
        </w:rPr>
        <w:footnoteRef/>
      </w:r>
      <w:r w:rsidRPr="00152508">
        <w:rPr>
          <w:sz w:val="20"/>
        </w:rPr>
        <w:t xml:space="preserve"> </w:t>
      </w:r>
      <w:r w:rsidRPr="00152508">
        <w:rPr>
          <w:i/>
          <w:iCs/>
          <w:sz w:val="20"/>
        </w:rPr>
        <w:t xml:space="preserve">Id. </w:t>
      </w:r>
      <w:r w:rsidR="0092365A">
        <w:rPr>
          <w:i/>
          <w:iCs/>
          <w:sz w:val="20"/>
        </w:rPr>
        <w:t xml:space="preserve"> </w:t>
      </w:r>
      <w:r w:rsidRPr="00152508">
        <w:rPr>
          <w:sz w:val="20"/>
        </w:rPr>
        <w:t>Larger satellite operators</w:t>
      </w:r>
      <w:r w:rsidR="0086276E">
        <w:rPr>
          <w:sz w:val="20"/>
        </w:rPr>
        <w:t>—</w:t>
      </w:r>
      <w:r w:rsidRPr="00152508">
        <w:rPr>
          <w:sz w:val="20"/>
        </w:rPr>
        <w:t>as well as more than a dozen large C-band users</w:t>
      </w:r>
      <w:r w:rsidR="0086276E">
        <w:rPr>
          <w:sz w:val="20"/>
        </w:rPr>
        <w:t>—</w:t>
      </w:r>
      <w:r w:rsidRPr="00152508">
        <w:rPr>
          <w:sz w:val="20"/>
        </w:rPr>
        <w:t xml:space="preserve">confirmed that they can continue existing operations uninterrupted using 200 megahertz. </w:t>
      </w:r>
      <w:r w:rsidR="0007484D">
        <w:rPr>
          <w:sz w:val="20"/>
        </w:rPr>
        <w:t xml:space="preserve"> </w:t>
      </w:r>
      <w:r w:rsidRPr="00152508">
        <w:rPr>
          <w:i/>
          <w:iCs/>
          <w:sz w:val="20"/>
        </w:rPr>
        <w:t>Id.</w:t>
      </w:r>
      <w:r w:rsidRPr="00152508">
        <w:rPr>
          <w:sz w:val="20"/>
        </w:rPr>
        <w:t xml:space="preserve"> </w:t>
      </w:r>
      <w:r w:rsidR="00107ADE">
        <w:rPr>
          <w:sz w:val="20"/>
        </w:rPr>
        <w:t>at</w:t>
      </w:r>
      <w:r w:rsidR="00965B07">
        <w:rPr>
          <w:sz w:val="20"/>
        </w:rPr>
        <w:t xml:space="preserve"> 2397</w:t>
      </w:r>
      <w:r w:rsidR="00941701">
        <w:rPr>
          <w:sz w:val="20"/>
        </w:rPr>
        <w:t xml:space="preserve">, para. </w:t>
      </w:r>
      <w:r w:rsidRPr="00152508">
        <w:rPr>
          <w:sz w:val="20"/>
        </w:rPr>
        <w:t xml:space="preserve"> 130. </w:t>
      </w:r>
      <w:r w:rsidR="0007484D">
        <w:rPr>
          <w:sz w:val="20"/>
        </w:rPr>
        <w:t xml:space="preserve"> </w:t>
      </w:r>
      <w:r w:rsidRPr="00152508">
        <w:rPr>
          <w:sz w:val="20"/>
        </w:rPr>
        <w:t>Petitioners themselves represented</w:t>
      </w:r>
      <w:r>
        <w:rPr>
          <w:sz w:val="20"/>
        </w:rPr>
        <w:t xml:space="preserve"> </w:t>
      </w:r>
      <w:r w:rsidRPr="00152508">
        <w:rPr>
          <w:sz w:val="20"/>
        </w:rPr>
        <w:t xml:space="preserve">that they would be able to clear the lower 300 </w:t>
      </w:r>
      <w:r>
        <w:rPr>
          <w:sz w:val="20"/>
        </w:rPr>
        <w:t>megahertz</w:t>
      </w:r>
      <w:r w:rsidRPr="00152508">
        <w:rPr>
          <w:sz w:val="20"/>
        </w:rPr>
        <w:t xml:space="preserve"> “through the use of non-proprietary, readily available compression technology.” </w:t>
      </w:r>
      <w:r w:rsidR="00A90CC4">
        <w:rPr>
          <w:sz w:val="20"/>
        </w:rPr>
        <w:t xml:space="preserve"> </w:t>
      </w:r>
      <w:r w:rsidRPr="00152508">
        <w:rPr>
          <w:i/>
          <w:sz w:val="20"/>
        </w:rPr>
        <w:t>Id.</w:t>
      </w:r>
      <w:r w:rsidRPr="00152508">
        <w:rPr>
          <w:sz w:val="20"/>
        </w:rPr>
        <w:t xml:space="preserve"> </w:t>
      </w:r>
      <w:r w:rsidR="00786CD4">
        <w:rPr>
          <w:sz w:val="20"/>
        </w:rPr>
        <w:t>at 23</w:t>
      </w:r>
      <w:r w:rsidR="00FF7DD8">
        <w:rPr>
          <w:sz w:val="20"/>
        </w:rPr>
        <w:t>59-60, para.</w:t>
      </w:r>
      <w:r w:rsidRPr="00152508">
        <w:rPr>
          <w:sz w:val="20"/>
        </w:rPr>
        <w:t xml:space="preserve"> 32 &amp; n.103 (internal quotations omitted); </w:t>
      </w:r>
      <w:r w:rsidRPr="00152508">
        <w:rPr>
          <w:i/>
          <w:iCs/>
          <w:sz w:val="20"/>
        </w:rPr>
        <w:t xml:space="preserve">see id. </w:t>
      </w:r>
      <w:r w:rsidR="00941701">
        <w:rPr>
          <w:sz w:val="20"/>
        </w:rPr>
        <w:t>at 2397, para.</w:t>
      </w:r>
      <w:r>
        <w:rPr>
          <w:i/>
          <w:iCs/>
          <w:sz w:val="20"/>
        </w:rPr>
        <w:t xml:space="preserve"> </w:t>
      </w:r>
      <w:r w:rsidRPr="00152508">
        <w:rPr>
          <w:sz w:val="20"/>
        </w:rPr>
        <w:t xml:space="preserve">130 </w:t>
      </w:r>
      <w:r w:rsidR="0096157D">
        <w:rPr>
          <w:sz w:val="20"/>
        </w:rPr>
        <w:t xml:space="preserve">&amp; </w:t>
      </w:r>
      <w:r w:rsidRPr="00152508">
        <w:rPr>
          <w:sz w:val="20"/>
        </w:rPr>
        <w:t>n.36</w:t>
      </w:r>
      <w:r w:rsidRPr="00683F3A">
        <w:rPr>
          <w:sz w:val="20"/>
        </w:rPr>
        <w:t xml:space="preserve">8.  </w:t>
      </w:r>
    </w:p>
  </w:footnote>
  <w:footnote w:id="24">
    <w:p w:rsidR="00A80B28" w:rsidP="001436ED" w14:paraId="3A8958CA" w14:textId="18FB7612">
      <w:pPr>
        <w:pStyle w:val="FootnoteText"/>
      </w:pPr>
      <w:r>
        <w:rPr>
          <w:rStyle w:val="FootnoteReference"/>
        </w:rPr>
        <w:footnoteRef/>
      </w:r>
      <w:r>
        <w:t xml:space="preserve"> </w:t>
      </w:r>
      <w:r w:rsidR="00A83F45">
        <w:rPr>
          <w:i/>
          <w:iCs/>
        </w:rPr>
        <w:t>Accelerated Clearing Public Notice</w:t>
      </w:r>
      <w:r>
        <w:t xml:space="preserve">.  </w:t>
      </w:r>
    </w:p>
  </w:footnote>
  <w:footnote w:id="25">
    <w:p w:rsidR="00A80B28" w:rsidRPr="00152508" w:rsidP="00152508" w14:paraId="66E5FE62" w14:textId="77777777">
      <w:pPr>
        <w:autoSpaceDE w:val="0"/>
        <w:autoSpaceDN w:val="0"/>
        <w:adjustRightInd w:val="0"/>
        <w:spacing w:after="120"/>
        <w:rPr>
          <w:color w:val="000000"/>
          <w:sz w:val="20"/>
        </w:rPr>
      </w:pPr>
      <w:r w:rsidRPr="00152508">
        <w:rPr>
          <w:rStyle w:val="FootnoteReference"/>
        </w:rPr>
        <w:footnoteRef/>
      </w:r>
      <w:r w:rsidRPr="00152508">
        <w:rPr>
          <w:sz w:val="20"/>
        </w:rPr>
        <w:t xml:space="preserve"> </w:t>
      </w:r>
      <w:r w:rsidRPr="00152508">
        <w:rPr>
          <w:i/>
          <w:iCs/>
          <w:color w:val="000000"/>
          <w:sz w:val="20"/>
        </w:rPr>
        <w:t>Washington Metro. Transit Comm’n v. Holiday Tours, Inc.</w:t>
      </w:r>
      <w:r w:rsidRPr="00152508">
        <w:rPr>
          <w:color w:val="000000"/>
          <w:sz w:val="20"/>
        </w:rPr>
        <w:t xml:space="preserve">, 559 F.2d 841, 843 (D.C. Cir. 1977); </w:t>
      </w:r>
      <w:r w:rsidRPr="00152508">
        <w:rPr>
          <w:i/>
          <w:iCs/>
          <w:color w:val="000000"/>
          <w:sz w:val="20"/>
        </w:rPr>
        <w:t xml:space="preserve">Virginia Petroleum Jobbers </w:t>
      </w:r>
      <w:r w:rsidRPr="00152508">
        <w:rPr>
          <w:i/>
          <w:iCs/>
          <w:color w:val="000000"/>
          <w:sz w:val="20"/>
        </w:rPr>
        <w:t>Ass’n</w:t>
      </w:r>
      <w:r w:rsidRPr="00152508">
        <w:rPr>
          <w:i/>
          <w:iCs/>
          <w:color w:val="000000"/>
          <w:sz w:val="20"/>
        </w:rPr>
        <w:t xml:space="preserve"> v. FPC</w:t>
      </w:r>
      <w:r w:rsidRPr="00152508">
        <w:rPr>
          <w:color w:val="000000"/>
          <w:sz w:val="20"/>
        </w:rPr>
        <w:t xml:space="preserve">, 259 F.2d 921, 925 (D.C. Cir. 1958) (per </w:t>
      </w:r>
      <w:r w:rsidRPr="00152508">
        <w:rPr>
          <w:color w:val="000000"/>
          <w:sz w:val="20"/>
        </w:rPr>
        <w:t>curiam</w:t>
      </w:r>
      <w:r w:rsidRPr="00152508">
        <w:rPr>
          <w:color w:val="000000"/>
          <w:sz w:val="20"/>
        </w:rPr>
        <w:t>).</w:t>
      </w:r>
    </w:p>
  </w:footnote>
  <w:footnote w:id="26">
    <w:p w:rsidR="00A80B28" w:rsidRPr="00152508" w:rsidP="00152508" w14:paraId="296E9188" w14:textId="6D1DD26B">
      <w:pPr>
        <w:pStyle w:val="FootnoteText"/>
      </w:pPr>
      <w:r w:rsidRPr="00152508">
        <w:rPr>
          <w:rStyle w:val="FootnoteReference"/>
        </w:rPr>
        <w:footnoteRef/>
      </w:r>
      <w:r w:rsidRPr="00152508">
        <w:t xml:space="preserve"> </w:t>
      </w:r>
      <w:r w:rsidRPr="00152508">
        <w:rPr>
          <w:i/>
          <w:iCs/>
        </w:rPr>
        <w:t>Nken</w:t>
      </w:r>
      <w:r w:rsidRPr="00152508">
        <w:rPr>
          <w:i/>
          <w:iCs/>
        </w:rPr>
        <w:t xml:space="preserve"> v. Holder</w:t>
      </w:r>
      <w:r w:rsidRPr="00152508">
        <w:t>, 556 US 418, 427 (2009) (internal citations omitted).</w:t>
      </w:r>
    </w:p>
  </w:footnote>
  <w:footnote w:id="27">
    <w:p w:rsidR="00A80B28" w:rsidRPr="00152508" w:rsidP="00152508" w14:paraId="5301F844" w14:textId="01ED534E">
      <w:pPr>
        <w:pStyle w:val="FootnoteText"/>
      </w:pPr>
      <w:r w:rsidRPr="00152508">
        <w:rPr>
          <w:rStyle w:val="FootnoteReference"/>
        </w:rPr>
        <w:footnoteRef/>
      </w:r>
      <w:r w:rsidRPr="00152508">
        <w:t xml:space="preserve"> </w:t>
      </w:r>
      <w:r w:rsidRPr="00152508">
        <w:rPr>
          <w:i/>
          <w:iCs/>
        </w:rPr>
        <w:t>Id.</w:t>
      </w:r>
      <w:r w:rsidRPr="00152508">
        <w:t xml:space="preserve"> at </w:t>
      </w:r>
      <w:r w:rsidR="00C33ACA">
        <w:t>433-34</w:t>
      </w:r>
      <w:r w:rsidRPr="00152508">
        <w:t>.</w:t>
      </w:r>
    </w:p>
  </w:footnote>
  <w:footnote w:id="28">
    <w:p w:rsidR="00A80B28" w:rsidRPr="00152508" w:rsidP="00152508" w14:paraId="06E9B6B1" w14:textId="4357E4BA">
      <w:pPr>
        <w:pStyle w:val="FootnoteText"/>
      </w:pPr>
      <w:r w:rsidRPr="00152508">
        <w:rPr>
          <w:rStyle w:val="FootnoteReference"/>
        </w:rPr>
        <w:footnoteRef/>
      </w:r>
      <w:r w:rsidRPr="00152508">
        <w:t xml:space="preserve"> </w:t>
      </w:r>
      <w:r w:rsidRPr="00152508">
        <w:rPr>
          <w:i/>
          <w:iCs/>
        </w:rPr>
        <w:t>Mexichem</w:t>
      </w:r>
      <w:r w:rsidRPr="00152508">
        <w:rPr>
          <w:i/>
          <w:iCs/>
        </w:rPr>
        <w:t xml:space="preserve"> Specialty Resins, Inc. v. EPA</w:t>
      </w:r>
      <w:r w:rsidRPr="00152508">
        <w:t xml:space="preserve">, 787 F.3d 544, 555 (D.C. Cir. 2015) </w:t>
      </w:r>
      <w:r>
        <w:t xml:space="preserve">(emphasis in original) </w:t>
      </w:r>
      <w:r w:rsidRPr="00152508">
        <w:t>(internal citations omitted)</w:t>
      </w:r>
      <w:r>
        <w:t xml:space="preserve">; </w:t>
      </w:r>
      <w:r w:rsidRPr="00152508">
        <w:rPr>
          <w:i/>
          <w:iCs/>
        </w:rPr>
        <w:t>Chaplaincy of Full Gospel Churches v. England</w:t>
      </w:r>
      <w:r w:rsidRPr="00152508">
        <w:t>, 454 F.3d 290, 297 (D.C. Cir. 2006).</w:t>
      </w:r>
    </w:p>
  </w:footnote>
  <w:footnote w:id="29">
    <w:p w:rsidR="00A80B28" w:rsidRPr="00152508" w:rsidP="00C612B2" w14:paraId="4989C4F0" w14:textId="1852E575">
      <w:pPr>
        <w:pStyle w:val="FootnoteText"/>
      </w:pPr>
      <w:r w:rsidRPr="00152508">
        <w:rPr>
          <w:rStyle w:val="FootnoteReference"/>
        </w:rPr>
        <w:footnoteRef/>
      </w:r>
      <w:r w:rsidRPr="00152508">
        <w:t xml:space="preserve"> CTIA also points out that, “by its own telling, ABS’s asserted harm is rooted in a series of Commission actions taken years ago—actions that it failed to challenge at the time.” </w:t>
      </w:r>
      <w:r w:rsidR="009B7E58">
        <w:t xml:space="preserve"> </w:t>
      </w:r>
      <w:r w:rsidRPr="00152508">
        <w:t xml:space="preserve">CTIA Opposition to Stay Petition in GN Docket No. 18-122 at 12 (May 27, 2020) at 14; </w:t>
      </w:r>
      <w:r w:rsidRPr="00152508">
        <w:rPr>
          <w:i/>
          <w:iCs/>
        </w:rPr>
        <w:t xml:space="preserve">see </w:t>
      </w:r>
      <w:r>
        <w:t>Frownfelter</w:t>
      </w:r>
      <w:r>
        <w:t xml:space="preserve"> Decl.</w:t>
      </w:r>
      <w:r w:rsidRPr="00152508">
        <w:t xml:space="preserve"> </w:t>
      </w:r>
      <w:r w:rsidR="00555E2C">
        <w:t>paras.</w:t>
      </w:r>
      <w:r w:rsidRPr="00152508">
        <w:t xml:space="preserve"> 13-14 (</w:t>
      </w:r>
      <w:r w:rsidR="00E55C0D">
        <w:t xml:space="preserve">arguing </w:t>
      </w:r>
      <w:r w:rsidRPr="00152508">
        <w:t xml:space="preserve">the </w:t>
      </w:r>
      <w:r>
        <w:t xml:space="preserve">FCC’s August 3, 2017 </w:t>
      </w:r>
      <w:r w:rsidRPr="00152508">
        <w:t>freeze on future development of C-Band satellite service “stopped ABS in its tracks right at the start of its market entry process”).</w:t>
      </w:r>
    </w:p>
  </w:footnote>
  <w:footnote w:id="30">
    <w:p w:rsidR="00A80B28" w:rsidRPr="00152508" w:rsidP="00C612B2" w14:paraId="00A5E33B" w14:textId="58BA1E0B">
      <w:pPr>
        <w:pStyle w:val="FootnoteText"/>
      </w:pPr>
      <w:r w:rsidRPr="00152508">
        <w:rPr>
          <w:rStyle w:val="FootnoteReference"/>
        </w:rPr>
        <w:footnoteRef/>
      </w:r>
      <w:r w:rsidRPr="00152508">
        <w:t xml:space="preserve"> </w:t>
      </w:r>
      <w:r w:rsidRPr="00874CC7" w:rsidR="00874CC7">
        <w:rPr>
          <w:i/>
        </w:rPr>
        <w:t>3.7 GHz Report and Order</w:t>
      </w:r>
      <w:r w:rsidR="00874CC7">
        <w:rPr>
          <w:i/>
        </w:rPr>
        <w:t xml:space="preserve"> </w:t>
      </w:r>
      <w:r w:rsidR="00874CC7">
        <w:rPr>
          <w:iCs/>
        </w:rPr>
        <w:t>at</w:t>
      </w:r>
      <w:r w:rsidRPr="00152508">
        <w:t xml:space="preserve"> </w:t>
      </w:r>
      <w:r w:rsidR="003C36AB">
        <w:rPr>
          <w:iCs/>
        </w:rPr>
        <w:t>2408-09,</w:t>
      </w:r>
      <w:r w:rsidR="00874CC7">
        <w:rPr>
          <w:iCs/>
        </w:rPr>
        <w:t xml:space="preserve"> </w:t>
      </w:r>
      <w:r w:rsidR="00E946FA">
        <w:rPr>
          <w:iCs/>
        </w:rPr>
        <w:t>2410, paras</w:t>
      </w:r>
      <w:r w:rsidR="00E55C0D">
        <w:t>.</w:t>
      </w:r>
      <w:r w:rsidRPr="00152508">
        <w:t> 155, 160.</w:t>
      </w:r>
      <w:r w:rsidR="009B7E58">
        <w:t xml:space="preserve"> </w:t>
      </w:r>
      <w:r w:rsidRPr="00152508">
        <w:t xml:space="preserve"> </w:t>
      </w:r>
      <w:r>
        <w:t xml:space="preserve">Due to their lack of meaningful U.S. business, meeting that deadline should require little advance work for Petitioners. </w:t>
      </w:r>
      <w:r w:rsidR="009B7E58">
        <w:t xml:space="preserve"> </w:t>
      </w:r>
      <w:r>
        <w:rPr>
          <w:i/>
          <w:iCs/>
        </w:rPr>
        <w:t xml:space="preserve">See infra </w:t>
      </w:r>
      <w:r w:rsidR="00C24422">
        <w:t>para.</w:t>
      </w:r>
      <w:r>
        <w:t xml:space="preserve"> </w:t>
      </w:r>
      <w:r w:rsidR="00715A81">
        <w:t>25</w:t>
      </w:r>
      <w:r>
        <w:t xml:space="preserve">.  </w:t>
      </w:r>
      <w:r w:rsidRPr="00152508">
        <w:t xml:space="preserve"> </w:t>
      </w:r>
    </w:p>
  </w:footnote>
  <w:footnote w:id="31">
    <w:p w:rsidR="00A80B28" w:rsidRPr="00152508" w:rsidP="005D01FD" w14:paraId="37F3E8DB" w14:textId="16739569">
      <w:pPr>
        <w:pStyle w:val="FootnoteText"/>
      </w:pPr>
      <w:r w:rsidRPr="00152508">
        <w:rPr>
          <w:rStyle w:val="FootnoteReference"/>
        </w:rPr>
        <w:footnoteRef/>
      </w:r>
      <w:r w:rsidRPr="00152508">
        <w:t xml:space="preserve"> </w:t>
      </w:r>
      <w:r>
        <w:rPr>
          <w:i/>
          <w:iCs/>
        </w:rPr>
        <w:t xml:space="preserve">See </w:t>
      </w:r>
      <w:r w:rsidRPr="00152508">
        <w:t>Stay Pet. at 25-28.</w:t>
      </w:r>
    </w:p>
  </w:footnote>
  <w:footnote w:id="32">
    <w:p w:rsidR="00A80B28" w:rsidRPr="00152508" w:rsidP="00C612B2" w14:paraId="45551A62" w14:textId="2B4AC4DC">
      <w:pPr>
        <w:autoSpaceDE w:val="0"/>
        <w:autoSpaceDN w:val="0"/>
        <w:adjustRightInd w:val="0"/>
        <w:spacing w:after="120"/>
        <w:rPr>
          <w:sz w:val="20"/>
        </w:rPr>
      </w:pPr>
      <w:r w:rsidRPr="00152508">
        <w:rPr>
          <w:rStyle w:val="FootnoteReference"/>
        </w:rPr>
        <w:footnoteRef/>
      </w:r>
      <w:r w:rsidRPr="00152508">
        <w:rPr>
          <w:sz w:val="20"/>
        </w:rPr>
        <w:t xml:space="preserve"> </w:t>
      </w:r>
      <w:r w:rsidR="006646E9">
        <w:rPr>
          <w:i/>
          <w:iCs/>
          <w:sz w:val="20"/>
        </w:rPr>
        <w:t>3.7 GHz Report and Order</w:t>
      </w:r>
      <w:r w:rsidR="006646E9">
        <w:rPr>
          <w:sz w:val="20"/>
        </w:rPr>
        <w:t xml:space="preserve"> at</w:t>
      </w:r>
      <w:r w:rsidRPr="00152508">
        <w:rPr>
          <w:sz w:val="20"/>
        </w:rPr>
        <w:t xml:space="preserve"> </w:t>
      </w:r>
      <w:r w:rsidR="00E946FA">
        <w:rPr>
          <w:sz w:val="20"/>
        </w:rPr>
        <w:t xml:space="preserve">2408-09, </w:t>
      </w:r>
      <w:r w:rsidR="000A3F2F">
        <w:rPr>
          <w:sz w:val="20"/>
        </w:rPr>
        <w:t>2414</w:t>
      </w:r>
      <w:r w:rsidR="00E946FA">
        <w:rPr>
          <w:sz w:val="20"/>
        </w:rPr>
        <w:t>,</w:t>
      </w:r>
      <w:r w:rsidR="000A3F2F">
        <w:rPr>
          <w:sz w:val="20"/>
        </w:rPr>
        <w:t xml:space="preserve"> </w:t>
      </w:r>
      <w:r w:rsidR="00E946FA">
        <w:rPr>
          <w:sz w:val="20"/>
        </w:rPr>
        <w:t>paras.</w:t>
      </w:r>
      <w:r w:rsidRPr="00152508">
        <w:rPr>
          <w:sz w:val="20"/>
        </w:rPr>
        <w:t xml:space="preserve"> 155, 171; </w:t>
      </w:r>
      <w:r w:rsidRPr="00152508">
        <w:rPr>
          <w:i/>
          <w:iCs/>
          <w:sz w:val="20"/>
        </w:rPr>
        <w:t xml:space="preserve">see </w:t>
      </w:r>
      <w:r w:rsidRPr="00152508">
        <w:rPr>
          <w:sz w:val="20"/>
        </w:rPr>
        <w:t>CTIA Opp. at 15 n.68 and accompanying text.</w:t>
      </w:r>
    </w:p>
  </w:footnote>
  <w:footnote w:id="33">
    <w:p w:rsidR="00A80B28" w:rsidRPr="00152508" w:rsidP="00C612B2" w14:paraId="6CE1EA5B" w14:textId="682A2CD8">
      <w:pPr>
        <w:pStyle w:val="FootnoteText"/>
      </w:pPr>
      <w:r w:rsidRPr="00152508">
        <w:rPr>
          <w:rStyle w:val="FootnoteReference"/>
        </w:rPr>
        <w:footnoteRef/>
      </w:r>
      <w:r w:rsidRPr="00152508">
        <w:t xml:space="preserve"> </w:t>
      </w:r>
      <w:r w:rsidRPr="000A3F2F" w:rsidR="000A3F2F">
        <w:t xml:space="preserve"> </w:t>
      </w:r>
      <w:r w:rsidRPr="009178F6" w:rsidR="000A3F2F">
        <w:rPr>
          <w:i/>
          <w:iCs/>
        </w:rPr>
        <w:t>3.7 GHz Report and Order</w:t>
      </w:r>
      <w:r w:rsidRPr="000A3F2F" w:rsidR="000A3F2F">
        <w:t xml:space="preserve"> at 2408-09, 2414, paras. 155, 171</w:t>
      </w:r>
      <w:r w:rsidR="00B3675F">
        <w:t>.</w:t>
      </w:r>
    </w:p>
  </w:footnote>
  <w:footnote w:id="34">
    <w:p w:rsidR="00A80B28" w:rsidRPr="00152508" w:rsidP="00C612B2" w14:paraId="31E88D36" w14:textId="7451D5AE">
      <w:pPr>
        <w:pStyle w:val="Default"/>
        <w:spacing w:after="120"/>
        <w:rPr>
          <w:sz w:val="20"/>
          <w:szCs w:val="20"/>
        </w:rPr>
      </w:pPr>
      <w:r w:rsidRPr="00152508">
        <w:rPr>
          <w:rStyle w:val="FootnoteReference"/>
          <w:szCs w:val="20"/>
        </w:rPr>
        <w:footnoteRef/>
      </w:r>
      <w:r w:rsidRPr="00152508">
        <w:rPr>
          <w:sz w:val="20"/>
          <w:szCs w:val="20"/>
        </w:rPr>
        <w:t xml:space="preserve"> </w:t>
      </w:r>
      <w:r w:rsidRPr="00152508">
        <w:rPr>
          <w:i/>
          <w:iCs/>
          <w:sz w:val="20"/>
          <w:szCs w:val="20"/>
        </w:rPr>
        <w:t>See id.</w:t>
      </w:r>
      <w:r w:rsidRPr="00152508">
        <w:rPr>
          <w:sz w:val="20"/>
          <w:szCs w:val="20"/>
        </w:rPr>
        <w:t xml:space="preserve"> </w:t>
      </w:r>
      <w:r w:rsidR="00B3675F">
        <w:rPr>
          <w:sz w:val="20"/>
          <w:szCs w:val="20"/>
        </w:rPr>
        <w:t>at</w:t>
      </w:r>
      <w:r w:rsidRPr="00152508">
        <w:rPr>
          <w:sz w:val="20"/>
          <w:szCs w:val="20"/>
        </w:rPr>
        <w:t xml:space="preserve"> </w:t>
      </w:r>
      <w:r w:rsidR="00194335">
        <w:rPr>
          <w:sz w:val="20"/>
          <w:szCs w:val="20"/>
        </w:rPr>
        <w:t>2448, paras.</w:t>
      </w:r>
      <w:r w:rsidRPr="00152508">
        <w:rPr>
          <w:sz w:val="20"/>
          <w:szCs w:val="20"/>
        </w:rPr>
        <w:t xml:space="preserve"> 263</w:t>
      </w:r>
      <w:r>
        <w:rPr>
          <w:sz w:val="20"/>
          <w:szCs w:val="20"/>
        </w:rPr>
        <w:t xml:space="preserve">-64 (payments by new licensees due 30 days after receipt of invoice from payment administrator).  </w:t>
      </w:r>
      <w:r w:rsidRPr="00152508">
        <w:rPr>
          <w:sz w:val="20"/>
          <w:szCs w:val="20"/>
        </w:rPr>
        <w:t xml:space="preserve"> </w:t>
      </w:r>
      <w:r>
        <w:rPr>
          <w:sz w:val="20"/>
          <w:szCs w:val="20"/>
        </w:rPr>
        <w:t xml:space="preserve"> </w:t>
      </w:r>
    </w:p>
  </w:footnote>
  <w:footnote w:id="35">
    <w:p w:rsidR="00A80B28" w:rsidRPr="00152508" w:rsidP="00C612B2" w14:paraId="417E16AD" w14:textId="15A8F125">
      <w:pPr>
        <w:spacing w:after="120"/>
        <w:rPr>
          <w:snapToGrid/>
          <w:kern w:val="0"/>
          <w:sz w:val="20"/>
        </w:rPr>
      </w:pPr>
      <w:r w:rsidRPr="00152508">
        <w:rPr>
          <w:rStyle w:val="FootnoteReference"/>
        </w:rPr>
        <w:footnoteRef/>
      </w:r>
      <w:r w:rsidRPr="00152508">
        <w:rPr>
          <w:sz w:val="20"/>
        </w:rPr>
        <w:t xml:space="preserve"> </w:t>
      </w:r>
      <w:bookmarkStart w:id="9" w:name="_Hlk42159065"/>
      <w:r w:rsidRPr="002273B2" w:rsidR="00010524">
        <w:rPr>
          <w:sz w:val="20"/>
        </w:rPr>
        <w:t>For comparable recent auctions, bidding in Auction 102 began March 14, 2019.</w:t>
      </w:r>
      <w:r w:rsidRPr="007D1468" w:rsidR="00010524">
        <w:rPr>
          <w:sz w:val="20"/>
        </w:rPr>
        <w:t xml:space="preserve"> </w:t>
      </w:r>
      <w:hyperlink r:id="rId1" w:history="1">
        <w:r w:rsidRPr="002273B2" w:rsidR="00010524">
          <w:rPr>
            <w:rStyle w:val="Hyperlink"/>
            <w:sz w:val="20"/>
          </w:rPr>
          <w:t>https://www.fcc.gov/auction/102</w:t>
        </w:r>
      </w:hyperlink>
      <w:r w:rsidRPr="002273B2" w:rsidR="00010524">
        <w:rPr>
          <w:sz w:val="20"/>
        </w:rPr>
        <w:t>. New licenses were issued</w:t>
      </w:r>
      <w:r w:rsidR="00E55C0D">
        <w:rPr>
          <w:sz w:val="20"/>
        </w:rPr>
        <w:t>—</w:t>
      </w:r>
      <w:r w:rsidRPr="007D1468" w:rsidR="00010524">
        <w:rPr>
          <w:sz w:val="20"/>
        </w:rPr>
        <w:t>that is, the Commission granted winning bidders’ long-form license applications</w:t>
      </w:r>
      <w:r w:rsidR="00E55C0D">
        <w:rPr>
          <w:sz w:val="20"/>
        </w:rPr>
        <w:t>—</w:t>
      </w:r>
      <w:r w:rsidRPr="007D1468" w:rsidR="00010524">
        <w:rPr>
          <w:sz w:val="20"/>
        </w:rPr>
        <w:t>between December 11, 2019</w:t>
      </w:r>
      <w:r w:rsidRPr="008C3BF2" w:rsidR="00010524">
        <w:rPr>
          <w:sz w:val="20"/>
        </w:rPr>
        <w:t xml:space="preserve"> and January 22, 2020.</w:t>
      </w:r>
      <w:r w:rsidR="00E55C0D">
        <w:rPr>
          <w:sz w:val="20"/>
        </w:rPr>
        <w:t xml:space="preserve"> </w:t>
      </w:r>
      <w:r w:rsidRPr="008C3BF2" w:rsidR="00010524">
        <w:rPr>
          <w:sz w:val="20"/>
        </w:rPr>
        <w:t xml:space="preserve"> </w:t>
      </w:r>
      <w:r w:rsidRPr="009C5126" w:rsidR="00010524">
        <w:rPr>
          <w:i/>
          <w:iCs/>
          <w:sz w:val="20"/>
        </w:rPr>
        <w:t>Id.</w:t>
      </w:r>
      <w:r w:rsidRPr="009C5126" w:rsidR="00010524">
        <w:rPr>
          <w:sz w:val="20"/>
        </w:rPr>
        <w:t xml:space="preserve"> </w:t>
      </w:r>
      <w:r w:rsidR="00E55C0D">
        <w:rPr>
          <w:sz w:val="20"/>
        </w:rPr>
        <w:t xml:space="preserve"> </w:t>
      </w:r>
      <w:r w:rsidRPr="009C5126" w:rsidR="00010524">
        <w:rPr>
          <w:sz w:val="20"/>
        </w:rPr>
        <w:t>Thus, roughly nine months passed between commencement of bidding and the issuance of new licenses.</w:t>
      </w:r>
      <w:bookmarkEnd w:id="9"/>
      <w:r w:rsidRPr="009C5126" w:rsidR="00010524">
        <w:rPr>
          <w:sz w:val="20"/>
        </w:rPr>
        <w:t xml:space="preserve"> The timeframe for Auction 103 was about six months (bidding commenced December 10, 2019, and most</w:t>
      </w:r>
      <w:r w:rsidRPr="002273B2" w:rsidR="00010524">
        <w:rPr>
          <w:sz w:val="20"/>
        </w:rPr>
        <w:t xml:space="preserve"> new licenses were issued June 4, 2020 </w:t>
      </w:r>
      <w:r w:rsidR="00010524">
        <w:rPr>
          <w:sz w:val="20"/>
        </w:rPr>
        <w:t>(</w:t>
      </w:r>
      <w:hyperlink r:id="rId2" w:history="1">
        <w:r w:rsidRPr="00E55C0D" w:rsidR="00E55C0D">
          <w:rPr>
            <w:rStyle w:val="Hyperlink"/>
            <w:sz w:val="20"/>
          </w:rPr>
          <w:t>https://www.fcc.gov/auction/103</w:t>
        </w:r>
      </w:hyperlink>
      <w:r w:rsidR="00010524">
        <w:rPr>
          <w:sz w:val="20"/>
        </w:rPr>
        <w:t>)</w:t>
      </w:r>
      <w:r w:rsidRPr="00323812" w:rsidR="00010524">
        <w:rPr>
          <w:rStyle w:val="Hyperlink"/>
          <w:color w:val="auto"/>
          <w:sz w:val="20"/>
          <w:u w:val="none"/>
        </w:rPr>
        <w:t>, and for Auction 101 about 12 months (bidding commenced November 14, 2018, and new licenses were issued</w:t>
      </w:r>
      <w:r w:rsidRPr="00323812" w:rsidR="00010524">
        <w:rPr>
          <w:rStyle w:val="Hyperlink"/>
          <w:color w:val="auto"/>
          <w:sz w:val="20"/>
        </w:rPr>
        <w:t xml:space="preserve"> </w:t>
      </w:r>
      <w:r w:rsidRPr="00323812" w:rsidR="00010524">
        <w:rPr>
          <w:sz w:val="20"/>
        </w:rPr>
        <w:t>between October 2 and December 11, 2019</w:t>
      </w:r>
      <w:r w:rsidRPr="0063360C" w:rsidR="00010524">
        <w:rPr>
          <w:rStyle w:val="Hyperlink"/>
          <w:color w:val="auto"/>
          <w:sz w:val="20"/>
          <w:u w:val="none"/>
        </w:rPr>
        <w:t xml:space="preserve">, </w:t>
      </w:r>
      <w:r w:rsidRPr="009178F6" w:rsidR="00010524">
        <w:rPr>
          <w:sz w:val="20"/>
        </w:rPr>
        <w:t>https://www.fcc.gov/auction/</w:t>
      </w:r>
      <w:r w:rsidRPr="009F2ACF" w:rsidR="00010524">
        <w:rPr>
          <w:sz w:val="20"/>
        </w:rPr>
        <w:t>10</w:t>
      </w:r>
      <w:r w:rsidRPr="009F2ACF" w:rsidR="00010524">
        <w:rPr>
          <w:rStyle w:val="Hyperlink"/>
          <w:color w:val="auto"/>
          <w:sz w:val="20"/>
          <w:u w:val="none"/>
        </w:rPr>
        <w:t>1</w:t>
      </w:r>
      <w:r w:rsidRPr="00323812" w:rsidR="00010524">
        <w:rPr>
          <w:rStyle w:val="Hyperlink"/>
          <w:color w:val="auto"/>
          <w:sz w:val="20"/>
          <w:u w:val="none"/>
        </w:rPr>
        <w:t xml:space="preserve">), </w:t>
      </w:r>
      <w:r w:rsidRPr="00323812" w:rsidR="00010524">
        <w:rPr>
          <w:sz w:val="20"/>
        </w:rPr>
        <w:t xml:space="preserve">less about four months associated </w:t>
      </w:r>
      <w:r w:rsidRPr="00E4486B" w:rsidR="00010524">
        <w:rPr>
          <w:sz w:val="20"/>
        </w:rPr>
        <w:t>with a unique need to coordinate with the conduct of Auction 102</w:t>
      </w:r>
      <w:r w:rsidRPr="0063360C" w:rsidR="00010524">
        <w:rPr>
          <w:rStyle w:val="Hyperlink"/>
          <w:sz w:val="20"/>
          <w:u w:val="none"/>
        </w:rPr>
        <w:t>.</w:t>
      </w:r>
      <w:r w:rsidRPr="002273B2" w:rsidR="00010524">
        <w:rPr>
          <w:sz w:val="20"/>
        </w:rPr>
        <w:t> Applying that six-to-nine-month timeframe to the upcoming C-</w:t>
      </w:r>
      <w:r w:rsidR="00010524">
        <w:rPr>
          <w:sz w:val="20"/>
        </w:rPr>
        <w:t>b</w:t>
      </w:r>
      <w:r w:rsidRPr="002273B2" w:rsidR="00010524">
        <w:rPr>
          <w:sz w:val="20"/>
        </w:rPr>
        <w:t xml:space="preserve">and auction, in which bidding will commence December </w:t>
      </w:r>
      <w:r w:rsidR="00010524">
        <w:rPr>
          <w:sz w:val="20"/>
        </w:rPr>
        <w:t>8</w:t>
      </w:r>
      <w:r w:rsidRPr="002273B2" w:rsidR="00010524">
        <w:rPr>
          <w:sz w:val="20"/>
        </w:rPr>
        <w:t xml:space="preserve">, 2020, plus 30 days for new licensees to make payments to the payment administrator, </w:t>
      </w:r>
      <w:r w:rsidRPr="007D1468" w:rsidR="00010524">
        <w:rPr>
          <w:i/>
          <w:iCs/>
          <w:sz w:val="20"/>
        </w:rPr>
        <w:t xml:space="preserve">see </w:t>
      </w:r>
      <w:r w:rsidR="009F2ACF">
        <w:rPr>
          <w:i/>
          <w:iCs/>
          <w:sz w:val="20"/>
        </w:rPr>
        <w:t>3.7 GHz Report and Order</w:t>
      </w:r>
      <w:r w:rsidR="009F2ACF">
        <w:rPr>
          <w:sz w:val="20"/>
        </w:rPr>
        <w:t xml:space="preserve"> at </w:t>
      </w:r>
      <w:r w:rsidR="00C6382A">
        <w:rPr>
          <w:sz w:val="20"/>
        </w:rPr>
        <w:t xml:space="preserve">2448, </w:t>
      </w:r>
      <w:r w:rsidR="009F2ACF">
        <w:rPr>
          <w:sz w:val="20"/>
        </w:rPr>
        <w:t>paras.</w:t>
      </w:r>
      <w:r w:rsidR="00C6382A">
        <w:rPr>
          <w:sz w:val="20"/>
        </w:rPr>
        <w:t xml:space="preserve"> 263-64</w:t>
      </w:r>
      <w:r w:rsidRPr="007D1468" w:rsidR="00010524">
        <w:rPr>
          <w:sz w:val="20"/>
        </w:rPr>
        <w:t xml:space="preserve">, relocation payments are unlikely to be disbursed before July to October of </w:t>
      </w:r>
      <w:r w:rsidRPr="007E6FC7" w:rsidR="00010524">
        <w:rPr>
          <w:sz w:val="20"/>
        </w:rPr>
        <w:t>2021.</w:t>
      </w:r>
      <w:r>
        <w:rPr>
          <w:sz w:val="20"/>
        </w:rPr>
        <w:t xml:space="preserve"> </w:t>
      </w:r>
      <w:r w:rsidRPr="00152508">
        <w:rPr>
          <w:sz w:val="20"/>
        </w:rPr>
        <w:t xml:space="preserve">  </w:t>
      </w:r>
    </w:p>
  </w:footnote>
  <w:footnote w:id="36">
    <w:p w:rsidR="00A80B28" w:rsidRPr="00152508" w:rsidP="00C612B2" w14:paraId="1D38BE52" w14:textId="0D37CAB9">
      <w:pPr>
        <w:pStyle w:val="FootnoteText"/>
      </w:pPr>
      <w:r w:rsidRPr="00152508">
        <w:rPr>
          <w:rStyle w:val="FootnoteReference"/>
        </w:rPr>
        <w:footnoteRef/>
      </w:r>
      <w:r w:rsidRPr="00152508">
        <w:t xml:space="preserve"> </w:t>
      </w:r>
      <w:r w:rsidRPr="00152508">
        <w:rPr>
          <w:i/>
          <w:iCs/>
        </w:rPr>
        <w:t>See</w:t>
      </w:r>
      <w:r w:rsidRPr="00152508">
        <w:t xml:space="preserve"> </w:t>
      </w:r>
      <w:r w:rsidRPr="00846BC4" w:rsidR="00846BC4">
        <w:rPr>
          <w:i/>
          <w:iCs/>
        </w:rPr>
        <w:t>3.7 GHz Report and Order</w:t>
      </w:r>
      <w:r w:rsidR="00846BC4">
        <w:rPr>
          <w:i/>
          <w:iCs/>
        </w:rPr>
        <w:t xml:space="preserve"> </w:t>
      </w:r>
      <w:r w:rsidR="00846BC4">
        <w:t>at</w:t>
      </w:r>
      <w:r w:rsidRPr="00152508">
        <w:t xml:space="preserve"> </w:t>
      </w:r>
      <w:r w:rsidR="00FA4991">
        <w:t>2360-61, para.</w:t>
      </w:r>
      <w:r w:rsidR="00846BC4">
        <w:t xml:space="preserve"> </w:t>
      </w:r>
      <w:r w:rsidRPr="00152508">
        <w:t xml:space="preserve">35 (citing the C-Band Alliance’s representation that they can clear the 100 MHz needed to meet the first accelerated relocation deadline </w:t>
      </w:r>
      <w:r w:rsidRPr="00152508">
        <w:rPr>
          <w:i/>
          <w:iCs/>
        </w:rPr>
        <w:t>without</w:t>
      </w:r>
      <w:r w:rsidRPr="00152508">
        <w:t xml:space="preserve"> launching any new satellites).</w:t>
      </w:r>
    </w:p>
  </w:footnote>
  <w:footnote w:id="37">
    <w:p w:rsidR="00992EFF" w:rsidP="00992EFF" w14:paraId="1857405C" w14:textId="24ECB1FD">
      <w:pPr>
        <w:pStyle w:val="FootnoteText"/>
      </w:pPr>
      <w:r w:rsidRPr="007E6FC7">
        <w:rPr>
          <w:rStyle w:val="FootnoteReference"/>
        </w:rPr>
        <w:footnoteRef/>
      </w:r>
      <w:r w:rsidRPr="007E6FC7">
        <w:t xml:space="preserve"> </w:t>
      </w:r>
      <w:r w:rsidRPr="007E6FC7">
        <w:rPr>
          <w:i/>
          <w:iCs/>
        </w:rPr>
        <w:t xml:space="preserve">See id. </w:t>
      </w:r>
      <w:r w:rsidR="00FA4991">
        <w:t>at</w:t>
      </w:r>
      <w:r>
        <w:t xml:space="preserve"> </w:t>
      </w:r>
      <w:r w:rsidR="00D169FA">
        <w:t>2422-23, para.</w:t>
      </w:r>
      <w:r w:rsidRPr="007E6FC7">
        <w:t xml:space="preserve"> 194 (</w:t>
      </w:r>
      <w:r w:rsidRPr="007E6FC7">
        <w:rPr>
          <w:color w:val="000000"/>
        </w:rPr>
        <w:t>“</w:t>
      </w:r>
      <w:r w:rsidR="00E71B33">
        <w:rPr>
          <w:color w:val="000000"/>
        </w:rPr>
        <w:t>[I]</w:t>
      </w:r>
      <w:r w:rsidRPr="007E6FC7">
        <w:rPr>
          <w:color w:val="000000"/>
        </w:rPr>
        <w:t>f an incumbent builds additional functionalities into replacement equipment that are not needed to facilitate the swift transition of the band, it must reasonably allocate the incremental costs of such additional functionalities to itself and only seek reimbursement for the costs reasonably allocated to the needed relocation.”</w:t>
      </w:r>
      <w:r w:rsidRPr="007E6FC7">
        <w:t>).</w:t>
      </w:r>
      <w:r>
        <w:t xml:space="preserve"> </w:t>
      </w:r>
    </w:p>
  </w:footnote>
  <w:footnote w:id="38">
    <w:p w:rsidR="00A80B28" w:rsidP="00C612B2" w14:paraId="428BC25B" w14:textId="77777777">
      <w:pPr>
        <w:pStyle w:val="FootnoteText"/>
      </w:pPr>
      <w:r>
        <w:rPr>
          <w:rStyle w:val="FootnoteReference"/>
        </w:rPr>
        <w:footnoteRef/>
      </w:r>
      <w:r>
        <w:t xml:space="preserve"> </w:t>
      </w:r>
      <w:r w:rsidRPr="002229AF">
        <w:t>CTIA Opp. at 15-16</w:t>
      </w:r>
      <w:r>
        <w:t>.</w:t>
      </w:r>
    </w:p>
  </w:footnote>
  <w:footnote w:id="39">
    <w:p w:rsidR="0063360C" w14:paraId="2F2E77EF" w14:textId="5D0084E5">
      <w:pPr>
        <w:pStyle w:val="FootnoteText"/>
      </w:pPr>
      <w:r>
        <w:rPr>
          <w:rStyle w:val="FootnoteReference"/>
        </w:rPr>
        <w:footnoteRef/>
      </w:r>
      <w:r>
        <w:t xml:space="preserve"> </w:t>
      </w:r>
      <w:r w:rsidRPr="00152508">
        <w:rPr>
          <w:i/>
          <w:iCs/>
        </w:rPr>
        <w:t>Wisc. Gas</w:t>
      </w:r>
      <w:r>
        <w:rPr>
          <w:i/>
          <w:iCs/>
        </w:rPr>
        <w:t xml:space="preserve"> Co. v. FERC</w:t>
      </w:r>
      <w:r w:rsidRPr="00152508">
        <w:t>, 75</w:t>
      </w:r>
      <w:r>
        <w:t>8</w:t>
      </w:r>
      <w:r w:rsidRPr="00152508">
        <w:t xml:space="preserve"> F.2d at </w:t>
      </w:r>
      <w:r>
        <w:t xml:space="preserve">669, </w:t>
      </w:r>
      <w:r w:rsidRPr="00152508">
        <w:t>674</w:t>
      </w:r>
      <w:r>
        <w:t xml:space="preserve"> (D.C. Cir. 1985); </w:t>
      </w:r>
      <w:r>
        <w:rPr>
          <w:i/>
          <w:iCs/>
        </w:rPr>
        <w:t>See</w:t>
      </w:r>
      <w:r w:rsidRPr="00C63E50">
        <w:t xml:space="preserve"> </w:t>
      </w:r>
      <w:r w:rsidRPr="00C63E50">
        <w:rPr>
          <w:i/>
          <w:iCs/>
        </w:rPr>
        <w:t>W. Watersheds Project v. BLM</w:t>
      </w:r>
      <w:r w:rsidRPr="00C63E50">
        <w:t xml:space="preserve">, 774 F. Supp. 2d 1089, 1102 (D. Nev. 2011), </w:t>
      </w:r>
      <w:r w:rsidRPr="00C63E50">
        <w:rPr>
          <w:i/>
          <w:iCs/>
        </w:rPr>
        <w:t xml:space="preserve">aff’d </w:t>
      </w:r>
      <w:r w:rsidRPr="00C63E50">
        <w:t xml:space="preserve">443 F. </w:t>
      </w:r>
      <w:r w:rsidRPr="00C63E50">
        <w:t>App’x</w:t>
      </w:r>
      <w:r w:rsidRPr="00C63E50">
        <w:t xml:space="preserve"> 278 (9th Cir. 2011) (“initial stages of development” of challenged project posed “no threat,” and the claimed injury would not arise until project began operations a year later, so there was “no risk of irreparable harm” before a decision on the merits could be reached); </w:t>
      </w:r>
      <w:r w:rsidRPr="00C63E50">
        <w:rPr>
          <w:i/>
          <w:iCs/>
        </w:rPr>
        <w:t>Teva Pharms. USA, Inc. v. FDA</w:t>
      </w:r>
      <w:r w:rsidRPr="00C63E50">
        <w:t>, 404 F. Supp. 2d 243, 246 (D.D.C. 2005) (when “harm is months away” it “is simply too early” and there is no irreparable injury)</w:t>
      </w:r>
      <w:r w:rsidRPr="00152508">
        <w:t xml:space="preserve">. </w:t>
      </w:r>
      <w:r>
        <w:t xml:space="preserve"> </w:t>
      </w:r>
    </w:p>
  </w:footnote>
  <w:footnote w:id="40">
    <w:p w:rsidR="00A80B28" w:rsidRPr="00152508" w:rsidP="00152508" w14:paraId="6D8AC9C6" w14:textId="68C9EAA6">
      <w:pPr>
        <w:pStyle w:val="FootnoteText"/>
      </w:pPr>
      <w:r w:rsidRPr="00152508">
        <w:rPr>
          <w:rStyle w:val="FootnoteReference"/>
        </w:rPr>
        <w:footnoteRef/>
      </w:r>
      <w:r w:rsidRPr="00152508">
        <w:t xml:space="preserve"> Stay Pet. at 25-26;</w:t>
      </w:r>
      <w:r w:rsidRPr="00152508">
        <w:rPr>
          <w:i/>
          <w:iCs/>
        </w:rPr>
        <w:t xml:space="preserve"> </w:t>
      </w:r>
      <w:r>
        <w:rPr>
          <w:i/>
          <w:iCs/>
        </w:rPr>
        <w:t xml:space="preserve">see </w:t>
      </w:r>
      <w:r w:rsidRPr="00152508">
        <w:t>Frownfelter</w:t>
      </w:r>
      <w:r w:rsidRPr="00152508">
        <w:t xml:space="preserve"> Decl. ¶ 21 (competitive injuries will occur “if the largest operators become irrevocably entitled to receive billions of dollars on top of their actual costs—</w:t>
      </w:r>
      <w:r w:rsidRPr="00152508">
        <w:rPr>
          <w:i/>
          <w:iCs/>
        </w:rPr>
        <w:t xml:space="preserve">plus </w:t>
      </w:r>
      <w:r w:rsidRPr="00152508">
        <w:t>a new generation of free, federally-funded satellites—while we receive nothing for our loss of spectrum.”).</w:t>
      </w:r>
      <w:r w:rsidR="00F71A84">
        <w:t xml:space="preserve">  </w:t>
      </w:r>
      <w:r w:rsidRPr="00D85975" w:rsidR="00F71A84">
        <w:rPr>
          <w:szCs w:val="22"/>
        </w:rPr>
        <w:t>Petitioners do not explain, and it is not at all eviden</w:t>
      </w:r>
      <w:r w:rsidR="00F71A84">
        <w:rPr>
          <w:szCs w:val="22"/>
        </w:rPr>
        <w:t>t</w:t>
      </w:r>
      <w:r w:rsidRPr="00D85975" w:rsidR="00F71A84">
        <w:rPr>
          <w:szCs w:val="22"/>
        </w:rPr>
        <w:t xml:space="preserve">, what </w:t>
      </w:r>
      <w:r w:rsidR="00F71A84">
        <w:rPr>
          <w:szCs w:val="22"/>
        </w:rPr>
        <w:t xml:space="preserve">the </w:t>
      </w:r>
      <w:r w:rsidRPr="00D85975" w:rsidR="00F71A84">
        <w:rPr>
          <w:szCs w:val="22"/>
        </w:rPr>
        <w:t xml:space="preserve">legal basis would be </w:t>
      </w:r>
      <w:r w:rsidR="00F71A84">
        <w:rPr>
          <w:szCs w:val="22"/>
        </w:rPr>
        <w:t xml:space="preserve">for any such claims for payment if the </w:t>
      </w:r>
      <w:r w:rsidR="0049361F">
        <w:rPr>
          <w:i/>
          <w:iCs/>
          <w:szCs w:val="22"/>
        </w:rPr>
        <w:t xml:space="preserve">3.7 GHz Report and </w:t>
      </w:r>
      <w:r w:rsidR="00F71A84">
        <w:rPr>
          <w:i/>
          <w:iCs/>
          <w:szCs w:val="22"/>
        </w:rPr>
        <w:t xml:space="preserve">Order </w:t>
      </w:r>
      <w:r w:rsidR="00F71A84">
        <w:rPr>
          <w:szCs w:val="22"/>
        </w:rPr>
        <w:t>were vacated</w:t>
      </w:r>
      <w:r w:rsidRPr="00D85975" w:rsidR="00F71A84">
        <w:rPr>
          <w:szCs w:val="22"/>
        </w:rPr>
        <w:t>.</w:t>
      </w:r>
    </w:p>
  </w:footnote>
  <w:footnote w:id="41">
    <w:p w:rsidR="00A80B28" w:rsidRPr="00D02C3E" w:rsidP="003E27C1" w14:paraId="5CA91FD7" w14:textId="4786139C">
      <w:pPr>
        <w:widowControl/>
        <w:autoSpaceDE w:val="0"/>
        <w:autoSpaceDN w:val="0"/>
        <w:adjustRightInd w:val="0"/>
        <w:spacing w:after="120"/>
        <w:rPr>
          <w:i/>
          <w:iCs/>
          <w:snapToGrid/>
          <w:kern w:val="0"/>
          <w:sz w:val="20"/>
        </w:rPr>
      </w:pPr>
      <w:r w:rsidRPr="00D02C3E">
        <w:rPr>
          <w:rStyle w:val="FootnoteReference"/>
        </w:rPr>
        <w:footnoteRef/>
      </w:r>
      <w:r w:rsidRPr="00D02C3E">
        <w:rPr>
          <w:sz w:val="20"/>
        </w:rPr>
        <w:t xml:space="preserve"> Verizon Opposition to Stay Pet. in GN Docket No. 18-122 at 3</w:t>
      </w:r>
      <w:r w:rsidR="00665464">
        <w:rPr>
          <w:sz w:val="20"/>
        </w:rPr>
        <w:t>,</w:t>
      </w:r>
      <w:r w:rsidRPr="00D02C3E">
        <w:rPr>
          <w:sz w:val="20"/>
        </w:rPr>
        <w:t xml:space="preserve"> n.13 and </w:t>
      </w:r>
      <w:r w:rsidRPr="00FB26C4">
        <w:rPr>
          <w:sz w:val="20"/>
        </w:rPr>
        <w:t>accompanying text (filed May 27, 2020) (</w:t>
      </w:r>
      <w:r>
        <w:rPr>
          <w:sz w:val="20"/>
        </w:rPr>
        <w:t xml:space="preserve">quoting </w:t>
      </w:r>
      <w:r w:rsidRPr="00FB26C4">
        <w:rPr>
          <w:i/>
          <w:iCs/>
          <w:snapToGrid/>
          <w:kern w:val="0"/>
          <w:sz w:val="20"/>
        </w:rPr>
        <w:t>TNA Merch. Projects, Inc. v. FERC</w:t>
      </w:r>
      <w:r w:rsidRPr="00FB26C4">
        <w:rPr>
          <w:snapToGrid/>
          <w:kern w:val="0"/>
          <w:sz w:val="20"/>
        </w:rPr>
        <w:t>, 857 F.3d 354, 361 (D.C. Cir. 2017)</w:t>
      </w:r>
      <w:r w:rsidRPr="00D02C3E">
        <w:rPr>
          <w:snapToGrid/>
          <w:kern w:val="0"/>
          <w:sz w:val="20"/>
        </w:rPr>
        <w:t xml:space="preserve">); </w:t>
      </w:r>
      <w:r>
        <w:rPr>
          <w:i/>
          <w:iCs/>
          <w:snapToGrid/>
          <w:kern w:val="0"/>
          <w:sz w:val="20"/>
        </w:rPr>
        <w:t xml:space="preserve">see id. </w:t>
      </w:r>
      <w:r>
        <w:rPr>
          <w:snapToGrid/>
          <w:kern w:val="0"/>
          <w:sz w:val="20"/>
        </w:rPr>
        <w:t>at 3-4 and nn.14-15 (citing cases)</w:t>
      </w:r>
      <w:r w:rsidRPr="00D02C3E">
        <w:rPr>
          <w:snapToGrid/>
          <w:kern w:val="0"/>
          <w:sz w:val="20"/>
        </w:rPr>
        <w:t xml:space="preserve">; </w:t>
      </w:r>
      <w:r w:rsidRPr="00D02C3E">
        <w:rPr>
          <w:i/>
          <w:iCs/>
          <w:sz w:val="20"/>
        </w:rPr>
        <w:t>Verizon Tel. Cos. v. FCC</w:t>
      </w:r>
      <w:r w:rsidRPr="00D02C3E">
        <w:rPr>
          <w:sz w:val="20"/>
        </w:rPr>
        <w:t xml:space="preserve">, 269 F.3d 1098, 1110, 1112 (D.C. Cir. 2001) </w:t>
      </w:r>
      <w:r w:rsidRPr="00D02C3E">
        <w:rPr>
          <w:snapToGrid/>
          <w:kern w:val="0"/>
          <w:sz w:val="20"/>
        </w:rPr>
        <w:t>(“</w:t>
      </w:r>
      <w:r w:rsidRPr="00D02C3E">
        <w:rPr>
          <w:sz w:val="20"/>
          <w:shd w:val="clear" w:color="auto" w:fill="FFFFFF"/>
        </w:rPr>
        <w:t xml:space="preserve">administrative agencies have </w:t>
      </w:r>
      <w:r w:rsidRPr="00D02C3E">
        <w:rPr>
          <w:i/>
          <w:iCs/>
          <w:sz w:val="20"/>
          <w:shd w:val="clear" w:color="auto" w:fill="FFFFFF"/>
        </w:rPr>
        <w:t>greater</w:t>
      </w:r>
      <w:r w:rsidRPr="00D02C3E">
        <w:rPr>
          <w:sz w:val="20"/>
          <w:shd w:val="clear" w:color="auto" w:fill="FFFFFF"/>
        </w:rPr>
        <w:t xml:space="preserve"> discretion to impose their rulings retroactively when they do so in response to judicial review, that is, when the purpose of retroactive application is to rectify legal mistakes identified by a federal court.”) (emphasis added).</w:t>
      </w:r>
      <w:r w:rsidRPr="00D02C3E">
        <w:rPr>
          <w:snapToGrid/>
          <w:kern w:val="0"/>
          <w:sz w:val="20"/>
        </w:rPr>
        <w:t xml:space="preserve"> </w:t>
      </w:r>
    </w:p>
  </w:footnote>
  <w:footnote w:id="42">
    <w:p w:rsidR="00A80B28" w:rsidRPr="00152508" w:rsidP="00152508" w14:paraId="3ACB6484" w14:textId="35839F9C">
      <w:pPr>
        <w:pStyle w:val="FootnoteText"/>
      </w:pPr>
      <w:r w:rsidRPr="00152508">
        <w:rPr>
          <w:rStyle w:val="FootnoteReference"/>
        </w:rPr>
        <w:footnoteRef/>
      </w:r>
      <w:r w:rsidRPr="00152508">
        <w:t xml:space="preserve"> Stay Pet. at 29. </w:t>
      </w:r>
    </w:p>
  </w:footnote>
  <w:footnote w:id="43">
    <w:p w:rsidR="00A80B28" w14:paraId="030E15B2" w14:textId="4D7F5800">
      <w:pPr>
        <w:pStyle w:val="FootnoteText"/>
      </w:pPr>
      <w:r>
        <w:rPr>
          <w:rStyle w:val="FootnoteReference"/>
        </w:rPr>
        <w:footnoteRef/>
      </w:r>
      <w:r>
        <w:t xml:space="preserve"> Petitioners’ </w:t>
      </w:r>
      <w:r w:rsidRPr="00152508">
        <w:t>Reply</w:t>
      </w:r>
      <w:r>
        <w:t xml:space="preserve"> at</w:t>
      </w:r>
      <w:r w:rsidRPr="00152508">
        <w:t xml:space="preserve"> 4-5, 21-22</w:t>
      </w:r>
      <w:r>
        <w:t>.</w:t>
      </w:r>
    </w:p>
  </w:footnote>
  <w:footnote w:id="44">
    <w:p w:rsidR="00A80B28" w14:paraId="3162C8A1" w14:textId="3ECC5A15">
      <w:pPr>
        <w:pStyle w:val="FootnoteText"/>
      </w:pPr>
      <w:r>
        <w:rPr>
          <w:rStyle w:val="FootnoteReference"/>
        </w:rPr>
        <w:footnoteRef/>
      </w:r>
      <w:r>
        <w:t xml:space="preserve"> </w:t>
      </w:r>
      <w:r w:rsidRPr="00B909FD" w:rsidR="00B909FD">
        <w:rPr>
          <w:i/>
          <w:iCs/>
        </w:rPr>
        <w:t xml:space="preserve">3.7 GHz Report and Order </w:t>
      </w:r>
      <w:r w:rsidR="00B909FD">
        <w:t>at 2428, para.</w:t>
      </w:r>
      <w:r>
        <w:t xml:space="preserve"> </w:t>
      </w:r>
      <w:r w:rsidRPr="00152508">
        <w:t>205.</w:t>
      </w:r>
      <w:r w:rsidR="003F6E1E">
        <w:t xml:space="preserve"> </w:t>
      </w:r>
      <w:r w:rsidRPr="00152508">
        <w:t xml:space="preserve"> Petitioners provide no support for their conjecture that such requirements</w:t>
      </w:r>
      <w:r>
        <w:t xml:space="preserve"> might</w:t>
      </w:r>
      <w:r w:rsidRPr="00152508">
        <w:t xml:space="preserve"> exceed the value that winning bidders place on new licenses. </w:t>
      </w:r>
      <w:r w:rsidR="003F6E1E">
        <w:t xml:space="preserve"> </w:t>
      </w:r>
      <w:r w:rsidRPr="00152508">
        <w:t xml:space="preserve">Stay Pet. at 29; </w:t>
      </w:r>
      <w:r w:rsidRPr="00152508">
        <w:rPr>
          <w:i/>
          <w:iCs/>
        </w:rPr>
        <w:t xml:space="preserve">cf. </w:t>
      </w:r>
      <w:r w:rsidR="003F6E1E">
        <w:rPr>
          <w:i/>
          <w:iCs/>
        </w:rPr>
        <w:t xml:space="preserve">3.7 GHz Report and </w:t>
      </w:r>
      <w:r w:rsidRPr="00152508">
        <w:rPr>
          <w:i/>
          <w:iCs/>
        </w:rPr>
        <w:t xml:space="preserve">Order </w:t>
      </w:r>
      <w:r w:rsidR="00B909FD">
        <w:t xml:space="preserve">at </w:t>
      </w:r>
      <w:r w:rsidR="00C53BC0">
        <w:t>2431, para.</w:t>
      </w:r>
      <w:r w:rsidRPr="00152508">
        <w:t xml:space="preserve"> 212</w:t>
      </w:r>
      <w:r w:rsidR="00877BA7">
        <w:t xml:space="preserve"> </w:t>
      </w:r>
      <w:r w:rsidRPr="00152508">
        <w:t>n.574 (citing one estimate that the C-</w:t>
      </w:r>
      <w:r w:rsidR="00F71A84">
        <w:t>b</w:t>
      </w:r>
      <w:r w:rsidRPr="00152508">
        <w:t>and auction will generate between $43 and $77 billion in total proceeds)</w:t>
      </w:r>
      <w:r>
        <w:t>.</w:t>
      </w:r>
      <w:r w:rsidR="00945369">
        <w:t xml:space="preserve">  Moreover,</w:t>
      </w:r>
      <w:r w:rsidR="00945369">
        <w:rPr>
          <w:szCs w:val="22"/>
        </w:rPr>
        <w:t xml:space="preserve"> the alternative approach that Petitioners advocate (which would reduce acceleration payments to $2.2 billion and pay Petitioners $1.2 billion for lost spectrum access rights) would </w:t>
      </w:r>
      <w:r w:rsidRPr="003D3168" w:rsidR="00945369">
        <w:rPr>
          <w:i/>
          <w:iCs/>
          <w:szCs w:val="22"/>
        </w:rPr>
        <w:t>reduce</w:t>
      </w:r>
      <w:r w:rsidR="00945369">
        <w:rPr>
          <w:szCs w:val="22"/>
        </w:rPr>
        <w:t xml:space="preserve">, not increase, </w:t>
      </w:r>
      <w:r w:rsidRPr="003D3168" w:rsidR="00945369">
        <w:rPr>
          <w:szCs w:val="22"/>
        </w:rPr>
        <w:t>new</w:t>
      </w:r>
      <w:r w:rsidR="00945369">
        <w:rPr>
          <w:szCs w:val="22"/>
        </w:rPr>
        <w:t xml:space="preserve"> licensees’ total payment obligations to incumbents.</w:t>
      </w:r>
    </w:p>
  </w:footnote>
  <w:footnote w:id="45">
    <w:p w:rsidR="00A80B28" w:rsidRPr="00152508" w:rsidP="00152508" w14:paraId="22E70DBE" w14:textId="40642ABE">
      <w:pPr>
        <w:pStyle w:val="FootnoteText"/>
      </w:pPr>
      <w:r w:rsidRPr="00152508">
        <w:rPr>
          <w:rStyle w:val="FootnoteReference"/>
        </w:rPr>
        <w:footnoteRef/>
      </w:r>
      <w:r w:rsidRPr="00152508">
        <w:t xml:space="preserve"> Stay Pet. at 29-30.</w:t>
      </w:r>
    </w:p>
  </w:footnote>
  <w:footnote w:id="46">
    <w:p w:rsidR="00A80B28" w14:paraId="285DBBB2" w14:textId="7272A859">
      <w:pPr>
        <w:pStyle w:val="FootnoteText"/>
      </w:pPr>
      <w:r>
        <w:rPr>
          <w:rStyle w:val="FootnoteReference"/>
        </w:rPr>
        <w:footnoteRef/>
      </w:r>
      <w:r>
        <w:t xml:space="preserve"> Indeed, if Petitioners were to prevail in challenging the FCC’s exercise of license modification authority and the Court were to vacate the </w:t>
      </w:r>
      <w:r w:rsidR="00476AF0">
        <w:rPr>
          <w:i/>
          <w:iCs/>
        </w:rPr>
        <w:t xml:space="preserve">3.7 GHz Report and </w:t>
      </w:r>
      <w:r w:rsidRPr="006E7DE6">
        <w:rPr>
          <w:i/>
          <w:iCs/>
        </w:rPr>
        <w:t>Order</w:t>
      </w:r>
      <w:r>
        <w:t xml:space="preserve">, the </w:t>
      </w:r>
      <w:r w:rsidR="00476AF0">
        <w:rPr>
          <w:i/>
          <w:iCs/>
        </w:rPr>
        <w:t xml:space="preserve">3.7 GHz Report and </w:t>
      </w:r>
      <w:r>
        <w:rPr>
          <w:i/>
          <w:iCs/>
        </w:rPr>
        <w:t>Order</w:t>
      </w:r>
      <w:r>
        <w:t>’s reallocation of the 3.7-3.98 GHz band from satellite to terrestrial use and authorization of</w:t>
      </w:r>
      <w:r>
        <w:rPr>
          <w:i/>
          <w:iCs/>
        </w:rPr>
        <w:t xml:space="preserve"> </w:t>
      </w:r>
      <w:r>
        <w:t>new licenses in that band would be automatically invalidated.</w:t>
      </w:r>
    </w:p>
  </w:footnote>
  <w:footnote w:id="47">
    <w:p w:rsidR="00A80B28" w:rsidRPr="00152508" w:rsidP="00152508" w14:paraId="71BF55ED" w14:textId="7F4E41DA">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Verizon Opp. at 4 (discussing FCC actions in 2002 to unwind Auction No. 35 after the D.C. Circuit vacated the agency’s cancellation of licenses held by </w:t>
      </w:r>
      <w:r w:rsidRPr="00152508">
        <w:rPr>
          <w:sz w:val="20"/>
        </w:rPr>
        <w:t>NextWave</w:t>
      </w:r>
      <w:r w:rsidRPr="00152508">
        <w:rPr>
          <w:sz w:val="20"/>
        </w:rPr>
        <w:t xml:space="preserve">). </w:t>
      </w:r>
    </w:p>
  </w:footnote>
  <w:footnote w:id="48">
    <w:p w:rsidR="00A80B28" w:rsidRPr="00152508" w:rsidP="00152508" w14:paraId="1B4BBBA2" w14:textId="79F873D1">
      <w:pPr>
        <w:pStyle w:val="FootnoteText"/>
      </w:pPr>
      <w:r w:rsidRPr="00152508">
        <w:rPr>
          <w:rStyle w:val="FootnoteReference"/>
        </w:rPr>
        <w:footnoteRef/>
      </w:r>
      <w:r w:rsidRPr="00152508">
        <w:t xml:space="preserve"> </w:t>
      </w:r>
      <w:r w:rsidRPr="00152508">
        <w:rPr>
          <w:i/>
          <w:iCs/>
        </w:rPr>
        <w:t>Verizon</w:t>
      </w:r>
      <w:r w:rsidRPr="00152508">
        <w:t>, 269 F.3d at 1111.</w:t>
      </w:r>
    </w:p>
  </w:footnote>
  <w:footnote w:id="49">
    <w:p w:rsidR="00A80B28" w:rsidRPr="00152508" w:rsidP="00152508" w14:paraId="298839E8" w14:textId="39AEE848">
      <w:pPr>
        <w:pStyle w:val="FootnoteText"/>
      </w:pPr>
      <w:r w:rsidRPr="00152508">
        <w:rPr>
          <w:rStyle w:val="FootnoteReference"/>
        </w:rPr>
        <w:footnoteRef/>
      </w:r>
      <w:r w:rsidRPr="00152508">
        <w:t xml:space="preserve"> </w:t>
      </w:r>
      <w:r>
        <w:t xml:space="preserve">Petitioners’ </w:t>
      </w:r>
      <w:r w:rsidRPr="00152508">
        <w:t xml:space="preserve">Reply </w:t>
      </w:r>
      <w:r>
        <w:t xml:space="preserve">at </w:t>
      </w:r>
      <w:r w:rsidRPr="00152508">
        <w:t xml:space="preserve">5; </w:t>
      </w:r>
      <w:r w:rsidRPr="00152508">
        <w:rPr>
          <w:i/>
          <w:iCs/>
        </w:rPr>
        <w:t xml:space="preserve">see id. </w:t>
      </w:r>
      <w:r w:rsidRPr="00152508">
        <w:t>at 23-24.</w:t>
      </w:r>
    </w:p>
  </w:footnote>
  <w:footnote w:id="50">
    <w:p w:rsidR="00A80B28" w14:paraId="053C008B" w14:textId="6145D660">
      <w:pPr>
        <w:pStyle w:val="FootnoteText"/>
      </w:pPr>
      <w:r>
        <w:rPr>
          <w:rStyle w:val="FootnoteReference"/>
        </w:rPr>
        <w:footnoteRef/>
      </w:r>
      <w:r>
        <w:t xml:space="preserve"> Petitioners’ </w:t>
      </w:r>
      <w:r w:rsidRPr="00152508">
        <w:t>Reply at 22-23</w:t>
      </w:r>
      <w:r>
        <w:t>.</w:t>
      </w:r>
    </w:p>
  </w:footnote>
  <w:footnote w:id="51">
    <w:p w:rsidR="00A80B28" w:rsidRPr="00152508" w:rsidP="00152508" w14:paraId="53628E96" w14:textId="18AB514E">
      <w:pPr>
        <w:pStyle w:val="FootnoteText"/>
      </w:pPr>
      <w:r w:rsidRPr="00152508">
        <w:rPr>
          <w:rStyle w:val="FootnoteReference"/>
        </w:rPr>
        <w:footnoteRef/>
      </w:r>
      <w:r w:rsidRPr="00152508">
        <w:t xml:space="preserve"> </w:t>
      </w:r>
      <w:r w:rsidRPr="00152508">
        <w:rPr>
          <w:i/>
          <w:iCs/>
        </w:rPr>
        <w:t xml:space="preserve">Cf. FCC v. </w:t>
      </w:r>
      <w:r w:rsidRPr="00152508">
        <w:rPr>
          <w:i/>
          <w:iCs/>
        </w:rPr>
        <w:t>Radiofone</w:t>
      </w:r>
      <w:r w:rsidRPr="00152508">
        <w:rPr>
          <w:i/>
          <w:iCs/>
        </w:rPr>
        <w:t>, Inc.</w:t>
      </w:r>
      <w:r w:rsidRPr="00152508">
        <w:t>, 516 U.S. 1301, 1301 (1995) (Stevens, J., in chambers) (“allowing the national auction to go forward will not defeat the power of the Court of Appeals to grant appropriate relief in the event that [</w:t>
      </w:r>
      <w:r>
        <w:t>movant</w:t>
      </w:r>
      <w:r w:rsidRPr="00152508">
        <w:t>s] overcome[] the presumption of validity that supports the FCC regulations and prevail[] on the merits.”).</w:t>
      </w:r>
    </w:p>
  </w:footnote>
  <w:footnote w:id="52">
    <w:p w:rsidR="00A80B28" w:rsidRPr="00152508" w:rsidP="00152508" w14:paraId="7D9BD1CF" w14:textId="6A810C82">
      <w:pPr>
        <w:pStyle w:val="FootnoteText"/>
      </w:pPr>
      <w:r w:rsidRPr="00152508">
        <w:rPr>
          <w:rStyle w:val="FootnoteReference"/>
        </w:rPr>
        <w:footnoteRef/>
      </w:r>
      <w:r w:rsidRPr="00152508">
        <w:t xml:space="preserve"> </w:t>
      </w:r>
      <w:r>
        <w:t xml:space="preserve">Petitioners’ </w:t>
      </w:r>
      <w:r w:rsidRPr="00152508">
        <w:t>Reply at 23-24.</w:t>
      </w:r>
    </w:p>
  </w:footnote>
  <w:footnote w:id="53">
    <w:p w:rsidR="00A80B28" w:rsidRPr="00152508" w:rsidP="00152508" w14:paraId="487CA250" w14:textId="0EDE3766">
      <w:pPr>
        <w:pStyle w:val="FootnoteText"/>
      </w:pPr>
      <w:r w:rsidRPr="00152508">
        <w:rPr>
          <w:rStyle w:val="FootnoteReference"/>
        </w:rPr>
        <w:footnoteRef/>
      </w:r>
      <w:r w:rsidRPr="00152508">
        <w:t xml:space="preserve"> </w:t>
      </w:r>
      <w:r>
        <w:rPr>
          <w:i/>
          <w:iCs/>
        </w:rPr>
        <w:t xml:space="preserve">See </w:t>
      </w:r>
      <w:r w:rsidR="00F851FA">
        <w:rPr>
          <w:i/>
          <w:iCs/>
        </w:rPr>
        <w:t>3.7 GHz Report and Order</w:t>
      </w:r>
      <w:r w:rsidR="00F851FA">
        <w:t xml:space="preserve">, 35 FCC </w:t>
      </w:r>
      <w:r w:rsidR="00F851FA">
        <w:t>Rcd</w:t>
      </w:r>
      <w:r w:rsidR="00F851FA">
        <w:t xml:space="preserve"> at 2408, para. 155</w:t>
      </w:r>
      <w:r>
        <w:t xml:space="preserve">; </w:t>
      </w:r>
      <w:r>
        <w:rPr>
          <w:i/>
          <w:iCs/>
        </w:rPr>
        <w:t>c</w:t>
      </w:r>
      <w:r w:rsidRPr="00152508">
        <w:rPr>
          <w:i/>
          <w:iCs/>
        </w:rPr>
        <w:t>f. Public Service Co. of Colorado v. FERC</w:t>
      </w:r>
      <w:r w:rsidRPr="00152508">
        <w:t>, 91 F.3d 1478, 1490 (D.C. Cir. 1996) (no detrimental reliance where “</w:t>
      </w:r>
      <w:r w:rsidRPr="00152508">
        <w:rPr>
          <w:shd w:val="clear" w:color="auto" w:fill="FFFFFF"/>
        </w:rPr>
        <w:t>neither party has even roughly quantified the harm (</w:t>
      </w:r>
      <w:r w:rsidRPr="00152508">
        <w:rPr>
          <w:rStyle w:val="Emphasis"/>
          <w:bdr w:val="none" w:sz="0" w:space="0" w:color="auto" w:frame="1"/>
          <w:shd w:val="clear" w:color="auto" w:fill="FFFFFF"/>
        </w:rPr>
        <w:t>e.g.,</w:t>
      </w:r>
      <w:r w:rsidRPr="00152508">
        <w:rPr>
          <w:shd w:val="clear" w:color="auto" w:fill="FFFFFF"/>
        </w:rPr>
        <w:t xml:space="preserve"> the expenditures made and lost in detrimental reliance </w:t>
      </w:r>
      <w:r>
        <w:rPr>
          <w:shd w:val="clear" w:color="auto" w:fill="FFFFFF"/>
        </w:rPr>
        <w:t xml:space="preserve">… </w:t>
      </w:r>
      <w:r w:rsidRPr="00152508">
        <w:rPr>
          <w:shd w:val="clear" w:color="auto" w:fill="FFFFFF"/>
        </w:rPr>
        <w:t>) that the producers might suffer should they have to refund the full amount that they unlawfully collected.”</w:t>
      </w:r>
      <w:r w:rsidRPr="00152508">
        <w:t>).</w:t>
      </w:r>
    </w:p>
  </w:footnote>
  <w:footnote w:id="54">
    <w:p w:rsidR="00A80B28" w:rsidRPr="00152508" w:rsidP="00152508" w14:paraId="3F560E1E" w14:textId="7E00059D">
      <w:pPr>
        <w:pStyle w:val="FootnoteText"/>
      </w:pPr>
      <w:r w:rsidRPr="00152508">
        <w:rPr>
          <w:rStyle w:val="FootnoteReference"/>
        </w:rPr>
        <w:footnoteRef/>
      </w:r>
      <w:r w:rsidRPr="00152508">
        <w:t xml:space="preserve"> </w:t>
      </w:r>
      <w:r w:rsidRPr="00152508">
        <w:rPr>
          <w:i/>
          <w:iCs/>
        </w:rPr>
        <w:t>Mexichem</w:t>
      </w:r>
      <w:r w:rsidRPr="00152508">
        <w:t xml:space="preserve">, 787 F.3d at 555 (quoting </w:t>
      </w:r>
      <w:r w:rsidRPr="00152508">
        <w:rPr>
          <w:i/>
          <w:iCs/>
        </w:rPr>
        <w:t>Wisc. Gas</w:t>
      </w:r>
      <w:r w:rsidRPr="00152508">
        <w:t xml:space="preserve">, 758 F.2d </w:t>
      </w:r>
      <w:r w:rsidR="00A20E17">
        <w:t>at</w:t>
      </w:r>
      <w:r w:rsidRPr="00152508">
        <w:t xml:space="preserve"> 674). </w:t>
      </w:r>
    </w:p>
  </w:footnote>
  <w:footnote w:id="55">
    <w:p w:rsidR="00A80B28" w:rsidRPr="00152508" w:rsidP="00152508" w14:paraId="46831227" w14:textId="0C6F7D39">
      <w:pPr>
        <w:pStyle w:val="FootnoteText"/>
      </w:pPr>
      <w:r w:rsidRPr="00152508">
        <w:rPr>
          <w:rStyle w:val="FootnoteReference"/>
        </w:rPr>
        <w:footnoteRef/>
      </w:r>
      <w:r w:rsidRPr="00152508">
        <w:t xml:space="preserve"> </w:t>
      </w:r>
      <w:r w:rsidRPr="00152508">
        <w:rPr>
          <w:i/>
          <w:iCs/>
        </w:rPr>
        <w:t xml:space="preserve">See </w:t>
      </w:r>
      <w:r w:rsidRPr="00152508">
        <w:t>Stay Pet. at 24-30; CTIA Opp</w:t>
      </w:r>
      <w:r>
        <w:t xml:space="preserve">. </w:t>
      </w:r>
      <w:r w:rsidRPr="00152508">
        <w:t>at 12 (Petitioners “rely on purely economic losses, as is clear from their own supporting declarations”).</w:t>
      </w:r>
    </w:p>
  </w:footnote>
  <w:footnote w:id="56">
    <w:p w:rsidR="00A80B28" w:rsidRPr="00152508" w:rsidP="00152508" w14:paraId="162AB41A" w14:textId="60B245BF">
      <w:pPr>
        <w:pStyle w:val="FootnoteText"/>
      </w:pPr>
      <w:r w:rsidRPr="00152508">
        <w:rPr>
          <w:rStyle w:val="FootnoteReference"/>
        </w:rPr>
        <w:footnoteRef/>
      </w:r>
      <w:r w:rsidRPr="00152508">
        <w:t xml:space="preserve"> </w:t>
      </w:r>
      <w:r w:rsidRPr="00152508">
        <w:rPr>
          <w:i/>
          <w:iCs/>
        </w:rPr>
        <w:t>Wisc. Gas</w:t>
      </w:r>
      <w:r w:rsidRPr="00152508">
        <w:t xml:space="preserve">, 758 F.2d at 674. </w:t>
      </w:r>
    </w:p>
  </w:footnote>
  <w:footnote w:id="57">
    <w:p w:rsidR="00A80B28" w14:paraId="432C9B7C" w14:textId="569D7C2E">
      <w:pPr>
        <w:pStyle w:val="FootnoteText"/>
      </w:pPr>
      <w:r>
        <w:rPr>
          <w:rStyle w:val="FootnoteReference"/>
        </w:rPr>
        <w:footnoteRef/>
      </w:r>
      <w:r>
        <w:t xml:space="preserve"> Petitioners’ </w:t>
      </w:r>
      <w:r w:rsidRPr="00152508">
        <w:t>Reply at 31 (internal quotations and citations omitted).</w:t>
      </w:r>
    </w:p>
  </w:footnote>
  <w:footnote w:id="58">
    <w:p w:rsidR="00A80B28" w14:paraId="7643314C" w14:textId="0FBB1241">
      <w:pPr>
        <w:pStyle w:val="FootnoteText"/>
      </w:pPr>
      <w:r>
        <w:rPr>
          <w:rStyle w:val="FootnoteReference"/>
        </w:rPr>
        <w:footnoteRef/>
      </w:r>
      <w:r>
        <w:t xml:space="preserve"> </w:t>
      </w:r>
      <w:r w:rsidRPr="004512CA">
        <w:rPr>
          <w:i/>
          <w:iCs/>
        </w:rPr>
        <w:t>Id.</w:t>
      </w:r>
      <w:r w:rsidRPr="00152508">
        <w:t xml:space="preserve"> at 5</w:t>
      </w:r>
      <w:r>
        <w:t xml:space="preserve">; </w:t>
      </w:r>
      <w:r>
        <w:rPr>
          <w:i/>
          <w:iCs/>
        </w:rPr>
        <w:t>s</w:t>
      </w:r>
      <w:r w:rsidRPr="00152508">
        <w:rPr>
          <w:i/>
          <w:iCs/>
        </w:rPr>
        <w:t xml:space="preserve">ee </w:t>
      </w:r>
      <w:r w:rsidR="002E6172">
        <w:rPr>
          <w:i/>
          <w:iCs/>
        </w:rPr>
        <w:t>3.7 G</w:t>
      </w:r>
      <w:r w:rsidR="00C130EA">
        <w:rPr>
          <w:i/>
          <w:iCs/>
        </w:rPr>
        <w:t>H</w:t>
      </w:r>
      <w:r w:rsidR="002E6172">
        <w:rPr>
          <w:i/>
          <w:iCs/>
        </w:rPr>
        <w:t>z Report and</w:t>
      </w:r>
      <w:r w:rsidR="00C130EA">
        <w:rPr>
          <w:i/>
          <w:iCs/>
        </w:rPr>
        <w:t xml:space="preserve"> </w:t>
      </w:r>
      <w:r w:rsidRPr="00152508">
        <w:rPr>
          <w:i/>
          <w:iCs/>
        </w:rPr>
        <w:t>Order</w:t>
      </w:r>
      <w:r w:rsidRPr="00152508">
        <w:t xml:space="preserve"> </w:t>
      </w:r>
      <w:r w:rsidR="00C130EA">
        <w:t xml:space="preserve">at </w:t>
      </w:r>
      <w:r w:rsidR="002C2EA4">
        <w:t>2401,</w:t>
      </w:r>
      <w:r w:rsidR="006B24AE">
        <w:t xml:space="preserve"> </w:t>
      </w:r>
      <w:r w:rsidR="00B57AD1">
        <w:t>2</w:t>
      </w:r>
      <w:r w:rsidR="003B77B2">
        <w:t>442-45</w:t>
      </w:r>
      <w:r w:rsidR="00DB31A6">
        <w:t xml:space="preserve">, </w:t>
      </w:r>
      <w:r w:rsidR="001C7C2D">
        <w:t>paras.</w:t>
      </w:r>
      <w:r w:rsidRPr="00152508">
        <w:t xml:space="preserve"> 139 n.393, </w:t>
      </w:r>
      <w:r w:rsidR="00DB31A6">
        <w:t>241</w:t>
      </w:r>
      <w:r w:rsidRPr="00152508">
        <w:t xml:space="preserve"> n.625</w:t>
      </w:r>
      <w:r w:rsidR="001C7C2D">
        <w:t>,</w:t>
      </w:r>
      <w:r w:rsidRPr="00152508">
        <w:t xml:space="preserve"> 242-49.</w:t>
      </w:r>
      <w:r w:rsidR="00466040">
        <w:t xml:space="preserve">  And to the extent that Petitioners argue the </w:t>
      </w:r>
      <w:r w:rsidR="00D91D90">
        <w:rPr>
          <w:i/>
          <w:iCs/>
        </w:rPr>
        <w:t xml:space="preserve">3.7 GHz Report and </w:t>
      </w:r>
      <w:r w:rsidRPr="00476EAA" w:rsidR="00466040">
        <w:rPr>
          <w:i/>
          <w:iCs/>
        </w:rPr>
        <w:t>Order</w:t>
      </w:r>
      <w:r w:rsidR="00466040">
        <w:t xml:space="preserve"> creates uncertainty for their business plans, </w:t>
      </w:r>
      <w:r w:rsidR="00466040">
        <w:rPr>
          <w:i/>
          <w:iCs/>
        </w:rPr>
        <w:t>see</w:t>
      </w:r>
      <w:r w:rsidR="00466040">
        <w:t xml:space="preserve"> Stay Pet. at 27 (arguing the </w:t>
      </w:r>
      <w:r w:rsidR="00D91D90">
        <w:rPr>
          <w:i/>
          <w:iCs/>
        </w:rPr>
        <w:t xml:space="preserve">3.7 GHz Report and </w:t>
      </w:r>
      <w:r w:rsidRPr="00476EAA" w:rsidR="00466040">
        <w:rPr>
          <w:i/>
          <w:iCs/>
        </w:rPr>
        <w:t>Order</w:t>
      </w:r>
      <w:r w:rsidR="00466040">
        <w:t xml:space="preserve"> will make it difficult to raise capital needed to finance expansion plans), grant of a stay would provide them with no relief, as any such uncertainty will persist until the Court rules on the merits.</w:t>
      </w:r>
    </w:p>
  </w:footnote>
  <w:footnote w:id="59">
    <w:p w:rsidR="00A80B28" w:rsidRPr="00152508" w:rsidP="00C5735D" w14:paraId="0F250C73" w14:textId="64313020">
      <w:pPr>
        <w:pStyle w:val="FootnoteText"/>
      </w:pPr>
      <w:r w:rsidRPr="00152508">
        <w:rPr>
          <w:rStyle w:val="FootnoteReference"/>
        </w:rPr>
        <w:footnoteRef/>
      </w:r>
      <w:r w:rsidRPr="00152508">
        <w:t xml:space="preserve"> </w:t>
      </w:r>
      <w:r>
        <w:rPr>
          <w:i/>
          <w:iCs/>
        </w:rPr>
        <w:t>S</w:t>
      </w:r>
      <w:r w:rsidRPr="00152508">
        <w:rPr>
          <w:i/>
          <w:iCs/>
        </w:rPr>
        <w:t xml:space="preserve">ee LG </w:t>
      </w:r>
      <w:r w:rsidRPr="00152508">
        <w:rPr>
          <w:i/>
          <w:iCs/>
        </w:rPr>
        <w:t>Elecs</w:t>
      </w:r>
      <w:r w:rsidRPr="00152508">
        <w:rPr>
          <w:i/>
          <w:iCs/>
        </w:rPr>
        <w:t>., USA, Inc. v. Dep’t of Energy</w:t>
      </w:r>
      <w:r w:rsidRPr="00152508">
        <w:t xml:space="preserve">, 679 F.Supp.2d 18, 35-36 (D.D.C. 2010) </w:t>
      </w:r>
      <w:r w:rsidRPr="00152508">
        <w:rPr>
          <w:color w:val="000000"/>
        </w:rPr>
        <w:t>(“the financial impact [the plaintiff] claims it will suffer does not rise to the level of irreparable harm” because that impact represents only “a minuscule portion of the company’s worldwide revenues.”)</w:t>
      </w:r>
      <w:r w:rsidRPr="00152508">
        <w:t>.</w:t>
      </w:r>
    </w:p>
  </w:footnote>
  <w:footnote w:id="60">
    <w:p w:rsidR="00A80B28" w:rsidRPr="00152508" w:rsidP="00152508" w14:paraId="1637B9A8" w14:textId="16B7F71F">
      <w:pPr>
        <w:pStyle w:val="FootnoteText"/>
      </w:pPr>
      <w:r w:rsidRPr="00152508">
        <w:rPr>
          <w:rStyle w:val="FootnoteReference"/>
        </w:rPr>
        <w:footnoteRef/>
      </w:r>
      <w:r w:rsidRPr="00152508">
        <w:t xml:space="preserve"> CTIA Opp. at 11 n.42 (quoting </w:t>
      </w:r>
      <w:r w:rsidR="00DE4F78">
        <w:rPr>
          <w:i/>
          <w:iCs/>
        </w:rPr>
        <w:t xml:space="preserve">3.7 GHz Report and </w:t>
      </w:r>
      <w:r w:rsidRPr="00152508">
        <w:rPr>
          <w:i/>
          <w:iCs/>
        </w:rPr>
        <w:t xml:space="preserve">Order </w:t>
      </w:r>
      <w:r w:rsidR="00DE4F78">
        <w:t>at</w:t>
      </w:r>
      <w:r w:rsidR="005572C0">
        <w:t xml:space="preserve"> 2399-2400, para.</w:t>
      </w:r>
      <w:r w:rsidRPr="00152508">
        <w:t xml:space="preserve"> 135).</w:t>
      </w:r>
    </w:p>
  </w:footnote>
  <w:footnote w:id="61">
    <w:p w:rsidR="00A80B28" w:rsidRPr="00152508" w:rsidP="00152508" w14:paraId="4B6BC2AE" w14:textId="06F95C32">
      <w:pPr>
        <w:pStyle w:val="FootnoteText"/>
      </w:pPr>
      <w:r w:rsidRPr="00152508">
        <w:rPr>
          <w:rStyle w:val="FootnoteReference"/>
        </w:rPr>
        <w:footnoteRef/>
      </w:r>
      <w:r w:rsidRPr="00152508">
        <w:t xml:space="preserve"> </w:t>
      </w:r>
      <w:r w:rsidRPr="00152508">
        <w:t>Frownfelter</w:t>
      </w:r>
      <w:r w:rsidRPr="00152508">
        <w:t xml:space="preserve"> Decl. ¶ 6.</w:t>
      </w:r>
    </w:p>
  </w:footnote>
  <w:footnote w:id="62">
    <w:p w:rsidR="00A80B28" w:rsidRPr="00152508" w:rsidP="00152508" w14:paraId="77D2E40A" w14:textId="2A9019E2">
      <w:pPr>
        <w:pStyle w:val="FootnoteText"/>
      </w:pPr>
      <w:r w:rsidRPr="00152508">
        <w:rPr>
          <w:rStyle w:val="FootnoteReference"/>
        </w:rPr>
        <w:footnoteRef/>
      </w:r>
      <w:r w:rsidRPr="00152508">
        <w:t xml:space="preserve"> </w:t>
      </w:r>
      <w:r w:rsidR="005D2B7A">
        <w:rPr>
          <w:i/>
          <w:iCs/>
        </w:rPr>
        <w:t xml:space="preserve">3.7 GHz Report and </w:t>
      </w:r>
      <w:r w:rsidRPr="00152508">
        <w:rPr>
          <w:i/>
          <w:iCs/>
        </w:rPr>
        <w:t>Order</w:t>
      </w:r>
      <w:r w:rsidRPr="00152508">
        <w:t xml:space="preserve"> </w:t>
      </w:r>
      <w:r w:rsidR="004B535B">
        <w:t>at 2444-2445, para.</w:t>
      </w:r>
      <w:r w:rsidRPr="00152508">
        <w:t xml:space="preserve"> 248</w:t>
      </w:r>
      <w:r w:rsidR="00911F10">
        <w:t xml:space="preserve">; </w:t>
      </w:r>
      <w:r w:rsidR="00911F10">
        <w:rPr>
          <w:i/>
          <w:iCs/>
        </w:rPr>
        <w:t>see infra</w:t>
      </w:r>
      <w:r w:rsidR="00911F10">
        <w:t xml:space="preserve"> n.125 and accompanying text</w:t>
      </w:r>
      <w:r w:rsidRPr="00152508">
        <w:t>.</w:t>
      </w:r>
    </w:p>
  </w:footnote>
  <w:footnote w:id="63">
    <w:p w:rsidR="00A80B28" w:rsidRPr="00152508" w:rsidP="00152508" w14:paraId="57668EE8" w14:textId="753DC0B9">
      <w:pPr>
        <w:pStyle w:val="FootnoteText"/>
      </w:pPr>
      <w:r w:rsidRPr="00152508">
        <w:rPr>
          <w:rStyle w:val="FootnoteReference"/>
        </w:rPr>
        <w:footnoteRef/>
      </w:r>
      <w:r w:rsidRPr="00152508">
        <w:t xml:space="preserve"> CTIA Opp. at 12 (citing Stay Pet., Attach. B (Declaration of Miguel </w:t>
      </w:r>
      <w:r w:rsidRPr="00152508">
        <w:t>Ángel</w:t>
      </w:r>
      <w:r w:rsidRPr="00152508">
        <w:t xml:space="preserve"> </w:t>
      </w:r>
      <w:r w:rsidRPr="00152508">
        <w:t>Panduro</w:t>
      </w:r>
      <w:r w:rsidRPr="00152508">
        <w:t xml:space="preserve">) at </w:t>
      </w:r>
      <w:r w:rsidR="00136FFF">
        <w:t>paras.</w:t>
      </w:r>
      <w:r w:rsidRPr="00152508">
        <w:t xml:space="preserve"> 7-9</w:t>
      </w:r>
      <w:r>
        <w:t>)</w:t>
      </w:r>
      <w:r w:rsidRPr="00152508">
        <w:t>.</w:t>
      </w:r>
    </w:p>
  </w:footnote>
  <w:footnote w:id="64">
    <w:p w:rsidR="00A80B28" w:rsidRPr="00152508" w:rsidP="00152508" w14:paraId="3E117935" w14:textId="058D5321">
      <w:pPr>
        <w:pStyle w:val="FootnoteText"/>
      </w:pPr>
      <w:r w:rsidRPr="00152508">
        <w:rPr>
          <w:rStyle w:val="FootnoteReference"/>
        </w:rPr>
        <w:footnoteRef/>
      </w:r>
      <w:r w:rsidRPr="00152508">
        <w:t xml:space="preserve"> </w:t>
      </w:r>
      <w:r w:rsidRPr="00152508">
        <w:rPr>
          <w:i/>
          <w:iCs/>
        </w:rPr>
        <w:t xml:space="preserve">See </w:t>
      </w:r>
      <w:r w:rsidR="005D2B7A">
        <w:rPr>
          <w:i/>
          <w:iCs/>
        </w:rPr>
        <w:t xml:space="preserve">3.7 GHz Report and </w:t>
      </w:r>
      <w:r w:rsidRPr="00152508">
        <w:rPr>
          <w:i/>
          <w:iCs/>
        </w:rPr>
        <w:t xml:space="preserve">Order </w:t>
      </w:r>
      <w:r w:rsidRPr="009178F6" w:rsidR="00E518C3">
        <w:t>a</w:t>
      </w:r>
      <w:r w:rsidR="00E518C3">
        <w:t>t 2400, para.</w:t>
      </w:r>
      <w:r w:rsidRPr="00152508">
        <w:t xml:space="preserve"> 135 n.382.</w:t>
      </w:r>
      <w:r>
        <w:t xml:space="preserve"> </w:t>
      </w:r>
      <w:r w:rsidR="005D2B7A">
        <w:t xml:space="preserve"> </w:t>
      </w:r>
      <w:r>
        <w:t>ARSAT never responded to the Commission’s request for information from C-</w:t>
      </w:r>
      <w:r w:rsidR="00911F10">
        <w:t>b</w:t>
      </w:r>
      <w:r>
        <w:t xml:space="preserve">and satellite operators. </w:t>
      </w:r>
      <w:r w:rsidR="00911F10">
        <w:t xml:space="preserve"> </w:t>
      </w:r>
      <w:r w:rsidR="00911F10">
        <w:rPr>
          <w:i/>
          <w:iCs/>
        </w:rPr>
        <w:t>Id.</w:t>
      </w:r>
      <w:r w:rsidR="00911F10">
        <w:t xml:space="preserve"> at </w:t>
      </w:r>
      <w:r w:rsidR="00136FFF">
        <w:t>2442,</w:t>
      </w:r>
      <w:r w:rsidR="00911F10">
        <w:t xml:space="preserve"> para. 241, n.</w:t>
      </w:r>
      <w:r w:rsidR="00A76BE6">
        <w:t>625.</w:t>
      </w:r>
    </w:p>
  </w:footnote>
  <w:footnote w:id="65">
    <w:p w:rsidR="00A80B28" w:rsidRPr="00152508" w:rsidP="00152508" w14:paraId="0BA1756D" w14:textId="19BADF33">
      <w:pPr>
        <w:pStyle w:val="FootnoteText"/>
      </w:pPr>
      <w:r w:rsidRPr="00152508">
        <w:rPr>
          <w:rStyle w:val="FootnoteReference"/>
        </w:rPr>
        <w:footnoteRef/>
      </w:r>
      <w:r w:rsidRPr="00152508">
        <w:t xml:space="preserve"> </w:t>
      </w:r>
      <w:r>
        <w:rPr>
          <w:i/>
          <w:iCs/>
        </w:rPr>
        <w:t>Id.</w:t>
      </w:r>
      <w:r w:rsidRPr="00152508">
        <w:t xml:space="preserve"> </w:t>
      </w:r>
      <w:r w:rsidR="006F3256">
        <w:t>at 2401-02, para.</w:t>
      </w:r>
      <w:r w:rsidRPr="00152508">
        <w:t xml:space="preserve"> 139. </w:t>
      </w:r>
    </w:p>
  </w:footnote>
  <w:footnote w:id="66">
    <w:p w:rsidR="00A80B28" w:rsidRPr="00AB7E55" w14:paraId="0A4D14D7" w14:textId="21982469">
      <w:pPr>
        <w:pStyle w:val="FootnoteText"/>
      </w:pPr>
      <w:r>
        <w:rPr>
          <w:rStyle w:val="FootnoteReference"/>
        </w:rPr>
        <w:footnoteRef/>
      </w:r>
      <w:r>
        <w:t xml:space="preserve"> </w:t>
      </w:r>
      <w:r w:rsidRPr="002229AF">
        <w:t>Comments of PSSI Global on SSO Joint Petition for Stay in GN Docket 18-122 (filed May 27, 2020).</w:t>
      </w:r>
      <w:r>
        <w:t xml:space="preserve"> </w:t>
      </w:r>
      <w:r w:rsidR="00F00CEF">
        <w:t xml:space="preserve"> </w:t>
      </w:r>
      <w:r>
        <w:t xml:space="preserve">Although PSSI filed comments in support of the Stay Petition, it </w:t>
      </w:r>
      <w:r w:rsidRPr="003F543E">
        <w:t>did not move for a stay</w:t>
      </w:r>
      <w:r>
        <w:t xml:space="preserve">. PSSI also has challenged the </w:t>
      </w:r>
      <w:r w:rsidR="00F00CEF">
        <w:rPr>
          <w:i/>
          <w:iCs/>
        </w:rPr>
        <w:t xml:space="preserve">3.7 GHz Report and </w:t>
      </w:r>
      <w:r>
        <w:rPr>
          <w:i/>
          <w:iCs/>
        </w:rPr>
        <w:t xml:space="preserve">Order </w:t>
      </w:r>
      <w:r>
        <w:t xml:space="preserve">in </w:t>
      </w:r>
      <w:r w:rsidR="00E62DB8">
        <w:t>court</w:t>
      </w:r>
      <w:r>
        <w:t xml:space="preserve">. </w:t>
      </w:r>
      <w:r w:rsidR="00E62DB8">
        <w:t xml:space="preserve"> </w:t>
      </w:r>
      <w:r w:rsidRPr="00152508" w:rsidR="00E62DB8">
        <w:t xml:space="preserve">Notice of Appeal, </w:t>
      </w:r>
      <w:r w:rsidR="00E62DB8">
        <w:rPr>
          <w:i/>
          <w:iCs/>
        </w:rPr>
        <w:t>PSSI</w:t>
      </w:r>
      <w:r w:rsidRPr="00152508" w:rsidR="00E62DB8">
        <w:rPr>
          <w:i/>
          <w:iCs/>
        </w:rPr>
        <w:t xml:space="preserve"> Global </w:t>
      </w:r>
      <w:r w:rsidR="00E62DB8">
        <w:rPr>
          <w:i/>
          <w:iCs/>
        </w:rPr>
        <w:t>Services, L.L.C.</w:t>
      </w:r>
      <w:r w:rsidRPr="00152508" w:rsidR="00E62DB8">
        <w:rPr>
          <w:i/>
          <w:iCs/>
        </w:rPr>
        <w:t xml:space="preserve"> v. FCC</w:t>
      </w:r>
      <w:r w:rsidRPr="00152508" w:rsidR="00E62DB8">
        <w:t>, No. 20-</w:t>
      </w:r>
      <w:r w:rsidR="00E62DB8">
        <w:t>1142</w:t>
      </w:r>
      <w:r w:rsidRPr="00152508" w:rsidR="00E62DB8">
        <w:t xml:space="preserve"> (D.C. Cir. filed </w:t>
      </w:r>
      <w:r w:rsidR="00E62DB8">
        <w:t>Apr. 28</w:t>
      </w:r>
      <w:r w:rsidRPr="00152508" w:rsidR="00E62DB8">
        <w:t>, 2020)</w:t>
      </w:r>
      <w:r w:rsidR="00E62DB8">
        <w:t xml:space="preserve">; Petition for Review, </w:t>
      </w:r>
      <w:r w:rsidR="00E62DB8">
        <w:rPr>
          <w:i/>
          <w:iCs/>
        </w:rPr>
        <w:t>PSSI</w:t>
      </w:r>
      <w:r w:rsidRPr="00152508" w:rsidR="00E62DB8">
        <w:rPr>
          <w:i/>
          <w:iCs/>
        </w:rPr>
        <w:t xml:space="preserve"> Global </w:t>
      </w:r>
      <w:r w:rsidR="00E62DB8">
        <w:rPr>
          <w:i/>
          <w:iCs/>
        </w:rPr>
        <w:t>Services, L.L.C.</w:t>
      </w:r>
      <w:r w:rsidRPr="00152508" w:rsidR="00E62DB8">
        <w:rPr>
          <w:i/>
          <w:iCs/>
        </w:rPr>
        <w:t xml:space="preserve"> v. FCC</w:t>
      </w:r>
      <w:r w:rsidR="00E62DB8">
        <w:rPr>
          <w:i/>
          <w:iCs/>
        </w:rPr>
        <w:t>, et al.</w:t>
      </w:r>
      <w:r w:rsidRPr="00152508" w:rsidR="00E62DB8">
        <w:t>, No. 20</w:t>
      </w:r>
      <w:r w:rsidR="00E62DB8">
        <w:t>-1143</w:t>
      </w:r>
      <w:r w:rsidRPr="00152508" w:rsidR="00E62DB8">
        <w:t xml:space="preserve"> (D.C. Cir. filed </w:t>
      </w:r>
      <w:r w:rsidR="00E62DB8">
        <w:t>Apr. 28</w:t>
      </w:r>
      <w:r w:rsidRPr="00152508" w:rsidR="00E62DB8">
        <w:t>, 2020)</w:t>
      </w:r>
      <w:r w:rsidR="00E62DB8">
        <w:t>.</w:t>
      </w:r>
    </w:p>
  </w:footnote>
  <w:footnote w:id="67">
    <w:p w:rsidR="00A80B28" w14:paraId="42A20C2F" w14:textId="31116292">
      <w:pPr>
        <w:pStyle w:val="FootnoteText"/>
      </w:pPr>
      <w:r>
        <w:rPr>
          <w:rStyle w:val="FootnoteReference"/>
        </w:rPr>
        <w:footnoteRef/>
      </w:r>
      <w:r w:rsidRPr="00F257B5">
        <w:t xml:space="preserve"> PSSI Comments at 1</w:t>
      </w:r>
      <w:r>
        <w:t>0,</w:t>
      </w:r>
      <w:r w:rsidRPr="00F257B5">
        <w:t xml:space="preserve"> 20</w:t>
      </w:r>
      <w:r>
        <w:t xml:space="preserve"> and attached</w:t>
      </w:r>
      <w:r w:rsidRPr="00F257B5">
        <w:t xml:space="preserve"> Decl</w:t>
      </w:r>
      <w:r>
        <w:t>aration</w:t>
      </w:r>
      <w:r w:rsidRPr="00F257B5">
        <w:t xml:space="preserve"> of Robert C. Lamb (“Lamb Decl.”) </w:t>
      </w:r>
      <w:r w:rsidR="006A3C40">
        <w:t>para.</w:t>
      </w:r>
      <w:r w:rsidRPr="00F257B5">
        <w:t xml:space="preserve"> 16.</w:t>
      </w:r>
      <w:r>
        <w:rPr>
          <w:sz w:val="23"/>
          <w:szCs w:val="23"/>
        </w:rPr>
        <w:t xml:space="preserve"> </w:t>
      </w:r>
      <w:r>
        <w:t xml:space="preserve"> </w:t>
      </w:r>
    </w:p>
  </w:footnote>
  <w:footnote w:id="68">
    <w:p w:rsidR="00A80B28" w:rsidRPr="000416D8" w14:paraId="44C7992A" w14:textId="4AFA104C">
      <w:pPr>
        <w:pStyle w:val="FootnoteText"/>
      </w:pPr>
      <w:r w:rsidRPr="000416D8">
        <w:rPr>
          <w:rStyle w:val="FootnoteReference"/>
        </w:rPr>
        <w:footnoteRef/>
      </w:r>
      <w:r w:rsidRPr="000416D8">
        <w:t xml:space="preserve"> PSSI Comments at 20.</w:t>
      </w:r>
    </w:p>
  </w:footnote>
  <w:footnote w:id="69">
    <w:p w:rsidR="00A80B28" w:rsidRPr="00152508" w:rsidP="00152508" w14:paraId="73A563D6" w14:textId="33A20CE2">
      <w:pPr>
        <w:pStyle w:val="FootnoteText"/>
      </w:pPr>
      <w:r w:rsidRPr="00152508">
        <w:rPr>
          <w:rStyle w:val="FootnoteReference"/>
        </w:rPr>
        <w:footnoteRef/>
      </w:r>
      <w:r w:rsidRPr="00152508">
        <w:t xml:space="preserve"> </w:t>
      </w:r>
      <w:r w:rsidRPr="00152508">
        <w:rPr>
          <w:i/>
          <w:iCs/>
        </w:rPr>
        <w:t>Chaplaincy</w:t>
      </w:r>
      <w:r w:rsidRPr="00152508">
        <w:t xml:space="preserve">, 454 F.3d at 297; </w:t>
      </w:r>
      <w:r w:rsidRPr="00152508">
        <w:rPr>
          <w:i/>
          <w:iCs/>
        </w:rPr>
        <w:t xml:space="preserve">see Al </w:t>
      </w:r>
      <w:r w:rsidRPr="00152508">
        <w:rPr>
          <w:i/>
          <w:iCs/>
        </w:rPr>
        <w:t>Otro</w:t>
      </w:r>
      <w:r w:rsidRPr="00152508">
        <w:rPr>
          <w:i/>
          <w:iCs/>
        </w:rPr>
        <w:t xml:space="preserve"> </w:t>
      </w:r>
      <w:r w:rsidRPr="00152508">
        <w:rPr>
          <w:i/>
          <w:iCs/>
        </w:rPr>
        <w:t>Lado</w:t>
      </w:r>
      <w:r w:rsidRPr="00152508">
        <w:rPr>
          <w:i/>
          <w:iCs/>
        </w:rPr>
        <w:t xml:space="preserve"> v. Wolf</w:t>
      </w:r>
      <w:r w:rsidRPr="00152508">
        <w:t>, 952 F.3d 999, 1007 (9th Cir. 2020) (“The minimum threshold showing for a stay pending appeal requires that irreparable injury is likely to occur during the period before the appeal is likely to be decided.”).</w:t>
      </w:r>
    </w:p>
  </w:footnote>
  <w:footnote w:id="70">
    <w:p w:rsidR="00A80B28" w:rsidRPr="00FD3036" w:rsidP="00FD3036" w14:paraId="7524BC45" w14:textId="519F2709">
      <w:pPr>
        <w:autoSpaceDE w:val="0"/>
        <w:autoSpaceDN w:val="0"/>
        <w:adjustRightInd w:val="0"/>
        <w:spacing w:after="120"/>
        <w:rPr>
          <w:sz w:val="20"/>
        </w:rPr>
      </w:pPr>
      <w:r>
        <w:rPr>
          <w:rStyle w:val="FootnoteReference"/>
        </w:rPr>
        <w:footnoteRef/>
      </w:r>
      <w:r>
        <w:t xml:space="preserve"> </w:t>
      </w:r>
      <w:r w:rsidRPr="00FD3036">
        <w:rPr>
          <w:i/>
          <w:iCs/>
          <w:sz w:val="20"/>
        </w:rPr>
        <w:t>See</w:t>
      </w:r>
      <w:r w:rsidRPr="00FD3036">
        <w:rPr>
          <w:sz w:val="20"/>
        </w:rPr>
        <w:t xml:space="preserve"> Reply</w:t>
      </w:r>
      <w:r>
        <w:rPr>
          <w:sz w:val="20"/>
        </w:rPr>
        <w:t xml:space="preserve"> Comments of SES </w:t>
      </w:r>
      <w:r>
        <w:rPr>
          <w:sz w:val="20"/>
        </w:rPr>
        <w:t>Americom</w:t>
      </w:r>
      <w:r>
        <w:rPr>
          <w:sz w:val="20"/>
        </w:rPr>
        <w:t xml:space="preserve">, Inc. in GN Docket No. 18-122 </w:t>
      </w:r>
      <w:r w:rsidRPr="00FD3036">
        <w:rPr>
          <w:sz w:val="20"/>
        </w:rPr>
        <w:t xml:space="preserve">at 9 n.33 and accompanying text </w:t>
      </w:r>
      <w:r>
        <w:rPr>
          <w:sz w:val="20"/>
        </w:rPr>
        <w:t xml:space="preserve">(June 1, 2020) </w:t>
      </w:r>
      <w:r w:rsidRPr="00FD3036">
        <w:rPr>
          <w:sz w:val="20"/>
        </w:rPr>
        <w:t>(“As multiple stakeholders point out, the SSOs’ arguments have already been ‘presented, considered, and denied by the Commission.’”) (citing comments).</w:t>
      </w:r>
    </w:p>
  </w:footnote>
  <w:footnote w:id="71">
    <w:p w:rsidR="00A80B28" w:rsidRPr="00152508" w:rsidP="00152508" w14:paraId="0F26148D" w14:textId="02FF59FA">
      <w:pPr>
        <w:pStyle w:val="FootnoteText"/>
      </w:pPr>
      <w:r w:rsidRPr="00152508">
        <w:rPr>
          <w:rStyle w:val="FootnoteReference"/>
        </w:rPr>
        <w:footnoteRef/>
      </w:r>
      <w:r w:rsidRPr="00152508">
        <w:t xml:space="preserve"> </w:t>
      </w:r>
      <w:r w:rsidR="00B161B1">
        <w:rPr>
          <w:i/>
          <w:iCs/>
        </w:rPr>
        <w:t xml:space="preserve">3.7 GHz Report and </w:t>
      </w:r>
      <w:r w:rsidRPr="00152508">
        <w:rPr>
          <w:i/>
          <w:iCs/>
        </w:rPr>
        <w:t>Order</w:t>
      </w:r>
      <w:r w:rsidR="006A0EF5">
        <w:t xml:space="preserve">, 35 FCC </w:t>
      </w:r>
      <w:r w:rsidR="006A0EF5">
        <w:t>Rcd</w:t>
      </w:r>
      <w:r w:rsidRPr="00152508">
        <w:t xml:space="preserve"> </w:t>
      </w:r>
      <w:r w:rsidR="000E0889">
        <w:t>at 2394-</w:t>
      </w:r>
      <w:r w:rsidR="00981EF1">
        <w:t>2405, paras.</w:t>
      </w:r>
      <w:r w:rsidRPr="00152508">
        <w:t xml:space="preserve"> 125-46.</w:t>
      </w:r>
    </w:p>
  </w:footnote>
  <w:footnote w:id="72">
    <w:p w:rsidR="00A80B28" w:rsidRPr="00152508" w:rsidP="00152508" w14:paraId="475CE029" w14:textId="192B849E">
      <w:pPr>
        <w:pStyle w:val="FootnoteText"/>
      </w:pPr>
      <w:r w:rsidRPr="00152508">
        <w:rPr>
          <w:rStyle w:val="FootnoteReference"/>
        </w:rPr>
        <w:footnoteRef/>
      </w:r>
      <w:r w:rsidRPr="00152508">
        <w:t xml:space="preserve"> </w:t>
      </w:r>
      <w:r w:rsidRPr="00152508">
        <w:rPr>
          <w:i/>
          <w:iCs/>
        </w:rPr>
        <w:t xml:space="preserve">Id. </w:t>
      </w:r>
      <w:r w:rsidR="000E0889">
        <w:t>at 2394-</w:t>
      </w:r>
      <w:r w:rsidR="00981EF1">
        <w:t>97, paras.</w:t>
      </w:r>
      <w:r w:rsidRPr="00152508">
        <w:t xml:space="preserve"> 125-31.</w:t>
      </w:r>
    </w:p>
  </w:footnote>
  <w:footnote w:id="73">
    <w:p w:rsidR="00A80B28" w:rsidRPr="00152508" w:rsidP="003E27C1" w14:paraId="7837C8AD" w14:textId="358B6F1A">
      <w:pPr>
        <w:autoSpaceDE w:val="0"/>
        <w:autoSpaceDN w:val="0"/>
        <w:adjustRightInd w:val="0"/>
        <w:spacing w:after="120"/>
      </w:pPr>
      <w:r w:rsidRPr="00152508">
        <w:rPr>
          <w:rStyle w:val="FootnoteReference"/>
        </w:rPr>
        <w:footnoteRef/>
      </w:r>
      <w:r w:rsidRPr="00152508">
        <w:t xml:space="preserve"> </w:t>
      </w:r>
      <w:r w:rsidRPr="00FD3036">
        <w:rPr>
          <w:sz w:val="20"/>
        </w:rPr>
        <w:t xml:space="preserve">Stay Pet. at 10-11; </w:t>
      </w:r>
      <w:r w:rsidRPr="00FD3036">
        <w:rPr>
          <w:i/>
          <w:iCs/>
          <w:sz w:val="20"/>
        </w:rPr>
        <w:t xml:space="preserve">see </w:t>
      </w:r>
      <w:r w:rsidR="00D9046C">
        <w:rPr>
          <w:i/>
          <w:iCs/>
          <w:sz w:val="20"/>
        </w:rPr>
        <w:t>3</w:t>
      </w:r>
      <w:r w:rsidR="00C22C22">
        <w:rPr>
          <w:i/>
          <w:iCs/>
          <w:sz w:val="20"/>
        </w:rPr>
        <w:t>.</w:t>
      </w:r>
      <w:r w:rsidR="00D9046C">
        <w:rPr>
          <w:i/>
          <w:iCs/>
          <w:sz w:val="20"/>
        </w:rPr>
        <w:t xml:space="preserve">7 GHz Report and </w:t>
      </w:r>
      <w:r w:rsidRPr="00FD3036">
        <w:rPr>
          <w:i/>
          <w:iCs/>
          <w:sz w:val="20"/>
        </w:rPr>
        <w:t xml:space="preserve">Order </w:t>
      </w:r>
      <w:r w:rsidR="00D9046C">
        <w:rPr>
          <w:sz w:val="20"/>
        </w:rPr>
        <w:t xml:space="preserve">at </w:t>
      </w:r>
      <w:r w:rsidR="00C22C22">
        <w:rPr>
          <w:sz w:val="20"/>
        </w:rPr>
        <w:t>2399-</w:t>
      </w:r>
      <w:r w:rsidR="00D9046C">
        <w:rPr>
          <w:sz w:val="20"/>
        </w:rPr>
        <w:t>2402</w:t>
      </w:r>
      <w:r w:rsidR="009F14BF">
        <w:rPr>
          <w:sz w:val="20"/>
        </w:rPr>
        <w:t>,</w:t>
      </w:r>
      <w:r w:rsidRPr="00FD3036">
        <w:rPr>
          <w:sz w:val="20"/>
        </w:rPr>
        <w:t xml:space="preserve"> </w:t>
      </w:r>
      <w:r w:rsidR="009F14BF">
        <w:rPr>
          <w:sz w:val="20"/>
        </w:rPr>
        <w:t>paras.</w:t>
      </w:r>
      <w:r w:rsidRPr="00FD3036">
        <w:rPr>
          <w:sz w:val="20"/>
        </w:rPr>
        <w:t xml:space="preserve"> 135-40 (rejecting arguments of the Small Satellite Operators and others “that eliminating their right to operate and be protected from harmful interference over the lower 300 megahertz of the C-</w:t>
      </w:r>
      <w:r w:rsidR="008F7547">
        <w:rPr>
          <w:sz w:val="20"/>
        </w:rPr>
        <w:t>b</w:t>
      </w:r>
      <w:r w:rsidRPr="00FD3036">
        <w:rPr>
          <w:sz w:val="20"/>
        </w:rPr>
        <w:t xml:space="preserve">and without their consent would constitute a fundamental change” to their licenses and authorizations and “impermissibly alter their ability to expand their services to additional customers.”); </w:t>
      </w:r>
      <w:r w:rsidRPr="00FD3036">
        <w:rPr>
          <w:i/>
          <w:iCs/>
          <w:sz w:val="20"/>
        </w:rPr>
        <w:t>see also</w:t>
      </w:r>
      <w:r w:rsidRPr="00FD3036">
        <w:rPr>
          <w:sz w:val="20"/>
        </w:rPr>
        <w:t xml:space="preserve"> SES Reply at 10 (PSSI “parrots the SSOs’ argument, asserting the Commission fundamentally changed the SSOs’ authorizations by ‘[r]</w:t>
      </w:r>
      <w:r w:rsidRPr="00FD3036">
        <w:rPr>
          <w:sz w:val="20"/>
        </w:rPr>
        <w:t>emov</w:t>
      </w:r>
      <w:r w:rsidRPr="00FD3036">
        <w:rPr>
          <w:sz w:val="20"/>
        </w:rPr>
        <w:t>[</w:t>
      </w:r>
      <w:r w:rsidRPr="00FD3036">
        <w:rPr>
          <w:sz w:val="20"/>
        </w:rPr>
        <w:t>ing</w:t>
      </w:r>
      <w:r w:rsidRPr="00FD3036">
        <w:rPr>
          <w:sz w:val="20"/>
        </w:rPr>
        <w:t xml:space="preserve">] 60% of the usable spectrum.’”).      </w:t>
      </w:r>
    </w:p>
  </w:footnote>
  <w:footnote w:id="74">
    <w:p w:rsidR="00A80B28" w:rsidRPr="00152508" w:rsidP="00152508" w14:paraId="1E939B59" w14:textId="413210C9">
      <w:pPr>
        <w:pStyle w:val="FootnoteText"/>
      </w:pPr>
      <w:r w:rsidRPr="00152508">
        <w:rPr>
          <w:rStyle w:val="FootnoteReference"/>
        </w:rPr>
        <w:footnoteRef/>
      </w:r>
      <w:r w:rsidRPr="00152508">
        <w:t xml:space="preserve"> </w:t>
      </w:r>
      <w:r w:rsidR="00C22C22">
        <w:rPr>
          <w:i/>
          <w:iCs/>
        </w:rPr>
        <w:t xml:space="preserve">3.7 GHz Report and </w:t>
      </w:r>
      <w:r w:rsidRPr="00152508">
        <w:rPr>
          <w:i/>
          <w:iCs/>
        </w:rPr>
        <w:t>Order</w:t>
      </w:r>
      <w:r w:rsidRPr="00152508">
        <w:t xml:space="preserve"> </w:t>
      </w:r>
      <w:r w:rsidR="00C22C22">
        <w:t>at 2399</w:t>
      </w:r>
      <w:r w:rsidR="009F14BF">
        <w:t>-2400</w:t>
      </w:r>
      <w:r w:rsidR="00C22C22">
        <w:t>, para.</w:t>
      </w:r>
      <w:r w:rsidRPr="00152508">
        <w:t xml:space="preserve"> 135.</w:t>
      </w:r>
    </w:p>
  </w:footnote>
  <w:footnote w:id="75">
    <w:p w:rsidR="00A80B28" w:rsidRPr="00152508" w:rsidP="00152508" w14:paraId="46F4849D" w14:textId="24D8E0F2">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w:t>
      </w:r>
      <w:r w:rsidRPr="00152508">
        <w:rPr>
          <w:i/>
          <w:iCs/>
          <w:sz w:val="20"/>
        </w:rPr>
        <w:t>Id</w:t>
      </w:r>
      <w:r w:rsidRPr="00152508">
        <w:rPr>
          <w:sz w:val="20"/>
        </w:rPr>
        <w:t xml:space="preserve">. </w:t>
      </w:r>
    </w:p>
  </w:footnote>
  <w:footnote w:id="76">
    <w:p w:rsidR="00A80B28" w:rsidRPr="00152508" w:rsidP="00152508" w14:paraId="6B9AE871" w14:textId="77777777">
      <w:pPr>
        <w:pStyle w:val="FootnoteText"/>
      </w:pPr>
      <w:r w:rsidRPr="00152508">
        <w:rPr>
          <w:rStyle w:val="FootnoteReference"/>
        </w:rPr>
        <w:footnoteRef/>
      </w:r>
      <w:r w:rsidRPr="00152508">
        <w:t xml:space="preserve"> Stay Pet. at 11-12.</w:t>
      </w:r>
    </w:p>
  </w:footnote>
  <w:footnote w:id="77">
    <w:p w:rsidR="00A80B28" w:rsidRPr="00152508" w:rsidP="00152508" w14:paraId="476C7547" w14:textId="60E03B37">
      <w:pPr>
        <w:pStyle w:val="FootnoteText"/>
      </w:pPr>
      <w:r w:rsidRPr="00152508">
        <w:rPr>
          <w:rStyle w:val="FootnoteReference"/>
        </w:rPr>
        <w:footnoteRef/>
      </w:r>
      <w:r w:rsidRPr="00152508">
        <w:t xml:space="preserve"> 47 U.S.C. § 303(y).</w:t>
      </w:r>
    </w:p>
  </w:footnote>
  <w:footnote w:id="78">
    <w:p w:rsidR="00A80B28" w:rsidRPr="00152508" w:rsidP="00152508" w14:paraId="0D7F8D59" w14:textId="38BACEC7">
      <w:pPr>
        <w:pStyle w:val="FootnoteText"/>
      </w:pPr>
      <w:r w:rsidRPr="00152508">
        <w:rPr>
          <w:rStyle w:val="FootnoteReference"/>
        </w:rPr>
        <w:footnoteRef/>
      </w:r>
      <w:r w:rsidRPr="00152508">
        <w:rPr>
          <w:i/>
          <w:iCs/>
        </w:rPr>
        <w:t xml:space="preserve"> </w:t>
      </w:r>
      <w:r w:rsidR="00210CFB">
        <w:rPr>
          <w:i/>
          <w:iCs/>
        </w:rPr>
        <w:t xml:space="preserve">3.7 GHz Report and </w:t>
      </w:r>
      <w:r w:rsidRPr="00152508">
        <w:rPr>
          <w:i/>
          <w:iCs/>
        </w:rPr>
        <w:t>Order</w:t>
      </w:r>
      <w:r w:rsidRPr="00152508">
        <w:t xml:space="preserve"> </w:t>
      </w:r>
      <w:r w:rsidR="00210CFB">
        <w:t xml:space="preserve">at </w:t>
      </w:r>
      <w:r w:rsidR="00CD24A0">
        <w:t>2370-71, para.</w:t>
      </w:r>
      <w:r w:rsidRPr="00152508">
        <w:t xml:space="preserve"> 55.</w:t>
      </w:r>
    </w:p>
  </w:footnote>
  <w:footnote w:id="79">
    <w:p w:rsidR="00A80B28" w:rsidRPr="00152508" w:rsidP="00152508" w14:paraId="6EEA5F6E" w14:textId="47D2661D">
      <w:pPr>
        <w:pStyle w:val="FootnoteText"/>
      </w:pPr>
      <w:r w:rsidRPr="00152508">
        <w:rPr>
          <w:rStyle w:val="FootnoteReference"/>
        </w:rPr>
        <w:footnoteRef/>
      </w:r>
      <w:r w:rsidRPr="00152508">
        <w:t xml:space="preserve"> 47 U.S.C. § 309(j)(8)(G)(</w:t>
      </w:r>
      <w:r w:rsidRPr="00152508">
        <w:t>i</w:t>
      </w:r>
      <w:r w:rsidRPr="00152508">
        <w:t xml:space="preserve">) (“the Commission </w:t>
      </w:r>
      <w:r w:rsidRPr="00152508">
        <w:rPr>
          <w:i/>
          <w:iCs/>
        </w:rPr>
        <w:t>may</w:t>
      </w:r>
      <w:r w:rsidRPr="00152508">
        <w:t xml:space="preserve"> encourage a licensee to relinquish voluntarily some or all of its licensed spectrum usage rights”) (emphasis added).</w:t>
      </w:r>
    </w:p>
  </w:footnote>
  <w:footnote w:id="80">
    <w:p w:rsidR="00A80B28" w:rsidRPr="00152508" w:rsidP="00152508" w14:paraId="45A139A5" w14:textId="719B8760">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w:t>
      </w:r>
      <w:r w:rsidR="00D0014F">
        <w:rPr>
          <w:i/>
          <w:iCs/>
          <w:sz w:val="20"/>
        </w:rPr>
        <w:t>3.7 GHz Report and Order</w:t>
      </w:r>
      <w:r w:rsidRPr="00152508">
        <w:rPr>
          <w:sz w:val="20"/>
        </w:rPr>
        <w:t xml:space="preserve"> </w:t>
      </w:r>
      <w:r w:rsidR="00CD24A0">
        <w:rPr>
          <w:sz w:val="20"/>
        </w:rPr>
        <w:t xml:space="preserve">at </w:t>
      </w:r>
      <w:r w:rsidR="004A4894">
        <w:rPr>
          <w:sz w:val="20"/>
        </w:rPr>
        <w:t xml:space="preserve">2365-66, paras. </w:t>
      </w:r>
      <w:r w:rsidRPr="00152508">
        <w:rPr>
          <w:sz w:val="20"/>
        </w:rPr>
        <w:t xml:space="preserve">43-44. </w:t>
      </w:r>
    </w:p>
  </w:footnote>
  <w:footnote w:id="81">
    <w:p w:rsidR="00A80B28" w:rsidRPr="00152508" w:rsidP="00152508" w14:paraId="2B02602C" w14:textId="11072A94">
      <w:pPr>
        <w:pStyle w:val="FootnoteText"/>
      </w:pPr>
      <w:r w:rsidRPr="00152508">
        <w:rPr>
          <w:rStyle w:val="FootnoteReference"/>
        </w:rPr>
        <w:footnoteRef/>
      </w:r>
      <w:r w:rsidRPr="00152508">
        <w:t xml:space="preserve"> Stay Pet.</w:t>
      </w:r>
      <w:r w:rsidRPr="00152508">
        <w:rPr>
          <w:i/>
          <w:iCs/>
        </w:rPr>
        <w:t xml:space="preserve"> </w:t>
      </w:r>
      <w:r w:rsidRPr="00152508">
        <w:t>at 13.</w:t>
      </w:r>
    </w:p>
  </w:footnote>
  <w:footnote w:id="82">
    <w:p w:rsidR="001B08BA" w:rsidRPr="00152508" w:rsidP="001B08BA" w14:paraId="73EEABA9" w14:textId="59B7DDC0">
      <w:pPr>
        <w:pStyle w:val="FootnoteText"/>
      </w:pPr>
      <w:r w:rsidRPr="00152508">
        <w:rPr>
          <w:rStyle w:val="FootnoteReference"/>
        </w:rPr>
        <w:footnoteRef/>
      </w:r>
      <w:r w:rsidRPr="00152508">
        <w:t xml:space="preserve"> </w:t>
      </w:r>
      <w:r w:rsidRPr="00152508">
        <w:rPr>
          <w:i/>
          <w:iCs/>
        </w:rPr>
        <w:t>Cal. Metro Mobile Commc’ns, Inc. v. FCC</w:t>
      </w:r>
      <w:r w:rsidRPr="00152508">
        <w:t xml:space="preserve">, 365 F.3d 38, 45 (D.C. Cir. 2004).   </w:t>
      </w:r>
    </w:p>
  </w:footnote>
  <w:footnote w:id="83">
    <w:p w:rsidR="00A80B28" w:rsidRPr="00152508" w:rsidP="00152508" w14:paraId="618AB854" w14:textId="76A55AF8">
      <w:pPr>
        <w:pStyle w:val="FootnoteText"/>
      </w:pPr>
      <w:r w:rsidRPr="00152508">
        <w:rPr>
          <w:rStyle w:val="FootnoteReference"/>
        </w:rPr>
        <w:footnoteRef/>
      </w:r>
      <w:r w:rsidRPr="00152508">
        <w:t xml:space="preserve"> Stay Pet. at 13.</w:t>
      </w:r>
    </w:p>
  </w:footnote>
  <w:footnote w:id="84">
    <w:p w:rsidR="004730AB" w14:paraId="5C87374A" w14:textId="59BBCD68">
      <w:pPr>
        <w:pStyle w:val="FootnoteText"/>
      </w:pPr>
      <w:r>
        <w:rPr>
          <w:rStyle w:val="FootnoteReference"/>
        </w:rPr>
        <w:footnoteRef/>
      </w:r>
      <w:r>
        <w:t xml:space="preserve"> </w:t>
      </w:r>
      <w:r>
        <w:rPr>
          <w:i/>
          <w:iCs/>
        </w:rPr>
        <w:t xml:space="preserve">3.7 GHz Report and </w:t>
      </w:r>
      <w:r w:rsidRPr="00152508">
        <w:rPr>
          <w:i/>
          <w:iCs/>
        </w:rPr>
        <w:t>Order</w:t>
      </w:r>
      <w:r>
        <w:t xml:space="preserve">, 35 FCC </w:t>
      </w:r>
      <w:r>
        <w:t>Rcd</w:t>
      </w:r>
      <w:r>
        <w:t xml:space="preserve"> at 2397,</w:t>
      </w:r>
      <w:r w:rsidRPr="00152508">
        <w:t xml:space="preserve"> </w:t>
      </w:r>
      <w:r>
        <w:t>para.</w:t>
      </w:r>
      <w:r w:rsidRPr="00152508">
        <w:t xml:space="preserve"> 130.</w:t>
      </w:r>
    </w:p>
  </w:footnote>
  <w:footnote w:id="85">
    <w:p w:rsidR="00636AC2" w:rsidRPr="00152508" w:rsidP="00636AC2" w14:paraId="0B9BA48D" w14:textId="77777777">
      <w:pPr>
        <w:pStyle w:val="FootnoteText"/>
      </w:pPr>
      <w:r w:rsidRPr="00152508">
        <w:rPr>
          <w:rStyle w:val="FootnoteReference"/>
        </w:rPr>
        <w:footnoteRef/>
      </w:r>
      <w:r w:rsidRPr="00152508">
        <w:t xml:space="preserve"> Stay Pet. 16-17.</w:t>
      </w:r>
    </w:p>
  </w:footnote>
  <w:footnote w:id="86">
    <w:p w:rsidR="00636AC2" w:rsidRPr="00152508" w:rsidP="00636AC2" w14:paraId="6D0468EC" w14:textId="644364A2">
      <w:pPr>
        <w:pStyle w:val="FootnoteText"/>
      </w:pPr>
      <w:r w:rsidRPr="00152508">
        <w:rPr>
          <w:rStyle w:val="FootnoteReference"/>
        </w:rPr>
        <w:footnoteRef/>
      </w:r>
      <w:r w:rsidRPr="00152508">
        <w:t xml:space="preserve"> </w:t>
      </w:r>
      <w:r w:rsidR="004A4894">
        <w:rPr>
          <w:i/>
          <w:iCs/>
        </w:rPr>
        <w:t xml:space="preserve">3.7 GHz Report and </w:t>
      </w:r>
      <w:r w:rsidRPr="00152508">
        <w:rPr>
          <w:i/>
          <w:iCs/>
        </w:rPr>
        <w:t>Order</w:t>
      </w:r>
      <w:r>
        <w:t xml:space="preserve"> </w:t>
      </w:r>
      <w:r w:rsidR="004A4894">
        <w:t>at</w:t>
      </w:r>
      <w:r>
        <w:t xml:space="preserve"> </w:t>
      </w:r>
      <w:r w:rsidR="00712E7E">
        <w:t>2391,</w:t>
      </w:r>
      <w:r>
        <w:t xml:space="preserve"> </w:t>
      </w:r>
      <w:r w:rsidR="00C7517A">
        <w:t>2423-24, paras,</w:t>
      </w:r>
      <w:r w:rsidRPr="00152508">
        <w:t xml:space="preserve"> 111, 196 n.526 and accompanying text.</w:t>
      </w:r>
    </w:p>
  </w:footnote>
  <w:footnote w:id="87">
    <w:p w:rsidR="00636AC2" w:rsidRPr="00152508" w:rsidP="00636AC2" w14:paraId="5D3A0C4F" w14:textId="2C64DF02">
      <w:pPr>
        <w:pStyle w:val="FootnoteText"/>
      </w:pPr>
      <w:r w:rsidRPr="00152508">
        <w:rPr>
          <w:rStyle w:val="FootnoteReference"/>
        </w:rPr>
        <w:footnoteRef/>
      </w:r>
      <w:r w:rsidRPr="00152508">
        <w:t xml:space="preserve"> Stay Pet. </w:t>
      </w:r>
      <w:r w:rsidR="00456207">
        <w:t xml:space="preserve">at </w:t>
      </w:r>
      <w:r w:rsidRPr="00152508">
        <w:t>17</w:t>
      </w:r>
      <w:r w:rsidR="00456207">
        <w:t>,</w:t>
      </w:r>
      <w:r w:rsidRPr="00152508">
        <w:t xml:space="preserve"> n.66 &amp; accompanying text.</w:t>
      </w:r>
    </w:p>
  </w:footnote>
  <w:footnote w:id="88">
    <w:p w:rsidR="00636AC2" w:rsidRPr="00152508" w:rsidP="00636AC2" w14:paraId="227FEF94" w14:textId="08789896">
      <w:pPr>
        <w:pStyle w:val="FootnoteText"/>
      </w:pPr>
      <w:r w:rsidRPr="00152508">
        <w:rPr>
          <w:rStyle w:val="FootnoteReference"/>
        </w:rPr>
        <w:footnoteRef/>
      </w:r>
      <w:r w:rsidRPr="00152508">
        <w:t xml:space="preserve"> </w:t>
      </w:r>
      <w:r w:rsidR="003B2C21">
        <w:rPr>
          <w:i/>
          <w:iCs/>
        </w:rPr>
        <w:t xml:space="preserve">3.7 GHz Report and </w:t>
      </w:r>
      <w:r w:rsidRPr="00152508">
        <w:rPr>
          <w:i/>
          <w:iCs/>
        </w:rPr>
        <w:t>Order</w:t>
      </w:r>
      <w:r w:rsidR="003B2C21">
        <w:t xml:space="preserve">, 35 FCC </w:t>
      </w:r>
      <w:r w:rsidR="003B2C21">
        <w:t>Rcd</w:t>
      </w:r>
      <w:r w:rsidR="003B2C21">
        <w:t xml:space="preserve"> at 2363-64, para.</w:t>
      </w:r>
      <w:r w:rsidRPr="00152508">
        <w:t xml:space="preserve"> 40.</w:t>
      </w:r>
    </w:p>
  </w:footnote>
  <w:footnote w:id="89">
    <w:p w:rsidR="00A80B28" w:rsidRPr="00152508" w:rsidP="00152508" w14:paraId="1B5AE552" w14:textId="15825E07">
      <w:pPr>
        <w:pStyle w:val="FootnoteText"/>
      </w:pPr>
      <w:r w:rsidRPr="00152508">
        <w:rPr>
          <w:rStyle w:val="FootnoteReference"/>
        </w:rPr>
        <w:footnoteRef/>
      </w:r>
      <w:r w:rsidRPr="00152508">
        <w:t xml:space="preserve"> Verizon Opp. at 14 (citing </w:t>
      </w:r>
      <w:r w:rsidR="00681120">
        <w:rPr>
          <w:i/>
          <w:iCs/>
        </w:rPr>
        <w:t>3.7 GHz Report and Order</w:t>
      </w:r>
      <w:r w:rsidR="00681120">
        <w:t xml:space="preserve">, 35 FCC </w:t>
      </w:r>
      <w:r w:rsidR="00681120">
        <w:t>Rcd</w:t>
      </w:r>
      <w:r w:rsidR="00681120">
        <w:t xml:space="preserve"> at 2394-95,</w:t>
      </w:r>
      <w:r w:rsidR="00681120">
        <w:rPr>
          <w:i/>
          <w:iCs/>
        </w:rPr>
        <w:t xml:space="preserve"> </w:t>
      </w:r>
      <w:r w:rsidR="00CE26E0">
        <w:t>para.</w:t>
      </w:r>
      <w:r w:rsidRPr="00152508">
        <w:t xml:space="preserve"> 126). </w:t>
      </w:r>
      <w:r w:rsidR="00D76C76">
        <w:t xml:space="preserve"> </w:t>
      </w:r>
      <w:r w:rsidRPr="00152508">
        <w:t xml:space="preserve">Petitioners’ asserted right to compensation for their spectrum access rights (Stay Pet. at 11-12) is irrelevant to the scope of the FCC’s Section 316 authority. Nor does one satellite operator’s provisional challenge of the final transition deadline have anything to do with Section 316. </w:t>
      </w:r>
      <w:r w:rsidR="00D76C76">
        <w:t xml:space="preserve"> </w:t>
      </w:r>
      <w:r w:rsidRPr="00152508">
        <w:rPr>
          <w:i/>
          <w:iCs/>
        </w:rPr>
        <w:t xml:space="preserve">See </w:t>
      </w:r>
      <w:r w:rsidR="000111F8">
        <w:t xml:space="preserve">Petitioners’ </w:t>
      </w:r>
      <w:r w:rsidRPr="00152508">
        <w:t>Reply at 8-9.</w:t>
      </w:r>
    </w:p>
  </w:footnote>
  <w:footnote w:id="90">
    <w:p w:rsidR="00A80B28" w:rsidP="00CB1EF6" w14:paraId="6B7A7C44" w14:textId="77777777">
      <w:pPr>
        <w:pStyle w:val="FootnoteText"/>
      </w:pPr>
      <w:r>
        <w:rPr>
          <w:rStyle w:val="FootnoteReference"/>
        </w:rPr>
        <w:footnoteRef/>
      </w:r>
      <w:r>
        <w:t xml:space="preserve"> PSSI Comments at 14-17. </w:t>
      </w:r>
    </w:p>
  </w:footnote>
  <w:footnote w:id="91">
    <w:p w:rsidR="002361E1" w14:paraId="3A427723" w14:textId="415EDC2F">
      <w:pPr>
        <w:pStyle w:val="FootnoteText"/>
      </w:pPr>
      <w:r>
        <w:rPr>
          <w:rStyle w:val="FootnoteReference"/>
        </w:rPr>
        <w:footnoteRef/>
      </w:r>
      <w:r>
        <w:t xml:space="preserve"> </w:t>
      </w:r>
      <w:r w:rsidR="00045963">
        <w:t>A transponder receives and transmits radio signals.</w:t>
      </w:r>
      <w:r w:rsidR="004316E8">
        <w:t xml:space="preserve"> </w:t>
      </w:r>
      <w:r w:rsidR="00045963">
        <w:t xml:space="preserve"> </w:t>
      </w:r>
      <w:r w:rsidRPr="002C3423" w:rsidR="00045963">
        <w:t xml:space="preserve">“Satellites operating in the C-band typically have 24 transponders, each with a bandwidth of 36 megahertz. </w:t>
      </w:r>
      <w:r w:rsidR="004316E8">
        <w:t xml:space="preserve"> </w:t>
      </w:r>
      <w:r w:rsidRPr="002C3423" w:rsidR="00045963">
        <w:t xml:space="preserve">Thus, the 24 transponders on a satellite use 864 megahertz of spectrum, or 364 megahertz more than the 500 megahertz available. </w:t>
      </w:r>
      <w:r w:rsidR="004316E8">
        <w:t xml:space="preserve"> </w:t>
      </w:r>
      <w:r w:rsidRPr="002C3423" w:rsidR="00045963">
        <w:t>This is the result of spectrum reuse—adjacent transponders overlap, and self-interference is avoided by using opposite polarizations.</w:t>
      </w:r>
      <w:r w:rsidR="00045963">
        <w:t xml:space="preserve">” </w:t>
      </w:r>
      <w:r w:rsidR="009D6031">
        <w:t xml:space="preserve"> </w:t>
      </w:r>
      <w:r w:rsidR="004C0578">
        <w:rPr>
          <w:i/>
          <w:iCs/>
        </w:rPr>
        <w:t xml:space="preserve">3.7 GHz Report and </w:t>
      </w:r>
      <w:r w:rsidR="00045963">
        <w:rPr>
          <w:i/>
          <w:iCs/>
        </w:rPr>
        <w:t>Order</w:t>
      </w:r>
      <w:r w:rsidR="00AC15EB">
        <w:t xml:space="preserve">, 35 FCC </w:t>
      </w:r>
      <w:r w:rsidR="00AC15EB">
        <w:t>Rcd</w:t>
      </w:r>
      <w:r w:rsidR="00AC15EB">
        <w:t xml:space="preserve"> at 2348, para.</w:t>
      </w:r>
      <w:r w:rsidR="00045963">
        <w:t xml:space="preserve"> 9.</w:t>
      </w:r>
    </w:p>
  </w:footnote>
  <w:footnote w:id="92">
    <w:p w:rsidR="00A80B28" w:rsidRPr="002C3423" w:rsidP="00CB1EF6" w14:paraId="54FE2BE5" w14:textId="14765F75">
      <w:pPr>
        <w:pStyle w:val="FootnoteText"/>
      </w:pPr>
      <w:r>
        <w:rPr>
          <w:rStyle w:val="FootnoteReference"/>
        </w:rPr>
        <w:footnoteRef/>
      </w:r>
      <w:r>
        <w:t xml:space="preserve"> </w:t>
      </w:r>
      <w:r w:rsidR="008B040E">
        <w:t xml:space="preserve">PSSI Comments at </w:t>
      </w:r>
      <w:r w:rsidR="007130B5">
        <w:t>5-6.</w:t>
      </w:r>
    </w:p>
  </w:footnote>
  <w:footnote w:id="93">
    <w:p w:rsidR="00A80B28" w:rsidP="00CB1EF6" w14:paraId="35E6DF50" w14:textId="6337290D">
      <w:pPr>
        <w:pStyle w:val="FootnoteText"/>
      </w:pPr>
      <w:r>
        <w:rPr>
          <w:rStyle w:val="FootnoteReference"/>
        </w:rPr>
        <w:footnoteRef/>
      </w:r>
      <w:r w:rsidRPr="00F257B5">
        <w:t xml:space="preserve"> </w:t>
      </w:r>
      <w:r>
        <w:rPr>
          <w:i/>
          <w:iCs/>
        </w:rPr>
        <w:t xml:space="preserve">See </w:t>
      </w:r>
      <w:r w:rsidRPr="00F257B5">
        <w:t>PSSI Comments at 1</w:t>
      </w:r>
      <w:r>
        <w:t>0,</w:t>
      </w:r>
      <w:r w:rsidRPr="00F257B5">
        <w:t xml:space="preserve"> 20</w:t>
      </w:r>
      <w:r>
        <w:t xml:space="preserve"> and </w:t>
      </w:r>
      <w:r w:rsidRPr="00F257B5">
        <w:t xml:space="preserve">Lamb Decl. </w:t>
      </w:r>
      <w:r w:rsidR="00343762">
        <w:t>para.</w:t>
      </w:r>
      <w:r w:rsidRPr="00F257B5" w:rsidR="00343762">
        <w:t xml:space="preserve"> </w:t>
      </w:r>
      <w:r w:rsidRPr="00F257B5">
        <w:t>16.</w:t>
      </w:r>
      <w:r>
        <w:rPr>
          <w:sz w:val="23"/>
          <w:szCs w:val="23"/>
        </w:rPr>
        <w:t xml:space="preserve"> </w:t>
      </w:r>
      <w:r>
        <w:t xml:space="preserve"> </w:t>
      </w:r>
    </w:p>
  </w:footnote>
  <w:footnote w:id="94">
    <w:p w:rsidR="00A80B28" w:rsidRPr="000416D8" w:rsidP="00CB1EF6" w14:paraId="7511C1D9" w14:textId="77777777">
      <w:pPr>
        <w:pStyle w:val="FootnoteText"/>
      </w:pPr>
      <w:r w:rsidRPr="000416D8">
        <w:rPr>
          <w:rStyle w:val="FootnoteReference"/>
        </w:rPr>
        <w:footnoteRef/>
      </w:r>
      <w:r w:rsidRPr="000416D8">
        <w:t xml:space="preserve"> PSSI Comments at 20.</w:t>
      </w:r>
    </w:p>
  </w:footnote>
  <w:footnote w:id="95">
    <w:p w:rsidR="00A80B28" w:rsidRPr="00CF4AA4" w:rsidP="00CB1EF6" w14:paraId="45468E1A" w14:textId="564CEDCF">
      <w:pPr>
        <w:pStyle w:val="Default"/>
        <w:spacing w:after="120"/>
        <w:rPr>
          <w:sz w:val="20"/>
          <w:szCs w:val="20"/>
        </w:rPr>
      </w:pPr>
      <w:r w:rsidRPr="00B6606E">
        <w:rPr>
          <w:rStyle w:val="FootnoteReference"/>
          <w:szCs w:val="20"/>
        </w:rPr>
        <w:footnoteRef/>
      </w:r>
      <w:r w:rsidRPr="00B6606E">
        <w:rPr>
          <w:sz w:val="20"/>
          <w:szCs w:val="20"/>
        </w:rPr>
        <w:t xml:space="preserve"> </w:t>
      </w:r>
      <w:r w:rsidRPr="00B6606E">
        <w:rPr>
          <w:i/>
          <w:iCs/>
          <w:sz w:val="20"/>
          <w:szCs w:val="20"/>
        </w:rPr>
        <w:t xml:space="preserve">See </w:t>
      </w:r>
      <w:r w:rsidR="00343762">
        <w:rPr>
          <w:i/>
          <w:iCs/>
          <w:sz w:val="20"/>
          <w:szCs w:val="20"/>
        </w:rPr>
        <w:t xml:space="preserve">3.7 GHz Report and </w:t>
      </w:r>
      <w:r w:rsidRPr="003101D6">
        <w:rPr>
          <w:i/>
          <w:sz w:val="20"/>
          <w:szCs w:val="20"/>
        </w:rPr>
        <w:t>Order</w:t>
      </w:r>
      <w:r w:rsidR="00E31682">
        <w:rPr>
          <w:iCs/>
          <w:sz w:val="20"/>
          <w:szCs w:val="20"/>
        </w:rPr>
        <w:t xml:space="preserve">, 35 FCC </w:t>
      </w:r>
      <w:r w:rsidR="00E31682">
        <w:rPr>
          <w:iCs/>
          <w:sz w:val="20"/>
          <w:szCs w:val="20"/>
        </w:rPr>
        <w:t>Rcd</w:t>
      </w:r>
      <w:r w:rsidR="00E31682">
        <w:rPr>
          <w:iCs/>
          <w:sz w:val="20"/>
          <w:szCs w:val="20"/>
        </w:rPr>
        <w:t xml:space="preserve"> at 2406,</w:t>
      </w:r>
      <w:r w:rsidRPr="00B6606E">
        <w:rPr>
          <w:sz w:val="20"/>
          <w:szCs w:val="20"/>
        </w:rPr>
        <w:t xml:space="preserve"> </w:t>
      </w:r>
      <w:r w:rsidR="002B361F">
        <w:rPr>
          <w:sz w:val="20"/>
          <w:szCs w:val="20"/>
        </w:rPr>
        <w:t>paras.</w:t>
      </w:r>
      <w:r w:rsidRPr="00B6606E">
        <w:rPr>
          <w:sz w:val="20"/>
          <w:szCs w:val="20"/>
        </w:rPr>
        <w:t xml:space="preserve"> 147-48. </w:t>
      </w:r>
      <w:r w:rsidR="002B361F">
        <w:rPr>
          <w:sz w:val="20"/>
          <w:szCs w:val="20"/>
        </w:rPr>
        <w:t xml:space="preserve"> </w:t>
      </w:r>
      <w:r w:rsidRPr="002F5EBB">
        <w:rPr>
          <w:sz w:val="20"/>
          <w:szCs w:val="20"/>
        </w:rPr>
        <w:t>PSSI is a licensee only in the 5.9 GHz earth-to-space uplink band,</w:t>
      </w:r>
      <w:r w:rsidR="00B45E51">
        <w:rPr>
          <w:sz w:val="20"/>
          <w:szCs w:val="20"/>
        </w:rPr>
        <w:t xml:space="preserve"> </w:t>
      </w:r>
      <w:r w:rsidRPr="002F5EBB">
        <w:rPr>
          <w:sz w:val="20"/>
          <w:szCs w:val="20"/>
        </w:rPr>
        <w:t xml:space="preserve">and thus “hold[s] no ‘licensed spectrum usage rights’” in the </w:t>
      </w:r>
      <w:r w:rsidR="00B45E51">
        <w:rPr>
          <w:sz w:val="20"/>
          <w:szCs w:val="20"/>
        </w:rPr>
        <w:t>spectrum at issue here</w:t>
      </w:r>
      <w:r w:rsidRPr="002F5EBB">
        <w:rPr>
          <w:sz w:val="20"/>
          <w:szCs w:val="20"/>
        </w:rPr>
        <w:t>.</w:t>
      </w:r>
      <w:r>
        <w:rPr>
          <w:sz w:val="20"/>
          <w:szCs w:val="20"/>
        </w:rPr>
        <w:t xml:space="preserve"> </w:t>
      </w:r>
      <w:r w:rsidR="00964623">
        <w:rPr>
          <w:sz w:val="20"/>
          <w:szCs w:val="20"/>
        </w:rPr>
        <w:t xml:space="preserve"> </w:t>
      </w:r>
      <w:r>
        <w:rPr>
          <w:i/>
          <w:sz w:val="20"/>
          <w:szCs w:val="20"/>
        </w:rPr>
        <w:t>Id.</w:t>
      </w:r>
      <w:r>
        <w:rPr>
          <w:sz w:val="20"/>
          <w:szCs w:val="20"/>
        </w:rPr>
        <w:t xml:space="preserve"> </w:t>
      </w:r>
      <w:r w:rsidR="006D7561">
        <w:rPr>
          <w:sz w:val="20"/>
          <w:szCs w:val="20"/>
        </w:rPr>
        <w:t>para. </w:t>
      </w:r>
      <w:r>
        <w:rPr>
          <w:sz w:val="20"/>
          <w:szCs w:val="20"/>
        </w:rPr>
        <w:t xml:space="preserve">148. </w:t>
      </w:r>
      <w:r w:rsidR="006D7561">
        <w:rPr>
          <w:sz w:val="20"/>
          <w:szCs w:val="20"/>
        </w:rPr>
        <w:t xml:space="preserve"> </w:t>
      </w:r>
      <w:r w:rsidR="006A3B27">
        <w:rPr>
          <w:sz w:val="20"/>
          <w:szCs w:val="20"/>
        </w:rPr>
        <w:t xml:space="preserve">If </w:t>
      </w:r>
      <w:r>
        <w:rPr>
          <w:sz w:val="20"/>
          <w:szCs w:val="20"/>
        </w:rPr>
        <w:t xml:space="preserve">the </w:t>
      </w:r>
      <w:r w:rsidR="006D6D95">
        <w:rPr>
          <w:sz w:val="20"/>
          <w:szCs w:val="20"/>
        </w:rPr>
        <w:t xml:space="preserve">Commission modified </w:t>
      </w:r>
      <w:r>
        <w:rPr>
          <w:sz w:val="20"/>
          <w:szCs w:val="20"/>
        </w:rPr>
        <w:t xml:space="preserve">PSSI’s </w:t>
      </w:r>
      <w:r w:rsidRPr="00B6606E">
        <w:rPr>
          <w:sz w:val="20"/>
          <w:szCs w:val="20"/>
        </w:rPr>
        <w:t xml:space="preserve">license to transmit in </w:t>
      </w:r>
      <w:r w:rsidR="006D6D95">
        <w:rPr>
          <w:sz w:val="20"/>
          <w:szCs w:val="20"/>
        </w:rPr>
        <w:t>the 5.9 GHz band by affecting</w:t>
      </w:r>
      <w:r>
        <w:rPr>
          <w:sz w:val="20"/>
          <w:szCs w:val="20"/>
        </w:rPr>
        <w:t xml:space="preserve"> its </w:t>
      </w:r>
      <w:r w:rsidR="003D1363">
        <w:rPr>
          <w:sz w:val="20"/>
          <w:szCs w:val="20"/>
        </w:rPr>
        <w:t>ability to receive in</w:t>
      </w:r>
      <w:r>
        <w:rPr>
          <w:sz w:val="20"/>
          <w:szCs w:val="20"/>
        </w:rPr>
        <w:t xml:space="preserve"> the C-band </w:t>
      </w:r>
      <w:r w:rsidR="003D1363">
        <w:rPr>
          <w:sz w:val="20"/>
          <w:szCs w:val="20"/>
        </w:rPr>
        <w:t xml:space="preserve">(which </w:t>
      </w:r>
      <w:r>
        <w:rPr>
          <w:sz w:val="20"/>
          <w:szCs w:val="20"/>
        </w:rPr>
        <w:t>the Commission</w:t>
      </w:r>
      <w:r w:rsidR="00E064E9">
        <w:rPr>
          <w:sz w:val="20"/>
          <w:szCs w:val="20"/>
        </w:rPr>
        <w:t xml:space="preserve"> did not concede), then it</w:t>
      </w:r>
      <w:r>
        <w:rPr>
          <w:sz w:val="20"/>
          <w:szCs w:val="20"/>
        </w:rPr>
        <w:t xml:space="preserve"> found that it has ample authority “</w:t>
      </w:r>
      <w:r w:rsidRPr="00B6606E">
        <w:rPr>
          <w:sz w:val="20"/>
          <w:szCs w:val="20"/>
        </w:rPr>
        <w:t xml:space="preserve">to eliminate </w:t>
      </w:r>
      <w:r w:rsidR="00E064E9">
        <w:rPr>
          <w:sz w:val="20"/>
          <w:szCs w:val="20"/>
        </w:rPr>
        <w:t>[PSSI’s]</w:t>
      </w:r>
      <w:r w:rsidRPr="00B6606E" w:rsidR="00E064E9">
        <w:rPr>
          <w:sz w:val="20"/>
          <w:szCs w:val="20"/>
        </w:rPr>
        <w:t xml:space="preserve"> </w:t>
      </w:r>
      <w:r w:rsidRPr="00B6606E">
        <w:rPr>
          <w:sz w:val="20"/>
          <w:szCs w:val="20"/>
        </w:rPr>
        <w:t xml:space="preserve">interference protection rights in the lower 300 megahertz of the </w:t>
      </w:r>
      <w:r>
        <w:rPr>
          <w:sz w:val="20"/>
          <w:szCs w:val="20"/>
        </w:rPr>
        <w:t>[C-</w:t>
      </w:r>
      <w:r w:rsidRPr="00B6606E">
        <w:rPr>
          <w:sz w:val="20"/>
          <w:szCs w:val="20"/>
        </w:rPr>
        <w:t>band</w:t>
      </w:r>
      <w:r w:rsidR="006601AE">
        <w:rPr>
          <w:sz w:val="20"/>
          <w:szCs w:val="20"/>
        </w:rPr>
        <w:t>]</w:t>
      </w:r>
      <w:r w:rsidRPr="00B6606E">
        <w:rPr>
          <w:sz w:val="20"/>
          <w:szCs w:val="20"/>
        </w:rPr>
        <w:t>, once cleared of satellite operations</w:t>
      </w:r>
      <w:r>
        <w:rPr>
          <w:sz w:val="20"/>
          <w:szCs w:val="20"/>
        </w:rPr>
        <w:t xml:space="preserve"> </w:t>
      </w:r>
      <w:r w:rsidRPr="00B6606E">
        <w:rPr>
          <w:sz w:val="20"/>
          <w:szCs w:val="20"/>
        </w:rPr>
        <w:t>under our section 316 authority.</w:t>
      </w:r>
      <w:r w:rsidRPr="00CF4AA4">
        <w:rPr>
          <w:sz w:val="20"/>
          <w:szCs w:val="20"/>
        </w:rPr>
        <w:t xml:space="preserve">” </w:t>
      </w:r>
      <w:r w:rsidR="005E0710">
        <w:rPr>
          <w:sz w:val="20"/>
          <w:szCs w:val="20"/>
        </w:rPr>
        <w:t xml:space="preserve"> </w:t>
      </w:r>
      <w:r w:rsidRPr="00CF4AA4">
        <w:rPr>
          <w:i/>
          <w:iCs/>
          <w:sz w:val="20"/>
          <w:szCs w:val="20"/>
        </w:rPr>
        <w:t>Id.</w:t>
      </w:r>
    </w:p>
  </w:footnote>
  <w:footnote w:id="96">
    <w:p w:rsidR="00A80B28" w:rsidRPr="0038371B" w:rsidP="00CB1EF6" w14:paraId="3EC6676B" w14:textId="6090C59C">
      <w:pPr>
        <w:pStyle w:val="FootnoteText"/>
      </w:pPr>
      <w:r w:rsidRPr="0038371B">
        <w:rPr>
          <w:rStyle w:val="FootnoteReference"/>
        </w:rPr>
        <w:footnoteRef/>
      </w:r>
      <w:r w:rsidRPr="0038371B">
        <w:t xml:space="preserve"> </w:t>
      </w:r>
      <w:r w:rsidRPr="0038371B">
        <w:rPr>
          <w:i/>
          <w:iCs/>
        </w:rPr>
        <w:t xml:space="preserve">See id. </w:t>
      </w:r>
      <w:r w:rsidR="004C56F4">
        <w:t>at 2404, para.</w:t>
      </w:r>
      <w:r w:rsidRPr="0038371B">
        <w:t xml:space="preserve"> 144 (“After the transition, space station operators will still be able to use the same mechanisms to effectively achieve more capacity than the spectrum in their licenses will provide. In addition, they will be able to take advantage of new technologies to improve spectral efficiency (that will be implemented and funded by the transition), such as improved data compression and modulation techniques to further improve their spectral efficiency.”)</w:t>
      </w:r>
      <w:r>
        <w:t xml:space="preserve">; </w:t>
      </w:r>
      <w:r>
        <w:rPr>
          <w:i/>
        </w:rPr>
        <w:t>see also</w:t>
      </w:r>
      <w:r>
        <w:t xml:space="preserve"> </w:t>
      </w:r>
      <w:r>
        <w:rPr>
          <w:i/>
          <w:iCs/>
        </w:rPr>
        <w:t>id.</w:t>
      </w:r>
      <w:r w:rsidRPr="00152508">
        <w:t xml:space="preserve"> </w:t>
      </w:r>
      <w:r w:rsidR="004C56F4">
        <w:t xml:space="preserve">at 2401-04, </w:t>
      </w:r>
      <w:r w:rsidR="004A0C13">
        <w:t>2422-23, 2424, paras.</w:t>
      </w:r>
      <w:r w:rsidRPr="00152508">
        <w:t xml:space="preserve"> </w:t>
      </w:r>
      <w:r>
        <w:t xml:space="preserve">139, </w:t>
      </w:r>
      <w:r w:rsidRPr="00152508">
        <w:t>143-44</w:t>
      </w:r>
      <w:r>
        <w:t>, 194, 199</w:t>
      </w:r>
      <w:r w:rsidRPr="0038371B">
        <w:t>.</w:t>
      </w:r>
    </w:p>
  </w:footnote>
  <w:footnote w:id="97">
    <w:p w:rsidR="00A80B28" w:rsidRPr="0061065C" w:rsidP="00CB1EF6" w14:paraId="5C7A43E5" w14:textId="2CF9D88D">
      <w:pPr>
        <w:pStyle w:val="FootnoteText"/>
      </w:pPr>
      <w:r>
        <w:rPr>
          <w:rStyle w:val="FootnoteReference"/>
        </w:rPr>
        <w:footnoteRef/>
      </w:r>
      <w:r>
        <w:t xml:space="preserve"> </w:t>
      </w:r>
      <w:r>
        <w:rPr>
          <w:i/>
          <w:iCs/>
        </w:rPr>
        <w:t xml:space="preserve">Id. </w:t>
      </w:r>
      <w:r w:rsidR="002A6D46">
        <w:t>at 2402</w:t>
      </w:r>
      <w:r w:rsidR="00185DBB">
        <w:t>,</w:t>
      </w:r>
      <w:r>
        <w:t xml:space="preserve"> n.394 and accompanying text.</w:t>
      </w:r>
    </w:p>
  </w:footnote>
  <w:footnote w:id="98">
    <w:p w:rsidR="00A80B28" w:rsidRPr="00831450" w:rsidP="00CB1EF6" w14:paraId="598B81BB" w14:textId="07F55BC3">
      <w:pPr>
        <w:pStyle w:val="FootnoteText"/>
      </w:pPr>
      <w:r>
        <w:rPr>
          <w:rStyle w:val="FootnoteReference"/>
        </w:rPr>
        <w:footnoteRef/>
      </w:r>
      <w:r>
        <w:t xml:space="preserve"> PSSI Comments at 8-9; Lamb Decl. </w:t>
      </w:r>
      <w:r w:rsidR="004C1732">
        <w:t xml:space="preserve">paras. </w:t>
      </w:r>
      <w:r>
        <w:t>15-16.</w:t>
      </w:r>
    </w:p>
  </w:footnote>
  <w:footnote w:id="99">
    <w:p w:rsidR="00A80B28" w:rsidP="00CB1EF6" w14:paraId="57FCBF18" w14:textId="6ACE06B4">
      <w:pPr>
        <w:pStyle w:val="FootnoteText"/>
      </w:pPr>
      <w:r>
        <w:rPr>
          <w:rStyle w:val="FootnoteReference"/>
        </w:rPr>
        <w:footnoteRef/>
      </w:r>
      <w:r>
        <w:t xml:space="preserve"> SES Reply at 15 (q</w:t>
      </w:r>
      <w:r w:rsidRPr="00DA08C1">
        <w:t xml:space="preserve">uoting Lamb Decl. </w:t>
      </w:r>
      <w:r w:rsidR="005D09C9">
        <w:t>paras.</w:t>
      </w:r>
      <w:r w:rsidRPr="00DA08C1" w:rsidR="005D09C9">
        <w:t xml:space="preserve"> </w:t>
      </w:r>
      <w:r w:rsidRPr="00DA08C1">
        <w:t xml:space="preserve">14 </w:t>
      </w:r>
      <w:r>
        <w:t>and</w:t>
      </w:r>
      <w:r w:rsidRPr="00DA08C1">
        <w:t xml:space="preserve"> 19</w:t>
      </w:r>
      <w:r>
        <w:t>)</w:t>
      </w:r>
      <w:r w:rsidRPr="00DA08C1">
        <w:t xml:space="preserve">.  </w:t>
      </w:r>
    </w:p>
  </w:footnote>
  <w:footnote w:id="100">
    <w:p w:rsidR="00A80B28" w:rsidP="00CB1EF6" w14:paraId="163BE598" w14:textId="710D3206">
      <w:pPr>
        <w:pStyle w:val="FootnoteText"/>
      </w:pPr>
      <w:r>
        <w:rPr>
          <w:rStyle w:val="FootnoteReference"/>
        </w:rPr>
        <w:footnoteRef/>
      </w:r>
      <w:r>
        <w:t xml:space="preserve"> </w:t>
      </w:r>
      <w:r w:rsidRPr="00E4486B" w:rsidR="00503CE2">
        <w:rPr>
          <w:i/>
          <w:iCs/>
        </w:rPr>
        <w:t>Wireless Telecommunications Bureau Seeks Comment on Optional Lump Sum Payments for 3.7-4.2 GHz Band Incumbent Earth Station Relocation Expenses</w:t>
      </w:r>
      <w:r w:rsidR="00503CE2">
        <w:t>, GN Docket No. 18-122, Public Notice, DA 20-586 (June 4, 2020).</w:t>
      </w:r>
    </w:p>
  </w:footnote>
  <w:footnote w:id="101">
    <w:p w:rsidR="00A80B28" w:rsidRPr="00580306" w:rsidP="003E27C1" w14:paraId="12E3C4F3" w14:textId="321846B3">
      <w:pPr>
        <w:autoSpaceDE w:val="0"/>
        <w:autoSpaceDN w:val="0"/>
        <w:adjustRightInd w:val="0"/>
        <w:spacing w:after="120"/>
        <w:rPr>
          <w:sz w:val="20"/>
        </w:rPr>
      </w:pPr>
      <w:r w:rsidRPr="00CF4AA4">
        <w:rPr>
          <w:rStyle w:val="FootnoteReference"/>
        </w:rPr>
        <w:footnoteRef/>
      </w:r>
      <w:r w:rsidRPr="00CF4AA4">
        <w:rPr>
          <w:sz w:val="20"/>
        </w:rPr>
        <w:t xml:space="preserve"> PSSI also argues that </w:t>
      </w:r>
      <w:r>
        <w:rPr>
          <w:sz w:val="20"/>
        </w:rPr>
        <w:t xml:space="preserve">it lacked notice that the Commission would modify its licenses in </w:t>
      </w:r>
      <w:r w:rsidRPr="00CF4AA4">
        <w:rPr>
          <w:sz w:val="20"/>
        </w:rPr>
        <w:t>the 5.9 GHz band</w:t>
      </w:r>
      <w:r>
        <w:rPr>
          <w:sz w:val="20"/>
        </w:rPr>
        <w:t xml:space="preserve">, which it </w:t>
      </w:r>
      <w:r w:rsidRPr="00580306">
        <w:rPr>
          <w:sz w:val="20"/>
        </w:rPr>
        <w:t xml:space="preserve">maintains are “inextricably linked” to the </w:t>
      </w:r>
      <w:r w:rsidR="00B45E51">
        <w:rPr>
          <w:sz w:val="20"/>
        </w:rPr>
        <w:t>spectrum at issue here</w:t>
      </w:r>
      <w:r w:rsidRPr="00580306">
        <w:rPr>
          <w:sz w:val="20"/>
        </w:rPr>
        <w:t>.</w:t>
      </w:r>
      <w:r w:rsidR="00AF1D18">
        <w:rPr>
          <w:sz w:val="20"/>
        </w:rPr>
        <w:t xml:space="preserve"> </w:t>
      </w:r>
      <w:r w:rsidRPr="00580306">
        <w:rPr>
          <w:sz w:val="20"/>
        </w:rPr>
        <w:t xml:space="preserve"> PSSI Comments at 17. </w:t>
      </w:r>
      <w:r w:rsidR="00AF1D18">
        <w:rPr>
          <w:sz w:val="20"/>
        </w:rPr>
        <w:t xml:space="preserve"> </w:t>
      </w:r>
      <w:r w:rsidR="00CD3C19">
        <w:rPr>
          <w:sz w:val="20"/>
        </w:rPr>
        <w:t xml:space="preserve">The Commission did not concede that it modified PSSI’s licenses.  </w:t>
      </w:r>
      <w:r w:rsidRPr="00E4486B" w:rsidR="00CD3C19">
        <w:rPr>
          <w:i/>
          <w:iCs/>
          <w:sz w:val="20"/>
        </w:rPr>
        <w:t xml:space="preserve">See </w:t>
      </w:r>
      <w:r w:rsidR="00941EA5">
        <w:rPr>
          <w:i/>
          <w:iCs/>
          <w:sz w:val="20"/>
        </w:rPr>
        <w:t>3.7 GHz Report and Order</w:t>
      </w:r>
      <w:r w:rsidR="00941EA5">
        <w:rPr>
          <w:sz w:val="20"/>
        </w:rPr>
        <w:t xml:space="preserve">, 35 FCC </w:t>
      </w:r>
      <w:r w:rsidR="00941EA5">
        <w:rPr>
          <w:sz w:val="20"/>
        </w:rPr>
        <w:t>Rcd</w:t>
      </w:r>
      <w:r w:rsidR="00941EA5">
        <w:rPr>
          <w:sz w:val="20"/>
        </w:rPr>
        <w:t xml:space="preserve"> at </w:t>
      </w:r>
      <w:r w:rsidR="00C121B4">
        <w:rPr>
          <w:sz w:val="20"/>
        </w:rPr>
        <w:t>2406, para. 147</w:t>
      </w:r>
      <w:r w:rsidR="00CD3C19">
        <w:rPr>
          <w:sz w:val="20"/>
        </w:rPr>
        <w:t>.  In all events, a</w:t>
      </w:r>
      <w:r w:rsidRPr="00580306" w:rsidR="00CD3C19">
        <w:rPr>
          <w:sz w:val="20"/>
        </w:rPr>
        <w:t>s</w:t>
      </w:r>
      <w:r w:rsidRPr="00580306">
        <w:rPr>
          <w:sz w:val="20"/>
        </w:rPr>
        <w:t xml:space="preserve"> SES states, </w:t>
      </w:r>
      <w:r>
        <w:rPr>
          <w:sz w:val="20"/>
        </w:rPr>
        <w:t>“</w:t>
      </w:r>
      <w:r w:rsidRPr="00580306">
        <w:rPr>
          <w:sz w:val="20"/>
        </w:rPr>
        <w:t>PSSI, like the SSOs, had notice of the transition and actively participated since 2017 in this proceeding and the predecessor proceeding.”</w:t>
      </w:r>
      <w:r>
        <w:rPr>
          <w:sz w:val="20"/>
        </w:rPr>
        <w:t xml:space="preserve"> </w:t>
      </w:r>
      <w:r w:rsidR="00BF20B1">
        <w:rPr>
          <w:sz w:val="20"/>
        </w:rPr>
        <w:t xml:space="preserve"> </w:t>
      </w:r>
      <w:r>
        <w:rPr>
          <w:sz w:val="20"/>
        </w:rPr>
        <w:t xml:space="preserve">SES Reply at 11-12 (citing PSSI </w:t>
      </w:r>
      <w:r>
        <w:rPr>
          <w:i/>
          <w:iCs/>
          <w:sz w:val="20"/>
        </w:rPr>
        <w:t xml:space="preserve">ex </w:t>
      </w:r>
      <w:r>
        <w:rPr>
          <w:i/>
          <w:iCs/>
          <w:sz w:val="20"/>
        </w:rPr>
        <w:t>parte</w:t>
      </w:r>
      <w:r>
        <w:rPr>
          <w:i/>
          <w:iCs/>
          <w:sz w:val="20"/>
        </w:rPr>
        <w:t xml:space="preserve"> </w:t>
      </w:r>
      <w:r>
        <w:rPr>
          <w:sz w:val="20"/>
        </w:rPr>
        <w:t xml:space="preserve">filings in GN Docket Nos. 18-122 and 17-183). </w:t>
      </w:r>
    </w:p>
  </w:footnote>
  <w:footnote w:id="102">
    <w:p w:rsidR="00A80B28" w:rsidRPr="00152508" w:rsidP="00152508" w14:paraId="34756603" w14:textId="4BB043A2">
      <w:pPr>
        <w:pStyle w:val="FootnoteText"/>
      </w:pPr>
      <w:r w:rsidRPr="00152508">
        <w:rPr>
          <w:rStyle w:val="FootnoteReference"/>
        </w:rPr>
        <w:footnoteRef/>
      </w:r>
      <w:r w:rsidRPr="00152508">
        <w:t xml:space="preserve"> Stay Pet. at 18-19.</w:t>
      </w:r>
    </w:p>
  </w:footnote>
  <w:footnote w:id="103">
    <w:p w:rsidR="00A80B28" w:rsidRPr="00152508" w:rsidP="00152508" w14:paraId="78128AA0" w14:textId="788F3C36">
      <w:pPr>
        <w:pStyle w:val="FootnoteText"/>
      </w:pPr>
      <w:r w:rsidRPr="00152508">
        <w:rPr>
          <w:rStyle w:val="FootnoteReference"/>
        </w:rPr>
        <w:footnoteRef/>
      </w:r>
      <w:r w:rsidRPr="00152508">
        <w:t xml:space="preserve"> </w:t>
      </w:r>
      <w:r w:rsidRPr="00152508">
        <w:rPr>
          <w:i/>
          <w:iCs/>
        </w:rPr>
        <w:t>Id.</w:t>
      </w:r>
      <w:r w:rsidRPr="00152508">
        <w:t xml:space="preserve"> at 19-20.</w:t>
      </w:r>
    </w:p>
  </w:footnote>
  <w:footnote w:id="104">
    <w:p w:rsidR="00A80B28" w:rsidRPr="00007859" w14:paraId="7BF9DC1B" w14:textId="4FDAA5A4">
      <w:pPr>
        <w:pStyle w:val="FootnoteText"/>
      </w:pPr>
      <w:r>
        <w:rPr>
          <w:rStyle w:val="FootnoteReference"/>
        </w:rPr>
        <w:footnoteRef/>
      </w:r>
      <w:r>
        <w:t xml:space="preserve"> </w:t>
      </w:r>
      <w:r w:rsidR="00BF20B1">
        <w:rPr>
          <w:i/>
          <w:iCs/>
        </w:rPr>
        <w:t xml:space="preserve">3.7 GHz Report and </w:t>
      </w:r>
      <w:r>
        <w:rPr>
          <w:i/>
          <w:iCs/>
        </w:rPr>
        <w:t>Order</w:t>
      </w:r>
      <w:r w:rsidR="00757A53">
        <w:t xml:space="preserve">, 35 FCC </w:t>
      </w:r>
      <w:r w:rsidR="00757A53">
        <w:t>Rcd</w:t>
      </w:r>
      <w:r w:rsidR="00757A53">
        <w:t xml:space="preserve"> at 2434-36,</w:t>
      </w:r>
      <w:r>
        <w:rPr>
          <w:i/>
          <w:iCs/>
        </w:rPr>
        <w:t xml:space="preserve"> </w:t>
      </w:r>
      <w:r w:rsidR="00757A53">
        <w:t>paras.</w:t>
      </w:r>
      <w:r>
        <w:t xml:space="preserve"> 220-26.</w:t>
      </w:r>
    </w:p>
  </w:footnote>
  <w:footnote w:id="105">
    <w:p w:rsidR="00A80B28" w:rsidRPr="00152508" w:rsidP="00152508" w14:paraId="279E0EF2" w14:textId="3DB3B3D0">
      <w:pPr>
        <w:autoSpaceDE w:val="0"/>
        <w:autoSpaceDN w:val="0"/>
        <w:adjustRightInd w:val="0"/>
        <w:spacing w:after="120"/>
        <w:rPr>
          <w:sz w:val="20"/>
        </w:rPr>
      </w:pPr>
      <w:r w:rsidRPr="00152508">
        <w:rPr>
          <w:rStyle w:val="FootnoteReference"/>
        </w:rPr>
        <w:footnoteRef/>
      </w:r>
      <w:r w:rsidRPr="00152508">
        <w:rPr>
          <w:sz w:val="20"/>
        </w:rPr>
        <w:t xml:space="preserve"> </w:t>
      </w:r>
      <w:r>
        <w:rPr>
          <w:sz w:val="20"/>
        </w:rPr>
        <w:t xml:space="preserve">Petitioners’ </w:t>
      </w:r>
      <w:r w:rsidRPr="00152508">
        <w:rPr>
          <w:sz w:val="20"/>
        </w:rPr>
        <w:t xml:space="preserve">Reply at 38 (“To be clear, the SSOs do not challenge the Commission’s authority to provide for some relocation incentive payments.”); </w:t>
      </w:r>
      <w:r w:rsidRPr="00152508">
        <w:rPr>
          <w:i/>
          <w:iCs/>
          <w:sz w:val="20"/>
        </w:rPr>
        <w:t xml:space="preserve">see </w:t>
      </w:r>
      <w:r w:rsidRPr="00F67A30" w:rsidR="00F67A30">
        <w:rPr>
          <w:i/>
          <w:iCs/>
          <w:sz w:val="20"/>
        </w:rPr>
        <w:t xml:space="preserve">3.7 GHz Report and </w:t>
      </w:r>
      <w:r w:rsidRPr="00152508">
        <w:rPr>
          <w:i/>
          <w:iCs/>
          <w:sz w:val="20"/>
        </w:rPr>
        <w:t>Order</w:t>
      </w:r>
      <w:r w:rsidR="000E15EC">
        <w:rPr>
          <w:sz w:val="20"/>
        </w:rPr>
        <w:t xml:space="preserve">, 35 FCC </w:t>
      </w:r>
      <w:r w:rsidR="000E15EC">
        <w:rPr>
          <w:sz w:val="20"/>
        </w:rPr>
        <w:t>Rcd</w:t>
      </w:r>
      <w:r w:rsidR="000E15EC">
        <w:rPr>
          <w:sz w:val="20"/>
        </w:rPr>
        <w:t xml:space="preserve"> at 2420-21,</w:t>
      </w:r>
      <w:r w:rsidRPr="00152508">
        <w:rPr>
          <w:i/>
          <w:iCs/>
          <w:sz w:val="20"/>
        </w:rPr>
        <w:t xml:space="preserve"> </w:t>
      </w:r>
      <w:r w:rsidR="000E15EC">
        <w:rPr>
          <w:sz w:val="20"/>
        </w:rPr>
        <w:t>para.</w:t>
      </w:r>
      <w:r w:rsidRPr="00152508">
        <w:rPr>
          <w:sz w:val="20"/>
        </w:rPr>
        <w:t xml:space="preserve"> 190</w:t>
      </w:r>
      <w:r w:rsidR="000E15EC">
        <w:rPr>
          <w:sz w:val="20"/>
        </w:rPr>
        <w:t xml:space="preserve"> &amp;</w:t>
      </w:r>
      <w:r w:rsidRPr="00152508">
        <w:rPr>
          <w:sz w:val="20"/>
        </w:rPr>
        <w:t xml:space="preserve"> n.511. </w:t>
      </w:r>
    </w:p>
  </w:footnote>
  <w:footnote w:id="106">
    <w:p w:rsidR="00A80B28" w:rsidRPr="00152508" w:rsidP="00152508" w14:paraId="47C19CE4" w14:textId="0CFC0102">
      <w:pPr>
        <w:pStyle w:val="FootnoteText"/>
      </w:pPr>
      <w:r w:rsidRPr="00152508">
        <w:rPr>
          <w:rStyle w:val="FootnoteReference"/>
        </w:rPr>
        <w:footnoteRef/>
      </w:r>
      <w:r w:rsidRPr="00152508">
        <w:t xml:space="preserve"> </w:t>
      </w:r>
      <w:r w:rsidRPr="00152508">
        <w:rPr>
          <w:i/>
          <w:iCs/>
        </w:rPr>
        <w:t>See, e.g.</w:t>
      </w:r>
      <w:r w:rsidRPr="00152508">
        <w:t xml:space="preserve">, </w:t>
      </w:r>
      <w:r w:rsidR="00F67A30">
        <w:rPr>
          <w:i/>
          <w:iCs/>
        </w:rPr>
        <w:t xml:space="preserve">3.7 GHz Report and </w:t>
      </w:r>
      <w:r w:rsidRPr="00152508">
        <w:rPr>
          <w:i/>
          <w:iCs/>
        </w:rPr>
        <w:t>Order</w:t>
      </w:r>
      <w:r w:rsidR="00E73D02">
        <w:t xml:space="preserve">, 35 FCC </w:t>
      </w:r>
      <w:r w:rsidR="00E73D02">
        <w:t>Rcd</w:t>
      </w:r>
      <w:r w:rsidR="00E73D02">
        <w:t xml:space="preserve"> at 2436, </w:t>
      </w:r>
      <w:r w:rsidR="005B36FA">
        <w:t>2454</w:t>
      </w:r>
      <w:r w:rsidR="007944FD">
        <w:t>-55</w:t>
      </w:r>
      <w:r w:rsidR="005B36FA">
        <w:t>,</w:t>
      </w:r>
      <w:r w:rsidRPr="00152508">
        <w:t xml:space="preserve"> </w:t>
      </w:r>
      <w:r w:rsidR="007944FD">
        <w:t>paras.</w:t>
      </w:r>
      <w:r w:rsidRPr="00152508">
        <w:t xml:space="preserve"> 227, 287, 292; </w:t>
      </w:r>
      <w:r w:rsidRPr="00152508">
        <w:rPr>
          <w:i/>
          <w:iCs/>
        </w:rPr>
        <w:t xml:space="preserve">see also </w:t>
      </w:r>
      <w:r w:rsidRPr="00152508" w:rsidR="007309F2">
        <w:t xml:space="preserve">CTIA Opp. </w:t>
      </w:r>
      <w:r w:rsidR="00C17E34">
        <w:t xml:space="preserve">at </w:t>
      </w:r>
      <w:r w:rsidRPr="00152508" w:rsidR="007309F2">
        <w:t>16-17</w:t>
      </w:r>
      <w:r w:rsidRPr="00152508">
        <w:t>.</w:t>
      </w:r>
    </w:p>
  </w:footnote>
  <w:footnote w:id="107">
    <w:p w:rsidR="00A80B28" w:rsidRPr="00152508" w:rsidP="00152508" w14:paraId="191524C2" w14:textId="7E07C7CE">
      <w:pPr>
        <w:pStyle w:val="FootnoteText"/>
        <w:rPr>
          <w:i/>
          <w:iCs/>
        </w:rPr>
      </w:pPr>
      <w:r w:rsidRPr="00152508">
        <w:rPr>
          <w:rStyle w:val="FootnoteReference"/>
        </w:rPr>
        <w:footnoteRef/>
      </w:r>
      <w:r w:rsidRPr="00152508">
        <w:t xml:space="preserve"> </w:t>
      </w:r>
      <w:r w:rsidR="00660BA9">
        <w:rPr>
          <w:i/>
          <w:iCs/>
        </w:rPr>
        <w:t>3.7 GHz Report and Order</w:t>
      </w:r>
      <w:r w:rsidR="00142367">
        <w:t xml:space="preserve">, 35 FCC </w:t>
      </w:r>
      <w:r w:rsidR="00142367">
        <w:t>Rcd</w:t>
      </w:r>
      <w:r w:rsidR="00142367">
        <w:t xml:space="preserve"> at 2436,</w:t>
      </w:r>
      <w:r w:rsidRPr="00152508">
        <w:rPr>
          <w:i/>
          <w:iCs/>
        </w:rPr>
        <w:t xml:space="preserve"> </w:t>
      </w:r>
      <w:r w:rsidR="00142367">
        <w:t>para.</w:t>
      </w:r>
      <w:r w:rsidRPr="00152508">
        <w:t xml:space="preserve"> 226 (“the smaller the payment the greater the risk that such a payment will be insufficient to incent earlier clearing.”); </w:t>
      </w:r>
      <w:r w:rsidRPr="00152508">
        <w:rPr>
          <w:i/>
          <w:iCs/>
        </w:rPr>
        <w:t>see id.</w:t>
      </w:r>
      <w:r w:rsidRPr="00152508">
        <w:t xml:space="preserve"> </w:t>
      </w:r>
      <w:r w:rsidR="006A58FC">
        <w:t>at 2434, para</w:t>
      </w:r>
      <w:r w:rsidR="006E7BA9">
        <w:t>.</w:t>
      </w:r>
      <w:r w:rsidRPr="00152508">
        <w:t xml:space="preserve"> 221 (noting that ordering incumbents to meet deadlines presented no problem for the Small Satellite Operators because they have few or no customers to relocate).  </w:t>
      </w:r>
    </w:p>
  </w:footnote>
  <w:footnote w:id="108">
    <w:p w:rsidR="00A80B28" w:rsidRPr="00152508" w:rsidP="00152508" w14:paraId="29955D56" w14:textId="0B89258C">
      <w:pPr>
        <w:pStyle w:val="FootnoteText"/>
      </w:pPr>
      <w:r w:rsidRPr="00152508">
        <w:rPr>
          <w:rStyle w:val="FootnoteReference"/>
        </w:rPr>
        <w:footnoteRef/>
      </w:r>
      <w:r w:rsidRPr="00152508">
        <w:t xml:space="preserve"> </w:t>
      </w:r>
      <w:r w:rsidRPr="00152508">
        <w:rPr>
          <w:i/>
          <w:iCs/>
        </w:rPr>
        <w:t xml:space="preserve">See </w:t>
      </w:r>
      <w:r>
        <w:rPr>
          <w:i/>
          <w:iCs/>
        </w:rPr>
        <w:t>id.</w:t>
      </w:r>
      <w:r w:rsidRPr="00152508">
        <w:t xml:space="preserve"> </w:t>
      </w:r>
      <w:r w:rsidR="003417E1">
        <w:t>at 2435, para.</w:t>
      </w:r>
      <w:r w:rsidRPr="00152508">
        <w:t xml:space="preserve"> 226 (“eligible space station operators have had every incentive not to disclose precisely how high an accelerated relocation payment must be for them to accept it”).</w:t>
      </w:r>
    </w:p>
  </w:footnote>
  <w:footnote w:id="109">
    <w:p w:rsidR="00A80B28" w:rsidRPr="00152508" w:rsidP="00152508" w14:paraId="07484B7E" w14:textId="27721B24">
      <w:pPr>
        <w:pStyle w:val="FootnoteText"/>
        <w:rPr>
          <w:i/>
          <w:iCs/>
        </w:rPr>
      </w:pPr>
      <w:r w:rsidRPr="00152508">
        <w:rPr>
          <w:rStyle w:val="FootnoteReference"/>
        </w:rPr>
        <w:footnoteRef/>
      </w:r>
      <w:r w:rsidRPr="00152508">
        <w:t xml:space="preserve"> </w:t>
      </w:r>
      <w:r w:rsidRPr="00152508">
        <w:rPr>
          <w:i/>
          <w:iCs/>
        </w:rPr>
        <w:t xml:space="preserve">Id. </w:t>
      </w:r>
      <w:r w:rsidR="00867E30">
        <w:t>at 2432-34, paras.</w:t>
      </w:r>
      <w:r w:rsidRPr="00152508">
        <w:t xml:space="preserve"> 214, 219.</w:t>
      </w:r>
    </w:p>
  </w:footnote>
  <w:footnote w:id="110">
    <w:p w:rsidR="00A80B28" w:rsidRPr="00152508" w:rsidP="00152508" w14:paraId="0877F741" w14:textId="5F87FF28">
      <w:pPr>
        <w:pStyle w:val="FootnoteText"/>
      </w:pPr>
      <w:r w:rsidRPr="00152508">
        <w:rPr>
          <w:rStyle w:val="FootnoteReference"/>
        </w:rPr>
        <w:footnoteRef/>
      </w:r>
      <w:r w:rsidRPr="00152508">
        <w:t xml:space="preserve"> </w:t>
      </w:r>
      <w:r w:rsidRPr="00152508">
        <w:rPr>
          <w:i/>
          <w:iCs/>
        </w:rPr>
        <w:t>Id.</w:t>
      </w:r>
      <w:r w:rsidRPr="00152508">
        <w:t xml:space="preserve"> </w:t>
      </w:r>
      <w:r w:rsidR="00E6521E">
        <w:t>at 2434</w:t>
      </w:r>
      <w:r w:rsidR="00301639">
        <w:t>-36, paras.</w:t>
      </w:r>
      <w:r w:rsidRPr="00152508">
        <w:t xml:space="preserve"> 220-26.</w:t>
      </w:r>
    </w:p>
  </w:footnote>
  <w:footnote w:id="111">
    <w:p w:rsidR="00A80B28" w:rsidRPr="00152508" w:rsidP="00152508" w14:paraId="278493DA" w14:textId="7F547B84">
      <w:pPr>
        <w:widowControl/>
        <w:autoSpaceDE w:val="0"/>
        <w:autoSpaceDN w:val="0"/>
        <w:adjustRightInd w:val="0"/>
        <w:spacing w:after="120"/>
        <w:rPr>
          <w:snapToGrid/>
          <w:kern w:val="0"/>
          <w:sz w:val="20"/>
        </w:rPr>
      </w:pPr>
      <w:r w:rsidRPr="00152508">
        <w:rPr>
          <w:rStyle w:val="FootnoteReference"/>
        </w:rPr>
        <w:footnoteRef/>
      </w:r>
      <w:r w:rsidRPr="00152508">
        <w:rPr>
          <w:sz w:val="20"/>
        </w:rPr>
        <w:t xml:space="preserve"> </w:t>
      </w:r>
      <w:r w:rsidRPr="00152508">
        <w:rPr>
          <w:i/>
          <w:iCs/>
          <w:sz w:val="20"/>
        </w:rPr>
        <w:t>Id.</w:t>
      </w:r>
      <w:r w:rsidRPr="00152508">
        <w:rPr>
          <w:sz w:val="20"/>
        </w:rPr>
        <w:t xml:space="preserve"> </w:t>
      </w:r>
      <w:r w:rsidR="009525CE">
        <w:rPr>
          <w:sz w:val="20"/>
        </w:rPr>
        <w:t>at 2433-34, para.</w:t>
      </w:r>
      <w:r w:rsidRPr="00152508">
        <w:rPr>
          <w:sz w:val="20"/>
        </w:rPr>
        <w:t xml:space="preserve"> 219.</w:t>
      </w:r>
      <w:r w:rsidR="00D93C8C">
        <w:rPr>
          <w:sz w:val="20"/>
        </w:rPr>
        <w:t xml:space="preserve"> </w:t>
      </w:r>
      <w:r w:rsidRPr="00152508">
        <w:rPr>
          <w:sz w:val="20"/>
        </w:rPr>
        <w:t xml:space="preserve"> </w:t>
      </w:r>
      <w:r w:rsidRPr="00152508">
        <w:rPr>
          <w:i/>
          <w:iCs/>
          <w:sz w:val="20"/>
        </w:rPr>
        <w:t>See</w:t>
      </w:r>
      <w:r w:rsidRPr="00152508">
        <w:rPr>
          <w:sz w:val="20"/>
        </w:rPr>
        <w:t xml:space="preserve"> Verizon Opp. at 15 (“</w:t>
      </w:r>
      <w:r w:rsidRPr="00152508">
        <w:rPr>
          <w:snapToGrid/>
          <w:kern w:val="0"/>
          <w:sz w:val="20"/>
        </w:rPr>
        <w:t>In deciding how to convert spectrum to new uses, the Commission is entitled to ‘the greatest deference’ in balancing the protection of existing uses while enabling new services and technologies to serve the public interest.</w:t>
      </w:r>
      <w:r w:rsidRPr="00152508">
        <w:rPr>
          <w:sz w:val="20"/>
        </w:rPr>
        <w:t xml:space="preserve">”) (quoting </w:t>
      </w:r>
      <w:r w:rsidRPr="00152508">
        <w:rPr>
          <w:i/>
          <w:iCs/>
          <w:snapToGrid/>
          <w:kern w:val="0"/>
          <w:sz w:val="20"/>
        </w:rPr>
        <w:t>Telocator</w:t>
      </w:r>
      <w:r w:rsidRPr="00152508">
        <w:rPr>
          <w:i/>
          <w:iCs/>
          <w:snapToGrid/>
          <w:kern w:val="0"/>
          <w:sz w:val="20"/>
        </w:rPr>
        <w:t xml:space="preserve"> Network of Am. v. FCC</w:t>
      </w:r>
      <w:r w:rsidRPr="00152508">
        <w:rPr>
          <w:snapToGrid/>
          <w:kern w:val="0"/>
          <w:sz w:val="20"/>
        </w:rPr>
        <w:t>, 691 F.2d 525, 538 (D.C. Cir. 1982)</w:t>
      </w:r>
      <w:r w:rsidRPr="00152508">
        <w:rPr>
          <w:sz w:val="20"/>
        </w:rPr>
        <w:t>).</w:t>
      </w:r>
    </w:p>
  </w:footnote>
  <w:footnote w:id="112">
    <w:p w:rsidR="00A80B28" w:rsidRPr="00152508" w:rsidP="00152508" w14:paraId="1B872A28" w14:textId="71200B12">
      <w:pPr>
        <w:pStyle w:val="FootnoteText"/>
      </w:pPr>
      <w:r w:rsidRPr="00152508">
        <w:rPr>
          <w:rStyle w:val="FootnoteReference"/>
        </w:rPr>
        <w:footnoteRef/>
      </w:r>
      <w:r w:rsidRPr="00152508">
        <w:t xml:space="preserve"> Stay Pet. at 20-21.</w:t>
      </w:r>
    </w:p>
  </w:footnote>
  <w:footnote w:id="113">
    <w:p w:rsidR="00A80B28" w:rsidRPr="00FB63B4" w:rsidP="00FB63B4" w14:paraId="6567D10B" w14:textId="2291EF25">
      <w:pPr>
        <w:spacing w:after="120"/>
        <w:rPr>
          <w:sz w:val="20"/>
        </w:rPr>
      </w:pPr>
      <w:r w:rsidRPr="00FB63B4">
        <w:rPr>
          <w:rStyle w:val="FootnoteReference"/>
        </w:rPr>
        <w:footnoteRef/>
      </w:r>
      <w:r w:rsidRPr="00FB63B4">
        <w:rPr>
          <w:sz w:val="20"/>
        </w:rPr>
        <w:t xml:space="preserve"> </w:t>
      </w:r>
      <w:r w:rsidRPr="00D93C8C" w:rsidR="00D93C8C">
        <w:rPr>
          <w:i/>
          <w:iCs/>
          <w:sz w:val="20"/>
        </w:rPr>
        <w:t xml:space="preserve">3.7 GHz Report and </w:t>
      </w:r>
      <w:r w:rsidRPr="00FB63B4">
        <w:rPr>
          <w:i/>
          <w:iCs/>
          <w:sz w:val="20"/>
        </w:rPr>
        <w:t>Order</w:t>
      </w:r>
      <w:r w:rsidR="006644BD">
        <w:rPr>
          <w:sz w:val="20"/>
        </w:rPr>
        <w:t xml:space="preserve">, 35 FCC </w:t>
      </w:r>
      <w:r w:rsidR="006644BD">
        <w:rPr>
          <w:sz w:val="20"/>
        </w:rPr>
        <w:t>Rcd</w:t>
      </w:r>
      <w:r w:rsidR="006644BD">
        <w:rPr>
          <w:sz w:val="20"/>
        </w:rPr>
        <w:t xml:space="preserve"> at 2415-16, </w:t>
      </w:r>
      <w:r w:rsidR="006E59B2">
        <w:rPr>
          <w:sz w:val="20"/>
        </w:rPr>
        <w:t>2422,</w:t>
      </w:r>
      <w:r w:rsidRPr="00FB63B4">
        <w:rPr>
          <w:sz w:val="20"/>
        </w:rPr>
        <w:t xml:space="preserve"> </w:t>
      </w:r>
      <w:r w:rsidR="006E59B2">
        <w:rPr>
          <w:sz w:val="20"/>
        </w:rPr>
        <w:t>paras.</w:t>
      </w:r>
      <w:r w:rsidRPr="00FB63B4">
        <w:rPr>
          <w:sz w:val="20"/>
        </w:rPr>
        <w:t xml:space="preserve"> 179, 193. </w:t>
      </w:r>
      <w:r w:rsidR="00D93C8C">
        <w:rPr>
          <w:sz w:val="20"/>
        </w:rPr>
        <w:t xml:space="preserve"> </w:t>
      </w:r>
      <w:r w:rsidRPr="00FB63B4">
        <w:rPr>
          <w:sz w:val="20"/>
        </w:rPr>
        <w:t>Thi</w:t>
      </w:r>
      <w:r>
        <w:rPr>
          <w:sz w:val="20"/>
        </w:rPr>
        <w:t>s</w:t>
      </w:r>
      <w:r w:rsidRPr="00FB63B4">
        <w:rPr>
          <w:sz w:val="20"/>
        </w:rPr>
        <w:t xml:space="preserve"> include</w:t>
      </w:r>
      <w:r>
        <w:rPr>
          <w:sz w:val="20"/>
        </w:rPr>
        <w:t>s</w:t>
      </w:r>
      <w:r w:rsidRPr="00FB63B4">
        <w:rPr>
          <w:sz w:val="20"/>
        </w:rPr>
        <w:t xml:space="preserve"> “reasonable replacement cost for </w:t>
      </w:r>
      <w:r>
        <w:rPr>
          <w:sz w:val="20"/>
        </w:rPr>
        <w:t>…</w:t>
      </w:r>
      <w:r w:rsidRPr="00FB63B4">
        <w:rPr>
          <w:sz w:val="20"/>
        </w:rPr>
        <w:t xml:space="preserve"> newer equipment” </w:t>
      </w:r>
      <w:r>
        <w:rPr>
          <w:sz w:val="20"/>
        </w:rPr>
        <w:t>with</w:t>
      </w:r>
      <w:r w:rsidRPr="00FB63B4">
        <w:rPr>
          <w:sz w:val="20"/>
        </w:rPr>
        <w:t xml:space="preserve"> “improved functionality” only where legacy equipment can</w:t>
      </w:r>
      <w:r>
        <w:rPr>
          <w:sz w:val="20"/>
        </w:rPr>
        <w:t>no</w:t>
      </w:r>
      <w:r w:rsidRPr="00FB63B4">
        <w:rPr>
          <w:sz w:val="20"/>
        </w:rPr>
        <w:t>t be replaced</w:t>
      </w:r>
      <w:r w:rsidR="00596DD4">
        <w:rPr>
          <w:sz w:val="20"/>
        </w:rPr>
        <w:t>—</w:t>
      </w:r>
      <w:r w:rsidRPr="00FB63B4">
        <w:rPr>
          <w:sz w:val="20"/>
        </w:rPr>
        <w:t>not “additional functionalities</w:t>
      </w:r>
      <w:r>
        <w:rPr>
          <w:sz w:val="20"/>
        </w:rPr>
        <w:t xml:space="preserve"> …</w:t>
      </w:r>
      <w:r w:rsidRPr="00FB63B4">
        <w:rPr>
          <w:sz w:val="20"/>
        </w:rPr>
        <w:t xml:space="preserve"> not needed to facilitate the swift transition</w:t>
      </w:r>
      <w:r>
        <w:rPr>
          <w:sz w:val="20"/>
        </w:rPr>
        <w:t>.</w:t>
      </w:r>
      <w:r w:rsidRPr="00FB63B4">
        <w:rPr>
          <w:sz w:val="20"/>
        </w:rPr>
        <w:t>”</w:t>
      </w:r>
      <w:r>
        <w:rPr>
          <w:sz w:val="20"/>
        </w:rPr>
        <w:t xml:space="preserve"> </w:t>
      </w:r>
      <w:r w:rsidR="00596DD4">
        <w:rPr>
          <w:sz w:val="20"/>
        </w:rPr>
        <w:t xml:space="preserve"> </w:t>
      </w:r>
      <w:r w:rsidRPr="00FB63B4">
        <w:rPr>
          <w:i/>
          <w:iCs/>
          <w:sz w:val="20"/>
        </w:rPr>
        <w:t>Id.</w:t>
      </w:r>
      <w:r w:rsidRPr="00FB63B4">
        <w:rPr>
          <w:sz w:val="20"/>
        </w:rPr>
        <w:t> </w:t>
      </w:r>
      <w:r w:rsidR="003521DB">
        <w:rPr>
          <w:sz w:val="20"/>
        </w:rPr>
        <w:t>2422-23, para.</w:t>
      </w:r>
      <w:r>
        <w:rPr>
          <w:sz w:val="20"/>
        </w:rPr>
        <w:t xml:space="preserve"> 194. </w:t>
      </w:r>
      <w:r w:rsidR="00596DD4">
        <w:rPr>
          <w:sz w:val="20"/>
        </w:rPr>
        <w:t xml:space="preserve"> </w:t>
      </w:r>
      <w:r>
        <w:rPr>
          <w:sz w:val="20"/>
        </w:rPr>
        <w:t>It does not include</w:t>
      </w:r>
      <w:r w:rsidRPr="00FB63B4">
        <w:rPr>
          <w:sz w:val="20"/>
        </w:rPr>
        <w:t xml:space="preserve"> payment for “gold-plat[</w:t>
      </w:r>
      <w:r w:rsidRPr="00FB63B4">
        <w:rPr>
          <w:sz w:val="20"/>
        </w:rPr>
        <w:t>ing</w:t>
      </w:r>
      <w:r w:rsidRPr="00FB63B4">
        <w:rPr>
          <w:sz w:val="20"/>
        </w:rPr>
        <w:t>].”</w:t>
      </w:r>
      <w:r w:rsidR="00C625DC">
        <w:rPr>
          <w:sz w:val="20"/>
        </w:rPr>
        <w:t xml:space="preserve"> </w:t>
      </w:r>
      <w:r w:rsidRPr="00FB63B4">
        <w:rPr>
          <w:sz w:val="20"/>
        </w:rPr>
        <w:t> </w:t>
      </w:r>
      <w:r>
        <w:rPr>
          <w:i/>
          <w:iCs/>
          <w:sz w:val="20"/>
        </w:rPr>
        <w:t xml:space="preserve">Id. </w:t>
      </w:r>
      <w:r w:rsidR="003521DB">
        <w:rPr>
          <w:sz w:val="20"/>
        </w:rPr>
        <w:t>at 2423, para.</w:t>
      </w:r>
      <w:r w:rsidRPr="00FB63B4">
        <w:rPr>
          <w:sz w:val="20"/>
        </w:rPr>
        <w:t xml:space="preserve"> 195.</w:t>
      </w:r>
    </w:p>
  </w:footnote>
  <w:footnote w:id="114">
    <w:p w:rsidR="00A80B28" w:rsidRPr="00152508" w:rsidP="00CE1CCE" w14:paraId="107D0B15" w14:textId="5E64787B">
      <w:pPr>
        <w:pStyle w:val="FootnoteText"/>
      </w:pPr>
      <w:r w:rsidRPr="00152508">
        <w:rPr>
          <w:rStyle w:val="FootnoteReference"/>
        </w:rPr>
        <w:footnoteRef/>
      </w:r>
      <w:r w:rsidRPr="00152508">
        <w:t xml:space="preserve"> </w:t>
      </w:r>
      <w:r>
        <w:rPr>
          <w:i/>
          <w:iCs/>
        </w:rPr>
        <w:t>Id.</w:t>
      </w:r>
      <w:r w:rsidRPr="00152508">
        <w:t xml:space="preserve"> </w:t>
      </w:r>
      <w:r w:rsidR="003521DB">
        <w:t xml:space="preserve">at </w:t>
      </w:r>
      <w:r w:rsidR="00EB09A7">
        <w:t>2425, para.</w:t>
      </w:r>
      <w:r w:rsidRPr="00152508">
        <w:t xml:space="preserve"> 199</w:t>
      </w:r>
      <w:r>
        <w:t xml:space="preserve">; </w:t>
      </w:r>
      <w:r w:rsidRPr="00152508">
        <w:rPr>
          <w:i/>
          <w:iCs/>
        </w:rPr>
        <w:t xml:space="preserve">see id. </w:t>
      </w:r>
      <w:r w:rsidRPr="009178F6" w:rsidR="00B00DAF">
        <w:t>at 2422-23,</w:t>
      </w:r>
      <w:r w:rsidR="008B08B1">
        <w:t xml:space="preserve"> 2428-</w:t>
      </w:r>
      <w:r w:rsidR="009F64C6">
        <w:t>31, paras.</w:t>
      </w:r>
      <w:r w:rsidRPr="00152508">
        <w:t xml:space="preserve"> 194, 206, 210 (estimating $1.28-2.5 </w:t>
      </w:r>
      <w:r>
        <w:t>billion</w:t>
      </w:r>
      <w:r w:rsidRPr="00152508">
        <w:t xml:space="preserve"> in procurement and launch costs for </w:t>
      </w:r>
      <w:r w:rsidR="00EB3E84">
        <w:t xml:space="preserve">eight to </w:t>
      </w:r>
      <w:r w:rsidRPr="00152508">
        <w:t>10 satellites, including $160-250 million in capital costs)</w:t>
      </w:r>
      <w:r w:rsidRPr="004776FE">
        <w:t>.</w:t>
      </w:r>
      <w:r w:rsidRPr="00152508">
        <w:t xml:space="preserve"> </w:t>
      </w:r>
    </w:p>
  </w:footnote>
  <w:footnote w:id="115">
    <w:p w:rsidR="00A80B28" w:rsidRPr="00152508" w:rsidP="00152508" w14:paraId="36A1AE03" w14:textId="4F6F0157">
      <w:pPr>
        <w:pStyle w:val="FootnoteText"/>
        <w:rPr>
          <w:i/>
          <w:iCs/>
        </w:rPr>
      </w:pPr>
      <w:r w:rsidRPr="00152508">
        <w:rPr>
          <w:rStyle w:val="FootnoteReference"/>
        </w:rPr>
        <w:footnoteRef/>
      </w:r>
      <w:r w:rsidRPr="00152508">
        <w:t xml:space="preserve"> Intelsat License, LLC Opp. to Stay Pet. in GN Docket No. 18-122 at 5 (filed May 27, 2020). </w:t>
      </w:r>
      <w:r w:rsidR="00C625DC">
        <w:t xml:space="preserve"> </w:t>
      </w:r>
      <w:r w:rsidRPr="00152508">
        <w:t xml:space="preserve">Previously, Intelsat explains that it planned to “densify customer content on fewer (high-performance, full-spectrum) satellites.” </w:t>
      </w:r>
      <w:r w:rsidR="00C625DC">
        <w:t xml:space="preserve"> </w:t>
      </w:r>
      <w:r w:rsidRPr="00152508">
        <w:rPr>
          <w:i/>
          <w:iCs/>
        </w:rPr>
        <w:t>Id.</w:t>
      </w:r>
      <w:r w:rsidR="00C625DC">
        <w:rPr>
          <w:i/>
          <w:iCs/>
        </w:rPr>
        <w:t xml:space="preserve"> </w:t>
      </w:r>
      <w:r w:rsidRPr="00152508">
        <w:rPr>
          <w:i/>
          <w:iCs/>
        </w:rPr>
        <w:t xml:space="preserve"> </w:t>
      </w:r>
      <w:r w:rsidRPr="00152508">
        <w:t xml:space="preserve">The </w:t>
      </w:r>
      <w:r w:rsidR="00C625DC">
        <w:t>A</w:t>
      </w:r>
      <w:r w:rsidRPr="00152508" w:rsidR="00C625DC">
        <w:t xml:space="preserve">ccelerated </w:t>
      </w:r>
      <w:r w:rsidR="00C625DC">
        <w:t>R</w:t>
      </w:r>
      <w:r w:rsidRPr="00152508" w:rsidR="00C625DC">
        <w:t xml:space="preserve">elocation </w:t>
      </w:r>
      <w:r w:rsidR="00C625DC">
        <w:t>D</w:t>
      </w:r>
      <w:r w:rsidRPr="00152508" w:rsidR="00C625DC">
        <w:t xml:space="preserve">eadlines </w:t>
      </w:r>
      <w:r w:rsidRPr="00152508">
        <w:t xml:space="preserve">the Commission adopted in the </w:t>
      </w:r>
      <w:r w:rsidR="00C625DC">
        <w:rPr>
          <w:i/>
          <w:iCs/>
        </w:rPr>
        <w:t xml:space="preserve">3.7 GHz Report and </w:t>
      </w:r>
      <w:r w:rsidRPr="00152508">
        <w:rPr>
          <w:i/>
          <w:iCs/>
        </w:rPr>
        <w:t xml:space="preserve">Order </w:t>
      </w:r>
      <w:r w:rsidRPr="00152508">
        <w:t>“create the immediate need to ‘spread’ programming in the upper 200 MHz across all current cable-/broadcast-penetrated satellites, rather than pursuing the densification strategy (fewer orbital locations utilizing all 500 MHz) that was naturally evolving.”</w:t>
      </w:r>
      <w:r w:rsidR="00C625DC">
        <w:t xml:space="preserve"> </w:t>
      </w:r>
      <w:r w:rsidRPr="00152508">
        <w:t xml:space="preserve"> </w:t>
      </w:r>
      <w:r w:rsidRPr="00152508">
        <w:rPr>
          <w:i/>
          <w:iCs/>
        </w:rPr>
        <w:t>Id.</w:t>
      </w:r>
    </w:p>
  </w:footnote>
  <w:footnote w:id="116">
    <w:p w:rsidR="00A80B28" w:rsidRPr="005B020A" w:rsidP="005B020A" w14:paraId="56E7C019" w14:textId="5E18F032">
      <w:pPr>
        <w:pStyle w:val="xxmsonormal"/>
        <w:autoSpaceDE w:val="0"/>
        <w:autoSpaceDN w:val="0"/>
        <w:spacing w:after="120"/>
        <w:rPr>
          <w:rFonts w:ascii="Times New Roman" w:hAnsi="Times New Roman" w:cs="Times New Roman"/>
          <w:sz w:val="20"/>
          <w:szCs w:val="20"/>
        </w:rPr>
      </w:pPr>
      <w:r w:rsidRPr="005B020A">
        <w:rPr>
          <w:rStyle w:val="FootnoteReference"/>
          <w:rFonts w:cs="Times New Roman"/>
          <w:szCs w:val="20"/>
        </w:rPr>
        <w:footnoteRef/>
      </w:r>
      <w:r w:rsidRPr="005B020A">
        <w:rPr>
          <w:rFonts w:ascii="Times New Roman" w:hAnsi="Times New Roman" w:cs="Times New Roman"/>
          <w:sz w:val="20"/>
          <w:szCs w:val="20"/>
        </w:rPr>
        <w:t xml:space="preserve"> </w:t>
      </w:r>
      <w:r w:rsidRPr="005B020A">
        <w:rPr>
          <w:rFonts w:ascii="Times New Roman" w:hAnsi="Times New Roman" w:cs="Times New Roman"/>
          <w:i/>
          <w:iCs/>
          <w:sz w:val="20"/>
          <w:szCs w:val="20"/>
        </w:rPr>
        <w:t>Id.</w:t>
      </w:r>
      <w:r w:rsidRPr="005B020A">
        <w:rPr>
          <w:rFonts w:ascii="Times New Roman" w:hAnsi="Times New Roman" w:cs="Times New Roman"/>
          <w:sz w:val="20"/>
          <w:szCs w:val="20"/>
        </w:rPr>
        <w:t xml:space="preserve">; </w:t>
      </w:r>
      <w:r w:rsidRPr="005B020A">
        <w:rPr>
          <w:rFonts w:ascii="Times New Roman" w:hAnsi="Times New Roman" w:cs="Times New Roman"/>
          <w:i/>
          <w:iCs/>
          <w:sz w:val="20"/>
          <w:szCs w:val="20"/>
        </w:rPr>
        <w:t>see</w:t>
      </w:r>
      <w:r>
        <w:rPr>
          <w:rFonts w:ascii="Times New Roman" w:hAnsi="Times New Roman" w:cs="Times New Roman"/>
          <w:i/>
          <w:iCs/>
          <w:sz w:val="20"/>
          <w:szCs w:val="20"/>
        </w:rPr>
        <w:t xml:space="preserve"> </w:t>
      </w:r>
      <w:r w:rsidR="00CF6050">
        <w:rPr>
          <w:rFonts w:ascii="Times New Roman" w:hAnsi="Times New Roman" w:cs="Times New Roman"/>
          <w:sz w:val="20"/>
          <w:szCs w:val="20"/>
        </w:rPr>
        <w:t xml:space="preserve">Letter from Jennifer </w:t>
      </w:r>
      <w:r w:rsidR="00010A76">
        <w:rPr>
          <w:rFonts w:ascii="Times New Roman" w:hAnsi="Times New Roman" w:cs="Times New Roman"/>
          <w:sz w:val="20"/>
          <w:szCs w:val="20"/>
        </w:rPr>
        <w:t>Hindin</w:t>
      </w:r>
      <w:r w:rsidR="00010A76">
        <w:rPr>
          <w:rFonts w:ascii="Times New Roman" w:hAnsi="Times New Roman" w:cs="Times New Roman"/>
          <w:sz w:val="20"/>
          <w:szCs w:val="20"/>
        </w:rPr>
        <w:t xml:space="preserve">, Counsel, </w:t>
      </w:r>
      <w:r>
        <w:rPr>
          <w:rFonts w:ascii="Times New Roman" w:hAnsi="Times New Roman" w:cs="Times New Roman"/>
          <w:sz w:val="20"/>
          <w:szCs w:val="20"/>
        </w:rPr>
        <w:t>C-Band Alliance</w:t>
      </w:r>
      <w:r w:rsidR="00010A76">
        <w:rPr>
          <w:rFonts w:ascii="Times New Roman" w:hAnsi="Times New Roman" w:cs="Times New Roman"/>
          <w:sz w:val="20"/>
          <w:szCs w:val="20"/>
        </w:rPr>
        <w:t>, to Marlene H. Dortch, Secretary, FCC,</w:t>
      </w:r>
      <w:r>
        <w:rPr>
          <w:rFonts w:ascii="Times New Roman" w:hAnsi="Times New Roman" w:cs="Times New Roman"/>
          <w:sz w:val="20"/>
          <w:szCs w:val="20"/>
        </w:rPr>
        <w:t xml:space="preserve"> GN Docket No. 18-122 (Dec. 19, 2018), Att</w:t>
      </w:r>
      <w:r w:rsidR="00183275">
        <w:rPr>
          <w:rFonts w:ascii="Times New Roman" w:hAnsi="Times New Roman" w:cs="Times New Roman"/>
          <w:sz w:val="20"/>
          <w:szCs w:val="20"/>
        </w:rPr>
        <w:t>ach</w:t>
      </w:r>
      <w:r>
        <w:rPr>
          <w:rFonts w:ascii="Times New Roman" w:hAnsi="Times New Roman" w:cs="Times New Roman"/>
          <w:sz w:val="20"/>
          <w:szCs w:val="20"/>
        </w:rPr>
        <w:t>. at 1</w:t>
      </w:r>
      <w:r w:rsidRPr="005B020A">
        <w:rPr>
          <w:rFonts w:ascii="Times New Roman" w:hAnsi="Times New Roman" w:cs="Times New Roman"/>
          <w:i/>
          <w:iCs/>
          <w:sz w:val="20"/>
          <w:szCs w:val="20"/>
        </w:rPr>
        <w:t xml:space="preserve"> </w:t>
      </w:r>
      <w:r>
        <w:rPr>
          <w:rFonts w:ascii="Times New Roman" w:hAnsi="Times New Roman" w:cs="Times New Roman"/>
          <w:sz w:val="20"/>
          <w:szCs w:val="20"/>
        </w:rPr>
        <w:t>(</w:t>
      </w:r>
      <w:r w:rsidRPr="005B020A">
        <w:rPr>
          <w:rFonts w:ascii="Times New Roman" w:hAnsi="Times New Roman" w:cs="Times New Roman"/>
          <w:sz w:val="20"/>
          <w:szCs w:val="20"/>
        </w:rPr>
        <w:t>“It is critically important to note that the satellite operators would not fund the procurement of these 8 satellites solely for the purpose of maintaining their current businesses ‐ their procurement is necessitated only by the need to clear spectrum for 5G.”</w:t>
      </w:r>
      <w:r>
        <w:rPr>
          <w:rFonts w:ascii="Times New Roman" w:hAnsi="Times New Roman" w:cs="Times New Roman"/>
          <w:sz w:val="20"/>
          <w:szCs w:val="20"/>
        </w:rPr>
        <w:t>).</w:t>
      </w:r>
    </w:p>
  </w:footnote>
  <w:footnote w:id="117">
    <w:p w:rsidR="00A80B28" w:rsidRPr="00CE1CCE" w:rsidP="00702B58" w14:paraId="309DA91B" w14:textId="36BD1776">
      <w:pPr>
        <w:pStyle w:val="FootnoteText"/>
      </w:pPr>
      <w:r>
        <w:rPr>
          <w:rStyle w:val="FootnoteReference"/>
        </w:rPr>
        <w:footnoteRef/>
      </w:r>
      <w:r>
        <w:t xml:space="preserve"> </w:t>
      </w:r>
      <w:r w:rsidR="003947D9">
        <w:rPr>
          <w:i/>
          <w:iCs/>
        </w:rPr>
        <w:t>3.7 GHz Report and Order</w:t>
      </w:r>
      <w:r w:rsidR="00421711">
        <w:t xml:space="preserve">, 35 FCC </w:t>
      </w:r>
      <w:r w:rsidR="00421711">
        <w:t>Rcd</w:t>
      </w:r>
      <w:r w:rsidR="00421711">
        <w:t xml:space="preserve"> at 2425,</w:t>
      </w:r>
      <w:r>
        <w:rPr>
          <w:i/>
          <w:iCs/>
        </w:rPr>
        <w:t xml:space="preserve"> </w:t>
      </w:r>
      <w:r w:rsidR="001F589A">
        <w:t>para.</w:t>
      </w:r>
      <w:r>
        <w:t xml:space="preserve"> 199; </w:t>
      </w:r>
      <w:r>
        <w:rPr>
          <w:i/>
          <w:iCs/>
        </w:rPr>
        <w:t>s</w:t>
      </w:r>
      <w:r w:rsidRPr="00152508">
        <w:rPr>
          <w:i/>
          <w:iCs/>
        </w:rPr>
        <w:t xml:space="preserve">ee </w:t>
      </w:r>
      <w:r>
        <w:rPr>
          <w:i/>
          <w:iCs/>
        </w:rPr>
        <w:t>id.</w:t>
      </w:r>
      <w:r w:rsidRPr="00152508">
        <w:t xml:space="preserve"> </w:t>
      </w:r>
      <w:r w:rsidR="001F589A">
        <w:t>at 2457-</w:t>
      </w:r>
      <w:r w:rsidR="000E6EF7">
        <w:t>60</w:t>
      </w:r>
      <w:r w:rsidR="001F589A">
        <w:t>, paras.</w:t>
      </w:r>
      <w:r w:rsidRPr="00152508">
        <w:t xml:space="preserve"> 302-03 (requiring transition plans describing “the necessary steps for accomplishing the complete transition,” including “the number of new satellites, if any, that the space station operator will need to launch in order to maintain sufficient capacity post-transition, including detailed descriptions of why such new satellites are necessary”), 305 (opportunity to comment), 309, 313 (plans will be reviewed by a Relocation Coordinator with requisite expertise); </w:t>
      </w:r>
      <w:r w:rsidRPr="00152508">
        <w:rPr>
          <w:i/>
          <w:iCs/>
        </w:rPr>
        <w:t>see</w:t>
      </w:r>
      <w:r>
        <w:rPr>
          <w:i/>
          <w:iCs/>
        </w:rPr>
        <w:t xml:space="preserve"> also</w:t>
      </w:r>
      <w:r w:rsidRPr="00152508">
        <w:rPr>
          <w:i/>
          <w:iCs/>
        </w:rPr>
        <w:t xml:space="preserve"> id. </w:t>
      </w:r>
      <w:r w:rsidR="00AB2665">
        <w:t xml:space="preserve">2426, </w:t>
      </w:r>
      <w:r w:rsidR="004A7D42">
        <w:t>para.</w:t>
      </w:r>
      <w:r w:rsidRPr="00152508">
        <w:t xml:space="preserve"> 200 (emphasizing that “compensable relocation costs are only those that are reasonable and needed to transfer </w:t>
      </w:r>
      <w:r w:rsidRPr="00152508">
        <w:rPr>
          <w:i/>
          <w:iCs/>
        </w:rPr>
        <w:t xml:space="preserve">existing </w:t>
      </w:r>
      <w:r w:rsidRPr="00152508">
        <w:t xml:space="preserve">operations”). </w:t>
      </w:r>
      <w:r w:rsidR="004A7D42">
        <w:t xml:space="preserve"> </w:t>
      </w:r>
      <w:r w:rsidRPr="00152508">
        <w:t xml:space="preserve">Petitioners complain that </w:t>
      </w:r>
      <w:r>
        <w:t xml:space="preserve">there is </w:t>
      </w:r>
      <w:r w:rsidRPr="00152508">
        <w:t xml:space="preserve">no limit to </w:t>
      </w:r>
      <w:r>
        <w:t>the</w:t>
      </w:r>
      <w:r w:rsidRPr="00152508">
        <w:t xml:space="preserve"> standard</w:t>
      </w:r>
      <w:r>
        <w:t xml:space="preserve"> the</w:t>
      </w:r>
      <w:r w:rsidRPr="00152508">
        <w:t xml:space="preserve"> FCC adopted: whether a new satellite would “support more intensive use of the 4.0-4.2 GHz band after the transition.” </w:t>
      </w:r>
      <w:r w:rsidR="004A7D42">
        <w:t xml:space="preserve"> </w:t>
      </w:r>
      <w:r w:rsidRPr="00152508">
        <w:t xml:space="preserve">Stay Pet. at 21; </w:t>
      </w:r>
      <w:r>
        <w:t xml:space="preserve">Petitioners’ </w:t>
      </w:r>
      <w:r w:rsidRPr="00152508">
        <w:t xml:space="preserve">Reply at 18-19. </w:t>
      </w:r>
      <w:r w:rsidR="004A7D42">
        <w:t xml:space="preserve"> </w:t>
      </w:r>
      <w:r w:rsidRPr="00152508">
        <w:t xml:space="preserve">But that is not the standard. </w:t>
      </w:r>
      <w:r w:rsidRPr="00152508">
        <w:rPr>
          <w:i/>
          <w:iCs/>
        </w:rPr>
        <w:t xml:space="preserve">See </w:t>
      </w:r>
      <w:r w:rsidR="00944AB0">
        <w:rPr>
          <w:i/>
          <w:iCs/>
        </w:rPr>
        <w:t xml:space="preserve">3.7 GHz Report and </w:t>
      </w:r>
      <w:r w:rsidRPr="00152508">
        <w:rPr>
          <w:i/>
          <w:iCs/>
        </w:rPr>
        <w:t>Order</w:t>
      </w:r>
      <w:r w:rsidR="004A7D42">
        <w:t xml:space="preserve">, 35 FCC </w:t>
      </w:r>
      <w:r w:rsidR="004A7D42">
        <w:t>Rcd</w:t>
      </w:r>
      <w:r w:rsidR="004A7D42">
        <w:t xml:space="preserve"> at </w:t>
      </w:r>
      <w:r w:rsidR="00E643B4">
        <w:t>2425-26,</w:t>
      </w:r>
      <w:r w:rsidRPr="00152508">
        <w:t xml:space="preserve"> </w:t>
      </w:r>
      <w:r w:rsidR="00E643B4">
        <w:t>paras.</w:t>
      </w:r>
      <w:r w:rsidRPr="00152508">
        <w:t xml:space="preserve"> 199-200.</w:t>
      </w:r>
    </w:p>
  </w:footnote>
  <w:footnote w:id="118">
    <w:p w:rsidR="00A80B28" w:rsidRPr="00152508" w:rsidP="00152508" w14:paraId="41787596" w14:textId="0793E59D">
      <w:pPr>
        <w:pStyle w:val="FootnoteText"/>
      </w:pPr>
      <w:r w:rsidRPr="00152508">
        <w:rPr>
          <w:rStyle w:val="FootnoteReference"/>
        </w:rPr>
        <w:footnoteRef/>
      </w:r>
      <w:r w:rsidRPr="00152508">
        <w:t xml:space="preserve"> Stay Pet. at 22-24; </w:t>
      </w:r>
      <w:r w:rsidRPr="00152508">
        <w:rPr>
          <w:i/>
          <w:iCs/>
        </w:rPr>
        <w:t>see id.</w:t>
      </w:r>
      <w:r w:rsidRPr="00152508">
        <w:t xml:space="preserve"> at 2, 12.</w:t>
      </w:r>
    </w:p>
  </w:footnote>
  <w:footnote w:id="119">
    <w:p w:rsidR="00A80B28" w:rsidRPr="00152508" w:rsidP="00CE1CCE" w14:paraId="1F776975" w14:textId="37830F39">
      <w:pPr>
        <w:autoSpaceDE w:val="0"/>
        <w:autoSpaceDN w:val="0"/>
        <w:adjustRightInd w:val="0"/>
        <w:spacing w:after="120"/>
        <w:rPr>
          <w:sz w:val="20"/>
        </w:rPr>
      </w:pPr>
      <w:r w:rsidRPr="00152508">
        <w:rPr>
          <w:rStyle w:val="FootnoteReference"/>
        </w:rPr>
        <w:footnoteRef/>
      </w:r>
      <w:r w:rsidRPr="00152508">
        <w:rPr>
          <w:sz w:val="20"/>
        </w:rPr>
        <w:t xml:space="preserve"> </w:t>
      </w:r>
      <w:r w:rsidR="00C64743">
        <w:rPr>
          <w:i/>
          <w:iCs/>
          <w:sz w:val="20"/>
        </w:rPr>
        <w:t>3.7 GHz Report and Order</w:t>
      </w:r>
      <w:r w:rsidR="00C64743">
        <w:rPr>
          <w:sz w:val="20"/>
        </w:rPr>
        <w:t xml:space="preserve">, 35 FCC </w:t>
      </w:r>
      <w:r w:rsidR="00C64743">
        <w:rPr>
          <w:sz w:val="20"/>
        </w:rPr>
        <w:t>Rcd</w:t>
      </w:r>
      <w:r w:rsidR="00C64743">
        <w:rPr>
          <w:sz w:val="20"/>
        </w:rPr>
        <w:t xml:space="preserve"> at </w:t>
      </w:r>
      <w:r w:rsidR="00816698">
        <w:rPr>
          <w:sz w:val="20"/>
        </w:rPr>
        <w:t xml:space="preserve">2423-24, </w:t>
      </w:r>
      <w:r w:rsidR="00CC7593">
        <w:rPr>
          <w:sz w:val="20"/>
        </w:rPr>
        <w:t>2442, paras.</w:t>
      </w:r>
      <w:r w:rsidRPr="00152508">
        <w:rPr>
          <w:sz w:val="20"/>
        </w:rPr>
        <w:t xml:space="preserve"> 196, 241</w:t>
      </w:r>
      <w:r>
        <w:rPr>
          <w:sz w:val="20"/>
        </w:rPr>
        <w:t>.</w:t>
      </w:r>
    </w:p>
  </w:footnote>
  <w:footnote w:id="120">
    <w:p w:rsidR="007B1303" w:rsidP="007B1303" w14:paraId="18E63982" w14:textId="39EBDFCA">
      <w:pPr>
        <w:pStyle w:val="FootnoteText"/>
      </w:pPr>
      <w:r>
        <w:rPr>
          <w:rStyle w:val="FootnoteReference"/>
        </w:rPr>
        <w:footnoteRef/>
      </w:r>
      <w:r>
        <w:t xml:space="preserve"> </w:t>
      </w:r>
      <w:r>
        <w:rPr>
          <w:i/>
          <w:iCs/>
        </w:rPr>
        <w:t>Id.</w:t>
      </w:r>
      <w:r>
        <w:t xml:space="preserve"> </w:t>
      </w:r>
      <w:r w:rsidR="00CC7593">
        <w:t>at</w:t>
      </w:r>
      <w:r w:rsidR="005C795E">
        <w:t xml:space="preserve"> 2442, para.</w:t>
      </w:r>
      <w:r>
        <w:t xml:space="preserve"> 241 (emphasis in original).</w:t>
      </w:r>
    </w:p>
  </w:footnote>
  <w:footnote w:id="121">
    <w:p w:rsidR="00A80B28" w:rsidRPr="00152508" w:rsidP="00152508" w14:paraId="29B15E57" w14:textId="28F5194F">
      <w:pPr>
        <w:pStyle w:val="FootnoteText"/>
      </w:pPr>
      <w:r w:rsidRPr="00152508">
        <w:rPr>
          <w:rStyle w:val="FootnoteReference"/>
        </w:rPr>
        <w:footnoteRef/>
      </w:r>
      <w:r w:rsidRPr="00152508">
        <w:t xml:space="preserve"> </w:t>
      </w:r>
      <w:r w:rsidR="000E6B67">
        <w:rPr>
          <w:i/>
          <w:iCs/>
        </w:rPr>
        <w:t>Id.</w:t>
      </w:r>
      <w:r w:rsidR="000E6B67">
        <w:t xml:space="preserve"> at</w:t>
      </w:r>
      <w:r w:rsidR="00CA1BD6">
        <w:t xml:space="preserve"> 2424,</w:t>
      </w:r>
      <w:r w:rsidRPr="00152508">
        <w:t xml:space="preserve"> n.526 &amp; accompanying text (emphasis added).</w:t>
      </w:r>
    </w:p>
  </w:footnote>
  <w:footnote w:id="122">
    <w:p w:rsidR="00A80B28" w:rsidRPr="00152508" w:rsidP="00152508" w14:paraId="6C246C8C" w14:textId="5B5C47A3">
      <w:pPr>
        <w:pStyle w:val="FootnoteText"/>
      </w:pPr>
      <w:r w:rsidRPr="00152508">
        <w:rPr>
          <w:rStyle w:val="FootnoteReference"/>
        </w:rPr>
        <w:footnoteRef/>
      </w:r>
      <w:r w:rsidRPr="00152508">
        <w:t xml:space="preserve"> Stay Pet. at 23-24; </w:t>
      </w:r>
      <w:r w:rsidRPr="00152508">
        <w:rPr>
          <w:i/>
          <w:iCs/>
        </w:rPr>
        <w:t xml:space="preserve">see </w:t>
      </w:r>
      <w:r w:rsidR="00B6791E">
        <w:rPr>
          <w:i/>
          <w:iCs/>
        </w:rPr>
        <w:t xml:space="preserve">3.7 GHz Report and </w:t>
      </w:r>
      <w:r w:rsidRPr="00152508">
        <w:rPr>
          <w:i/>
          <w:iCs/>
        </w:rPr>
        <w:t>Order</w:t>
      </w:r>
      <w:r w:rsidR="00E61F29">
        <w:t xml:space="preserve">, 35 FCC </w:t>
      </w:r>
      <w:r w:rsidR="00E61F29">
        <w:t>Rcd</w:t>
      </w:r>
      <w:r w:rsidR="00E61F29">
        <w:t xml:space="preserve"> at 2442-</w:t>
      </w:r>
      <w:r w:rsidR="000A224C">
        <w:t>445,</w:t>
      </w:r>
      <w:r w:rsidRPr="00152508">
        <w:rPr>
          <w:i/>
          <w:iCs/>
        </w:rPr>
        <w:t xml:space="preserve"> </w:t>
      </w:r>
      <w:r w:rsidR="000A224C">
        <w:t>paras.</w:t>
      </w:r>
      <w:r w:rsidRPr="00152508">
        <w:t xml:space="preserve"> 241-49. </w:t>
      </w:r>
      <w:r w:rsidR="000A224C">
        <w:t xml:space="preserve"> </w:t>
      </w:r>
      <w:r w:rsidRPr="00152508">
        <w:t>Petitioners make no claims regarding ARSAT.</w:t>
      </w:r>
    </w:p>
  </w:footnote>
  <w:footnote w:id="123">
    <w:p w:rsidR="00A80B28" w:rsidP="005013A5" w14:paraId="01C3E666" w14:textId="77777777">
      <w:pPr>
        <w:pStyle w:val="FootnoteText"/>
      </w:pPr>
      <w:r>
        <w:rPr>
          <w:rStyle w:val="FootnoteReference"/>
        </w:rPr>
        <w:footnoteRef/>
      </w:r>
      <w:r>
        <w:t xml:space="preserve"> </w:t>
      </w:r>
      <w:r w:rsidRPr="002229AF">
        <w:t>SES Reply at 10</w:t>
      </w:r>
      <w:r>
        <w:t xml:space="preserve">; </w:t>
      </w:r>
      <w:r w:rsidRPr="00152508">
        <w:rPr>
          <w:i/>
          <w:iCs/>
        </w:rPr>
        <w:t>see</w:t>
      </w:r>
      <w:r w:rsidRPr="00152508">
        <w:t xml:space="preserve"> Verizon Opp. at 17 (Petitioners’ complaint “that the Commission excluded them from receiving accelerated payments” shows “that their real objection is not that the </w:t>
      </w:r>
      <w:r w:rsidRPr="00152508">
        <w:rPr>
          <w:i/>
          <w:iCs/>
        </w:rPr>
        <w:t>Order</w:t>
      </w:r>
      <w:r w:rsidRPr="00152508">
        <w:t xml:space="preserve"> provides for additional payments, only that none flows to them.”)</w:t>
      </w:r>
      <w:r>
        <w:t>.</w:t>
      </w:r>
    </w:p>
  </w:footnote>
  <w:footnote w:id="124">
    <w:p w:rsidR="00A80B28" w:rsidRPr="00152508" w:rsidP="00152508" w14:paraId="310540D6" w14:textId="1E1812E6">
      <w:pPr>
        <w:pStyle w:val="FootnoteText"/>
      </w:pPr>
      <w:r w:rsidRPr="00152508">
        <w:rPr>
          <w:rStyle w:val="FootnoteReference"/>
        </w:rPr>
        <w:footnoteRef/>
      </w:r>
      <w:r w:rsidRPr="00152508">
        <w:t xml:space="preserve"> Stay Pet. at 23.</w:t>
      </w:r>
    </w:p>
  </w:footnote>
  <w:footnote w:id="125">
    <w:p w:rsidR="00A80B28" w:rsidRPr="00152508" w:rsidP="00152508" w14:paraId="60031709" w14:textId="7E352695">
      <w:pPr>
        <w:pStyle w:val="FootnoteText"/>
      </w:pPr>
      <w:r w:rsidRPr="00152508">
        <w:rPr>
          <w:rStyle w:val="FootnoteReference"/>
        </w:rPr>
        <w:footnoteRef/>
      </w:r>
      <w:r w:rsidRPr="00152508">
        <w:t xml:space="preserve"> </w:t>
      </w:r>
      <w:r w:rsidR="003C22E7">
        <w:rPr>
          <w:i/>
          <w:iCs/>
        </w:rPr>
        <w:t xml:space="preserve">3.7 GHz Report and </w:t>
      </w:r>
      <w:r w:rsidRPr="005958BA">
        <w:rPr>
          <w:i/>
          <w:iCs/>
        </w:rPr>
        <w:t>Order</w:t>
      </w:r>
      <w:r w:rsidR="00F27478">
        <w:t xml:space="preserve">, 35 FCC </w:t>
      </w:r>
      <w:r w:rsidR="00F27478">
        <w:t>Rcd</w:t>
      </w:r>
      <w:r w:rsidR="00F27478">
        <w:t xml:space="preserve"> at 2442,</w:t>
      </w:r>
      <w:r w:rsidRPr="00152508">
        <w:t xml:space="preserve"> </w:t>
      </w:r>
      <w:r w:rsidR="00920151">
        <w:t>para.</w:t>
      </w:r>
      <w:r w:rsidRPr="00152508">
        <w:t xml:space="preserve"> 244.</w:t>
      </w:r>
    </w:p>
  </w:footnote>
  <w:footnote w:id="126">
    <w:p w:rsidR="00A80B28" w:rsidRPr="00152508" w:rsidP="00152508" w14:paraId="118944B6" w14:textId="74F6FB43">
      <w:pPr>
        <w:pStyle w:val="FootnoteText"/>
      </w:pPr>
      <w:r w:rsidRPr="00152508">
        <w:rPr>
          <w:rStyle w:val="FootnoteReference"/>
        </w:rPr>
        <w:footnoteRef/>
      </w:r>
      <w:r w:rsidRPr="00152508">
        <w:t xml:space="preserve"> Verizon Opp. at 18 (quoting Stay Pet. at 23-24).</w:t>
      </w:r>
    </w:p>
  </w:footnote>
  <w:footnote w:id="127">
    <w:p w:rsidR="00A80B28" w:rsidRPr="005013A5" w:rsidP="005013A5" w14:paraId="289597BA" w14:textId="3F76F6C7">
      <w:pPr>
        <w:spacing w:after="120"/>
        <w:rPr>
          <w:sz w:val="20"/>
        </w:rPr>
      </w:pPr>
      <w:r w:rsidRPr="00152508">
        <w:rPr>
          <w:rStyle w:val="FootnoteReference"/>
        </w:rPr>
        <w:footnoteRef/>
      </w:r>
      <w:r w:rsidRPr="00152508">
        <w:rPr>
          <w:sz w:val="20"/>
        </w:rPr>
        <w:t xml:space="preserve"> </w:t>
      </w:r>
      <w:r w:rsidRPr="00152508">
        <w:rPr>
          <w:i/>
          <w:iCs/>
          <w:sz w:val="20"/>
        </w:rPr>
        <w:t>Id.</w:t>
      </w:r>
      <w:r w:rsidRPr="00152508">
        <w:rPr>
          <w:sz w:val="20"/>
        </w:rPr>
        <w:t xml:space="preserve"> at 18 (quoting </w:t>
      </w:r>
      <w:r w:rsidRPr="003C22E7" w:rsidR="003C22E7">
        <w:rPr>
          <w:i/>
          <w:iCs/>
          <w:sz w:val="20"/>
        </w:rPr>
        <w:t xml:space="preserve">3.7 GHz Report and </w:t>
      </w:r>
      <w:r w:rsidRPr="00152508">
        <w:rPr>
          <w:i/>
          <w:iCs/>
          <w:sz w:val="20"/>
        </w:rPr>
        <w:t>Order</w:t>
      </w:r>
      <w:r w:rsidR="005A66EB">
        <w:rPr>
          <w:sz w:val="20"/>
        </w:rPr>
        <w:t xml:space="preserve">, 35 FCC </w:t>
      </w:r>
      <w:r w:rsidR="005A66EB">
        <w:rPr>
          <w:sz w:val="20"/>
        </w:rPr>
        <w:t>Rcd</w:t>
      </w:r>
      <w:r w:rsidR="005A66EB">
        <w:rPr>
          <w:sz w:val="20"/>
        </w:rPr>
        <w:t xml:space="preserve"> at 2444,</w:t>
      </w:r>
      <w:r w:rsidRPr="00152508">
        <w:rPr>
          <w:sz w:val="20"/>
        </w:rPr>
        <w:t xml:space="preserve"> </w:t>
      </w:r>
      <w:r w:rsidR="005A66EB">
        <w:rPr>
          <w:sz w:val="20"/>
        </w:rPr>
        <w:t>para.</w:t>
      </w:r>
      <w:r w:rsidRPr="00152508">
        <w:rPr>
          <w:sz w:val="20"/>
        </w:rPr>
        <w:t xml:space="preserve"> 248) (</w:t>
      </w:r>
      <w:r w:rsidRPr="00152508">
        <w:rPr>
          <w:snapToGrid/>
          <w:kern w:val="0"/>
          <w:sz w:val="20"/>
        </w:rPr>
        <w:t>“The notion that ABS made significant investments in launching this satellite with the specific intent of providing robust services in the United States and that it must be compensated for the loss of those investments is contradicted both by its inaction in the United States in the four-and-a-half years since it launched ABS-3A and the actual capabilities of ABS-3A to provide service outside the United States.”</w:t>
      </w:r>
      <w:r w:rsidRPr="00152508">
        <w:rPr>
          <w:sz w:val="20"/>
        </w:rPr>
        <w:t xml:space="preserve">); </w:t>
      </w:r>
      <w:r w:rsidRPr="005E0BB2" w:rsidR="005E0BB2">
        <w:rPr>
          <w:i/>
          <w:iCs/>
          <w:sz w:val="20"/>
        </w:rPr>
        <w:t xml:space="preserve">3.7 GHz Report and </w:t>
      </w:r>
      <w:r w:rsidRPr="00152508">
        <w:rPr>
          <w:i/>
          <w:iCs/>
          <w:sz w:val="20"/>
        </w:rPr>
        <w:t>Order</w:t>
      </w:r>
      <w:r w:rsidR="008D30A5">
        <w:rPr>
          <w:sz w:val="20"/>
        </w:rPr>
        <w:t xml:space="preserve">, </w:t>
      </w:r>
      <w:r w:rsidR="00DC7D41">
        <w:rPr>
          <w:sz w:val="20"/>
        </w:rPr>
        <w:t>2402-02,</w:t>
      </w:r>
      <w:r w:rsidRPr="00152508">
        <w:rPr>
          <w:sz w:val="20"/>
        </w:rPr>
        <w:t xml:space="preserve"> </w:t>
      </w:r>
      <w:r w:rsidR="00DC7D41">
        <w:rPr>
          <w:sz w:val="20"/>
        </w:rPr>
        <w:t>para.</w:t>
      </w:r>
      <w:r w:rsidRPr="00152508">
        <w:rPr>
          <w:sz w:val="20"/>
        </w:rPr>
        <w:t xml:space="preserve"> 139</w:t>
      </w:r>
      <w:r w:rsidR="00DC7D41">
        <w:rPr>
          <w:sz w:val="20"/>
        </w:rPr>
        <w:t xml:space="preserve"> &amp;</w:t>
      </w:r>
      <w:r w:rsidRPr="00152508">
        <w:rPr>
          <w:sz w:val="20"/>
        </w:rPr>
        <w:t xml:space="preserve"> n.393.</w:t>
      </w:r>
      <w:r>
        <w:rPr>
          <w:sz w:val="20"/>
        </w:rPr>
        <w:t xml:space="preserve"> </w:t>
      </w:r>
      <w:r w:rsidR="005E0BB2">
        <w:rPr>
          <w:sz w:val="20"/>
        </w:rPr>
        <w:t xml:space="preserve"> </w:t>
      </w:r>
      <w:r w:rsidRPr="00BB2777" w:rsidR="00BB2777">
        <w:rPr>
          <w:sz w:val="20"/>
        </w:rPr>
        <w:t xml:space="preserve">The ability to provide service to the United States using the ABS-3A satellite is significantly limited in both geography and signal strength.  As demonstrated in the ABS-3A coverage map, </w:t>
      </w:r>
      <w:r w:rsidRPr="00BB2777" w:rsidR="00BB2777">
        <w:rPr>
          <w:i/>
          <w:iCs/>
          <w:sz w:val="20"/>
        </w:rPr>
        <w:t>see</w:t>
      </w:r>
      <w:r w:rsidRPr="00BB2777" w:rsidR="00BB2777">
        <w:rPr>
          <w:sz w:val="20"/>
        </w:rPr>
        <w:t xml:space="preserve"> </w:t>
      </w:r>
      <w:hyperlink r:id="rId3" w:history="1">
        <w:r w:rsidRPr="00BB2777" w:rsidR="00BB2777">
          <w:rPr>
            <w:rStyle w:val="Hyperlink"/>
            <w:sz w:val="20"/>
          </w:rPr>
          <w:t>https://www.satbeams.com/footprints?beam=8203</w:t>
        </w:r>
      </w:hyperlink>
      <w:r w:rsidRPr="00BB2777" w:rsidR="00BB2777">
        <w:rPr>
          <w:sz w:val="20"/>
        </w:rPr>
        <w:t>, only the eastern-most states are capable of receiving a signal from the ABS-3A satellite.  And, even where the ABS-3A beam may reach certain areas, the necessary elevation angles for many of those locations (e.g., an a</w:t>
      </w:r>
      <w:r w:rsidR="00FC692C">
        <w:rPr>
          <w:sz w:val="20"/>
        </w:rPr>
        <w:t>p</w:t>
      </w:r>
      <w:r w:rsidRPr="00BB2777" w:rsidR="00BB2777">
        <w:rPr>
          <w:sz w:val="20"/>
        </w:rPr>
        <w:t>proximately 3-degree elevation angle from Miami) would not support a viable service.</w:t>
      </w:r>
      <w:r w:rsidR="00BB2777">
        <w:rPr>
          <w:sz w:val="20"/>
        </w:rPr>
        <w:t xml:space="preserve">  </w:t>
      </w:r>
      <w:r w:rsidR="00293C8C">
        <w:rPr>
          <w:i/>
          <w:iCs/>
          <w:sz w:val="20"/>
        </w:rPr>
        <w:t>See, e.g</w:t>
      </w:r>
      <w:r w:rsidR="00015891">
        <w:rPr>
          <w:i/>
          <w:iCs/>
          <w:sz w:val="20"/>
        </w:rPr>
        <w:t>.</w:t>
      </w:r>
      <w:r w:rsidR="00015891">
        <w:rPr>
          <w:sz w:val="20"/>
        </w:rPr>
        <w:t>, 47 CFR § 25.205 (</w:t>
      </w:r>
      <w:r w:rsidR="006975EC">
        <w:rPr>
          <w:sz w:val="20"/>
        </w:rPr>
        <w:t>establishing a minimum elevation angle of 5 degrees for earth station transmissions);</w:t>
      </w:r>
      <w:r>
        <w:rPr>
          <w:sz w:val="20"/>
        </w:rPr>
        <w:t xml:space="preserve"> C-Band Alliance Comments in GN Docket No. 18-122 at 23 (</w:t>
      </w:r>
      <w:r w:rsidRPr="004776FE">
        <w:rPr>
          <w:sz w:val="20"/>
        </w:rPr>
        <w:t>July 3, 2019)</w:t>
      </w:r>
      <w:r w:rsidR="00BF634F">
        <w:rPr>
          <w:sz w:val="20"/>
        </w:rPr>
        <w:t xml:space="preserve"> (arguing </w:t>
      </w:r>
      <w:r w:rsidR="00C23390">
        <w:rPr>
          <w:sz w:val="20"/>
        </w:rPr>
        <w:t>a 5.4 degree elevation angle</w:t>
      </w:r>
      <w:r w:rsidR="002034A8">
        <w:rPr>
          <w:sz w:val="20"/>
        </w:rPr>
        <w:t>—the elevation angle that would</w:t>
      </w:r>
      <w:r w:rsidR="003E3B2A">
        <w:rPr>
          <w:sz w:val="20"/>
        </w:rPr>
        <w:t xml:space="preserve"> have been necessary</w:t>
      </w:r>
      <w:r w:rsidRPr="00E4486B" w:rsidR="00D6231B">
        <w:rPr>
          <w:sz w:val="20"/>
        </w:rPr>
        <w:t xml:space="preserve"> to see ABS’s ABS-3A satellite from </w:t>
      </w:r>
      <w:r w:rsidR="006F6FE6">
        <w:rPr>
          <w:sz w:val="20"/>
        </w:rPr>
        <w:t xml:space="preserve">the </w:t>
      </w:r>
      <w:r w:rsidR="00FC27B8">
        <w:rPr>
          <w:sz w:val="20"/>
        </w:rPr>
        <w:t xml:space="preserve">proposed but unbuilt </w:t>
      </w:r>
      <w:r w:rsidR="006F6FE6">
        <w:rPr>
          <w:sz w:val="20"/>
        </w:rPr>
        <w:t>Hudson, NY</w:t>
      </w:r>
      <w:r w:rsidRPr="00E4486B" w:rsidR="00D6231B">
        <w:rPr>
          <w:sz w:val="20"/>
        </w:rPr>
        <w:t xml:space="preserve"> location</w:t>
      </w:r>
      <w:r w:rsidR="00FC27B8">
        <w:rPr>
          <w:sz w:val="20"/>
        </w:rPr>
        <w:t>—would</w:t>
      </w:r>
      <w:r w:rsidR="00861D68">
        <w:rPr>
          <w:sz w:val="20"/>
        </w:rPr>
        <w:t xml:space="preserve"> “render viable service highly impractica</w:t>
      </w:r>
      <w:r w:rsidR="00DC2962">
        <w:rPr>
          <w:sz w:val="20"/>
        </w:rPr>
        <w:t>b</w:t>
      </w:r>
      <w:r w:rsidR="00861D68">
        <w:rPr>
          <w:sz w:val="20"/>
        </w:rPr>
        <w:t>l</w:t>
      </w:r>
      <w:r w:rsidR="00DC2962">
        <w:rPr>
          <w:sz w:val="20"/>
        </w:rPr>
        <w:t>e</w:t>
      </w:r>
      <w:r w:rsidR="00861D68">
        <w:rPr>
          <w:sz w:val="20"/>
        </w:rPr>
        <w:t xml:space="preserve"> as a technical matter”).  </w:t>
      </w:r>
      <w:r w:rsidR="00785FBD">
        <w:rPr>
          <w:sz w:val="20"/>
        </w:rPr>
        <w:t>Communication</w:t>
      </w:r>
      <w:r w:rsidR="004866E2">
        <w:rPr>
          <w:sz w:val="20"/>
        </w:rPr>
        <w:t>s</w:t>
      </w:r>
      <w:r w:rsidR="00785FBD">
        <w:rPr>
          <w:sz w:val="20"/>
        </w:rPr>
        <w:t xml:space="preserve"> to earth stations with such low elevation angles</w:t>
      </w:r>
      <w:r w:rsidR="00593083">
        <w:rPr>
          <w:sz w:val="20"/>
        </w:rPr>
        <w:t xml:space="preserve"> are</w:t>
      </w:r>
      <w:r w:rsidRPr="00E4486B" w:rsidR="00D6231B">
        <w:rPr>
          <w:sz w:val="20"/>
        </w:rPr>
        <w:t xml:space="preserve"> much more susceptible to atmospheric and terrestrial degradation of the received signal than satellites with higher elevation angles.</w:t>
      </w:r>
    </w:p>
  </w:footnote>
  <w:footnote w:id="128">
    <w:p w:rsidR="00A80B28" w14:paraId="31170D1A" w14:textId="16305CAA">
      <w:pPr>
        <w:pStyle w:val="FootnoteText"/>
      </w:pPr>
      <w:r>
        <w:rPr>
          <w:rStyle w:val="FootnoteReference"/>
        </w:rPr>
        <w:footnoteRef/>
      </w:r>
      <w:r>
        <w:t xml:space="preserve"> Stay Pet. at 15.</w:t>
      </w:r>
    </w:p>
  </w:footnote>
  <w:footnote w:id="129">
    <w:p w:rsidR="00A80B28" w:rsidRPr="00E52BC3" w14:paraId="50985047" w14:textId="64206E66">
      <w:pPr>
        <w:pStyle w:val="FootnoteText"/>
      </w:pPr>
      <w:r>
        <w:rPr>
          <w:rStyle w:val="FootnoteReference"/>
        </w:rPr>
        <w:footnoteRef/>
      </w:r>
      <w:r>
        <w:t xml:space="preserve"> </w:t>
      </w:r>
      <w:r w:rsidR="00A008DB">
        <w:rPr>
          <w:i/>
          <w:iCs/>
        </w:rPr>
        <w:t xml:space="preserve">3.7 GHz Report and </w:t>
      </w:r>
      <w:r w:rsidRPr="00E4486B" w:rsidR="006C58A0">
        <w:rPr>
          <w:i/>
          <w:iCs/>
        </w:rPr>
        <w:t>Order</w:t>
      </w:r>
      <w:r w:rsidR="00A008DB">
        <w:t xml:space="preserve">, 35 FCC </w:t>
      </w:r>
      <w:r w:rsidR="00A008DB">
        <w:t>Rcd</w:t>
      </w:r>
      <w:r w:rsidR="00A008DB">
        <w:t xml:space="preserve"> at</w:t>
      </w:r>
      <w:r w:rsidR="00B0038E">
        <w:t xml:space="preserve"> 2442-43,</w:t>
      </w:r>
      <w:r w:rsidR="006C58A0">
        <w:t xml:space="preserve"> </w:t>
      </w:r>
      <w:r w:rsidR="00761382">
        <w:t>paras.</w:t>
      </w:r>
      <w:r w:rsidR="006C58A0">
        <w:t xml:space="preserve"> 241</w:t>
      </w:r>
      <w:r w:rsidR="00761382">
        <w:t>, 243</w:t>
      </w:r>
      <w:r w:rsidR="008E5D23">
        <w:t xml:space="preserve"> &amp;</w:t>
      </w:r>
      <w:r w:rsidR="006C58A0">
        <w:t xml:space="preserve"> </w:t>
      </w:r>
      <w:r w:rsidR="00E81315">
        <w:t>n</w:t>
      </w:r>
      <w:r w:rsidR="006C58A0">
        <w:t>n.625,</w:t>
      </w:r>
      <w:r w:rsidR="008E5D23">
        <w:t xml:space="preserve"> </w:t>
      </w:r>
      <w:r w:rsidR="006C58A0">
        <w:t xml:space="preserve">632; </w:t>
      </w:r>
      <w:r w:rsidR="006C58A0">
        <w:rPr>
          <w:i/>
          <w:iCs/>
        </w:rPr>
        <w:t xml:space="preserve">see also id. </w:t>
      </w:r>
      <w:r w:rsidR="00E81315">
        <w:t>at 2442-45, paras.</w:t>
      </w:r>
      <w:r w:rsidR="006C58A0">
        <w:t xml:space="preserve"> 242-48. </w:t>
      </w:r>
      <w:r w:rsidR="00E81315">
        <w:t xml:space="preserve"> </w:t>
      </w:r>
      <w:r w:rsidR="006C58A0">
        <w:t xml:space="preserve">Petitioners have not provided any evidence that they provide service to incumbent earth stations in the contiguous U.S. despite having been provided numerous opportunities to do so. </w:t>
      </w:r>
      <w:r w:rsidR="006C58A0">
        <w:rPr>
          <w:i/>
          <w:iCs/>
        </w:rPr>
        <w:t>See, e.g., id.</w:t>
      </w:r>
      <w:r w:rsidR="008E5D23">
        <w:t xml:space="preserve"> at 2</w:t>
      </w:r>
      <w:r w:rsidR="0076021B">
        <w:t>44</w:t>
      </w:r>
      <w:r w:rsidR="00E81315">
        <w:t>2-43, para.</w:t>
      </w:r>
      <w:r w:rsidR="006C58A0">
        <w:t xml:space="preserve"> 243 </w:t>
      </w:r>
      <w:r w:rsidR="00E81315">
        <w:t xml:space="preserve">&amp; </w:t>
      </w:r>
      <w:r w:rsidR="006C58A0">
        <w:t>nn.628-30, 632.</w:t>
      </w:r>
    </w:p>
  </w:footnote>
  <w:footnote w:id="130">
    <w:p w:rsidR="00A80B28" w:rsidP="005958BA" w14:paraId="0969B335" w14:textId="6E402F6B">
      <w:pPr>
        <w:pStyle w:val="FootnoteText"/>
      </w:pPr>
      <w:r>
        <w:rPr>
          <w:rStyle w:val="FootnoteReference"/>
        </w:rPr>
        <w:footnoteRef/>
      </w:r>
      <w:r>
        <w:t xml:space="preserve"> </w:t>
      </w:r>
      <w:r>
        <w:rPr>
          <w:i/>
          <w:iCs/>
        </w:rPr>
        <w:t>S</w:t>
      </w:r>
      <w:r w:rsidRPr="005013A5">
        <w:rPr>
          <w:i/>
          <w:iCs/>
        </w:rPr>
        <w:t>ee</w:t>
      </w:r>
      <w:r>
        <w:rPr>
          <w:i/>
          <w:iCs/>
        </w:rPr>
        <w:t xml:space="preserve"> </w:t>
      </w:r>
      <w:r w:rsidR="004E0F73">
        <w:rPr>
          <w:i/>
          <w:iCs/>
        </w:rPr>
        <w:t xml:space="preserve">3.7 GHz Report and </w:t>
      </w:r>
      <w:r>
        <w:rPr>
          <w:i/>
          <w:iCs/>
        </w:rPr>
        <w:t>Order</w:t>
      </w:r>
      <w:r w:rsidR="00BA33BD">
        <w:t xml:space="preserve">, 35 FCC </w:t>
      </w:r>
      <w:r w:rsidR="00BA33BD">
        <w:t>Rcd</w:t>
      </w:r>
      <w:r w:rsidR="00BA33BD">
        <w:t xml:space="preserve"> at 2401-02,</w:t>
      </w:r>
      <w:r>
        <w:rPr>
          <w:i/>
          <w:iCs/>
        </w:rPr>
        <w:t xml:space="preserve"> </w:t>
      </w:r>
      <w:r w:rsidR="004B066A">
        <w:t>para.</w:t>
      </w:r>
      <w:r w:rsidRPr="004776FE">
        <w:t xml:space="preserve"> 139 (SSOs</w:t>
      </w:r>
      <w:r>
        <w:t xml:space="preserve"> </w:t>
      </w:r>
      <w:r w:rsidRPr="004776FE">
        <w:t>failed to explain how they plan to compete with the growing importance of fiber as a substitute for satellite delivery) and</w:t>
      </w:r>
      <w:r>
        <w:t xml:space="preserve"> n.</w:t>
      </w:r>
      <w:r w:rsidRPr="004776FE">
        <w:t>394 (citing to evidence in the record re</w:t>
      </w:r>
      <w:r>
        <w:t>garding</w:t>
      </w:r>
      <w:r w:rsidRPr="004776FE">
        <w:t xml:space="preserve"> the growth of fiber as a substitute delivery mechanism)</w:t>
      </w:r>
      <w:r w:rsidR="00DE2F1B">
        <w:t>;</w:t>
      </w:r>
      <w:r w:rsidRPr="00E4486B" w:rsidR="00DE2F1B">
        <w:t xml:space="preserve"> </w:t>
      </w:r>
      <w:r w:rsidRPr="00E4486B" w:rsidR="00DE2F1B">
        <w:rPr>
          <w:i/>
          <w:iCs/>
        </w:rPr>
        <w:t xml:space="preserve">see also id. </w:t>
      </w:r>
      <w:r w:rsidR="006A2A22">
        <w:t>at 2404, para.</w:t>
      </w:r>
      <w:r w:rsidRPr="00E4486B" w:rsidR="00DE2F1B">
        <w:t xml:space="preserve"> 143 (“incumbent space station operators have no expectation of exclusive access to a particular spectrum band and incurred no appreciable costs for use of this valuable public resource beyond investment in their own network.”).</w:t>
      </w:r>
    </w:p>
  </w:footnote>
  <w:footnote w:id="131">
    <w:p w:rsidR="00A80B28" w:rsidRPr="00152508" w:rsidP="00152508" w14:paraId="3FBF2523" w14:textId="6BDC73F4">
      <w:pPr>
        <w:pStyle w:val="FootnoteText"/>
      </w:pPr>
      <w:r w:rsidRPr="00152508">
        <w:rPr>
          <w:rStyle w:val="FootnoteReference"/>
        </w:rPr>
        <w:footnoteRef/>
      </w:r>
      <w:r w:rsidRPr="00152508">
        <w:t xml:space="preserve"> Stay Pet. at 31-32; </w:t>
      </w:r>
      <w:r w:rsidRPr="00152508">
        <w:rPr>
          <w:i/>
          <w:iCs/>
        </w:rPr>
        <w:t xml:space="preserve">see </w:t>
      </w:r>
      <w:r>
        <w:t xml:space="preserve">Petitioners’ </w:t>
      </w:r>
      <w:r w:rsidRPr="00152508">
        <w:t>Reply at 33-39.</w:t>
      </w:r>
    </w:p>
  </w:footnote>
  <w:footnote w:id="132">
    <w:p w:rsidR="00A80B28" w:rsidRPr="00152508" w:rsidP="00152508" w14:paraId="6EAC3643" w14:textId="50EB85C3">
      <w:pPr>
        <w:pStyle w:val="FootnoteText"/>
      </w:pPr>
      <w:r w:rsidRPr="00152508">
        <w:rPr>
          <w:rStyle w:val="FootnoteReference"/>
        </w:rPr>
        <w:footnoteRef/>
      </w:r>
      <w:r w:rsidRPr="00152508">
        <w:t xml:space="preserve"> </w:t>
      </w:r>
      <w:r>
        <w:t>Stay Pet.</w:t>
      </w:r>
      <w:r w:rsidRPr="00152508">
        <w:rPr>
          <w:i/>
          <w:iCs/>
        </w:rPr>
        <w:t xml:space="preserve"> </w:t>
      </w:r>
      <w:r w:rsidRPr="00152508">
        <w:t>at 31.</w:t>
      </w:r>
    </w:p>
  </w:footnote>
  <w:footnote w:id="133">
    <w:p w:rsidR="00A80B28" w:rsidRPr="00152508" w:rsidP="00152508" w14:paraId="4C934FC3" w14:textId="2F680BE4">
      <w:pPr>
        <w:pStyle w:val="FootnoteText"/>
      </w:pPr>
      <w:r w:rsidRPr="00152508">
        <w:rPr>
          <w:rStyle w:val="FootnoteReference"/>
        </w:rPr>
        <w:footnoteRef/>
      </w:r>
      <w:r w:rsidRPr="00152508">
        <w:t xml:space="preserve"> </w:t>
      </w:r>
      <w:r w:rsidRPr="00152508">
        <w:rPr>
          <w:i/>
          <w:iCs/>
        </w:rPr>
        <w:t>See</w:t>
      </w:r>
      <w:r w:rsidRPr="00152508">
        <w:t xml:space="preserve"> </w:t>
      </w:r>
      <w:r w:rsidR="00521611">
        <w:rPr>
          <w:i/>
          <w:iCs/>
        </w:rPr>
        <w:t xml:space="preserve">3.7 GHz Report and </w:t>
      </w:r>
      <w:r w:rsidRPr="00152508">
        <w:rPr>
          <w:i/>
          <w:iCs/>
        </w:rPr>
        <w:t>Order</w:t>
      </w:r>
      <w:r w:rsidR="00521611">
        <w:t xml:space="preserve">, 35 FCC </w:t>
      </w:r>
      <w:r w:rsidR="00521611">
        <w:t>Rcd</w:t>
      </w:r>
      <w:r w:rsidR="00521611">
        <w:t xml:space="preserve"> at </w:t>
      </w:r>
      <w:r w:rsidR="00705A1F">
        <w:t>2345-47, 2410-11,</w:t>
      </w:r>
      <w:r w:rsidR="00AC4648">
        <w:t xml:space="preserve"> 243, and </w:t>
      </w:r>
      <w:r w:rsidR="00303A4E">
        <w:t>2435-36,</w:t>
      </w:r>
      <w:r w:rsidRPr="00152508">
        <w:t xml:space="preserve"> </w:t>
      </w:r>
      <w:r w:rsidR="00CD3176">
        <w:t>paras.</w:t>
      </w:r>
      <w:r w:rsidRPr="00152508">
        <w:t xml:space="preserve"> 3-4, 6-7, 162, 219 n.580, 226.</w:t>
      </w:r>
    </w:p>
  </w:footnote>
  <w:footnote w:id="134">
    <w:p w:rsidR="00A80B28" w:rsidRPr="00152508" w:rsidP="00152508" w14:paraId="0CB3088F" w14:textId="3A6B853F">
      <w:pPr>
        <w:pStyle w:val="FootnoteText"/>
      </w:pPr>
      <w:r w:rsidRPr="00152508">
        <w:rPr>
          <w:rStyle w:val="FootnoteReference"/>
        </w:rPr>
        <w:footnoteRef/>
      </w:r>
      <w:r w:rsidRPr="00152508">
        <w:t xml:space="preserve"> </w:t>
      </w:r>
      <w:r w:rsidRPr="00152508">
        <w:rPr>
          <w:i/>
          <w:iCs/>
        </w:rPr>
        <w:t>Id.</w:t>
      </w:r>
      <w:r w:rsidRPr="00152508">
        <w:t xml:space="preserve"> </w:t>
      </w:r>
      <w:r w:rsidR="00934073">
        <w:t>2356, para.</w:t>
      </w:r>
      <w:r w:rsidRPr="00152508">
        <w:t xml:space="preserve"> 28 (emphasis added).</w:t>
      </w:r>
      <w:r w:rsidR="00AC5ADB">
        <w:t xml:space="preserve"> </w:t>
      </w:r>
      <w:r w:rsidRPr="00152508">
        <w:t xml:space="preserve"> </w:t>
      </w:r>
    </w:p>
  </w:footnote>
  <w:footnote w:id="135">
    <w:p w:rsidR="0083678C" w14:paraId="09462158" w14:textId="156C74CB">
      <w:pPr>
        <w:pStyle w:val="FootnoteText"/>
      </w:pPr>
      <w:r>
        <w:rPr>
          <w:rStyle w:val="FootnoteReference"/>
        </w:rPr>
        <w:footnoteRef/>
      </w:r>
      <w:r>
        <w:t xml:space="preserve"> </w:t>
      </w:r>
      <w:r w:rsidRPr="00152508">
        <w:t>Letter from Scott Blake Harris, Counsel to the Small Satellite Operators, to Marlene H. Dortch, Secretary, FCC, GN Docket No. 18-122, at 1 (filed Oct. 9, 2019); Letter from Scott Blake Harris, Counsel to Small Satellite Operators, to Marlene H. Dortch, Secretary,</w:t>
      </w:r>
      <w:r>
        <w:t xml:space="preserve"> </w:t>
      </w:r>
      <w:r w:rsidRPr="00152508">
        <w:t>FCC, GN Docket No. 18-122, at 1 (filed Sept. 13, 2019) (“300 megahertz of C-band spectrum could be made available for 5G within 18 to 36 months through the use of non-proprietary, readily available compression technology”)</w:t>
      </w:r>
      <w:r>
        <w:t>.</w:t>
      </w:r>
      <w:r>
        <w:rPr>
          <w:i/>
          <w:iCs/>
        </w:rPr>
        <w:t xml:space="preserve">  </w:t>
      </w:r>
      <w:r w:rsidRPr="00152508">
        <w:t>Larger satellite operators</w:t>
      </w:r>
      <w:r>
        <w:t>—</w:t>
      </w:r>
      <w:r w:rsidRPr="00152508">
        <w:t>as well as more than a dozen large C-band users</w:t>
      </w:r>
      <w:r>
        <w:t>—</w:t>
      </w:r>
      <w:r w:rsidRPr="00152508">
        <w:t xml:space="preserve">confirmed that they can continue existing operations uninterrupted using 200 megahertz. </w:t>
      </w:r>
      <w:r>
        <w:t xml:space="preserve"> </w:t>
      </w:r>
      <w:r>
        <w:rPr>
          <w:i/>
          <w:iCs/>
        </w:rPr>
        <w:t>3.7 GHz Report and Order</w:t>
      </w:r>
      <w:r>
        <w:t xml:space="preserve">, 35 FCC </w:t>
      </w:r>
      <w:r>
        <w:t>Rcd</w:t>
      </w:r>
      <w:r>
        <w:t xml:space="preserve"> at 2397, para.</w:t>
      </w:r>
      <w:r w:rsidRPr="00152508">
        <w:t xml:space="preserve"> 130</w:t>
      </w:r>
      <w:r>
        <w:t xml:space="preserve"> &amp; n.368</w:t>
      </w:r>
      <w:r w:rsidRPr="00683F3A">
        <w:t>.</w:t>
      </w:r>
    </w:p>
  </w:footnote>
  <w:footnote w:id="136">
    <w:p w:rsidR="00A80B28" w:rsidRPr="00152508" w:rsidP="00152508" w14:paraId="46BB0DA3" w14:textId="7CE50143">
      <w:pPr>
        <w:pStyle w:val="FootnoteText"/>
      </w:pPr>
      <w:r w:rsidRPr="00152508">
        <w:rPr>
          <w:rStyle w:val="FootnoteReference"/>
        </w:rPr>
        <w:footnoteRef/>
      </w:r>
      <w:r w:rsidRPr="00152508">
        <w:t xml:space="preserve"> </w:t>
      </w:r>
      <w:r w:rsidR="00D706DD">
        <w:rPr>
          <w:i/>
          <w:iCs/>
        </w:rPr>
        <w:t xml:space="preserve">3.7 GHz Report and </w:t>
      </w:r>
      <w:r w:rsidRPr="00152508">
        <w:rPr>
          <w:i/>
          <w:iCs/>
        </w:rPr>
        <w:t>Order</w:t>
      </w:r>
      <w:r w:rsidR="00D706DD">
        <w:t xml:space="preserve">, 35 FCC </w:t>
      </w:r>
      <w:r w:rsidR="00D706DD">
        <w:t>Rcd</w:t>
      </w:r>
      <w:r w:rsidR="00D706DD">
        <w:t xml:space="preserve"> at</w:t>
      </w:r>
      <w:r w:rsidR="007624EE">
        <w:t xml:space="preserve"> 2410-11,</w:t>
      </w:r>
      <w:r w:rsidRPr="00152508">
        <w:t xml:space="preserve"> </w:t>
      </w:r>
      <w:r w:rsidR="007624EE">
        <w:t>para</w:t>
      </w:r>
      <w:r w:rsidRPr="00152508">
        <w:t xml:space="preserve"> 162; </w:t>
      </w:r>
      <w:r w:rsidRPr="00152508">
        <w:rPr>
          <w:i/>
          <w:iCs/>
        </w:rPr>
        <w:t xml:space="preserve">see id. </w:t>
      </w:r>
      <w:r w:rsidR="00D4193C">
        <w:t>at 2435-36, para.</w:t>
      </w:r>
      <w:r w:rsidRPr="00152508">
        <w:t xml:space="preserve"> 226.</w:t>
      </w:r>
    </w:p>
  </w:footnote>
  <w:footnote w:id="137">
    <w:p w:rsidR="00A80B28" w:rsidRPr="00152508" w:rsidP="00152508" w14:paraId="12AB0DCE" w14:textId="786E6225">
      <w:pPr>
        <w:pStyle w:val="FootnoteText"/>
      </w:pPr>
      <w:r w:rsidRPr="00152508">
        <w:rPr>
          <w:rStyle w:val="FootnoteReference"/>
        </w:rPr>
        <w:footnoteRef/>
      </w:r>
      <w:r w:rsidRPr="00152508">
        <w:t xml:space="preserve"> </w:t>
      </w:r>
      <w:r w:rsidRPr="00152508">
        <w:rPr>
          <w:i/>
          <w:iCs/>
        </w:rPr>
        <w:t>Id.</w:t>
      </w:r>
      <w:r w:rsidRPr="00152508">
        <w:t xml:space="preserve"> </w:t>
      </w:r>
      <w:r w:rsidR="00F415FF">
        <w:t>at 2345, para.</w:t>
      </w:r>
      <w:r w:rsidRPr="00152508">
        <w:t xml:space="preserve"> 4.</w:t>
      </w:r>
    </w:p>
  </w:footnote>
  <w:footnote w:id="138">
    <w:p w:rsidR="00A80B28" w:rsidRPr="00E52BC3" w:rsidP="00152508" w14:paraId="2F344661" w14:textId="49E38373">
      <w:pPr>
        <w:pStyle w:val="FootnoteText"/>
      </w:pPr>
      <w:r w:rsidRPr="00152508">
        <w:rPr>
          <w:rStyle w:val="FootnoteReference"/>
        </w:rPr>
        <w:footnoteRef/>
      </w:r>
      <w:r w:rsidRPr="00152508">
        <w:t xml:space="preserve"> </w:t>
      </w:r>
      <w:r w:rsidRPr="00152508">
        <w:rPr>
          <w:i/>
          <w:iCs/>
        </w:rPr>
        <w:t>Id.</w:t>
      </w:r>
      <w:r w:rsidRPr="00152508">
        <w:t xml:space="preserve"> </w:t>
      </w:r>
      <w:r w:rsidR="00397B03">
        <w:t>paras.</w:t>
      </w:r>
      <w:r w:rsidRPr="00152508">
        <w:t xml:space="preserve"> 290 (May 2020 </w:t>
      </w:r>
      <w:r w:rsidR="00303B34">
        <w:t>A</w:t>
      </w:r>
      <w:r w:rsidRPr="00152508" w:rsidR="00303B34">
        <w:t xml:space="preserve">ccelerated </w:t>
      </w:r>
      <w:r w:rsidR="00303B34">
        <w:t>R</w:t>
      </w:r>
      <w:r w:rsidRPr="00152508" w:rsidR="00303B34">
        <w:t xml:space="preserve">elocation </w:t>
      </w:r>
      <w:r w:rsidR="00303B34">
        <w:t>E</w:t>
      </w:r>
      <w:r w:rsidRPr="00152508" w:rsidR="00303B34">
        <w:t>lection</w:t>
      </w:r>
      <w:r w:rsidRPr="00152508">
        <w:t xml:space="preserve">), 291 (June 2020 Public Notice announcing whether 80 percent trigger met for elections), 302 (June </w:t>
      </w:r>
      <w:r>
        <w:t xml:space="preserve">2020 </w:t>
      </w:r>
      <w:r w:rsidRPr="00152508">
        <w:t xml:space="preserve">deadline for individual Transition Plans from eligible incumbents), 305 (July </w:t>
      </w:r>
      <w:r>
        <w:t xml:space="preserve">2020 </w:t>
      </w:r>
      <w:r w:rsidRPr="00152508">
        <w:t xml:space="preserve">deadline for comments on Transition Plans), 311 (July </w:t>
      </w:r>
      <w:r>
        <w:t xml:space="preserve">2020 </w:t>
      </w:r>
      <w:r w:rsidRPr="00152508">
        <w:t xml:space="preserve">deadline for search committee to select Relocation Coordinator). </w:t>
      </w:r>
      <w:r w:rsidR="00303B34">
        <w:t xml:space="preserve"> </w:t>
      </w:r>
      <w:r>
        <w:t xml:space="preserve">All eligible </w:t>
      </w:r>
      <w:r w:rsidR="00303B34">
        <w:t xml:space="preserve">space station </w:t>
      </w:r>
      <w:r>
        <w:t xml:space="preserve">operators elected to relocate on an accelerated basis. </w:t>
      </w:r>
      <w:r>
        <w:rPr>
          <w:i/>
          <w:iCs/>
        </w:rPr>
        <w:t>See</w:t>
      </w:r>
      <w:r w:rsidR="004B277C">
        <w:rPr>
          <w:i/>
          <w:iCs/>
        </w:rPr>
        <w:t xml:space="preserve"> Accelerated Clearing Public Notice</w:t>
      </w:r>
      <w:r>
        <w:t>.</w:t>
      </w:r>
    </w:p>
  </w:footnote>
  <w:footnote w:id="139">
    <w:p w:rsidR="00A80B28" w:rsidRPr="00152508" w:rsidP="00152508" w14:paraId="4BB4E3E8" w14:textId="632423F9">
      <w:pPr>
        <w:pStyle w:val="FootnoteText"/>
      </w:pPr>
      <w:r w:rsidRPr="00152508">
        <w:rPr>
          <w:rStyle w:val="FootnoteReference"/>
        </w:rPr>
        <w:footnoteRef/>
      </w:r>
      <w:r w:rsidRPr="00152508">
        <w:t xml:space="preserve"> SES </w:t>
      </w:r>
      <w:r w:rsidRPr="00152508">
        <w:t>Americom</w:t>
      </w:r>
      <w:r w:rsidRPr="00152508">
        <w:t xml:space="preserve">, Inc. Opp. to Stay Pet. in GN Docket No. 18-122 at 2 (filed May 27, 2020) (“These activities include contracting for equipment, approving the purchase of long-lead satellite components, and consolidating tracking, telemetry, and control operations. SES has taken these actions, and plans to take additional necessary actions to clear on a specific schedule that will allow it to meet the Commission’s accelerated deadlines.”); </w:t>
      </w:r>
      <w:r w:rsidRPr="00152508">
        <w:rPr>
          <w:i/>
          <w:iCs/>
        </w:rPr>
        <w:t>see</w:t>
      </w:r>
      <w:r w:rsidRPr="00152508">
        <w:t xml:space="preserve"> </w:t>
      </w:r>
      <w:r w:rsidRPr="00152508">
        <w:t>Telesat</w:t>
      </w:r>
      <w:r w:rsidRPr="00152508">
        <w:t xml:space="preserve"> Canada Opposition to Stay Pet. in GN Docket No. 18-122 at 2-3 (filed May 27, 2020) (“Accelerated clearing of the 3700-4000 MHz band requires an intricate series of interrelated steps involving satellite transponder plans, customer frequency assignments, and ground station equipment and operations. To be able to satisfy its accelerated clearing responsibilities, </w:t>
      </w:r>
      <w:r w:rsidRPr="00152508">
        <w:t>Telesat</w:t>
      </w:r>
      <w:r w:rsidRPr="00152508">
        <w:t xml:space="preserve"> already has dedicated time, personnel, and resources, including making substantial contractual commitments for the purchase of filters that will be necessary for frequency relocation; working with its earth station customers to determine their requirements for clearance; and creating a master schedule of activities that will be necessary for </w:t>
      </w:r>
      <w:r w:rsidRPr="00152508">
        <w:t>Telesat</w:t>
      </w:r>
      <w:r w:rsidRPr="00152508">
        <w:t xml:space="preserve"> to complete its anticipated frequency clearance obligations in the most expeditious and efficient manner that is reasonably possible.”); </w:t>
      </w:r>
      <w:r w:rsidRPr="00152508">
        <w:rPr>
          <w:i/>
          <w:iCs/>
        </w:rPr>
        <w:t xml:space="preserve">see also </w:t>
      </w:r>
      <w:r w:rsidR="00DE303B">
        <w:rPr>
          <w:i/>
          <w:iCs/>
        </w:rPr>
        <w:t xml:space="preserve">3.7 GHz Report and </w:t>
      </w:r>
      <w:r w:rsidRPr="00152508">
        <w:rPr>
          <w:i/>
          <w:iCs/>
        </w:rPr>
        <w:t>Order</w:t>
      </w:r>
      <w:r w:rsidR="00DE303B">
        <w:t xml:space="preserve">, 35 FCC </w:t>
      </w:r>
      <w:r w:rsidR="00DE303B">
        <w:t>Rcd</w:t>
      </w:r>
      <w:r w:rsidR="00DE303B">
        <w:t xml:space="preserve"> at </w:t>
      </w:r>
      <w:r w:rsidR="0084351F">
        <w:t>2436,</w:t>
      </w:r>
      <w:r w:rsidRPr="00152508">
        <w:rPr>
          <w:i/>
          <w:iCs/>
        </w:rPr>
        <w:t xml:space="preserve"> </w:t>
      </w:r>
      <w:r w:rsidR="0084351F">
        <w:t>para.</w:t>
      </w:r>
      <w:r w:rsidRPr="00152508">
        <w:t xml:space="preserve"> 227 (“To accelerate clearing, each space station operator will need to engage in a complex and iterative process of coordinating between its programmer customers and incumbent earth stations, allocating resources to effectuate changes in both the space station and earth station segments of the FSS network, and orchestrating changes both in space and on the ground in order to ensure continuous and uninterrupted delivery of content.”); </w:t>
      </w:r>
      <w:r w:rsidRPr="00152508">
        <w:rPr>
          <w:i/>
          <w:iCs/>
        </w:rPr>
        <w:t xml:space="preserve">id. </w:t>
      </w:r>
      <w:r w:rsidR="00537DD8">
        <w:t>at 2454</w:t>
      </w:r>
      <w:r w:rsidR="00635E21">
        <w:t>-55</w:t>
      </w:r>
      <w:r w:rsidR="00537DD8">
        <w:t xml:space="preserve">, </w:t>
      </w:r>
      <w:r w:rsidR="00635E21">
        <w:t>paras.</w:t>
      </w:r>
      <w:r w:rsidRPr="00152508">
        <w:t xml:space="preserve"> 287, 292.</w:t>
      </w:r>
    </w:p>
  </w:footnote>
  <w:footnote w:id="140">
    <w:p w:rsidR="00A80B28" w:rsidRPr="00152508" w:rsidP="00152508" w14:paraId="2AEEA3E3" w14:textId="7C84F167">
      <w:pPr>
        <w:pStyle w:val="Default"/>
        <w:spacing w:after="120"/>
        <w:rPr>
          <w:sz w:val="20"/>
          <w:szCs w:val="20"/>
        </w:rPr>
      </w:pPr>
      <w:r w:rsidRPr="00152508">
        <w:rPr>
          <w:rStyle w:val="FootnoteReference"/>
          <w:szCs w:val="20"/>
        </w:rPr>
        <w:footnoteRef/>
      </w:r>
      <w:r w:rsidRPr="00152508">
        <w:rPr>
          <w:sz w:val="20"/>
          <w:szCs w:val="20"/>
        </w:rPr>
        <w:t xml:space="preserve"> SES Opp. at 5 (“Any stay …</w:t>
      </w:r>
      <w:r w:rsidRPr="00152508">
        <w:rPr>
          <w:i/>
          <w:iCs/>
          <w:sz w:val="20"/>
          <w:szCs w:val="20"/>
        </w:rPr>
        <w:t xml:space="preserve"> </w:t>
      </w:r>
      <w:r w:rsidRPr="00152508">
        <w:rPr>
          <w:sz w:val="20"/>
          <w:szCs w:val="20"/>
        </w:rPr>
        <w:t>would bring [SES’s accelerated transition] activities to a halt and prevent SES from completing them on time and without significant additional delays.”); Verizon Opp. at 5-6 (“a stay pending appeal would delay [the transition process] by a year or more.”);</w:t>
      </w:r>
      <w:r w:rsidRPr="00D32647">
        <w:rPr>
          <w:sz w:val="20"/>
          <w:szCs w:val="20"/>
        </w:rPr>
        <w:t xml:space="preserve"> </w:t>
      </w:r>
      <w:r w:rsidRPr="00D32647">
        <w:rPr>
          <w:i/>
          <w:iCs/>
          <w:sz w:val="20"/>
          <w:szCs w:val="20"/>
        </w:rPr>
        <w:t xml:space="preserve">see </w:t>
      </w:r>
      <w:r w:rsidRPr="00D32647">
        <w:rPr>
          <w:sz w:val="20"/>
          <w:szCs w:val="20"/>
        </w:rPr>
        <w:t>Telesat</w:t>
      </w:r>
      <w:r w:rsidRPr="00D32647">
        <w:rPr>
          <w:sz w:val="20"/>
          <w:szCs w:val="20"/>
        </w:rPr>
        <w:t xml:space="preserve"> Opp. at 5. Contrary to Petitioners’ argument, 5G deployments can begin immediately after the first accelerated deadline on December 5, 2021. </w:t>
      </w:r>
      <w:r w:rsidRPr="00463AD6" w:rsidR="00463AD6">
        <w:rPr>
          <w:i/>
          <w:iCs/>
          <w:sz w:val="20"/>
          <w:szCs w:val="20"/>
        </w:rPr>
        <w:t xml:space="preserve">3.7 GHz Report and </w:t>
      </w:r>
      <w:r>
        <w:rPr>
          <w:i/>
          <w:iCs/>
          <w:sz w:val="20"/>
          <w:szCs w:val="20"/>
        </w:rPr>
        <w:t>Order</w:t>
      </w:r>
      <w:r w:rsidR="00463AD6">
        <w:rPr>
          <w:sz w:val="20"/>
          <w:szCs w:val="20"/>
        </w:rPr>
        <w:t xml:space="preserve">, 35 FCC </w:t>
      </w:r>
      <w:r w:rsidR="00463AD6">
        <w:rPr>
          <w:sz w:val="20"/>
          <w:szCs w:val="20"/>
        </w:rPr>
        <w:t>Rcd</w:t>
      </w:r>
      <w:r w:rsidR="00463AD6">
        <w:rPr>
          <w:sz w:val="20"/>
          <w:szCs w:val="20"/>
        </w:rPr>
        <w:t xml:space="preserve"> at 2456,</w:t>
      </w:r>
      <w:r w:rsidRPr="00D32647">
        <w:rPr>
          <w:sz w:val="20"/>
          <w:szCs w:val="20"/>
        </w:rPr>
        <w:t xml:space="preserve"> </w:t>
      </w:r>
      <w:r w:rsidR="00463AD6">
        <w:rPr>
          <w:sz w:val="20"/>
          <w:szCs w:val="20"/>
        </w:rPr>
        <w:t>para.</w:t>
      </w:r>
      <w:r w:rsidRPr="00D32647">
        <w:rPr>
          <w:sz w:val="20"/>
          <w:szCs w:val="20"/>
        </w:rPr>
        <w:t xml:space="preserve"> 295</w:t>
      </w:r>
      <w:r w:rsidR="00F3418E">
        <w:rPr>
          <w:sz w:val="20"/>
          <w:szCs w:val="20"/>
        </w:rPr>
        <w:t xml:space="preserve"> &amp;</w:t>
      </w:r>
      <w:r w:rsidRPr="00D32647">
        <w:rPr>
          <w:sz w:val="20"/>
          <w:szCs w:val="20"/>
        </w:rPr>
        <w:t xml:space="preserve"> n.687.</w:t>
      </w:r>
      <w:r w:rsidRPr="00152508">
        <w:rPr>
          <w:sz w:val="20"/>
          <w:szCs w:val="20"/>
        </w:rPr>
        <w:t xml:space="preserve"> </w:t>
      </w:r>
    </w:p>
  </w:footnote>
  <w:footnote w:id="141">
    <w:p w:rsidR="00A80B28" w:rsidRPr="00152508" w:rsidP="00152508" w14:paraId="7B81E80D" w14:textId="65557C1C">
      <w:pPr>
        <w:pStyle w:val="FootnoteText"/>
      </w:pPr>
      <w:r w:rsidRPr="00152508">
        <w:rPr>
          <w:rStyle w:val="FootnoteReference"/>
        </w:rPr>
        <w:footnoteRef/>
      </w:r>
      <w:r w:rsidRPr="00152508">
        <w:t xml:space="preserve"> CTIA Opp. 16-17; </w:t>
      </w:r>
      <w:r w:rsidRPr="00152508">
        <w:rPr>
          <w:i/>
          <w:iCs/>
        </w:rPr>
        <w:t>see Expanding the Economic and Innovation Opportunities of Spectrum Through Incentive Auction</w:t>
      </w:r>
      <w:r w:rsidRPr="00152508">
        <w:t xml:space="preserve">, </w:t>
      </w:r>
      <w:r w:rsidRPr="0075245D" w:rsidR="0075245D">
        <w:t>GN Docket No. 12-268</w:t>
      </w:r>
      <w:r w:rsidR="0075245D">
        <w:t xml:space="preserve">, Order Denying Stay </w:t>
      </w:r>
      <w:r w:rsidR="00A008DB">
        <w:t>Motion</w:t>
      </w:r>
      <w:r w:rsidR="0075245D">
        <w:t xml:space="preserve">, </w:t>
      </w:r>
      <w:r w:rsidRPr="00152508">
        <w:t xml:space="preserve">31 FCC </w:t>
      </w:r>
      <w:r w:rsidRPr="00152508">
        <w:t>Rcd</w:t>
      </w:r>
      <w:r w:rsidRPr="00152508">
        <w:t xml:space="preserve"> 1857, 1862</w:t>
      </w:r>
      <w:r w:rsidR="00F3418E">
        <w:t>,</w:t>
      </w:r>
      <w:r w:rsidRPr="00152508">
        <w:t xml:space="preserve"> </w:t>
      </w:r>
      <w:r w:rsidR="00F3418E">
        <w:t>para.</w:t>
      </w:r>
      <w:r w:rsidRPr="00152508">
        <w:t xml:space="preserve"> 12 (M</w:t>
      </w:r>
      <w:r w:rsidR="0075245D">
        <w:t>B</w:t>
      </w:r>
      <w:r w:rsidRPr="00152508">
        <w:t xml:space="preserve"> 2016) (in denying request to stay Broadcast Incentive Auction, recognizing “</w:t>
      </w:r>
      <w:r w:rsidRPr="00152508">
        <w:rPr>
          <w:color w:val="000000"/>
        </w:rPr>
        <w:t>extensive preparations for the auction based on the current schedule, including securing financing and deferring other business plans”</w:t>
      </w:r>
      <w:r w:rsidRPr="00152508">
        <w:t>).</w:t>
      </w:r>
    </w:p>
  </w:footnote>
  <w:footnote w:id="142">
    <w:p w:rsidR="00A80B28" w:rsidRPr="00152508" w:rsidP="00152508" w14:paraId="023B362C" w14:textId="78AAD973">
      <w:pPr>
        <w:pStyle w:val="FootnoteText"/>
      </w:pPr>
      <w:r w:rsidRPr="00152508">
        <w:rPr>
          <w:rStyle w:val="FootnoteReference"/>
        </w:rPr>
        <w:footnoteRef/>
      </w:r>
      <w:r w:rsidRPr="00152508">
        <w:t xml:space="preserve"> </w:t>
      </w:r>
      <w:r w:rsidR="00480BA0">
        <w:rPr>
          <w:i/>
          <w:iCs/>
        </w:rPr>
        <w:t xml:space="preserve">3.7 GHz Report and </w:t>
      </w:r>
      <w:r w:rsidRPr="00152508">
        <w:rPr>
          <w:i/>
          <w:iCs/>
        </w:rPr>
        <w:t>Order</w:t>
      </w:r>
      <w:r w:rsidR="00480BA0">
        <w:t xml:space="preserve">, 35 FCC </w:t>
      </w:r>
      <w:r w:rsidR="00480BA0">
        <w:t>Rcd</w:t>
      </w:r>
      <w:r w:rsidR="00480BA0">
        <w:t xml:space="preserve"> at</w:t>
      </w:r>
      <w:r w:rsidR="00FB1046">
        <w:t xml:space="preserve"> 2417-18,</w:t>
      </w:r>
      <w:r w:rsidRPr="00152508">
        <w:t xml:space="preserve"> </w:t>
      </w:r>
      <w:r w:rsidR="00FB1046">
        <w:t>para.</w:t>
      </w:r>
      <w:r w:rsidRPr="00152508">
        <w:t xml:space="preserve"> 185; </w:t>
      </w:r>
      <w:r w:rsidRPr="00152508">
        <w:rPr>
          <w:i/>
          <w:iCs/>
        </w:rPr>
        <w:t>see id.</w:t>
      </w:r>
      <w:r w:rsidRPr="00152508">
        <w:t xml:space="preserve"> </w:t>
      </w:r>
      <w:r w:rsidR="009F7BC6">
        <w:t xml:space="preserve">at </w:t>
      </w:r>
      <w:r w:rsidR="00780EE4">
        <w:t>2420-21, para.</w:t>
      </w:r>
      <w:r w:rsidRPr="00152508">
        <w:t xml:space="preserve"> 190; </w:t>
      </w:r>
      <w:r w:rsidRPr="00152508">
        <w:rPr>
          <w:i/>
          <w:iCs/>
        </w:rPr>
        <w:t>see also id.</w:t>
      </w:r>
      <w:r w:rsidRPr="00152508">
        <w:t xml:space="preserve"> </w:t>
      </w:r>
      <w:r w:rsidR="00D97709">
        <w:t>at 2410, para.</w:t>
      </w:r>
      <w:r w:rsidRPr="00152508">
        <w:t xml:space="preserve"> 162 (citing estimate that delay would result in permanent losses of “about $50 billion or more per year in consumer surplus.”). </w:t>
      </w:r>
    </w:p>
  </w:footnote>
  <w:footnote w:id="143">
    <w:p w:rsidR="00A80B28" w:rsidRPr="00152508" w:rsidP="00152508" w14:paraId="03BF564A" w14:textId="4D65013F">
      <w:pPr>
        <w:pStyle w:val="FootnoteText"/>
      </w:pPr>
      <w:r w:rsidRPr="00152508">
        <w:rPr>
          <w:rStyle w:val="FootnoteReference"/>
        </w:rPr>
        <w:footnoteRef/>
      </w:r>
      <w:r w:rsidRPr="00152508">
        <w:t xml:space="preserve"> </w:t>
      </w:r>
      <w:r w:rsidRPr="00152508">
        <w:rPr>
          <w:i/>
          <w:iCs/>
        </w:rPr>
        <w:t>Id.</w:t>
      </w:r>
      <w:r w:rsidR="00B26FB2">
        <w:t xml:space="preserve"> at 2433,</w:t>
      </w:r>
      <w:r w:rsidRPr="00152508">
        <w:t xml:space="preserve"> </w:t>
      </w:r>
      <w:r w:rsidR="00B26FB2">
        <w:t>para.</w:t>
      </w:r>
      <w:r w:rsidRPr="00152508">
        <w:t xml:space="preserve"> 218.</w:t>
      </w:r>
    </w:p>
  </w:footnote>
  <w:footnote w:id="144">
    <w:p w:rsidR="00A80B28" w:rsidRPr="00D32647" w:rsidP="00152508" w14:paraId="3973B140" w14:textId="36ED9A17">
      <w:pPr>
        <w:autoSpaceDE w:val="0"/>
        <w:autoSpaceDN w:val="0"/>
        <w:adjustRightInd w:val="0"/>
        <w:spacing w:after="120"/>
        <w:rPr>
          <w:sz w:val="20"/>
        </w:rPr>
      </w:pPr>
      <w:r w:rsidRPr="00152508">
        <w:rPr>
          <w:rStyle w:val="FootnoteReference"/>
        </w:rPr>
        <w:footnoteRef/>
      </w:r>
      <w:r w:rsidRPr="00152508">
        <w:rPr>
          <w:sz w:val="20"/>
        </w:rPr>
        <w:t xml:space="preserve"> </w:t>
      </w:r>
      <w:r w:rsidRPr="00D32647" w:rsidR="00CC7520">
        <w:rPr>
          <w:i/>
          <w:sz w:val="20"/>
        </w:rPr>
        <w:t xml:space="preserve">See </w:t>
      </w:r>
      <w:r w:rsidR="00CC7520">
        <w:rPr>
          <w:i/>
          <w:iCs/>
          <w:sz w:val="20"/>
        </w:rPr>
        <w:t>id.</w:t>
      </w:r>
      <w:r w:rsidR="00841008">
        <w:rPr>
          <w:sz w:val="20"/>
        </w:rPr>
        <w:t xml:space="preserve"> at 2433,</w:t>
      </w:r>
      <w:r w:rsidR="0003593F">
        <w:rPr>
          <w:sz w:val="20"/>
        </w:rPr>
        <w:t xml:space="preserve"> para.</w:t>
      </w:r>
      <w:r w:rsidRPr="00D32647" w:rsidR="00CC7520">
        <w:rPr>
          <w:sz w:val="20"/>
        </w:rPr>
        <w:t xml:space="preserve"> 219 </w:t>
      </w:r>
      <w:r w:rsidR="00C62D6A">
        <w:rPr>
          <w:sz w:val="20"/>
        </w:rPr>
        <w:t xml:space="preserve">&amp; </w:t>
      </w:r>
      <w:r w:rsidRPr="00D32647" w:rsidR="00CC7520">
        <w:rPr>
          <w:sz w:val="20"/>
        </w:rPr>
        <w:t>n.580.</w:t>
      </w:r>
      <w:r w:rsidR="00CC7520">
        <w:rPr>
          <w:sz w:val="20"/>
        </w:rPr>
        <w:t xml:space="preserve">  </w:t>
      </w:r>
      <w:r w:rsidRPr="00D32647">
        <w:rPr>
          <w:sz w:val="20"/>
        </w:rPr>
        <w:t xml:space="preserve">Contrary to Petitioners’ argument, the FCC concluded that relocation and acceleration payments would </w:t>
      </w:r>
      <w:r w:rsidRPr="00D32647">
        <w:rPr>
          <w:i/>
          <w:iCs/>
          <w:sz w:val="20"/>
        </w:rPr>
        <w:t>increase</w:t>
      </w:r>
      <w:r w:rsidRPr="00D32647">
        <w:rPr>
          <w:sz w:val="20"/>
        </w:rPr>
        <w:t xml:space="preserve">, not decrease, auction proceeds. </w:t>
      </w:r>
      <w:r w:rsidR="00C62D6A">
        <w:rPr>
          <w:sz w:val="20"/>
        </w:rPr>
        <w:t xml:space="preserve"> </w:t>
      </w:r>
      <w:r w:rsidR="00CC7520">
        <w:rPr>
          <w:i/>
          <w:sz w:val="20"/>
        </w:rPr>
        <w:t>I</w:t>
      </w:r>
      <w:r>
        <w:rPr>
          <w:i/>
          <w:iCs/>
          <w:sz w:val="20"/>
        </w:rPr>
        <w:t>d.</w:t>
      </w:r>
      <w:r w:rsidR="00CC7520">
        <w:rPr>
          <w:sz w:val="20"/>
        </w:rPr>
        <w:t xml:space="preserve"> </w:t>
      </w:r>
      <w:r w:rsidRPr="00D32647">
        <w:rPr>
          <w:sz w:val="20"/>
        </w:rPr>
        <w:t xml:space="preserve"> A</w:t>
      </w:r>
      <w:r>
        <w:rPr>
          <w:sz w:val="20"/>
        </w:rPr>
        <w:t>nd a</w:t>
      </w:r>
      <w:r w:rsidRPr="00D32647">
        <w:rPr>
          <w:sz w:val="20"/>
        </w:rPr>
        <w:t xml:space="preserve">s Verizon argues, experience shows that pending litigation will not deter robust competitive bidding. </w:t>
      </w:r>
      <w:r w:rsidR="00480BA0">
        <w:rPr>
          <w:sz w:val="20"/>
        </w:rPr>
        <w:t xml:space="preserve"> </w:t>
      </w:r>
      <w:r w:rsidRPr="00D32647">
        <w:rPr>
          <w:sz w:val="20"/>
        </w:rPr>
        <w:t>Verizon Opp. at 8-9.</w:t>
      </w:r>
    </w:p>
  </w:footnote>
  <w:footnote w:id="145">
    <w:p w:rsidR="00A80B28" w:rsidRPr="00152508" w:rsidP="00152508" w14:paraId="262EA527" w14:textId="4B86A2A9">
      <w:pPr>
        <w:pStyle w:val="FootnoteText"/>
      </w:pPr>
      <w:r w:rsidRPr="00152508">
        <w:rPr>
          <w:rStyle w:val="FootnoteReference"/>
        </w:rPr>
        <w:footnoteRef/>
      </w:r>
      <w:r w:rsidRPr="00152508">
        <w:t xml:space="preserve"> </w:t>
      </w:r>
      <w:r>
        <w:t xml:space="preserve">Petitioners’ </w:t>
      </w:r>
      <w:r w:rsidRPr="00152508">
        <w:t>Reply at 34-65.</w:t>
      </w:r>
    </w:p>
  </w:footnote>
  <w:footnote w:id="146">
    <w:p w:rsidR="00A80B28" w:rsidRPr="00152508" w:rsidP="00152508" w14:paraId="6238DEE9" w14:textId="0BF05D4D">
      <w:pPr>
        <w:pStyle w:val="FootnoteText"/>
      </w:pPr>
      <w:r w:rsidRPr="00152508">
        <w:rPr>
          <w:rStyle w:val="FootnoteReference"/>
        </w:rPr>
        <w:footnoteRef/>
      </w:r>
      <w:r w:rsidRPr="00152508">
        <w:t xml:space="preserve"> </w:t>
      </w:r>
      <w:r w:rsidRPr="00152508">
        <w:rPr>
          <w:i/>
          <w:iCs/>
        </w:rPr>
        <w:t>See</w:t>
      </w:r>
      <w:r w:rsidRPr="00152508">
        <w:t xml:space="preserve"> </w:t>
      </w:r>
      <w:r w:rsidR="000867AF">
        <w:rPr>
          <w:i/>
          <w:iCs/>
        </w:rPr>
        <w:t xml:space="preserve">id. </w:t>
      </w:r>
      <w:r w:rsidRPr="00152508">
        <w:t>at 36-38.</w:t>
      </w:r>
    </w:p>
  </w:footnote>
  <w:footnote w:id="147">
    <w:p w:rsidR="00A80B28" w:rsidRPr="00152508" w:rsidP="00152508" w14:paraId="1676FB9C" w14:textId="24BCF665">
      <w:pPr>
        <w:autoSpaceDE w:val="0"/>
        <w:autoSpaceDN w:val="0"/>
        <w:adjustRightInd w:val="0"/>
        <w:spacing w:after="120"/>
        <w:rPr>
          <w:snapToGrid/>
          <w:color w:val="000000"/>
          <w:kern w:val="0"/>
          <w:sz w:val="20"/>
        </w:rPr>
      </w:pPr>
      <w:r w:rsidRPr="00152508">
        <w:rPr>
          <w:rStyle w:val="FootnoteReference"/>
        </w:rPr>
        <w:footnoteRef/>
      </w:r>
      <w:r w:rsidRPr="00152508">
        <w:rPr>
          <w:i/>
          <w:iCs/>
          <w:color w:val="000000"/>
          <w:sz w:val="20"/>
        </w:rPr>
        <w:t xml:space="preserve"> Intelligent Transportation &amp; Monitoring Wireless LLC and AMTS Consortium, LLC</w:t>
      </w:r>
      <w:r w:rsidRPr="00152508">
        <w:rPr>
          <w:color w:val="000000"/>
          <w:sz w:val="20"/>
        </w:rPr>
        <w:t xml:space="preserve">, 21 FCC </w:t>
      </w:r>
      <w:r w:rsidRPr="00152508">
        <w:rPr>
          <w:color w:val="000000"/>
          <w:sz w:val="20"/>
        </w:rPr>
        <w:t>Rcd</w:t>
      </w:r>
      <w:r w:rsidRPr="00152508">
        <w:rPr>
          <w:color w:val="000000"/>
          <w:sz w:val="20"/>
        </w:rPr>
        <w:t xml:space="preserve"> 5117, 5122-23 (Wireless Tel. Bur. 2006) (citing 47 U.S.C. § 309(j)(3)(A) and (D)); </w:t>
      </w:r>
      <w:r>
        <w:rPr>
          <w:i/>
          <w:iCs/>
          <w:color w:val="000000"/>
          <w:sz w:val="20"/>
        </w:rPr>
        <w:t xml:space="preserve">see </w:t>
      </w:r>
      <w:r w:rsidRPr="00152508">
        <w:rPr>
          <w:i/>
          <w:iCs/>
          <w:color w:val="000000"/>
          <w:sz w:val="20"/>
        </w:rPr>
        <w:t>Genesis Communications I, Inc.</w:t>
      </w:r>
      <w:r w:rsidRPr="00152508">
        <w:rPr>
          <w:color w:val="000000"/>
          <w:sz w:val="20"/>
        </w:rPr>
        <w:t xml:space="preserve">, 29 FCC </w:t>
      </w:r>
      <w:r w:rsidRPr="00152508">
        <w:rPr>
          <w:color w:val="000000"/>
          <w:sz w:val="20"/>
        </w:rPr>
        <w:t>Rcd</w:t>
      </w:r>
      <w:r w:rsidRPr="00152508">
        <w:rPr>
          <w:color w:val="000000"/>
          <w:sz w:val="20"/>
        </w:rPr>
        <w:t xml:space="preserve"> 4214, 4215 ¶ 3 (2014) </w:t>
      </w:r>
      <w:r>
        <w:rPr>
          <w:color w:val="000000"/>
          <w:sz w:val="20"/>
        </w:rPr>
        <w:t>(</w:t>
      </w:r>
      <w:r w:rsidRPr="00152508">
        <w:rPr>
          <w:color w:val="000000"/>
          <w:sz w:val="20"/>
        </w:rPr>
        <w:t>“[T]here is no rule or case support for the claim that auction or post-auction procedures must be delayed until all reviews and appeals are final.”);</w:t>
      </w:r>
      <w:r w:rsidRPr="00152508">
        <w:rPr>
          <w:i/>
          <w:iCs/>
          <w:sz w:val="20"/>
        </w:rPr>
        <w:t xml:space="preserve"> see</w:t>
      </w:r>
      <w:r>
        <w:rPr>
          <w:i/>
          <w:iCs/>
          <w:sz w:val="20"/>
        </w:rPr>
        <w:t xml:space="preserve"> also</w:t>
      </w:r>
      <w:r w:rsidRPr="00152508">
        <w:rPr>
          <w:color w:val="000000"/>
          <w:sz w:val="20"/>
        </w:rPr>
        <w:t xml:space="preserve"> </w:t>
      </w:r>
      <w:r w:rsidR="00055CF5">
        <w:rPr>
          <w:i/>
          <w:iCs/>
          <w:color w:val="000000"/>
          <w:sz w:val="20"/>
        </w:rPr>
        <w:t xml:space="preserve">3.7 GHz Report and </w:t>
      </w:r>
      <w:r w:rsidRPr="00152508">
        <w:rPr>
          <w:i/>
          <w:iCs/>
          <w:sz w:val="20"/>
        </w:rPr>
        <w:t>Order</w:t>
      </w:r>
      <w:r w:rsidR="00055CF5">
        <w:rPr>
          <w:sz w:val="20"/>
        </w:rPr>
        <w:t xml:space="preserve">, 35 FCC </w:t>
      </w:r>
      <w:r w:rsidR="00055CF5">
        <w:rPr>
          <w:sz w:val="20"/>
        </w:rPr>
        <w:t>Rcd</w:t>
      </w:r>
      <w:r w:rsidR="000A5444">
        <w:rPr>
          <w:sz w:val="20"/>
        </w:rPr>
        <w:t xml:space="preserve"> at 2346,</w:t>
      </w:r>
      <w:r w:rsidRPr="00152508">
        <w:rPr>
          <w:sz w:val="20"/>
        </w:rPr>
        <w:t xml:space="preserve"> </w:t>
      </w:r>
      <w:r w:rsidR="000A5444">
        <w:rPr>
          <w:sz w:val="20"/>
        </w:rPr>
        <w:t>para.</w:t>
      </w:r>
      <w:r w:rsidRPr="00152508">
        <w:rPr>
          <w:sz w:val="20"/>
        </w:rPr>
        <w:t xml:space="preserve"> 6 (discussing the MOBILE NOW Act, Pub. L. No. 115-141, Division P, Title VI, § 601 </w:t>
      </w:r>
      <w:r w:rsidRPr="00152508">
        <w:rPr>
          <w:i/>
          <w:iCs/>
          <w:sz w:val="20"/>
        </w:rPr>
        <w:t xml:space="preserve">et seq. </w:t>
      </w:r>
      <w:r w:rsidRPr="00152508">
        <w:rPr>
          <w:sz w:val="20"/>
        </w:rPr>
        <w:t>(2018), in which Congress directed the Commission to evaluate “the feasibility of allowing commercial wireless services, licensed or unlicensed, to use or share use of the frequencies between 3700 megahertz and 4200 megahertz.”)</w:t>
      </w:r>
      <w:r w:rsidRPr="00152508">
        <w:rPr>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B28" w:rsidP="00810B6F" w14:paraId="401B4E3D" w14:textId="7FE73CA9">
    <w:pPr>
      <w:pStyle w:val="Header"/>
      <w:rPr>
        <w:b w:val="0"/>
      </w:rPr>
    </w:pPr>
    <w:r>
      <w:tab/>
      <w:t>Federal Communications Commission</w:t>
    </w:r>
    <w:r>
      <w:tab/>
    </w:r>
    <w:r w:rsidR="00683FE1">
      <w:t>DA</w:t>
    </w:r>
    <w:r>
      <w:t xml:space="preserve"> 20-</w:t>
    </w:r>
    <w:r w:rsidR="00A11FEB">
      <w:t>609</w:t>
    </w:r>
  </w:p>
  <w:p w:rsidR="00A80B28" w14:paraId="72954D7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80B28" w14:paraId="64CA40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B28" w:rsidP="00810B6F" w14:paraId="0245883E" w14:textId="1C8E8D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83FE1">
      <w:rPr>
        <w:spacing w:val="-2"/>
      </w:rPr>
      <w:t>DA</w:t>
    </w:r>
    <w:r>
      <w:rPr>
        <w:spacing w:val="-2"/>
      </w:rPr>
      <w:t xml:space="preserve"> 20-</w:t>
    </w:r>
    <w:r w:rsidR="00A11FEB">
      <w:rPr>
        <w:spacing w:val="-2"/>
      </w:rPr>
      <w:t>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7223F"/>
    <w:multiLevelType w:val="hybridMultilevel"/>
    <w:tmpl w:val="0016A294"/>
    <w:lvl w:ilvl="0">
      <w:start w:val="4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9327BF"/>
    <w:multiLevelType w:val="hybridMultilevel"/>
    <w:tmpl w:val="02668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5479D9"/>
    <w:multiLevelType w:val="hybridMultilevel"/>
    <w:tmpl w:val="B2C4B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A43FA0"/>
    <w:multiLevelType w:val="hybridMultilevel"/>
    <w:tmpl w:val="25EC2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6005F4"/>
    <w:multiLevelType w:val="hybridMultilevel"/>
    <w:tmpl w:val="0F2EB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60C01DC"/>
    <w:multiLevelType w:val="hybridMultilevel"/>
    <w:tmpl w:val="052E2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820C54"/>
    <w:multiLevelType w:val="hybridMultilevel"/>
    <w:tmpl w:val="6CCEA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16B3FBD"/>
    <w:multiLevelType w:val="hybridMultilevel"/>
    <w:tmpl w:val="E0E2F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1DD3078"/>
    <w:multiLevelType w:val="multilevel"/>
    <w:tmpl w:val="6E3C670A"/>
    <w:lvl w:ilvl="0">
      <w:start w:val="1"/>
      <w:numFmt w:val="none"/>
      <w:pStyle w:val="SectionHeading"/>
      <w:suff w:val="nothing"/>
      <w:lvlJc w:val="left"/>
      <w:pPr>
        <w:ind w:left="0" w:firstLine="0"/>
      </w:pPr>
      <w:rPr>
        <w:rFonts w:hint="default"/>
      </w:rPr>
    </w:lvl>
    <w:lvl w:ilvl="1">
      <w:start w:val="1"/>
      <w:numFmt w:val="upperRoman"/>
      <w:pStyle w:val="OutlineI"/>
      <w:lvlText w:val="%2."/>
      <w:lvlJc w:val="left"/>
      <w:pPr>
        <w:ind w:left="504" w:hanging="504"/>
      </w:pPr>
      <w:rPr>
        <w:rFonts w:hint="default"/>
      </w:rPr>
    </w:lvl>
    <w:lvl w:ilvl="2">
      <w:start w:val="1"/>
      <w:numFmt w:val="upperLetter"/>
      <w:pStyle w:val="OutlineA"/>
      <w:lvlText w:val="%3."/>
      <w:lvlJc w:val="left"/>
      <w:pPr>
        <w:ind w:left="1008" w:hanging="504"/>
      </w:pPr>
      <w:rPr>
        <w:rFonts w:hint="default"/>
      </w:rPr>
    </w:lvl>
    <w:lvl w:ilvl="3">
      <w:start w:val="1"/>
      <w:numFmt w:val="decimal"/>
      <w:pStyle w:val="Outline1"/>
      <w:lvlText w:val="%4."/>
      <w:lvlJc w:val="left"/>
      <w:pPr>
        <w:ind w:left="1512" w:hanging="504"/>
      </w:pPr>
      <w:rPr>
        <w:rFonts w:hint="default"/>
      </w:rPr>
    </w:lvl>
    <w:lvl w:ilvl="4">
      <w:start w:val="1"/>
      <w:numFmt w:val="lowerLetter"/>
      <w:pStyle w:val="Outlinea0"/>
      <w:lvlText w:val="%5."/>
      <w:lvlJc w:val="left"/>
      <w:pPr>
        <w:ind w:left="2016" w:hanging="504"/>
      </w:pPr>
      <w:rPr>
        <w:rFonts w:hint="default"/>
      </w:rPr>
    </w:lvl>
    <w:lvl w:ilvl="5">
      <w:start w:val="1"/>
      <w:numFmt w:val="lowerRoman"/>
      <w:pStyle w:val="Outlinei0"/>
      <w:lvlText w:val="%6."/>
      <w:lvlJc w:val="left"/>
      <w:pPr>
        <w:ind w:left="2520" w:hanging="504"/>
      </w:pPr>
      <w:rPr>
        <w:rFonts w:hint="default"/>
      </w:rPr>
    </w:lvl>
    <w:lvl w:ilvl="6">
      <w:start w:val="1"/>
      <w:numFmt w:val="decimal"/>
      <w:pStyle w:val="Outline10"/>
      <w:lvlText w:val="(%7)"/>
      <w:lvlJc w:val="left"/>
      <w:pPr>
        <w:ind w:left="3024" w:hanging="504"/>
      </w:pPr>
      <w:rPr>
        <w:rFonts w:hint="default"/>
      </w:rPr>
    </w:lvl>
    <w:lvl w:ilvl="7">
      <w:start w:val="1"/>
      <w:numFmt w:val="lowerLetter"/>
      <w:pStyle w:val="Outlinea1"/>
      <w:lvlText w:val="(%8)"/>
      <w:lvlJc w:val="left"/>
      <w:pPr>
        <w:ind w:left="3528" w:hanging="504"/>
      </w:pPr>
      <w:rPr>
        <w:rFonts w:hint="default"/>
      </w:rPr>
    </w:lvl>
    <w:lvl w:ilvl="8">
      <w:start w:val="1"/>
      <w:numFmt w:val="lowerRoman"/>
      <w:pStyle w:val="Outlinei1"/>
      <w:lvlText w:val="(%9)"/>
      <w:lvlJc w:val="left"/>
      <w:pPr>
        <w:ind w:left="4032" w:hanging="504"/>
      </w:pPr>
      <w:rPr>
        <w:rFonts w:hint="default"/>
      </w:rPr>
    </w:lvl>
  </w:abstractNum>
  <w:abstractNum w:abstractNumId="15">
    <w:nsid w:val="622E5843"/>
    <w:multiLevelType w:val="hybridMultilevel"/>
    <w:tmpl w:val="789442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D9468D"/>
    <w:multiLevelType w:val="hybridMultilevel"/>
    <w:tmpl w:val="9858F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85B2B91"/>
    <w:multiLevelType w:val="hybridMultilevel"/>
    <w:tmpl w:val="09D47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5FE6D84"/>
    <w:multiLevelType w:val="hybridMultilevel"/>
    <w:tmpl w:val="813EC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EFE3B0C"/>
    <w:multiLevelType w:val="hybridMultilevel"/>
    <w:tmpl w:val="0FA80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1"/>
  </w:num>
  <w:num w:numId="5">
    <w:abstractNumId w:val="7"/>
  </w:num>
  <w:num w:numId="6">
    <w:abstractNumId w:val="1"/>
  </w:num>
  <w:num w:numId="7">
    <w:abstractNumId w:val="2"/>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7"/>
  </w:num>
  <w:num w:numId="12">
    <w:abstractNumId w:val="3"/>
  </w:num>
  <w:num w:numId="13">
    <w:abstractNumId w:val="15"/>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num>
  <w:num w:numId="18">
    <w:abstractNumId w:val="9"/>
  </w:num>
  <w:num w:numId="19">
    <w:abstractNumId w:val="16"/>
  </w:num>
  <w:num w:numId="20">
    <w:abstractNumId w:val="13"/>
    <w:lvlOverride w:ilvl="0">
      <w:startOverride w:val="1"/>
    </w:lvlOverride>
  </w:num>
  <w:num w:numId="21">
    <w:abstractNumId w:val="10"/>
  </w:num>
  <w:num w:numId="22">
    <w:abstractNumId w:val="18"/>
  </w:num>
  <w:num w:numId="23">
    <w:abstractNumId w:val="5"/>
  </w:num>
  <w:num w:numId="24">
    <w:abstractNumId w:val="12"/>
  </w:num>
  <w:num w:numId="25">
    <w:abstractNumId w:val="13"/>
    <w:lvlOverride w:ilvl="0">
      <w:startOverride w:val="1"/>
    </w:lvlOverride>
  </w:num>
  <w:num w:numId="26">
    <w:abstractNumId w:val="4"/>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70"/>
    <w:rsid w:val="0000102D"/>
    <w:rsid w:val="000018AD"/>
    <w:rsid w:val="000026F9"/>
    <w:rsid w:val="000042B7"/>
    <w:rsid w:val="00004A19"/>
    <w:rsid w:val="00005258"/>
    <w:rsid w:val="00005E3C"/>
    <w:rsid w:val="00005F6A"/>
    <w:rsid w:val="00006AB7"/>
    <w:rsid w:val="000072E0"/>
    <w:rsid w:val="00007859"/>
    <w:rsid w:val="0001018E"/>
    <w:rsid w:val="00010524"/>
    <w:rsid w:val="0001070D"/>
    <w:rsid w:val="00010A76"/>
    <w:rsid w:val="0001101A"/>
    <w:rsid w:val="000111F8"/>
    <w:rsid w:val="0001139F"/>
    <w:rsid w:val="0001166C"/>
    <w:rsid w:val="0001167C"/>
    <w:rsid w:val="00013EAB"/>
    <w:rsid w:val="00015891"/>
    <w:rsid w:val="00015D9C"/>
    <w:rsid w:val="00015E5B"/>
    <w:rsid w:val="00021634"/>
    <w:rsid w:val="00021746"/>
    <w:rsid w:val="00021CD4"/>
    <w:rsid w:val="000241F0"/>
    <w:rsid w:val="0002454C"/>
    <w:rsid w:val="000257EE"/>
    <w:rsid w:val="00025D74"/>
    <w:rsid w:val="000302EE"/>
    <w:rsid w:val="00031526"/>
    <w:rsid w:val="00031F35"/>
    <w:rsid w:val="000324D9"/>
    <w:rsid w:val="00032864"/>
    <w:rsid w:val="000329A5"/>
    <w:rsid w:val="00032A77"/>
    <w:rsid w:val="00032B2E"/>
    <w:rsid w:val="00033598"/>
    <w:rsid w:val="00035285"/>
    <w:rsid w:val="0003593F"/>
    <w:rsid w:val="00036039"/>
    <w:rsid w:val="00036286"/>
    <w:rsid w:val="0003646D"/>
    <w:rsid w:val="00037F90"/>
    <w:rsid w:val="000416D8"/>
    <w:rsid w:val="0004265E"/>
    <w:rsid w:val="00043523"/>
    <w:rsid w:val="000436BF"/>
    <w:rsid w:val="00045963"/>
    <w:rsid w:val="000471D6"/>
    <w:rsid w:val="0004729A"/>
    <w:rsid w:val="00047AA8"/>
    <w:rsid w:val="0005183C"/>
    <w:rsid w:val="00051EC0"/>
    <w:rsid w:val="00052768"/>
    <w:rsid w:val="00053507"/>
    <w:rsid w:val="000551DD"/>
    <w:rsid w:val="00055CF5"/>
    <w:rsid w:val="00055EF4"/>
    <w:rsid w:val="00057338"/>
    <w:rsid w:val="00057EF0"/>
    <w:rsid w:val="00061C24"/>
    <w:rsid w:val="00062907"/>
    <w:rsid w:val="000633C0"/>
    <w:rsid w:val="00066BB2"/>
    <w:rsid w:val="00066FEE"/>
    <w:rsid w:val="000670D4"/>
    <w:rsid w:val="00067953"/>
    <w:rsid w:val="00067E9A"/>
    <w:rsid w:val="00070A09"/>
    <w:rsid w:val="00070D28"/>
    <w:rsid w:val="00070D63"/>
    <w:rsid w:val="00074817"/>
    <w:rsid w:val="0007484D"/>
    <w:rsid w:val="000775D6"/>
    <w:rsid w:val="00077FC1"/>
    <w:rsid w:val="00080188"/>
    <w:rsid w:val="0008069B"/>
    <w:rsid w:val="00084620"/>
    <w:rsid w:val="00084D6B"/>
    <w:rsid w:val="00084D9D"/>
    <w:rsid w:val="00085182"/>
    <w:rsid w:val="00085485"/>
    <w:rsid w:val="000860A8"/>
    <w:rsid w:val="000867AF"/>
    <w:rsid w:val="0008722A"/>
    <w:rsid w:val="000875BF"/>
    <w:rsid w:val="00087B57"/>
    <w:rsid w:val="00090A55"/>
    <w:rsid w:val="000911C6"/>
    <w:rsid w:val="000934C2"/>
    <w:rsid w:val="0009518C"/>
    <w:rsid w:val="00095B88"/>
    <w:rsid w:val="00095D5D"/>
    <w:rsid w:val="000964F1"/>
    <w:rsid w:val="00096D8C"/>
    <w:rsid w:val="000979AD"/>
    <w:rsid w:val="000A07A7"/>
    <w:rsid w:val="000A07E2"/>
    <w:rsid w:val="000A1140"/>
    <w:rsid w:val="000A1797"/>
    <w:rsid w:val="000A224C"/>
    <w:rsid w:val="000A274F"/>
    <w:rsid w:val="000A2A54"/>
    <w:rsid w:val="000A3704"/>
    <w:rsid w:val="000A3B7C"/>
    <w:rsid w:val="000A3F2F"/>
    <w:rsid w:val="000A3FDE"/>
    <w:rsid w:val="000A5444"/>
    <w:rsid w:val="000A54DB"/>
    <w:rsid w:val="000A57B9"/>
    <w:rsid w:val="000A6249"/>
    <w:rsid w:val="000A6905"/>
    <w:rsid w:val="000A6B02"/>
    <w:rsid w:val="000A7582"/>
    <w:rsid w:val="000B3D00"/>
    <w:rsid w:val="000B4059"/>
    <w:rsid w:val="000B4DD6"/>
    <w:rsid w:val="000B4F76"/>
    <w:rsid w:val="000B59A0"/>
    <w:rsid w:val="000B665E"/>
    <w:rsid w:val="000B7467"/>
    <w:rsid w:val="000C0B65"/>
    <w:rsid w:val="000C0B79"/>
    <w:rsid w:val="000C1A88"/>
    <w:rsid w:val="000C59E3"/>
    <w:rsid w:val="000C772F"/>
    <w:rsid w:val="000C7BF2"/>
    <w:rsid w:val="000D00B1"/>
    <w:rsid w:val="000D0106"/>
    <w:rsid w:val="000D294A"/>
    <w:rsid w:val="000D2F43"/>
    <w:rsid w:val="000D3019"/>
    <w:rsid w:val="000D418A"/>
    <w:rsid w:val="000D5443"/>
    <w:rsid w:val="000D66E4"/>
    <w:rsid w:val="000D7115"/>
    <w:rsid w:val="000D74F1"/>
    <w:rsid w:val="000E05FE"/>
    <w:rsid w:val="000E0889"/>
    <w:rsid w:val="000E15EC"/>
    <w:rsid w:val="000E18F1"/>
    <w:rsid w:val="000E2984"/>
    <w:rsid w:val="000E3448"/>
    <w:rsid w:val="000E3949"/>
    <w:rsid w:val="000E3D42"/>
    <w:rsid w:val="000E406E"/>
    <w:rsid w:val="000E416E"/>
    <w:rsid w:val="000E4D8B"/>
    <w:rsid w:val="000E6B67"/>
    <w:rsid w:val="000E6B7A"/>
    <w:rsid w:val="000E6EF7"/>
    <w:rsid w:val="000E7604"/>
    <w:rsid w:val="000F0633"/>
    <w:rsid w:val="000F0971"/>
    <w:rsid w:val="000F1ABE"/>
    <w:rsid w:val="000F1DE4"/>
    <w:rsid w:val="000F38C9"/>
    <w:rsid w:val="000F3F27"/>
    <w:rsid w:val="000F46B5"/>
    <w:rsid w:val="000F4ECB"/>
    <w:rsid w:val="000F616B"/>
    <w:rsid w:val="000F6C60"/>
    <w:rsid w:val="000F6CA6"/>
    <w:rsid w:val="0010183C"/>
    <w:rsid w:val="0010185C"/>
    <w:rsid w:val="00101A53"/>
    <w:rsid w:val="00102C25"/>
    <w:rsid w:val="00102C7E"/>
    <w:rsid w:val="00103F51"/>
    <w:rsid w:val="0010452F"/>
    <w:rsid w:val="00104F46"/>
    <w:rsid w:val="00105C6D"/>
    <w:rsid w:val="00107404"/>
    <w:rsid w:val="001075D3"/>
    <w:rsid w:val="00107ADE"/>
    <w:rsid w:val="00110899"/>
    <w:rsid w:val="00110A9C"/>
    <w:rsid w:val="00110D4A"/>
    <w:rsid w:val="00115317"/>
    <w:rsid w:val="00116F2F"/>
    <w:rsid w:val="0012010F"/>
    <w:rsid w:val="0012180D"/>
    <w:rsid w:val="001221DC"/>
    <w:rsid w:val="00122911"/>
    <w:rsid w:val="00122A1E"/>
    <w:rsid w:val="00122BD5"/>
    <w:rsid w:val="001232ED"/>
    <w:rsid w:val="00124470"/>
    <w:rsid w:val="0013035A"/>
    <w:rsid w:val="0013070E"/>
    <w:rsid w:val="00131ADA"/>
    <w:rsid w:val="001323DC"/>
    <w:rsid w:val="001328F8"/>
    <w:rsid w:val="00133F79"/>
    <w:rsid w:val="001343CD"/>
    <w:rsid w:val="001362FC"/>
    <w:rsid w:val="001367B8"/>
    <w:rsid w:val="00136FFF"/>
    <w:rsid w:val="00137AB0"/>
    <w:rsid w:val="001408EF"/>
    <w:rsid w:val="0014160A"/>
    <w:rsid w:val="00142367"/>
    <w:rsid w:val="0014257D"/>
    <w:rsid w:val="00142F4C"/>
    <w:rsid w:val="001436ED"/>
    <w:rsid w:val="00145601"/>
    <w:rsid w:val="00145D39"/>
    <w:rsid w:val="00145FF2"/>
    <w:rsid w:val="00150B22"/>
    <w:rsid w:val="00152508"/>
    <w:rsid w:val="00152C46"/>
    <w:rsid w:val="001530A6"/>
    <w:rsid w:val="001532F4"/>
    <w:rsid w:val="001552DC"/>
    <w:rsid w:val="00156C4E"/>
    <w:rsid w:val="0015753F"/>
    <w:rsid w:val="001601E1"/>
    <w:rsid w:val="00160C7C"/>
    <w:rsid w:val="001611E0"/>
    <w:rsid w:val="001614A3"/>
    <w:rsid w:val="001619FF"/>
    <w:rsid w:val="00161E5B"/>
    <w:rsid w:val="00162081"/>
    <w:rsid w:val="00162157"/>
    <w:rsid w:val="00162682"/>
    <w:rsid w:val="0016334F"/>
    <w:rsid w:val="00164206"/>
    <w:rsid w:val="00166483"/>
    <w:rsid w:val="00166EF3"/>
    <w:rsid w:val="001670B6"/>
    <w:rsid w:val="001711E6"/>
    <w:rsid w:val="00171766"/>
    <w:rsid w:val="001723EE"/>
    <w:rsid w:val="00173278"/>
    <w:rsid w:val="0017447E"/>
    <w:rsid w:val="00176481"/>
    <w:rsid w:val="00177950"/>
    <w:rsid w:val="00182395"/>
    <w:rsid w:val="001824D1"/>
    <w:rsid w:val="00183275"/>
    <w:rsid w:val="0018350D"/>
    <w:rsid w:val="00183A1A"/>
    <w:rsid w:val="001849BE"/>
    <w:rsid w:val="0018518C"/>
    <w:rsid w:val="00185DBB"/>
    <w:rsid w:val="00186CC0"/>
    <w:rsid w:val="00186E25"/>
    <w:rsid w:val="00186FE0"/>
    <w:rsid w:val="00190001"/>
    <w:rsid w:val="00192657"/>
    <w:rsid w:val="00192836"/>
    <w:rsid w:val="00192988"/>
    <w:rsid w:val="00192C71"/>
    <w:rsid w:val="001930C5"/>
    <w:rsid w:val="00194335"/>
    <w:rsid w:val="00194A66"/>
    <w:rsid w:val="00196F3A"/>
    <w:rsid w:val="001976D7"/>
    <w:rsid w:val="00197BCE"/>
    <w:rsid w:val="001A00A1"/>
    <w:rsid w:val="001A02A7"/>
    <w:rsid w:val="001A08B7"/>
    <w:rsid w:val="001A1C22"/>
    <w:rsid w:val="001A1FC7"/>
    <w:rsid w:val="001A20D7"/>
    <w:rsid w:val="001A27A9"/>
    <w:rsid w:val="001A39A8"/>
    <w:rsid w:val="001A464E"/>
    <w:rsid w:val="001A4660"/>
    <w:rsid w:val="001A49F8"/>
    <w:rsid w:val="001A4B48"/>
    <w:rsid w:val="001A5604"/>
    <w:rsid w:val="001A6806"/>
    <w:rsid w:val="001A763F"/>
    <w:rsid w:val="001A7D4C"/>
    <w:rsid w:val="001B08BA"/>
    <w:rsid w:val="001B273D"/>
    <w:rsid w:val="001B2825"/>
    <w:rsid w:val="001B3714"/>
    <w:rsid w:val="001B4B60"/>
    <w:rsid w:val="001B5644"/>
    <w:rsid w:val="001C1AFE"/>
    <w:rsid w:val="001C53CE"/>
    <w:rsid w:val="001C56CE"/>
    <w:rsid w:val="001C76C9"/>
    <w:rsid w:val="001C7C2D"/>
    <w:rsid w:val="001D0076"/>
    <w:rsid w:val="001D049E"/>
    <w:rsid w:val="001D3A20"/>
    <w:rsid w:val="001D47B5"/>
    <w:rsid w:val="001D49B0"/>
    <w:rsid w:val="001D638F"/>
    <w:rsid w:val="001D6945"/>
    <w:rsid w:val="001D6BCF"/>
    <w:rsid w:val="001D7C58"/>
    <w:rsid w:val="001D7D6C"/>
    <w:rsid w:val="001E01CA"/>
    <w:rsid w:val="001E0A6A"/>
    <w:rsid w:val="001E12B2"/>
    <w:rsid w:val="001E2557"/>
    <w:rsid w:val="001E42C4"/>
    <w:rsid w:val="001E4DE2"/>
    <w:rsid w:val="001E64B8"/>
    <w:rsid w:val="001E6BC3"/>
    <w:rsid w:val="001F04D7"/>
    <w:rsid w:val="001F2A3F"/>
    <w:rsid w:val="001F3AD8"/>
    <w:rsid w:val="001F472B"/>
    <w:rsid w:val="001F5121"/>
    <w:rsid w:val="001F589A"/>
    <w:rsid w:val="001F5C9C"/>
    <w:rsid w:val="001F5CBF"/>
    <w:rsid w:val="00200C30"/>
    <w:rsid w:val="00201DBF"/>
    <w:rsid w:val="00201E55"/>
    <w:rsid w:val="00202807"/>
    <w:rsid w:val="002034A8"/>
    <w:rsid w:val="00203ED4"/>
    <w:rsid w:val="00204836"/>
    <w:rsid w:val="00204C20"/>
    <w:rsid w:val="00204C8D"/>
    <w:rsid w:val="002068F2"/>
    <w:rsid w:val="00210225"/>
    <w:rsid w:val="00210B3A"/>
    <w:rsid w:val="00210CFB"/>
    <w:rsid w:val="002110A1"/>
    <w:rsid w:val="00211F06"/>
    <w:rsid w:val="0021270A"/>
    <w:rsid w:val="002131E3"/>
    <w:rsid w:val="00215C7D"/>
    <w:rsid w:val="00217E1A"/>
    <w:rsid w:val="002200EB"/>
    <w:rsid w:val="002208BD"/>
    <w:rsid w:val="00221286"/>
    <w:rsid w:val="002217AA"/>
    <w:rsid w:val="002229AF"/>
    <w:rsid w:val="00224C26"/>
    <w:rsid w:val="00226D42"/>
    <w:rsid w:val="0022707B"/>
    <w:rsid w:val="002273B2"/>
    <w:rsid w:val="0022783E"/>
    <w:rsid w:val="00227B9F"/>
    <w:rsid w:val="00230B97"/>
    <w:rsid w:val="00230D1E"/>
    <w:rsid w:val="00231D86"/>
    <w:rsid w:val="00232675"/>
    <w:rsid w:val="00233381"/>
    <w:rsid w:val="002335BD"/>
    <w:rsid w:val="00233D98"/>
    <w:rsid w:val="00233F7A"/>
    <w:rsid w:val="002348B7"/>
    <w:rsid w:val="00235985"/>
    <w:rsid w:val="002361C0"/>
    <w:rsid w:val="002361E1"/>
    <w:rsid w:val="0023643D"/>
    <w:rsid w:val="00237525"/>
    <w:rsid w:val="002400D1"/>
    <w:rsid w:val="00241812"/>
    <w:rsid w:val="002421D1"/>
    <w:rsid w:val="00242AD7"/>
    <w:rsid w:val="00242F03"/>
    <w:rsid w:val="0024318E"/>
    <w:rsid w:val="00243E85"/>
    <w:rsid w:val="0024684F"/>
    <w:rsid w:val="00246F20"/>
    <w:rsid w:val="00250E50"/>
    <w:rsid w:val="0025150F"/>
    <w:rsid w:val="00251A9D"/>
    <w:rsid w:val="002522C0"/>
    <w:rsid w:val="00255A1F"/>
    <w:rsid w:val="00256197"/>
    <w:rsid w:val="0025752E"/>
    <w:rsid w:val="002606CD"/>
    <w:rsid w:val="00260C7A"/>
    <w:rsid w:val="0026143B"/>
    <w:rsid w:val="002629C6"/>
    <w:rsid w:val="002639B8"/>
    <w:rsid w:val="00263B94"/>
    <w:rsid w:val="00263EA4"/>
    <w:rsid w:val="002640E3"/>
    <w:rsid w:val="002646BC"/>
    <w:rsid w:val="00266062"/>
    <w:rsid w:val="00266364"/>
    <w:rsid w:val="00266A7B"/>
    <w:rsid w:val="00267397"/>
    <w:rsid w:val="0026774C"/>
    <w:rsid w:val="0027000F"/>
    <w:rsid w:val="002704B1"/>
    <w:rsid w:val="002719D8"/>
    <w:rsid w:val="00273C2C"/>
    <w:rsid w:val="002745D8"/>
    <w:rsid w:val="002750C2"/>
    <w:rsid w:val="002756D9"/>
    <w:rsid w:val="00275CF5"/>
    <w:rsid w:val="00276013"/>
    <w:rsid w:val="00276238"/>
    <w:rsid w:val="00276524"/>
    <w:rsid w:val="00277B92"/>
    <w:rsid w:val="00280A02"/>
    <w:rsid w:val="002815E8"/>
    <w:rsid w:val="0028301F"/>
    <w:rsid w:val="00285017"/>
    <w:rsid w:val="002855D3"/>
    <w:rsid w:val="00287700"/>
    <w:rsid w:val="00291F7B"/>
    <w:rsid w:val="00293740"/>
    <w:rsid w:val="00293746"/>
    <w:rsid w:val="00293C8C"/>
    <w:rsid w:val="00293F38"/>
    <w:rsid w:val="00296681"/>
    <w:rsid w:val="002969E0"/>
    <w:rsid w:val="00296F24"/>
    <w:rsid w:val="0029759B"/>
    <w:rsid w:val="002975A3"/>
    <w:rsid w:val="002A16F3"/>
    <w:rsid w:val="002A258B"/>
    <w:rsid w:val="002A2D2E"/>
    <w:rsid w:val="002A3A5F"/>
    <w:rsid w:val="002A50BC"/>
    <w:rsid w:val="002A6D46"/>
    <w:rsid w:val="002A7E7C"/>
    <w:rsid w:val="002B081F"/>
    <w:rsid w:val="002B1B9A"/>
    <w:rsid w:val="002B2A0F"/>
    <w:rsid w:val="002B361F"/>
    <w:rsid w:val="002B37DF"/>
    <w:rsid w:val="002B46BB"/>
    <w:rsid w:val="002B76A1"/>
    <w:rsid w:val="002B7C1E"/>
    <w:rsid w:val="002C00E8"/>
    <w:rsid w:val="002C056B"/>
    <w:rsid w:val="002C06B7"/>
    <w:rsid w:val="002C2EA4"/>
    <w:rsid w:val="002C3423"/>
    <w:rsid w:val="002C3F8E"/>
    <w:rsid w:val="002C4151"/>
    <w:rsid w:val="002C5E46"/>
    <w:rsid w:val="002C73DF"/>
    <w:rsid w:val="002D0398"/>
    <w:rsid w:val="002D0983"/>
    <w:rsid w:val="002D1499"/>
    <w:rsid w:val="002D1883"/>
    <w:rsid w:val="002D2ED8"/>
    <w:rsid w:val="002D3AB0"/>
    <w:rsid w:val="002D5219"/>
    <w:rsid w:val="002D5B33"/>
    <w:rsid w:val="002D6661"/>
    <w:rsid w:val="002E0902"/>
    <w:rsid w:val="002E0903"/>
    <w:rsid w:val="002E1908"/>
    <w:rsid w:val="002E2264"/>
    <w:rsid w:val="002E3CEF"/>
    <w:rsid w:val="002E4E41"/>
    <w:rsid w:val="002E6172"/>
    <w:rsid w:val="002E6EA0"/>
    <w:rsid w:val="002E76B7"/>
    <w:rsid w:val="002E7EED"/>
    <w:rsid w:val="002F0809"/>
    <w:rsid w:val="002F2DE9"/>
    <w:rsid w:val="002F2F67"/>
    <w:rsid w:val="002F36B1"/>
    <w:rsid w:val="002F37BB"/>
    <w:rsid w:val="002F3D2B"/>
    <w:rsid w:val="002F3DEB"/>
    <w:rsid w:val="002F4AC4"/>
    <w:rsid w:val="002F5EBB"/>
    <w:rsid w:val="002F6576"/>
    <w:rsid w:val="00300B2D"/>
    <w:rsid w:val="00301639"/>
    <w:rsid w:val="00302FA8"/>
    <w:rsid w:val="00303A4E"/>
    <w:rsid w:val="00303B34"/>
    <w:rsid w:val="0030446E"/>
    <w:rsid w:val="00305A68"/>
    <w:rsid w:val="00306767"/>
    <w:rsid w:val="00306C06"/>
    <w:rsid w:val="003101D6"/>
    <w:rsid w:val="003101DF"/>
    <w:rsid w:val="0031190F"/>
    <w:rsid w:val="003129BD"/>
    <w:rsid w:val="00314002"/>
    <w:rsid w:val="003143B4"/>
    <w:rsid w:val="00315441"/>
    <w:rsid w:val="00316181"/>
    <w:rsid w:val="0031627A"/>
    <w:rsid w:val="0031635B"/>
    <w:rsid w:val="00316F92"/>
    <w:rsid w:val="00320D55"/>
    <w:rsid w:val="0032142E"/>
    <w:rsid w:val="0032183D"/>
    <w:rsid w:val="00321905"/>
    <w:rsid w:val="00321B98"/>
    <w:rsid w:val="0032265E"/>
    <w:rsid w:val="00323812"/>
    <w:rsid w:val="00324958"/>
    <w:rsid w:val="0032499A"/>
    <w:rsid w:val="00325340"/>
    <w:rsid w:val="00325670"/>
    <w:rsid w:val="003259FA"/>
    <w:rsid w:val="003270A9"/>
    <w:rsid w:val="00327E6E"/>
    <w:rsid w:val="003309CA"/>
    <w:rsid w:val="00332D1B"/>
    <w:rsid w:val="003332A7"/>
    <w:rsid w:val="00334A51"/>
    <w:rsid w:val="00334F92"/>
    <w:rsid w:val="0033540E"/>
    <w:rsid w:val="0033560C"/>
    <w:rsid w:val="00335FA6"/>
    <w:rsid w:val="0033698C"/>
    <w:rsid w:val="00337A66"/>
    <w:rsid w:val="00337DDD"/>
    <w:rsid w:val="0034025B"/>
    <w:rsid w:val="003407BB"/>
    <w:rsid w:val="003417E1"/>
    <w:rsid w:val="00342147"/>
    <w:rsid w:val="00343749"/>
    <w:rsid w:val="00343762"/>
    <w:rsid w:val="00343F4A"/>
    <w:rsid w:val="003440FE"/>
    <w:rsid w:val="00344D44"/>
    <w:rsid w:val="0034647A"/>
    <w:rsid w:val="0035077A"/>
    <w:rsid w:val="0035164E"/>
    <w:rsid w:val="003521DB"/>
    <w:rsid w:val="00353297"/>
    <w:rsid w:val="003557C4"/>
    <w:rsid w:val="00355944"/>
    <w:rsid w:val="00355EC9"/>
    <w:rsid w:val="00356DD8"/>
    <w:rsid w:val="00357C24"/>
    <w:rsid w:val="00357C46"/>
    <w:rsid w:val="00357FDF"/>
    <w:rsid w:val="003622A5"/>
    <w:rsid w:val="00362A2E"/>
    <w:rsid w:val="00363E80"/>
    <w:rsid w:val="0036416C"/>
    <w:rsid w:val="00364882"/>
    <w:rsid w:val="003649CC"/>
    <w:rsid w:val="00364EF1"/>
    <w:rsid w:val="003660ED"/>
    <w:rsid w:val="00366CB0"/>
    <w:rsid w:val="00366D0F"/>
    <w:rsid w:val="00366FE0"/>
    <w:rsid w:val="00367268"/>
    <w:rsid w:val="00370F86"/>
    <w:rsid w:val="003720CD"/>
    <w:rsid w:val="003728EC"/>
    <w:rsid w:val="003730F7"/>
    <w:rsid w:val="00373AF6"/>
    <w:rsid w:val="00373EC4"/>
    <w:rsid w:val="003742DE"/>
    <w:rsid w:val="003744F3"/>
    <w:rsid w:val="00375A5B"/>
    <w:rsid w:val="00381294"/>
    <w:rsid w:val="00381823"/>
    <w:rsid w:val="00381909"/>
    <w:rsid w:val="00382245"/>
    <w:rsid w:val="0038343E"/>
    <w:rsid w:val="0038367D"/>
    <w:rsid w:val="0038371B"/>
    <w:rsid w:val="00386A01"/>
    <w:rsid w:val="00390B9B"/>
    <w:rsid w:val="0039189B"/>
    <w:rsid w:val="00393496"/>
    <w:rsid w:val="00393B04"/>
    <w:rsid w:val="00394098"/>
    <w:rsid w:val="003947D9"/>
    <w:rsid w:val="003956F3"/>
    <w:rsid w:val="0039647E"/>
    <w:rsid w:val="00397B03"/>
    <w:rsid w:val="003A03FF"/>
    <w:rsid w:val="003A17C7"/>
    <w:rsid w:val="003A2C53"/>
    <w:rsid w:val="003A3548"/>
    <w:rsid w:val="003A4923"/>
    <w:rsid w:val="003A567C"/>
    <w:rsid w:val="003B0550"/>
    <w:rsid w:val="003B129C"/>
    <w:rsid w:val="003B165B"/>
    <w:rsid w:val="003B23A2"/>
    <w:rsid w:val="003B2639"/>
    <w:rsid w:val="003B2C21"/>
    <w:rsid w:val="003B2E19"/>
    <w:rsid w:val="003B3C06"/>
    <w:rsid w:val="003B4CDF"/>
    <w:rsid w:val="003B515A"/>
    <w:rsid w:val="003B5871"/>
    <w:rsid w:val="003B5C6D"/>
    <w:rsid w:val="003B694F"/>
    <w:rsid w:val="003B77B2"/>
    <w:rsid w:val="003B7BC6"/>
    <w:rsid w:val="003B7D10"/>
    <w:rsid w:val="003C097D"/>
    <w:rsid w:val="003C0C23"/>
    <w:rsid w:val="003C18D1"/>
    <w:rsid w:val="003C1D30"/>
    <w:rsid w:val="003C22E7"/>
    <w:rsid w:val="003C36AB"/>
    <w:rsid w:val="003C519D"/>
    <w:rsid w:val="003C584A"/>
    <w:rsid w:val="003C5E6D"/>
    <w:rsid w:val="003C62DD"/>
    <w:rsid w:val="003C723E"/>
    <w:rsid w:val="003D05AC"/>
    <w:rsid w:val="003D0A4F"/>
    <w:rsid w:val="003D1363"/>
    <w:rsid w:val="003D301D"/>
    <w:rsid w:val="003D3168"/>
    <w:rsid w:val="003D3EBE"/>
    <w:rsid w:val="003D48A0"/>
    <w:rsid w:val="003D4BE9"/>
    <w:rsid w:val="003D651B"/>
    <w:rsid w:val="003D6B10"/>
    <w:rsid w:val="003E0E4B"/>
    <w:rsid w:val="003E1D56"/>
    <w:rsid w:val="003E2177"/>
    <w:rsid w:val="003E22B7"/>
    <w:rsid w:val="003E27AC"/>
    <w:rsid w:val="003E27C1"/>
    <w:rsid w:val="003E3A1A"/>
    <w:rsid w:val="003E3B2A"/>
    <w:rsid w:val="003E53DD"/>
    <w:rsid w:val="003F074A"/>
    <w:rsid w:val="003F0B25"/>
    <w:rsid w:val="003F1299"/>
    <w:rsid w:val="003F171C"/>
    <w:rsid w:val="003F1759"/>
    <w:rsid w:val="003F1A8C"/>
    <w:rsid w:val="003F1C35"/>
    <w:rsid w:val="003F372A"/>
    <w:rsid w:val="003F3B7E"/>
    <w:rsid w:val="003F543E"/>
    <w:rsid w:val="003F5660"/>
    <w:rsid w:val="003F5689"/>
    <w:rsid w:val="003F6ABA"/>
    <w:rsid w:val="003F6B63"/>
    <w:rsid w:val="003F6CFE"/>
    <w:rsid w:val="003F6E1E"/>
    <w:rsid w:val="004014CD"/>
    <w:rsid w:val="00402900"/>
    <w:rsid w:val="00402D36"/>
    <w:rsid w:val="0040321E"/>
    <w:rsid w:val="00403DA5"/>
    <w:rsid w:val="00405495"/>
    <w:rsid w:val="00405B4F"/>
    <w:rsid w:val="00407693"/>
    <w:rsid w:val="0041093C"/>
    <w:rsid w:val="00411453"/>
    <w:rsid w:val="004122DB"/>
    <w:rsid w:val="00412FC5"/>
    <w:rsid w:val="004140D4"/>
    <w:rsid w:val="00414857"/>
    <w:rsid w:val="00421711"/>
    <w:rsid w:val="00422276"/>
    <w:rsid w:val="004229DF"/>
    <w:rsid w:val="004233C1"/>
    <w:rsid w:val="004242F1"/>
    <w:rsid w:val="004257A9"/>
    <w:rsid w:val="0042604F"/>
    <w:rsid w:val="00426699"/>
    <w:rsid w:val="00426A4C"/>
    <w:rsid w:val="0042717B"/>
    <w:rsid w:val="0042736B"/>
    <w:rsid w:val="004275FD"/>
    <w:rsid w:val="004316E8"/>
    <w:rsid w:val="004362AC"/>
    <w:rsid w:val="00436528"/>
    <w:rsid w:val="00436877"/>
    <w:rsid w:val="0043756E"/>
    <w:rsid w:val="00437CFB"/>
    <w:rsid w:val="0044156C"/>
    <w:rsid w:val="004431AD"/>
    <w:rsid w:val="00443F98"/>
    <w:rsid w:val="004444FA"/>
    <w:rsid w:val="0044506B"/>
    <w:rsid w:val="0044545E"/>
    <w:rsid w:val="00445A00"/>
    <w:rsid w:val="0044730C"/>
    <w:rsid w:val="00447EFE"/>
    <w:rsid w:val="0045015A"/>
    <w:rsid w:val="00450BC3"/>
    <w:rsid w:val="004512CA"/>
    <w:rsid w:val="004517F9"/>
    <w:rsid w:val="00451B0F"/>
    <w:rsid w:val="00452D20"/>
    <w:rsid w:val="00452E52"/>
    <w:rsid w:val="004547DF"/>
    <w:rsid w:val="00456207"/>
    <w:rsid w:val="00457C2F"/>
    <w:rsid w:val="00457E63"/>
    <w:rsid w:val="00457F9E"/>
    <w:rsid w:val="00460CF3"/>
    <w:rsid w:val="00461FBF"/>
    <w:rsid w:val="004622EF"/>
    <w:rsid w:val="0046267A"/>
    <w:rsid w:val="004626E9"/>
    <w:rsid w:val="00463AD6"/>
    <w:rsid w:val="00464EDE"/>
    <w:rsid w:val="0046597B"/>
    <w:rsid w:val="00466040"/>
    <w:rsid w:val="00466175"/>
    <w:rsid w:val="00466F86"/>
    <w:rsid w:val="004673BD"/>
    <w:rsid w:val="0047110B"/>
    <w:rsid w:val="004711BE"/>
    <w:rsid w:val="00471EDF"/>
    <w:rsid w:val="00472959"/>
    <w:rsid w:val="004730AB"/>
    <w:rsid w:val="004733C5"/>
    <w:rsid w:val="00473684"/>
    <w:rsid w:val="00475460"/>
    <w:rsid w:val="00476AF0"/>
    <w:rsid w:val="00476EAA"/>
    <w:rsid w:val="0047742D"/>
    <w:rsid w:val="004776FE"/>
    <w:rsid w:val="00480485"/>
    <w:rsid w:val="004804CB"/>
    <w:rsid w:val="004805C1"/>
    <w:rsid w:val="00480788"/>
    <w:rsid w:val="00480BA0"/>
    <w:rsid w:val="00480E62"/>
    <w:rsid w:val="00481B7D"/>
    <w:rsid w:val="00482807"/>
    <w:rsid w:val="0048336B"/>
    <w:rsid w:val="004834DB"/>
    <w:rsid w:val="00483E39"/>
    <w:rsid w:val="004846D6"/>
    <w:rsid w:val="004861C7"/>
    <w:rsid w:val="004866E2"/>
    <w:rsid w:val="0049152E"/>
    <w:rsid w:val="00493264"/>
    <w:rsid w:val="004933B8"/>
    <w:rsid w:val="0049361F"/>
    <w:rsid w:val="00493D86"/>
    <w:rsid w:val="00495DC9"/>
    <w:rsid w:val="004966D6"/>
    <w:rsid w:val="004969C3"/>
    <w:rsid w:val="004A028E"/>
    <w:rsid w:val="004A07F1"/>
    <w:rsid w:val="004A0C13"/>
    <w:rsid w:val="004A0E34"/>
    <w:rsid w:val="004A1145"/>
    <w:rsid w:val="004A1673"/>
    <w:rsid w:val="004A2F58"/>
    <w:rsid w:val="004A3AC0"/>
    <w:rsid w:val="004A4894"/>
    <w:rsid w:val="004A5C0A"/>
    <w:rsid w:val="004A7D42"/>
    <w:rsid w:val="004B066A"/>
    <w:rsid w:val="004B195E"/>
    <w:rsid w:val="004B1FD8"/>
    <w:rsid w:val="004B277C"/>
    <w:rsid w:val="004B4C91"/>
    <w:rsid w:val="004B4EF3"/>
    <w:rsid w:val="004B535B"/>
    <w:rsid w:val="004B5F54"/>
    <w:rsid w:val="004B6CC8"/>
    <w:rsid w:val="004B70E0"/>
    <w:rsid w:val="004B7B6E"/>
    <w:rsid w:val="004C0578"/>
    <w:rsid w:val="004C0BDD"/>
    <w:rsid w:val="004C1419"/>
    <w:rsid w:val="004C1732"/>
    <w:rsid w:val="004C23C2"/>
    <w:rsid w:val="004C2EE3"/>
    <w:rsid w:val="004C3E88"/>
    <w:rsid w:val="004C4093"/>
    <w:rsid w:val="004C542F"/>
    <w:rsid w:val="004C56F4"/>
    <w:rsid w:val="004C7A56"/>
    <w:rsid w:val="004D0211"/>
    <w:rsid w:val="004D08E3"/>
    <w:rsid w:val="004D3C80"/>
    <w:rsid w:val="004D478C"/>
    <w:rsid w:val="004D4AF5"/>
    <w:rsid w:val="004D6C9A"/>
    <w:rsid w:val="004D78E6"/>
    <w:rsid w:val="004E003C"/>
    <w:rsid w:val="004E06B8"/>
    <w:rsid w:val="004E0F73"/>
    <w:rsid w:val="004E1254"/>
    <w:rsid w:val="004E186C"/>
    <w:rsid w:val="004E259A"/>
    <w:rsid w:val="004E2864"/>
    <w:rsid w:val="004E351C"/>
    <w:rsid w:val="004E37E2"/>
    <w:rsid w:val="004E48EE"/>
    <w:rsid w:val="004E4A22"/>
    <w:rsid w:val="004E52A3"/>
    <w:rsid w:val="004E6760"/>
    <w:rsid w:val="004F10D5"/>
    <w:rsid w:val="004F1AF4"/>
    <w:rsid w:val="004F66E8"/>
    <w:rsid w:val="004F6AB4"/>
    <w:rsid w:val="005013A5"/>
    <w:rsid w:val="00501463"/>
    <w:rsid w:val="005016EC"/>
    <w:rsid w:val="00502421"/>
    <w:rsid w:val="00502F85"/>
    <w:rsid w:val="00503CE2"/>
    <w:rsid w:val="005040C5"/>
    <w:rsid w:val="00506DC4"/>
    <w:rsid w:val="00506DDB"/>
    <w:rsid w:val="00507634"/>
    <w:rsid w:val="00507DAE"/>
    <w:rsid w:val="005111F0"/>
    <w:rsid w:val="00511968"/>
    <w:rsid w:val="00512E19"/>
    <w:rsid w:val="00513350"/>
    <w:rsid w:val="00513B27"/>
    <w:rsid w:val="005149E3"/>
    <w:rsid w:val="005179C1"/>
    <w:rsid w:val="00520FCD"/>
    <w:rsid w:val="00521611"/>
    <w:rsid w:val="0052257C"/>
    <w:rsid w:val="005227D2"/>
    <w:rsid w:val="005238DF"/>
    <w:rsid w:val="0052441A"/>
    <w:rsid w:val="005244EB"/>
    <w:rsid w:val="005246F0"/>
    <w:rsid w:val="0052500D"/>
    <w:rsid w:val="0052529C"/>
    <w:rsid w:val="00525780"/>
    <w:rsid w:val="00525F8F"/>
    <w:rsid w:val="00527D4B"/>
    <w:rsid w:val="00527FF4"/>
    <w:rsid w:val="0053053C"/>
    <w:rsid w:val="00531CD3"/>
    <w:rsid w:val="005333A3"/>
    <w:rsid w:val="00534362"/>
    <w:rsid w:val="00535A3A"/>
    <w:rsid w:val="00536709"/>
    <w:rsid w:val="0053706F"/>
    <w:rsid w:val="005370CF"/>
    <w:rsid w:val="00537DD8"/>
    <w:rsid w:val="00537F6E"/>
    <w:rsid w:val="00537FA5"/>
    <w:rsid w:val="0054141B"/>
    <w:rsid w:val="00541E52"/>
    <w:rsid w:val="00542227"/>
    <w:rsid w:val="00542940"/>
    <w:rsid w:val="00543142"/>
    <w:rsid w:val="00543155"/>
    <w:rsid w:val="00543B86"/>
    <w:rsid w:val="005451FF"/>
    <w:rsid w:val="005453AE"/>
    <w:rsid w:val="0054629A"/>
    <w:rsid w:val="00547CC1"/>
    <w:rsid w:val="00550435"/>
    <w:rsid w:val="00551C5C"/>
    <w:rsid w:val="00552305"/>
    <w:rsid w:val="00552A5B"/>
    <w:rsid w:val="005536FC"/>
    <w:rsid w:val="005554E8"/>
    <w:rsid w:val="005554F7"/>
    <w:rsid w:val="00555E2C"/>
    <w:rsid w:val="0055614C"/>
    <w:rsid w:val="00556FC4"/>
    <w:rsid w:val="005572C0"/>
    <w:rsid w:val="005573AA"/>
    <w:rsid w:val="00557BD5"/>
    <w:rsid w:val="00557D97"/>
    <w:rsid w:val="00560F66"/>
    <w:rsid w:val="00562011"/>
    <w:rsid w:val="00562143"/>
    <w:rsid w:val="005635FD"/>
    <w:rsid w:val="00563811"/>
    <w:rsid w:val="00566D06"/>
    <w:rsid w:val="00567B62"/>
    <w:rsid w:val="00570F97"/>
    <w:rsid w:val="00572100"/>
    <w:rsid w:val="00572210"/>
    <w:rsid w:val="005739A1"/>
    <w:rsid w:val="005749DC"/>
    <w:rsid w:val="00575677"/>
    <w:rsid w:val="00576D5D"/>
    <w:rsid w:val="00577878"/>
    <w:rsid w:val="00580306"/>
    <w:rsid w:val="005804EA"/>
    <w:rsid w:val="005814DF"/>
    <w:rsid w:val="00583987"/>
    <w:rsid w:val="00583BB1"/>
    <w:rsid w:val="00584F88"/>
    <w:rsid w:val="00585802"/>
    <w:rsid w:val="0058627D"/>
    <w:rsid w:val="005869E5"/>
    <w:rsid w:val="00586A70"/>
    <w:rsid w:val="00586B67"/>
    <w:rsid w:val="00593083"/>
    <w:rsid w:val="00593E76"/>
    <w:rsid w:val="0059422D"/>
    <w:rsid w:val="00594B23"/>
    <w:rsid w:val="00594F28"/>
    <w:rsid w:val="0059577B"/>
    <w:rsid w:val="005958BA"/>
    <w:rsid w:val="005960BE"/>
    <w:rsid w:val="005963F6"/>
    <w:rsid w:val="00596DD4"/>
    <w:rsid w:val="005975F3"/>
    <w:rsid w:val="005A26BC"/>
    <w:rsid w:val="005A5029"/>
    <w:rsid w:val="005A5B2A"/>
    <w:rsid w:val="005A5F49"/>
    <w:rsid w:val="005A63E0"/>
    <w:rsid w:val="005A66EB"/>
    <w:rsid w:val="005A70E3"/>
    <w:rsid w:val="005B020A"/>
    <w:rsid w:val="005B0DA9"/>
    <w:rsid w:val="005B1081"/>
    <w:rsid w:val="005B10A5"/>
    <w:rsid w:val="005B162C"/>
    <w:rsid w:val="005B36FA"/>
    <w:rsid w:val="005B430D"/>
    <w:rsid w:val="005B5796"/>
    <w:rsid w:val="005B57C3"/>
    <w:rsid w:val="005B5CF3"/>
    <w:rsid w:val="005B685F"/>
    <w:rsid w:val="005B6BFB"/>
    <w:rsid w:val="005B7B12"/>
    <w:rsid w:val="005C11EE"/>
    <w:rsid w:val="005C3135"/>
    <w:rsid w:val="005C3A8C"/>
    <w:rsid w:val="005C503D"/>
    <w:rsid w:val="005C5CA9"/>
    <w:rsid w:val="005C5D1E"/>
    <w:rsid w:val="005C73A9"/>
    <w:rsid w:val="005C795E"/>
    <w:rsid w:val="005D01FD"/>
    <w:rsid w:val="005D0312"/>
    <w:rsid w:val="005D09C9"/>
    <w:rsid w:val="005D0F03"/>
    <w:rsid w:val="005D11E3"/>
    <w:rsid w:val="005D1B22"/>
    <w:rsid w:val="005D2099"/>
    <w:rsid w:val="005D22D5"/>
    <w:rsid w:val="005D2B7A"/>
    <w:rsid w:val="005D2CEE"/>
    <w:rsid w:val="005D7B4C"/>
    <w:rsid w:val="005E0710"/>
    <w:rsid w:val="005E0831"/>
    <w:rsid w:val="005E0BB2"/>
    <w:rsid w:val="005E14C2"/>
    <w:rsid w:val="005E5514"/>
    <w:rsid w:val="005E7B90"/>
    <w:rsid w:val="005F01F7"/>
    <w:rsid w:val="005F2439"/>
    <w:rsid w:val="005F24AF"/>
    <w:rsid w:val="005F2D47"/>
    <w:rsid w:val="005F2EDE"/>
    <w:rsid w:val="005F3F38"/>
    <w:rsid w:val="005F58D6"/>
    <w:rsid w:val="005F5965"/>
    <w:rsid w:val="005F607D"/>
    <w:rsid w:val="005F6190"/>
    <w:rsid w:val="005F7659"/>
    <w:rsid w:val="00600D59"/>
    <w:rsid w:val="00601530"/>
    <w:rsid w:val="0060234D"/>
    <w:rsid w:val="00602469"/>
    <w:rsid w:val="00602DC4"/>
    <w:rsid w:val="00603987"/>
    <w:rsid w:val="00604C6E"/>
    <w:rsid w:val="0060593D"/>
    <w:rsid w:val="00605A3B"/>
    <w:rsid w:val="006060D0"/>
    <w:rsid w:val="0060647C"/>
    <w:rsid w:val="00606E8D"/>
    <w:rsid w:val="00607118"/>
    <w:rsid w:val="00607A03"/>
    <w:rsid w:val="00607BA5"/>
    <w:rsid w:val="0061065C"/>
    <w:rsid w:val="00610ABB"/>
    <w:rsid w:val="0061180A"/>
    <w:rsid w:val="006118FE"/>
    <w:rsid w:val="006125C3"/>
    <w:rsid w:val="00612EB8"/>
    <w:rsid w:val="006135F1"/>
    <w:rsid w:val="00615A69"/>
    <w:rsid w:val="00615AF2"/>
    <w:rsid w:val="00615FFB"/>
    <w:rsid w:val="006172F2"/>
    <w:rsid w:val="0061735F"/>
    <w:rsid w:val="00617E34"/>
    <w:rsid w:val="00620983"/>
    <w:rsid w:val="0062171C"/>
    <w:rsid w:val="00622DA8"/>
    <w:rsid w:val="00622FEA"/>
    <w:rsid w:val="006232C6"/>
    <w:rsid w:val="00624044"/>
    <w:rsid w:val="00624557"/>
    <w:rsid w:val="00626EB6"/>
    <w:rsid w:val="00630439"/>
    <w:rsid w:val="00630CCA"/>
    <w:rsid w:val="0063157A"/>
    <w:rsid w:val="006315C5"/>
    <w:rsid w:val="006325B0"/>
    <w:rsid w:val="0063360C"/>
    <w:rsid w:val="006338E7"/>
    <w:rsid w:val="00633A20"/>
    <w:rsid w:val="00633BE7"/>
    <w:rsid w:val="00633CB7"/>
    <w:rsid w:val="00633E36"/>
    <w:rsid w:val="0063412B"/>
    <w:rsid w:val="006341A5"/>
    <w:rsid w:val="006341F2"/>
    <w:rsid w:val="006344F5"/>
    <w:rsid w:val="00635E21"/>
    <w:rsid w:val="0063618B"/>
    <w:rsid w:val="00636AC2"/>
    <w:rsid w:val="00636C16"/>
    <w:rsid w:val="006372ED"/>
    <w:rsid w:val="00641B23"/>
    <w:rsid w:val="00641B68"/>
    <w:rsid w:val="00642A1D"/>
    <w:rsid w:val="00642FD6"/>
    <w:rsid w:val="0064514C"/>
    <w:rsid w:val="00646137"/>
    <w:rsid w:val="00646941"/>
    <w:rsid w:val="00647AAF"/>
    <w:rsid w:val="00650C81"/>
    <w:rsid w:val="00651750"/>
    <w:rsid w:val="00652978"/>
    <w:rsid w:val="00653258"/>
    <w:rsid w:val="00653D61"/>
    <w:rsid w:val="00654689"/>
    <w:rsid w:val="00655116"/>
    <w:rsid w:val="006552F0"/>
    <w:rsid w:val="006555E3"/>
    <w:rsid w:val="00655D03"/>
    <w:rsid w:val="006561DE"/>
    <w:rsid w:val="006567C4"/>
    <w:rsid w:val="006601AE"/>
    <w:rsid w:val="0066055B"/>
    <w:rsid w:val="00660A18"/>
    <w:rsid w:val="00660BA9"/>
    <w:rsid w:val="00660D67"/>
    <w:rsid w:val="0066116B"/>
    <w:rsid w:val="006620FE"/>
    <w:rsid w:val="00662D4C"/>
    <w:rsid w:val="00664494"/>
    <w:rsid w:val="006644BD"/>
    <w:rsid w:val="006646E9"/>
    <w:rsid w:val="00665464"/>
    <w:rsid w:val="00665C93"/>
    <w:rsid w:val="00666908"/>
    <w:rsid w:val="006669DE"/>
    <w:rsid w:val="00666CFF"/>
    <w:rsid w:val="00670E4B"/>
    <w:rsid w:val="00672AAA"/>
    <w:rsid w:val="0067355B"/>
    <w:rsid w:val="00675945"/>
    <w:rsid w:val="00676445"/>
    <w:rsid w:val="00681120"/>
    <w:rsid w:val="0068183F"/>
    <w:rsid w:val="00683388"/>
    <w:rsid w:val="0068340B"/>
    <w:rsid w:val="00683F3A"/>
    <w:rsid w:val="00683F84"/>
    <w:rsid w:val="00683FE1"/>
    <w:rsid w:val="0068420B"/>
    <w:rsid w:val="0068480B"/>
    <w:rsid w:val="00685235"/>
    <w:rsid w:val="0068596F"/>
    <w:rsid w:val="00685A51"/>
    <w:rsid w:val="00685DA3"/>
    <w:rsid w:val="00686B6D"/>
    <w:rsid w:val="006879D0"/>
    <w:rsid w:val="00690068"/>
    <w:rsid w:val="00690D9E"/>
    <w:rsid w:val="00690DF9"/>
    <w:rsid w:val="00691F06"/>
    <w:rsid w:val="006924E0"/>
    <w:rsid w:val="00692A64"/>
    <w:rsid w:val="00692F5C"/>
    <w:rsid w:val="00694C4B"/>
    <w:rsid w:val="00695D28"/>
    <w:rsid w:val="006962CB"/>
    <w:rsid w:val="006975EC"/>
    <w:rsid w:val="00697C81"/>
    <w:rsid w:val="006A0EF5"/>
    <w:rsid w:val="006A2A22"/>
    <w:rsid w:val="006A2A53"/>
    <w:rsid w:val="006A3B27"/>
    <w:rsid w:val="006A3C40"/>
    <w:rsid w:val="006A58FC"/>
    <w:rsid w:val="006A6A81"/>
    <w:rsid w:val="006A6C98"/>
    <w:rsid w:val="006A6EF0"/>
    <w:rsid w:val="006A7D10"/>
    <w:rsid w:val="006A7ECD"/>
    <w:rsid w:val="006B1982"/>
    <w:rsid w:val="006B24AE"/>
    <w:rsid w:val="006B382D"/>
    <w:rsid w:val="006B38A0"/>
    <w:rsid w:val="006B3A37"/>
    <w:rsid w:val="006B4FC4"/>
    <w:rsid w:val="006B5FF1"/>
    <w:rsid w:val="006B6188"/>
    <w:rsid w:val="006B7745"/>
    <w:rsid w:val="006C0833"/>
    <w:rsid w:val="006C149A"/>
    <w:rsid w:val="006C160F"/>
    <w:rsid w:val="006C18DD"/>
    <w:rsid w:val="006C1BDF"/>
    <w:rsid w:val="006C54BF"/>
    <w:rsid w:val="006C58A0"/>
    <w:rsid w:val="006C766F"/>
    <w:rsid w:val="006D09F6"/>
    <w:rsid w:val="006D0D19"/>
    <w:rsid w:val="006D3828"/>
    <w:rsid w:val="006D3E9A"/>
    <w:rsid w:val="006D459D"/>
    <w:rsid w:val="006D5CDB"/>
    <w:rsid w:val="006D6462"/>
    <w:rsid w:val="006D658C"/>
    <w:rsid w:val="006D65A1"/>
    <w:rsid w:val="006D6D95"/>
    <w:rsid w:val="006D6E47"/>
    <w:rsid w:val="006D7561"/>
    <w:rsid w:val="006D7616"/>
    <w:rsid w:val="006E0351"/>
    <w:rsid w:val="006E0614"/>
    <w:rsid w:val="006E13C8"/>
    <w:rsid w:val="006E2383"/>
    <w:rsid w:val="006E23A6"/>
    <w:rsid w:val="006E2CD8"/>
    <w:rsid w:val="006E4CEE"/>
    <w:rsid w:val="006E57CD"/>
    <w:rsid w:val="006E59B2"/>
    <w:rsid w:val="006E628F"/>
    <w:rsid w:val="006E65C7"/>
    <w:rsid w:val="006E6DD2"/>
    <w:rsid w:val="006E7BA9"/>
    <w:rsid w:val="006E7DE6"/>
    <w:rsid w:val="006F16AB"/>
    <w:rsid w:val="006F1C70"/>
    <w:rsid w:val="006F27C7"/>
    <w:rsid w:val="006F2FB3"/>
    <w:rsid w:val="006F3256"/>
    <w:rsid w:val="006F3672"/>
    <w:rsid w:val="006F3E82"/>
    <w:rsid w:val="006F3F70"/>
    <w:rsid w:val="006F5124"/>
    <w:rsid w:val="006F6FE6"/>
    <w:rsid w:val="006F7393"/>
    <w:rsid w:val="006F7A2A"/>
    <w:rsid w:val="006F7E84"/>
    <w:rsid w:val="007002BA"/>
    <w:rsid w:val="00700333"/>
    <w:rsid w:val="00700988"/>
    <w:rsid w:val="00701502"/>
    <w:rsid w:val="0070224F"/>
    <w:rsid w:val="00702931"/>
    <w:rsid w:val="00702B58"/>
    <w:rsid w:val="00702C01"/>
    <w:rsid w:val="007039A7"/>
    <w:rsid w:val="00705A1F"/>
    <w:rsid w:val="00706872"/>
    <w:rsid w:val="00710831"/>
    <w:rsid w:val="007115F7"/>
    <w:rsid w:val="00712E7E"/>
    <w:rsid w:val="0071302B"/>
    <w:rsid w:val="007130B5"/>
    <w:rsid w:val="00713876"/>
    <w:rsid w:val="00713913"/>
    <w:rsid w:val="00715654"/>
    <w:rsid w:val="00715A81"/>
    <w:rsid w:val="00717576"/>
    <w:rsid w:val="00717BC8"/>
    <w:rsid w:val="00720623"/>
    <w:rsid w:val="0072136F"/>
    <w:rsid w:val="007216CB"/>
    <w:rsid w:val="007224E7"/>
    <w:rsid w:val="007224E9"/>
    <w:rsid w:val="00722B87"/>
    <w:rsid w:val="00722E27"/>
    <w:rsid w:val="00723808"/>
    <w:rsid w:val="00724D0C"/>
    <w:rsid w:val="00725E1F"/>
    <w:rsid w:val="0072607B"/>
    <w:rsid w:val="00727153"/>
    <w:rsid w:val="007306E7"/>
    <w:rsid w:val="007309F2"/>
    <w:rsid w:val="00731243"/>
    <w:rsid w:val="007314D2"/>
    <w:rsid w:val="0073408E"/>
    <w:rsid w:val="007345E5"/>
    <w:rsid w:val="007348CC"/>
    <w:rsid w:val="0073517D"/>
    <w:rsid w:val="00735DCD"/>
    <w:rsid w:val="00735FDB"/>
    <w:rsid w:val="007362A3"/>
    <w:rsid w:val="00736AEC"/>
    <w:rsid w:val="00740EB7"/>
    <w:rsid w:val="007410FD"/>
    <w:rsid w:val="00741808"/>
    <w:rsid w:val="00741A9E"/>
    <w:rsid w:val="00743591"/>
    <w:rsid w:val="00743669"/>
    <w:rsid w:val="00744457"/>
    <w:rsid w:val="007445A7"/>
    <w:rsid w:val="00744A2D"/>
    <w:rsid w:val="00746245"/>
    <w:rsid w:val="007477A3"/>
    <w:rsid w:val="007477BA"/>
    <w:rsid w:val="00750396"/>
    <w:rsid w:val="00750492"/>
    <w:rsid w:val="0075063E"/>
    <w:rsid w:val="0075186F"/>
    <w:rsid w:val="00751D48"/>
    <w:rsid w:val="00751ED2"/>
    <w:rsid w:val="0075245D"/>
    <w:rsid w:val="007524C4"/>
    <w:rsid w:val="00752F10"/>
    <w:rsid w:val="007538B8"/>
    <w:rsid w:val="00753D6C"/>
    <w:rsid w:val="0075487A"/>
    <w:rsid w:val="00754CB3"/>
    <w:rsid w:val="00755448"/>
    <w:rsid w:val="0075587F"/>
    <w:rsid w:val="007575F6"/>
    <w:rsid w:val="0075763E"/>
    <w:rsid w:val="00757A53"/>
    <w:rsid w:val="0076021B"/>
    <w:rsid w:val="00760D3F"/>
    <w:rsid w:val="00761382"/>
    <w:rsid w:val="007624EE"/>
    <w:rsid w:val="00762567"/>
    <w:rsid w:val="0076298D"/>
    <w:rsid w:val="007629B7"/>
    <w:rsid w:val="007644D5"/>
    <w:rsid w:val="007660A7"/>
    <w:rsid w:val="00766EDE"/>
    <w:rsid w:val="00770E90"/>
    <w:rsid w:val="007713AC"/>
    <w:rsid w:val="0077274F"/>
    <w:rsid w:val="00772F86"/>
    <w:rsid w:val="007744BA"/>
    <w:rsid w:val="0077494A"/>
    <w:rsid w:val="00777ABA"/>
    <w:rsid w:val="00777BB9"/>
    <w:rsid w:val="0078070B"/>
    <w:rsid w:val="00780A1F"/>
    <w:rsid w:val="00780EE4"/>
    <w:rsid w:val="007834E1"/>
    <w:rsid w:val="007836D2"/>
    <w:rsid w:val="0078392D"/>
    <w:rsid w:val="0078448D"/>
    <w:rsid w:val="00785114"/>
    <w:rsid w:val="00785689"/>
    <w:rsid w:val="007856D8"/>
    <w:rsid w:val="00785FBD"/>
    <w:rsid w:val="007865E5"/>
    <w:rsid w:val="00786CD4"/>
    <w:rsid w:val="00787C3B"/>
    <w:rsid w:val="00790059"/>
    <w:rsid w:val="00790C36"/>
    <w:rsid w:val="00791691"/>
    <w:rsid w:val="007926A9"/>
    <w:rsid w:val="007944FD"/>
    <w:rsid w:val="007962BC"/>
    <w:rsid w:val="007967B2"/>
    <w:rsid w:val="007970AC"/>
    <w:rsid w:val="0079752C"/>
    <w:rsid w:val="0079754B"/>
    <w:rsid w:val="00797E97"/>
    <w:rsid w:val="007A0DF8"/>
    <w:rsid w:val="007A1E6D"/>
    <w:rsid w:val="007A3400"/>
    <w:rsid w:val="007A4A61"/>
    <w:rsid w:val="007A4E66"/>
    <w:rsid w:val="007A6E43"/>
    <w:rsid w:val="007A70BF"/>
    <w:rsid w:val="007A735A"/>
    <w:rsid w:val="007A7794"/>
    <w:rsid w:val="007B0441"/>
    <w:rsid w:val="007B0EB2"/>
    <w:rsid w:val="007B1303"/>
    <w:rsid w:val="007B241E"/>
    <w:rsid w:val="007B379C"/>
    <w:rsid w:val="007B385C"/>
    <w:rsid w:val="007B40E1"/>
    <w:rsid w:val="007B4287"/>
    <w:rsid w:val="007B501D"/>
    <w:rsid w:val="007B547D"/>
    <w:rsid w:val="007B79BC"/>
    <w:rsid w:val="007B7C1E"/>
    <w:rsid w:val="007C02D0"/>
    <w:rsid w:val="007C05A1"/>
    <w:rsid w:val="007C1259"/>
    <w:rsid w:val="007C1EA6"/>
    <w:rsid w:val="007C2D37"/>
    <w:rsid w:val="007C3247"/>
    <w:rsid w:val="007C3477"/>
    <w:rsid w:val="007C3B42"/>
    <w:rsid w:val="007C3EF1"/>
    <w:rsid w:val="007C5886"/>
    <w:rsid w:val="007C60EE"/>
    <w:rsid w:val="007C70EE"/>
    <w:rsid w:val="007C7293"/>
    <w:rsid w:val="007C75D7"/>
    <w:rsid w:val="007D07D2"/>
    <w:rsid w:val="007D1468"/>
    <w:rsid w:val="007D2A94"/>
    <w:rsid w:val="007D34F7"/>
    <w:rsid w:val="007D39FB"/>
    <w:rsid w:val="007D47B4"/>
    <w:rsid w:val="007D74A5"/>
    <w:rsid w:val="007D7942"/>
    <w:rsid w:val="007D7DC2"/>
    <w:rsid w:val="007E07B2"/>
    <w:rsid w:val="007E09F0"/>
    <w:rsid w:val="007E0E42"/>
    <w:rsid w:val="007E0F72"/>
    <w:rsid w:val="007E16C5"/>
    <w:rsid w:val="007E2729"/>
    <w:rsid w:val="007E3649"/>
    <w:rsid w:val="007E3E12"/>
    <w:rsid w:val="007E4732"/>
    <w:rsid w:val="007E565E"/>
    <w:rsid w:val="007E57AD"/>
    <w:rsid w:val="007E6FC7"/>
    <w:rsid w:val="007F0EB3"/>
    <w:rsid w:val="007F2C82"/>
    <w:rsid w:val="007F3507"/>
    <w:rsid w:val="007F6212"/>
    <w:rsid w:val="007F68AF"/>
    <w:rsid w:val="007F6933"/>
    <w:rsid w:val="00800420"/>
    <w:rsid w:val="0080086E"/>
    <w:rsid w:val="00801C00"/>
    <w:rsid w:val="00801D39"/>
    <w:rsid w:val="00802819"/>
    <w:rsid w:val="00802DAA"/>
    <w:rsid w:val="00802ED4"/>
    <w:rsid w:val="008040F5"/>
    <w:rsid w:val="00805A36"/>
    <w:rsid w:val="00805C1C"/>
    <w:rsid w:val="00806C96"/>
    <w:rsid w:val="008104CE"/>
    <w:rsid w:val="00810B6F"/>
    <w:rsid w:val="00811273"/>
    <w:rsid w:val="00811947"/>
    <w:rsid w:val="0081257F"/>
    <w:rsid w:val="00813239"/>
    <w:rsid w:val="008137B8"/>
    <w:rsid w:val="00816698"/>
    <w:rsid w:val="00816F5E"/>
    <w:rsid w:val="00822010"/>
    <w:rsid w:val="00822184"/>
    <w:rsid w:val="00822204"/>
    <w:rsid w:val="00822393"/>
    <w:rsid w:val="00822CE0"/>
    <w:rsid w:val="00823A87"/>
    <w:rsid w:val="0082557C"/>
    <w:rsid w:val="008276D7"/>
    <w:rsid w:val="00830022"/>
    <w:rsid w:val="00830AF8"/>
    <w:rsid w:val="00831450"/>
    <w:rsid w:val="00832A90"/>
    <w:rsid w:val="00832ED2"/>
    <w:rsid w:val="0083373D"/>
    <w:rsid w:val="008340C7"/>
    <w:rsid w:val="008341EA"/>
    <w:rsid w:val="00834E0F"/>
    <w:rsid w:val="00835777"/>
    <w:rsid w:val="00835AC9"/>
    <w:rsid w:val="0083678C"/>
    <w:rsid w:val="00836BD8"/>
    <w:rsid w:val="00836E88"/>
    <w:rsid w:val="00837599"/>
    <w:rsid w:val="00837FD0"/>
    <w:rsid w:val="00840AF0"/>
    <w:rsid w:val="00841008"/>
    <w:rsid w:val="00841AB1"/>
    <w:rsid w:val="00841CDF"/>
    <w:rsid w:val="00841F4B"/>
    <w:rsid w:val="00842FC3"/>
    <w:rsid w:val="00843107"/>
    <w:rsid w:val="0084351F"/>
    <w:rsid w:val="008444BB"/>
    <w:rsid w:val="0084457A"/>
    <w:rsid w:val="00845251"/>
    <w:rsid w:val="008458D6"/>
    <w:rsid w:val="008459E7"/>
    <w:rsid w:val="00846BC4"/>
    <w:rsid w:val="00847680"/>
    <w:rsid w:val="0085083F"/>
    <w:rsid w:val="00851234"/>
    <w:rsid w:val="0085240C"/>
    <w:rsid w:val="00854CBF"/>
    <w:rsid w:val="008558E5"/>
    <w:rsid w:val="00856911"/>
    <w:rsid w:val="00856BDF"/>
    <w:rsid w:val="00860991"/>
    <w:rsid w:val="00860AF1"/>
    <w:rsid w:val="00861859"/>
    <w:rsid w:val="00861D68"/>
    <w:rsid w:val="008621B3"/>
    <w:rsid w:val="008622BA"/>
    <w:rsid w:val="0086276E"/>
    <w:rsid w:val="008633A4"/>
    <w:rsid w:val="00863692"/>
    <w:rsid w:val="0086491D"/>
    <w:rsid w:val="008653EF"/>
    <w:rsid w:val="0086551A"/>
    <w:rsid w:val="0086586A"/>
    <w:rsid w:val="008662E2"/>
    <w:rsid w:val="00866551"/>
    <w:rsid w:val="0086766C"/>
    <w:rsid w:val="00867E30"/>
    <w:rsid w:val="0087153B"/>
    <w:rsid w:val="0087188E"/>
    <w:rsid w:val="00872252"/>
    <w:rsid w:val="008733BA"/>
    <w:rsid w:val="00873EF9"/>
    <w:rsid w:val="0087418B"/>
    <w:rsid w:val="00874CC7"/>
    <w:rsid w:val="00875671"/>
    <w:rsid w:val="00875A6C"/>
    <w:rsid w:val="0087763F"/>
    <w:rsid w:val="00877BA7"/>
    <w:rsid w:val="00877BBE"/>
    <w:rsid w:val="008820BB"/>
    <w:rsid w:val="00882359"/>
    <w:rsid w:val="0088318C"/>
    <w:rsid w:val="0088609B"/>
    <w:rsid w:val="008879BE"/>
    <w:rsid w:val="008924AD"/>
    <w:rsid w:val="008937E9"/>
    <w:rsid w:val="008941BD"/>
    <w:rsid w:val="00894E21"/>
    <w:rsid w:val="008961BE"/>
    <w:rsid w:val="00896916"/>
    <w:rsid w:val="00896AFD"/>
    <w:rsid w:val="008974FE"/>
    <w:rsid w:val="008977C0"/>
    <w:rsid w:val="00897844"/>
    <w:rsid w:val="008A0123"/>
    <w:rsid w:val="008A13D2"/>
    <w:rsid w:val="008A1B69"/>
    <w:rsid w:val="008A2320"/>
    <w:rsid w:val="008A417A"/>
    <w:rsid w:val="008A4B35"/>
    <w:rsid w:val="008A54DD"/>
    <w:rsid w:val="008A5E5E"/>
    <w:rsid w:val="008A7C15"/>
    <w:rsid w:val="008B040E"/>
    <w:rsid w:val="008B0419"/>
    <w:rsid w:val="008B04FA"/>
    <w:rsid w:val="008B08B1"/>
    <w:rsid w:val="008B0DC7"/>
    <w:rsid w:val="008B2481"/>
    <w:rsid w:val="008B25B3"/>
    <w:rsid w:val="008B2812"/>
    <w:rsid w:val="008B3857"/>
    <w:rsid w:val="008C0F61"/>
    <w:rsid w:val="008C1105"/>
    <w:rsid w:val="008C3451"/>
    <w:rsid w:val="008C3BF2"/>
    <w:rsid w:val="008C4143"/>
    <w:rsid w:val="008C4A13"/>
    <w:rsid w:val="008C6219"/>
    <w:rsid w:val="008C6246"/>
    <w:rsid w:val="008C660C"/>
    <w:rsid w:val="008C67C8"/>
    <w:rsid w:val="008C68F1"/>
    <w:rsid w:val="008C6E2B"/>
    <w:rsid w:val="008C716E"/>
    <w:rsid w:val="008C75CE"/>
    <w:rsid w:val="008C7DFA"/>
    <w:rsid w:val="008D0BFD"/>
    <w:rsid w:val="008D17C9"/>
    <w:rsid w:val="008D1CAE"/>
    <w:rsid w:val="008D1DCD"/>
    <w:rsid w:val="008D27BA"/>
    <w:rsid w:val="008D30A5"/>
    <w:rsid w:val="008D3743"/>
    <w:rsid w:val="008D40CF"/>
    <w:rsid w:val="008D4259"/>
    <w:rsid w:val="008D50E3"/>
    <w:rsid w:val="008D5AA9"/>
    <w:rsid w:val="008D6D87"/>
    <w:rsid w:val="008D754F"/>
    <w:rsid w:val="008E0600"/>
    <w:rsid w:val="008E2295"/>
    <w:rsid w:val="008E2B64"/>
    <w:rsid w:val="008E2FA6"/>
    <w:rsid w:val="008E4268"/>
    <w:rsid w:val="008E47E4"/>
    <w:rsid w:val="008E5D23"/>
    <w:rsid w:val="008E7F28"/>
    <w:rsid w:val="008F18EB"/>
    <w:rsid w:val="008F42C8"/>
    <w:rsid w:val="008F45EA"/>
    <w:rsid w:val="008F4B17"/>
    <w:rsid w:val="008F6444"/>
    <w:rsid w:val="008F7547"/>
    <w:rsid w:val="009002EE"/>
    <w:rsid w:val="0090047A"/>
    <w:rsid w:val="00901B03"/>
    <w:rsid w:val="00902882"/>
    <w:rsid w:val="00904DEA"/>
    <w:rsid w:val="00911F10"/>
    <w:rsid w:val="009126C4"/>
    <w:rsid w:val="00913030"/>
    <w:rsid w:val="0091320C"/>
    <w:rsid w:val="00914132"/>
    <w:rsid w:val="0091512A"/>
    <w:rsid w:val="009161C8"/>
    <w:rsid w:val="009178F6"/>
    <w:rsid w:val="00917BBF"/>
    <w:rsid w:val="00920151"/>
    <w:rsid w:val="00920F38"/>
    <w:rsid w:val="009210B5"/>
    <w:rsid w:val="00921803"/>
    <w:rsid w:val="009231F3"/>
    <w:rsid w:val="009234EB"/>
    <w:rsid w:val="0092365A"/>
    <w:rsid w:val="009239CC"/>
    <w:rsid w:val="00923D7F"/>
    <w:rsid w:val="00925EA4"/>
    <w:rsid w:val="00926503"/>
    <w:rsid w:val="00926528"/>
    <w:rsid w:val="009268E4"/>
    <w:rsid w:val="00926B20"/>
    <w:rsid w:val="009271F1"/>
    <w:rsid w:val="00927793"/>
    <w:rsid w:val="009313DD"/>
    <w:rsid w:val="00931ABD"/>
    <w:rsid w:val="009328CC"/>
    <w:rsid w:val="00932F67"/>
    <w:rsid w:val="00933114"/>
    <w:rsid w:val="0093370B"/>
    <w:rsid w:val="0093383D"/>
    <w:rsid w:val="00934073"/>
    <w:rsid w:val="00935824"/>
    <w:rsid w:val="0093653D"/>
    <w:rsid w:val="00936B29"/>
    <w:rsid w:val="009377BF"/>
    <w:rsid w:val="00941701"/>
    <w:rsid w:val="00941893"/>
    <w:rsid w:val="00941EA5"/>
    <w:rsid w:val="00941FB5"/>
    <w:rsid w:val="0094417F"/>
    <w:rsid w:val="00944AB0"/>
    <w:rsid w:val="0094526B"/>
    <w:rsid w:val="00945313"/>
    <w:rsid w:val="00945369"/>
    <w:rsid w:val="00945846"/>
    <w:rsid w:val="00946681"/>
    <w:rsid w:val="00946AA8"/>
    <w:rsid w:val="00946C86"/>
    <w:rsid w:val="0094722B"/>
    <w:rsid w:val="00951FB2"/>
    <w:rsid w:val="009525CE"/>
    <w:rsid w:val="00953DF9"/>
    <w:rsid w:val="00956D37"/>
    <w:rsid w:val="009576D7"/>
    <w:rsid w:val="0096157D"/>
    <w:rsid w:val="00962FCF"/>
    <w:rsid w:val="009641BE"/>
    <w:rsid w:val="00964309"/>
    <w:rsid w:val="00964623"/>
    <w:rsid w:val="0096556F"/>
    <w:rsid w:val="00965B07"/>
    <w:rsid w:val="00967583"/>
    <w:rsid w:val="00970D76"/>
    <w:rsid w:val="00970F22"/>
    <w:rsid w:val="00971553"/>
    <w:rsid w:val="00971C4D"/>
    <w:rsid w:val="009726D8"/>
    <w:rsid w:val="00972A2A"/>
    <w:rsid w:val="0097433B"/>
    <w:rsid w:val="009745A0"/>
    <w:rsid w:val="009745FA"/>
    <w:rsid w:val="009746DA"/>
    <w:rsid w:val="00976EBF"/>
    <w:rsid w:val="00976F1D"/>
    <w:rsid w:val="00981175"/>
    <w:rsid w:val="009812B2"/>
    <w:rsid w:val="00981EF1"/>
    <w:rsid w:val="00981F68"/>
    <w:rsid w:val="00982098"/>
    <w:rsid w:val="00982D42"/>
    <w:rsid w:val="009835DC"/>
    <w:rsid w:val="00983671"/>
    <w:rsid w:val="0098515C"/>
    <w:rsid w:val="00985906"/>
    <w:rsid w:val="00985C20"/>
    <w:rsid w:val="00987B6B"/>
    <w:rsid w:val="00990E87"/>
    <w:rsid w:val="00992262"/>
    <w:rsid w:val="00992EFF"/>
    <w:rsid w:val="0099414D"/>
    <w:rsid w:val="009950F4"/>
    <w:rsid w:val="0099545E"/>
    <w:rsid w:val="00995F84"/>
    <w:rsid w:val="009963FD"/>
    <w:rsid w:val="00997638"/>
    <w:rsid w:val="009A04FA"/>
    <w:rsid w:val="009A1811"/>
    <w:rsid w:val="009A219F"/>
    <w:rsid w:val="009A4504"/>
    <w:rsid w:val="009A4922"/>
    <w:rsid w:val="009A4AEA"/>
    <w:rsid w:val="009A65FC"/>
    <w:rsid w:val="009A79EC"/>
    <w:rsid w:val="009B10AC"/>
    <w:rsid w:val="009B1637"/>
    <w:rsid w:val="009B2A82"/>
    <w:rsid w:val="009B30C2"/>
    <w:rsid w:val="009B344A"/>
    <w:rsid w:val="009B35E4"/>
    <w:rsid w:val="009B5ACF"/>
    <w:rsid w:val="009B7E58"/>
    <w:rsid w:val="009B7FC0"/>
    <w:rsid w:val="009B7FC8"/>
    <w:rsid w:val="009C254D"/>
    <w:rsid w:val="009C2B2C"/>
    <w:rsid w:val="009C3172"/>
    <w:rsid w:val="009C3191"/>
    <w:rsid w:val="009C3C97"/>
    <w:rsid w:val="009C4BF6"/>
    <w:rsid w:val="009C5126"/>
    <w:rsid w:val="009C77C9"/>
    <w:rsid w:val="009C7A83"/>
    <w:rsid w:val="009D11D2"/>
    <w:rsid w:val="009D124D"/>
    <w:rsid w:val="009D1577"/>
    <w:rsid w:val="009D1825"/>
    <w:rsid w:val="009D1C5F"/>
    <w:rsid w:val="009D324B"/>
    <w:rsid w:val="009D5AD9"/>
    <w:rsid w:val="009D6016"/>
    <w:rsid w:val="009D6031"/>
    <w:rsid w:val="009D6F39"/>
    <w:rsid w:val="009D7308"/>
    <w:rsid w:val="009E002D"/>
    <w:rsid w:val="009E148B"/>
    <w:rsid w:val="009E200F"/>
    <w:rsid w:val="009E372E"/>
    <w:rsid w:val="009E6588"/>
    <w:rsid w:val="009E7080"/>
    <w:rsid w:val="009F10C2"/>
    <w:rsid w:val="009F14BF"/>
    <w:rsid w:val="009F2ACF"/>
    <w:rsid w:val="009F2DB6"/>
    <w:rsid w:val="009F3DB1"/>
    <w:rsid w:val="009F637D"/>
    <w:rsid w:val="009F64C6"/>
    <w:rsid w:val="009F66FB"/>
    <w:rsid w:val="009F76DB"/>
    <w:rsid w:val="009F7BC6"/>
    <w:rsid w:val="009F7CB9"/>
    <w:rsid w:val="00A008DB"/>
    <w:rsid w:val="00A00A7F"/>
    <w:rsid w:val="00A011F3"/>
    <w:rsid w:val="00A03320"/>
    <w:rsid w:val="00A040B3"/>
    <w:rsid w:val="00A05108"/>
    <w:rsid w:val="00A053C6"/>
    <w:rsid w:val="00A0668C"/>
    <w:rsid w:val="00A0781F"/>
    <w:rsid w:val="00A10F12"/>
    <w:rsid w:val="00A119DD"/>
    <w:rsid w:val="00A11FEB"/>
    <w:rsid w:val="00A12D4C"/>
    <w:rsid w:val="00A12D87"/>
    <w:rsid w:val="00A1452D"/>
    <w:rsid w:val="00A14665"/>
    <w:rsid w:val="00A14E31"/>
    <w:rsid w:val="00A15BAD"/>
    <w:rsid w:val="00A15DA7"/>
    <w:rsid w:val="00A16885"/>
    <w:rsid w:val="00A16C3C"/>
    <w:rsid w:val="00A16E87"/>
    <w:rsid w:val="00A1750B"/>
    <w:rsid w:val="00A20E17"/>
    <w:rsid w:val="00A20EEE"/>
    <w:rsid w:val="00A21A6D"/>
    <w:rsid w:val="00A22B2C"/>
    <w:rsid w:val="00A24A20"/>
    <w:rsid w:val="00A24D35"/>
    <w:rsid w:val="00A2541D"/>
    <w:rsid w:val="00A27809"/>
    <w:rsid w:val="00A27DD1"/>
    <w:rsid w:val="00A30119"/>
    <w:rsid w:val="00A308A5"/>
    <w:rsid w:val="00A32C3B"/>
    <w:rsid w:val="00A33500"/>
    <w:rsid w:val="00A33E69"/>
    <w:rsid w:val="00A34819"/>
    <w:rsid w:val="00A36160"/>
    <w:rsid w:val="00A3617B"/>
    <w:rsid w:val="00A36769"/>
    <w:rsid w:val="00A37E7F"/>
    <w:rsid w:val="00A436BC"/>
    <w:rsid w:val="00A44983"/>
    <w:rsid w:val="00A45767"/>
    <w:rsid w:val="00A45F4F"/>
    <w:rsid w:val="00A469EC"/>
    <w:rsid w:val="00A47B09"/>
    <w:rsid w:val="00A47E22"/>
    <w:rsid w:val="00A47F24"/>
    <w:rsid w:val="00A50431"/>
    <w:rsid w:val="00A52D94"/>
    <w:rsid w:val="00A532AA"/>
    <w:rsid w:val="00A53FC5"/>
    <w:rsid w:val="00A5417C"/>
    <w:rsid w:val="00A5467C"/>
    <w:rsid w:val="00A5650D"/>
    <w:rsid w:val="00A5764B"/>
    <w:rsid w:val="00A600A9"/>
    <w:rsid w:val="00A6058A"/>
    <w:rsid w:val="00A61B7D"/>
    <w:rsid w:val="00A61C13"/>
    <w:rsid w:val="00A652CE"/>
    <w:rsid w:val="00A65A26"/>
    <w:rsid w:val="00A669FF"/>
    <w:rsid w:val="00A71302"/>
    <w:rsid w:val="00A71997"/>
    <w:rsid w:val="00A72444"/>
    <w:rsid w:val="00A737DD"/>
    <w:rsid w:val="00A76452"/>
    <w:rsid w:val="00A76BE6"/>
    <w:rsid w:val="00A76CEE"/>
    <w:rsid w:val="00A80B28"/>
    <w:rsid w:val="00A81808"/>
    <w:rsid w:val="00A81F6B"/>
    <w:rsid w:val="00A831C1"/>
    <w:rsid w:val="00A8358E"/>
    <w:rsid w:val="00A83CB3"/>
    <w:rsid w:val="00A83F45"/>
    <w:rsid w:val="00A84733"/>
    <w:rsid w:val="00A869A2"/>
    <w:rsid w:val="00A9029C"/>
    <w:rsid w:val="00A90CA3"/>
    <w:rsid w:val="00A90CC4"/>
    <w:rsid w:val="00A920B6"/>
    <w:rsid w:val="00A93E33"/>
    <w:rsid w:val="00A96636"/>
    <w:rsid w:val="00A967EA"/>
    <w:rsid w:val="00A97B0B"/>
    <w:rsid w:val="00AA0EB0"/>
    <w:rsid w:val="00AA17F9"/>
    <w:rsid w:val="00AA21BA"/>
    <w:rsid w:val="00AA34D5"/>
    <w:rsid w:val="00AA3C0A"/>
    <w:rsid w:val="00AA482C"/>
    <w:rsid w:val="00AA4CB4"/>
    <w:rsid w:val="00AA55B7"/>
    <w:rsid w:val="00AA5A3B"/>
    <w:rsid w:val="00AA5B9E"/>
    <w:rsid w:val="00AA783B"/>
    <w:rsid w:val="00AB13B5"/>
    <w:rsid w:val="00AB2407"/>
    <w:rsid w:val="00AB2665"/>
    <w:rsid w:val="00AB27F1"/>
    <w:rsid w:val="00AB2A6E"/>
    <w:rsid w:val="00AB3D38"/>
    <w:rsid w:val="00AB53DF"/>
    <w:rsid w:val="00AB54CF"/>
    <w:rsid w:val="00AB5720"/>
    <w:rsid w:val="00AB59FA"/>
    <w:rsid w:val="00AB6A89"/>
    <w:rsid w:val="00AB7702"/>
    <w:rsid w:val="00AB7E55"/>
    <w:rsid w:val="00AC15EB"/>
    <w:rsid w:val="00AC3397"/>
    <w:rsid w:val="00AC37BC"/>
    <w:rsid w:val="00AC4648"/>
    <w:rsid w:val="00AC4EF2"/>
    <w:rsid w:val="00AC5ADB"/>
    <w:rsid w:val="00AC7170"/>
    <w:rsid w:val="00AD05DB"/>
    <w:rsid w:val="00AD1855"/>
    <w:rsid w:val="00AD1D4D"/>
    <w:rsid w:val="00AD2E66"/>
    <w:rsid w:val="00AD4957"/>
    <w:rsid w:val="00AD6E1B"/>
    <w:rsid w:val="00AD6E31"/>
    <w:rsid w:val="00AD7E8C"/>
    <w:rsid w:val="00AE0BE7"/>
    <w:rsid w:val="00AE156E"/>
    <w:rsid w:val="00AE1C3A"/>
    <w:rsid w:val="00AE355B"/>
    <w:rsid w:val="00AE3582"/>
    <w:rsid w:val="00AE49F2"/>
    <w:rsid w:val="00AE5692"/>
    <w:rsid w:val="00AE607F"/>
    <w:rsid w:val="00AE6694"/>
    <w:rsid w:val="00AE6F5C"/>
    <w:rsid w:val="00AE7D3A"/>
    <w:rsid w:val="00AF1D18"/>
    <w:rsid w:val="00AF1EB8"/>
    <w:rsid w:val="00AF219A"/>
    <w:rsid w:val="00AF2E16"/>
    <w:rsid w:val="00AF5D94"/>
    <w:rsid w:val="00AF737F"/>
    <w:rsid w:val="00B0038E"/>
    <w:rsid w:val="00B00438"/>
    <w:rsid w:val="00B0054C"/>
    <w:rsid w:val="00B00DAF"/>
    <w:rsid w:val="00B01187"/>
    <w:rsid w:val="00B016D3"/>
    <w:rsid w:val="00B022E1"/>
    <w:rsid w:val="00B073BD"/>
    <w:rsid w:val="00B0740E"/>
    <w:rsid w:val="00B07E5C"/>
    <w:rsid w:val="00B104A8"/>
    <w:rsid w:val="00B10EA0"/>
    <w:rsid w:val="00B11BC1"/>
    <w:rsid w:val="00B12844"/>
    <w:rsid w:val="00B1304E"/>
    <w:rsid w:val="00B138BE"/>
    <w:rsid w:val="00B13FF4"/>
    <w:rsid w:val="00B14631"/>
    <w:rsid w:val="00B14E02"/>
    <w:rsid w:val="00B161B1"/>
    <w:rsid w:val="00B20FA2"/>
    <w:rsid w:val="00B219D4"/>
    <w:rsid w:val="00B229C8"/>
    <w:rsid w:val="00B23102"/>
    <w:rsid w:val="00B23E63"/>
    <w:rsid w:val="00B2627C"/>
    <w:rsid w:val="00B26985"/>
    <w:rsid w:val="00B26FB2"/>
    <w:rsid w:val="00B27646"/>
    <w:rsid w:val="00B31976"/>
    <w:rsid w:val="00B32995"/>
    <w:rsid w:val="00B3328F"/>
    <w:rsid w:val="00B351F9"/>
    <w:rsid w:val="00B36680"/>
    <w:rsid w:val="00B3675F"/>
    <w:rsid w:val="00B36B5A"/>
    <w:rsid w:val="00B37108"/>
    <w:rsid w:val="00B37BF2"/>
    <w:rsid w:val="00B407D5"/>
    <w:rsid w:val="00B40E9D"/>
    <w:rsid w:val="00B416DD"/>
    <w:rsid w:val="00B41A2D"/>
    <w:rsid w:val="00B428C0"/>
    <w:rsid w:val="00B42B61"/>
    <w:rsid w:val="00B43933"/>
    <w:rsid w:val="00B45279"/>
    <w:rsid w:val="00B455A4"/>
    <w:rsid w:val="00B45818"/>
    <w:rsid w:val="00B45E51"/>
    <w:rsid w:val="00B465F8"/>
    <w:rsid w:val="00B46C3C"/>
    <w:rsid w:val="00B474DF"/>
    <w:rsid w:val="00B47660"/>
    <w:rsid w:val="00B478F8"/>
    <w:rsid w:val="00B5038B"/>
    <w:rsid w:val="00B503DE"/>
    <w:rsid w:val="00B51C46"/>
    <w:rsid w:val="00B5283E"/>
    <w:rsid w:val="00B53090"/>
    <w:rsid w:val="00B53132"/>
    <w:rsid w:val="00B53CA5"/>
    <w:rsid w:val="00B54C7D"/>
    <w:rsid w:val="00B56E47"/>
    <w:rsid w:val="00B57A77"/>
    <w:rsid w:val="00B57AD1"/>
    <w:rsid w:val="00B605BB"/>
    <w:rsid w:val="00B6301C"/>
    <w:rsid w:val="00B63151"/>
    <w:rsid w:val="00B63697"/>
    <w:rsid w:val="00B64488"/>
    <w:rsid w:val="00B652E3"/>
    <w:rsid w:val="00B6606E"/>
    <w:rsid w:val="00B6687E"/>
    <w:rsid w:val="00B66EEF"/>
    <w:rsid w:val="00B67381"/>
    <w:rsid w:val="00B6791E"/>
    <w:rsid w:val="00B7440B"/>
    <w:rsid w:val="00B75450"/>
    <w:rsid w:val="00B766BD"/>
    <w:rsid w:val="00B77209"/>
    <w:rsid w:val="00B7789C"/>
    <w:rsid w:val="00B8079D"/>
    <w:rsid w:val="00B80F5C"/>
    <w:rsid w:val="00B811F7"/>
    <w:rsid w:val="00B81E49"/>
    <w:rsid w:val="00B82D5D"/>
    <w:rsid w:val="00B83AB7"/>
    <w:rsid w:val="00B8432B"/>
    <w:rsid w:val="00B85209"/>
    <w:rsid w:val="00B902D2"/>
    <w:rsid w:val="00B902EA"/>
    <w:rsid w:val="00B909FD"/>
    <w:rsid w:val="00B9271D"/>
    <w:rsid w:val="00B9404E"/>
    <w:rsid w:val="00B94099"/>
    <w:rsid w:val="00B942E2"/>
    <w:rsid w:val="00B958E9"/>
    <w:rsid w:val="00B95AB9"/>
    <w:rsid w:val="00B96B9A"/>
    <w:rsid w:val="00B97364"/>
    <w:rsid w:val="00B9781A"/>
    <w:rsid w:val="00BA0CEE"/>
    <w:rsid w:val="00BA1551"/>
    <w:rsid w:val="00BA2BB5"/>
    <w:rsid w:val="00BA33BD"/>
    <w:rsid w:val="00BA379B"/>
    <w:rsid w:val="00BA55A5"/>
    <w:rsid w:val="00BA5DC6"/>
    <w:rsid w:val="00BA6196"/>
    <w:rsid w:val="00BA65B3"/>
    <w:rsid w:val="00BA6FC0"/>
    <w:rsid w:val="00BB090D"/>
    <w:rsid w:val="00BB11E5"/>
    <w:rsid w:val="00BB2777"/>
    <w:rsid w:val="00BB57AA"/>
    <w:rsid w:val="00BB62B4"/>
    <w:rsid w:val="00BB63A9"/>
    <w:rsid w:val="00BB7532"/>
    <w:rsid w:val="00BB7E1B"/>
    <w:rsid w:val="00BC0577"/>
    <w:rsid w:val="00BC3A09"/>
    <w:rsid w:val="00BC45C6"/>
    <w:rsid w:val="00BC476D"/>
    <w:rsid w:val="00BC4C54"/>
    <w:rsid w:val="00BC5A2D"/>
    <w:rsid w:val="00BC63F0"/>
    <w:rsid w:val="00BC6D8C"/>
    <w:rsid w:val="00BD0F4E"/>
    <w:rsid w:val="00BD2011"/>
    <w:rsid w:val="00BD21F7"/>
    <w:rsid w:val="00BD2377"/>
    <w:rsid w:val="00BD41B7"/>
    <w:rsid w:val="00BD6674"/>
    <w:rsid w:val="00BD68F9"/>
    <w:rsid w:val="00BE0CE4"/>
    <w:rsid w:val="00BE0E14"/>
    <w:rsid w:val="00BE10E4"/>
    <w:rsid w:val="00BE2157"/>
    <w:rsid w:val="00BE3B8F"/>
    <w:rsid w:val="00BE4471"/>
    <w:rsid w:val="00BF1705"/>
    <w:rsid w:val="00BF20B1"/>
    <w:rsid w:val="00BF28B4"/>
    <w:rsid w:val="00BF634F"/>
    <w:rsid w:val="00BF72D2"/>
    <w:rsid w:val="00BF7A74"/>
    <w:rsid w:val="00C023FD"/>
    <w:rsid w:val="00C027CD"/>
    <w:rsid w:val="00C02E2D"/>
    <w:rsid w:val="00C03D8E"/>
    <w:rsid w:val="00C06038"/>
    <w:rsid w:val="00C07FBA"/>
    <w:rsid w:val="00C10F2C"/>
    <w:rsid w:val="00C11001"/>
    <w:rsid w:val="00C11016"/>
    <w:rsid w:val="00C121B4"/>
    <w:rsid w:val="00C12A13"/>
    <w:rsid w:val="00C130EA"/>
    <w:rsid w:val="00C14AA2"/>
    <w:rsid w:val="00C1631E"/>
    <w:rsid w:val="00C1688E"/>
    <w:rsid w:val="00C16A82"/>
    <w:rsid w:val="00C17E34"/>
    <w:rsid w:val="00C22C22"/>
    <w:rsid w:val="00C23390"/>
    <w:rsid w:val="00C2383B"/>
    <w:rsid w:val="00C24422"/>
    <w:rsid w:val="00C24973"/>
    <w:rsid w:val="00C24CEC"/>
    <w:rsid w:val="00C26EB9"/>
    <w:rsid w:val="00C27547"/>
    <w:rsid w:val="00C30397"/>
    <w:rsid w:val="00C304EA"/>
    <w:rsid w:val="00C30501"/>
    <w:rsid w:val="00C3245D"/>
    <w:rsid w:val="00C33ACA"/>
    <w:rsid w:val="00C34006"/>
    <w:rsid w:val="00C35706"/>
    <w:rsid w:val="00C36B4C"/>
    <w:rsid w:val="00C36DD7"/>
    <w:rsid w:val="00C36E4F"/>
    <w:rsid w:val="00C404CE"/>
    <w:rsid w:val="00C40EC6"/>
    <w:rsid w:val="00C426B1"/>
    <w:rsid w:val="00C43FA1"/>
    <w:rsid w:val="00C4432A"/>
    <w:rsid w:val="00C445B8"/>
    <w:rsid w:val="00C450A1"/>
    <w:rsid w:val="00C46C9D"/>
    <w:rsid w:val="00C47A23"/>
    <w:rsid w:val="00C5291F"/>
    <w:rsid w:val="00C53BC0"/>
    <w:rsid w:val="00C541A9"/>
    <w:rsid w:val="00C54551"/>
    <w:rsid w:val="00C5584F"/>
    <w:rsid w:val="00C5735D"/>
    <w:rsid w:val="00C57405"/>
    <w:rsid w:val="00C612B2"/>
    <w:rsid w:val="00C625DC"/>
    <w:rsid w:val="00C62D6A"/>
    <w:rsid w:val="00C6382A"/>
    <w:rsid w:val="00C63E50"/>
    <w:rsid w:val="00C63E89"/>
    <w:rsid w:val="00C643A0"/>
    <w:rsid w:val="00C64743"/>
    <w:rsid w:val="00C65442"/>
    <w:rsid w:val="00C66160"/>
    <w:rsid w:val="00C66623"/>
    <w:rsid w:val="00C6664A"/>
    <w:rsid w:val="00C66C3C"/>
    <w:rsid w:val="00C66CDF"/>
    <w:rsid w:val="00C717C8"/>
    <w:rsid w:val="00C71B32"/>
    <w:rsid w:val="00C71D86"/>
    <w:rsid w:val="00C71E3A"/>
    <w:rsid w:val="00C721AC"/>
    <w:rsid w:val="00C73EDB"/>
    <w:rsid w:val="00C746C5"/>
    <w:rsid w:val="00C7517A"/>
    <w:rsid w:val="00C75C02"/>
    <w:rsid w:val="00C76C78"/>
    <w:rsid w:val="00C80D06"/>
    <w:rsid w:val="00C81B8A"/>
    <w:rsid w:val="00C82211"/>
    <w:rsid w:val="00C823F0"/>
    <w:rsid w:val="00C826BF"/>
    <w:rsid w:val="00C82965"/>
    <w:rsid w:val="00C84161"/>
    <w:rsid w:val="00C848F8"/>
    <w:rsid w:val="00C84DE1"/>
    <w:rsid w:val="00C854B9"/>
    <w:rsid w:val="00C85DCB"/>
    <w:rsid w:val="00C86963"/>
    <w:rsid w:val="00C87689"/>
    <w:rsid w:val="00C90D6A"/>
    <w:rsid w:val="00C9355F"/>
    <w:rsid w:val="00C93AB7"/>
    <w:rsid w:val="00C953F6"/>
    <w:rsid w:val="00C965D9"/>
    <w:rsid w:val="00CA0300"/>
    <w:rsid w:val="00CA0D73"/>
    <w:rsid w:val="00CA132D"/>
    <w:rsid w:val="00CA18E0"/>
    <w:rsid w:val="00CA1BD6"/>
    <w:rsid w:val="00CA247E"/>
    <w:rsid w:val="00CA2565"/>
    <w:rsid w:val="00CA3647"/>
    <w:rsid w:val="00CA3F6D"/>
    <w:rsid w:val="00CA41BF"/>
    <w:rsid w:val="00CA4A21"/>
    <w:rsid w:val="00CA51EF"/>
    <w:rsid w:val="00CA668F"/>
    <w:rsid w:val="00CA669E"/>
    <w:rsid w:val="00CA6D0C"/>
    <w:rsid w:val="00CA6D21"/>
    <w:rsid w:val="00CA70CF"/>
    <w:rsid w:val="00CB114A"/>
    <w:rsid w:val="00CB1EF6"/>
    <w:rsid w:val="00CB356E"/>
    <w:rsid w:val="00CB3D1D"/>
    <w:rsid w:val="00CB46D1"/>
    <w:rsid w:val="00CB4B64"/>
    <w:rsid w:val="00CB5920"/>
    <w:rsid w:val="00CB73F8"/>
    <w:rsid w:val="00CB7D8E"/>
    <w:rsid w:val="00CC1EA2"/>
    <w:rsid w:val="00CC2857"/>
    <w:rsid w:val="00CC2F5D"/>
    <w:rsid w:val="00CC3AEE"/>
    <w:rsid w:val="00CC4B35"/>
    <w:rsid w:val="00CC6AC2"/>
    <w:rsid w:val="00CC6DE7"/>
    <w:rsid w:val="00CC72B6"/>
    <w:rsid w:val="00CC7520"/>
    <w:rsid w:val="00CC7593"/>
    <w:rsid w:val="00CC7C71"/>
    <w:rsid w:val="00CD0E6E"/>
    <w:rsid w:val="00CD1C55"/>
    <w:rsid w:val="00CD24A0"/>
    <w:rsid w:val="00CD3176"/>
    <w:rsid w:val="00CD3C19"/>
    <w:rsid w:val="00CD3C4E"/>
    <w:rsid w:val="00CE016D"/>
    <w:rsid w:val="00CE1CCE"/>
    <w:rsid w:val="00CE2441"/>
    <w:rsid w:val="00CE26E0"/>
    <w:rsid w:val="00CE3C1A"/>
    <w:rsid w:val="00CE3C68"/>
    <w:rsid w:val="00CE6D11"/>
    <w:rsid w:val="00CE7226"/>
    <w:rsid w:val="00CF108D"/>
    <w:rsid w:val="00CF18DA"/>
    <w:rsid w:val="00CF1F85"/>
    <w:rsid w:val="00CF29AF"/>
    <w:rsid w:val="00CF4AA4"/>
    <w:rsid w:val="00CF53D8"/>
    <w:rsid w:val="00CF6050"/>
    <w:rsid w:val="00CF68B8"/>
    <w:rsid w:val="00CF7238"/>
    <w:rsid w:val="00D0014F"/>
    <w:rsid w:val="00D0192F"/>
    <w:rsid w:val="00D0218D"/>
    <w:rsid w:val="00D02C3E"/>
    <w:rsid w:val="00D02DA9"/>
    <w:rsid w:val="00D0342C"/>
    <w:rsid w:val="00D04064"/>
    <w:rsid w:val="00D042F6"/>
    <w:rsid w:val="00D05D76"/>
    <w:rsid w:val="00D06C02"/>
    <w:rsid w:val="00D07303"/>
    <w:rsid w:val="00D077B9"/>
    <w:rsid w:val="00D107AB"/>
    <w:rsid w:val="00D12C99"/>
    <w:rsid w:val="00D13FFA"/>
    <w:rsid w:val="00D147AD"/>
    <w:rsid w:val="00D14A1F"/>
    <w:rsid w:val="00D14E98"/>
    <w:rsid w:val="00D16220"/>
    <w:rsid w:val="00D169FA"/>
    <w:rsid w:val="00D177E9"/>
    <w:rsid w:val="00D212F9"/>
    <w:rsid w:val="00D21CEC"/>
    <w:rsid w:val="00D23254"/>
    <w:rsid w:val="00D237F0"/>
    <w:rsid w:val="00D23866"/>
    <w:rsid w:val="00D25FB5"/>
    <w:rsid w:val="00D310CA"/>
    <w:rsid w:val="00D317B8"/>
    <w:rsid w:val="00D31B8A"/>
    <w:rsid w:val="00D32105"/>
    <w:rsid w:val="00D32647"/>
    <w:rsid w:val="00D329BC"/>
    <w:rsid w:val="00D32B9C"/>
    <w:rsid w:val="00D34BC9"/>
    <w:rsid w:val="00D35428"/>
    <w:rsid w:val="00D41027"/>
    <w:rsid w:val="00D413EA"/>
    <w:rsid w:val="00D4193C"/>
    <w:rsid w:val="00D41A8C"/>
    <w:rsid w:val="00D42855"/>
    <w:rsid w:val="00D44102"/>
    <w:rsid w:val="00D44223"/>
    <w:rsid w:val="00D45D66"/>
    <w:rsid w:val="00D4676A"/>
    <w:rsid w:val="00D475BD"/>
    <w:rsid w:val="00D513B7"/>
    <w:rsid w:val="00D520AF"/>
    <w:rsid w:val="00D527ED"/>
    <w:rsid w:val="00D5373F"/>
    <w:rsid w:val="00D53B99"/>
    <w:rsid w:val="00D53C7D"/>
    <w:rsid w:val="00D5694B"/>
    <w:rsid w:val="00D56E9B"/>
    <w:rsid w:val="00D56FF7"/>
    <w:rsid w:val="00D60D87"/>
    <w:rsid w:val="00D60DAE"/>
    <w:rsid w:val="00D6231B"/>
    <w:rsid w:val="00D6248A"/>
    <w:rsid w:val="00D627C4"/>
    <w:rsid w:val="00D640E9"/>
    <w:rsid w:val="00D64509"/>
    <w:rsid w:val="00D652A7"/>
    <w:rsid w:val="00D660C0"/>
    <w:rsid w:val="00D66962"/>
    <w:rsid w:val="00D669E5"/>
    <w:rsid w:val="00D670BF"/>
    <w:rsid w:val="00D677A8"/>
    <w:rsid w:val="00D706DD"/>
    <w:rsid w:val="00D70E7D"/>
    <w:rsid w:val="00D72979"/>
    <w:rsid w:val="00D7370F"/>
    <w:rsid w:val="00D73FBE"/>
    <w:rsid w:val="00D7443C"/>
    <w:rsid w:val="00D75800"/>
    <w:rsid w:val="00D76659"/>
    <w:rsid w:val="00D76C76"/>
    <w:rsid w:val="00D76D24"/>
    <w:rsid w:val="00D771FD"/>
    <w:rsid w:val="00D77839"/>
    <w:rsid w:val="00D80676"/>
    <w:rsid w:val="00D80DBC"/>
    <w:rsid w:val="00D81177"/>
    <w:rsid w:val="00D81A19"/>
    <w:rsid w:val="00D8251A"/>
    <w:rsid w:val="00D829E2"/>
    <w:rsid w:val="00D82E12"/>
    <w:rsid w:val="00D82FBC"/>
    <w:rsid w:val="00D83743"/>
    <w:rsid w:val="00D8407D"/>
    <w:rsid w:val="00D84C36"/>
    <w:rsid w:val="00D857FB"/>
    <w:rsid w:val="00D85975"/>
    <w:rsid w:val="00D85E7B"/>
    <w:rsid w:val="00D87BEB"/>
    <w:rsid w:val="00D9046C"/>
    <w:rsid w:val="00D90B3E"/>
    <w:rsid w:val="00D91D90"/>
    <w:rsid w:val="00D92FA9"/>
    <w:rsid w:val="00D9302B"/>
    <w:rsid w:val="00D935E6"/>
    <w:rsid w:val="00D93C8C"/>
    <w:rsid w:val="00D94453"/>
    <w:rsid w:val="00D9587E"/>
    <w:rsid w:val="00D95ECE"/>
    <w:rsid w:val="00D9637A"/>
    <w:rsid w:val="00D97709"/>
    <w:rsid w:val="00DA08C1"/>
    <w:rsid w:val="00DA08EF"/>
    <w:rsid w:val="00DA0F77"/>
    <w:rsid w:val="00DA1FE5"/>
    <w:rsid w:val="00DA2529"/>
    <w:rsid w:val="00DA29E1"/>
    <w:rsid w:val="00DA31E5"/>
    <w:rsid w:val="00DA3289"/>
    <w:rsid w:val="00DA43EF"/>
    <w:rsid w:val="00DA452B"/>
    <w:rsid w:val="00DA4BD7"/>
    <w:rsid w:val="00DA4CD5"/>
    <w:rsid w:val="00DA5117"/>
    <w:rsid w:val="00DA5168"/>
    <w:rsid w:val="00DA5A53"/>
    <w:rsid w:val="00DA7797"/>
    <w:rsid w:val="00DB130A"/>
    <w:rsid w:val="00DB2D6A"/>
    <w:rsid w:val="00DB2EBB"/>
    <w:rsid w:val="00DB31A6"/>
    <w:rsid w:val="00DB3EEE"/>
    <w:rsid w:val="00DB42D8"/>
    <w:rsid w:val="00DB7D8F"/>
    <w:rsid w:val="00DC10A1"/>
    <w:rsid w:val="00DC2962"/>
    <w:rsid w:val="00DC3B5D"/>
    <w:rsid w:val="00DC3DA1"/>
    <w:rsid w:val="00DC655F"/>
    <w:rsid w:val="00DC7943"/>
    <w:rsid w:val="00DC7C56"/>
    <w:rsid w:val="00DC7D41"/>
    <w:rsid w:val="00DD01F3"/>
    <w:rsid w:val="00DD0B59"/>
    <w:rsid w:val="00DD2481"/>
    <w:rsid w:val="00DD39A4"/>
    <w:rsid w:val="00DD4255"/>
    <w:rsid w:val="00DD434F"/>
    <w:rsid w:val="00DD605D"/>
    <w:rsid w:val="00DD65EC"/>
    <w:rsid w:val="00DD664F"/>
    <w:rsid w:val="00DD681A"/>
    <w:rsid w:val="00DD6B06"/>
    <w:rsid w:val="00DD79C0"/>
    <w:rsid w:val="00DD7C3E"/>
    <w:rsid w:val="00DD7EBD"/>
    <w:rsid w:val="00DD7FEA"/>
    <w:rsid w:val="00DE02FC"/>
    <w:rsid w:val="00DE1412"/>
    <w:rsid w:val="00DE2F1B"/>
    <w:rsid w:val="00DE303B"/>
    <w:rsid w:val="00DE3BE1"/>
    <w:rsid w:val="00DE4F78"/>
    <w:rsid w:val="00DE567F"/>
    <w:rsid w:val="00DE5930"/>
    <w:rsid w:val="00DE5DB2"/>
    <w:rsid w:val="00DE6A77"/>
    <w:rsid w:val="00DE6E79"/>
    <w:rsid w:val="00DE7F07"/>
    <w:rsid w:val="00DF0083"/>
    <w:rsid w:val="00DF14C6"/>
    <w:rsid w:val="00DF3838"/>
    <w:rsid w:val="00DF429F"/>
    <w:rsid w:val="00DF4751"/>
    <w:rsid w:val="00DF62B6"/>
    <w:rsid w:val="00DF7AAB"/>
    <w:rsid w:val="00DF7CFD"/>
    <w:rsid w:val="00E00738"/>
    <w:rsid w:val="00E02C60"/>
    <w:rsid w:val="00E032EF"/>
    <w:rsid w:val="00E041F5"/>
    <w:rsid w:val="00E04756"/>
    <w:rsid w:val="00E05054"/>
    <w:rsid w:val="00E05829"/>
    <w:rsid w:val="00E05AFF"/>
    <w:rsid w:val="00E064E9"/>
    <w:rsid w:val="00E06AD6"/>
    <w:rsid w:val="00E070A4"/>
    <w:rsid w:val="00E07225"/>
    <w:rsid w:val="00E107EC"/>
    <w:rsid w:val="00E11098"/>
    <w:rsid w:val="00E1124D"/>
    <w:rsid w:val="00E117D0"/>
    <w:rsid w:val="00E11800"/>
    <w:rsid w:val="00E12604"/>
    <w:rsid w:val="00E13E68"/>
    <w:rsid w:val="00E14FA9"/>
    <w:rsid w:val="00E20AF7"/>
    <w:rsid w:val="00E22593"/>
    <w:rsid w:val="00E23871"/>
    <w:rsid w:val="00E256B1"/>
    <w:rsid w:val="00E262AE"/>
    <w:rsid w:val="00E264E6"/>
    <w:rsid w:val="00E2676A"/>
    <w:rsid w:val="00E30224"/>
    <w:rsid w:val="00E31682"/>
    <w:rsid w:val="00E31958"/>
    <w:rsid w:val="00E32363"/>
    <w:rsid w:val="00E33625"/>
    <w:rsid w:val="00E33659"/>
    <w:rsid w:val="00E34DB8"/>
    <w:rsid w:val="00E351DC"/>
    <w:rsid w:val="00E363CF"/>
    <w:rsid w:val="00E40F58"/>
    <w:rsid w:val="00E421F3"/>
    <w:rsid w:val="00E42BB2"/>
    <w:rsid w:val="00E43196"/>
    <w:rsid w:val="00E441A2"/>
    <w:rsid w:val="00E4486B"/>
    <w:rsid w:val="00E4599E"/>
    <w:rsid w:val="00E472BE"/>
    <w:rsid w:val="00E474F6"/>
    <w:rsid w:val="00E4780F"/>
    <w:rsid w:val="00E50B0D"/>
    <w:rsid w:val="00E5178D"/>
    <w:rsid w:val="00E518C3"/>
    <w:rsid w:val="00E51B40"/>
    <w:rsid w:val="00E52BC3"/>
    <w:rsid w:val="00E52BF0"/>
    <w:rsid w:val="00E5409F"/>
    <w:rsid w:val="00E55B32"/>
    <w:rsid w:val="00E55C0D"/>
    <w:rsid w:val="00E56921"/>
    <w:rsid w:val="00E570C8"/>
    <w:rsid w:val="00E571A7"/>
    <w:rsid w:val="00E5748A"/>
    <w:rsid w:val="00E600E6"/>
    <w:rsid w:val="00E60AFD"/>
    <w:rsid w:val="00E61F29"/>
    <w:rsid w:val="00E62511"/>
    <w:rsid w:val="00E62DB8"/>
    <w:rsid w:val="00E63F85"/>
    <w:rsid w:val="00E643B4"/>
    <w:rsid w:val="00E6521E"/>
    <w:rsid w:val="00E65858"/>
    <w:rsid w:val="00E65FB3"/>
    <w:rsid w:val="00E66591"/>
    <w:rsid w:val="00E66FB4"/>
    <w:rsid w:val="00E71B33"/>
    <w:rsid w:val="00E71B63"/>
    <w:rsid w:val="00E7209F"/>
    <w:rsid w:val="00E723F3"/>
    <w:rsid w:val="00E72EDC"/>
    <w:rsid w:val="00E72FD9"/>
    <w:rsid w:val="00E73D02"/>
    <w:rsid w:val="00E74722"/>
    <w:rsid w:val="00E80847"/>
    <w:rsid w:val="00E80C93"/>
    <w:rsid w:val="00E81315"/>
    <w:rsid w:val="00E82372"/>
    <w:rsid w:val="00E827F9"/>
    <w:rsid w:val="00E85D28"/>
    <w:rsid w:val="00E90085"/>
    <w:rsid w:val="00E909F0"/>
    <w:rsid w:val="00E9203C"/>
    <w:rsid w:val="00E923CC"/>
    <w:rsid w:val="00E93B65"/>
    <w:rsid w:val="00E93BDB"/>
    <w:rsid w:val="00E93CE2"/>
    <w:rsid w:val="00E93D23"/>
    <w:rsid w:val="00E946FA"/>
    <w:rsid w:val="00E94737"/>
    <w:rsid w:val="00E958AE"/>
    <w:rsid w:val="00E962AB"/>
    <w:rsid w:val="00E96649"/>
    <w:rsid w:val="00EA0A6D"/>
    <w:rsid w:val="00EA122E"/>
    <w:rsid w:val="00EA4703"/>
    <w:rsid w:val="00EA49A6"/>
    <w:rsid w:val="00EA54C6"/>
    <w:rsid w:val="00EA768E"/>
    <w:rsid w:val="00EA7BB5"/>
    <w:rsid w:val="00EB0173"/>
    <w:rsid w:val="00EB09A7"/>
    <w:rsid w:val="00EB2533"/>
    <w:rsid w:val="00EB2566"/>
    <w:rsid w:val="00EB3E84"/>
    <w:rsid w:val="00EB436B"/>
    <w:rsid w:val="00EB46DD"/>
    <w:rsid w:val="00EB5369"/>
    <w:rsid w:val="00EB5DED"/>
    <w:rsid w:val="00EB673C"/>
    <w:rsid w:val="00EB7A2A"/>
    <w:rsid w:val="00EC275D"/>
    <w:rsid w:val="00EC390B"/>
    <w:rsid w:val="00EC529E"/>
    <w:rsid w:val="00EC6871"/>
    <w:rsid w:val="00EC6E00"/>
    <w:rsid w:val="00EC7127"/>
    <w:rsid w:val="00EC72C8"/>
    <w:rsid w:val="00EC7F7B"/>
    <w:rsid w:val="00ED15FA"/>
    <w:rsid w:val="00ED1D6A"/>
    <w:rsid w:val="00ED2395"/>
    <w:rsid w:val="00ED2941"/>
    <w:rsid w:val="00ED2A8B"/>
    <w:rsid w:val="00ED50CC"/>
    <w:rsid w:val="00ED55C4"/>
    <w:rsid w:val="00ED675F"/>
    <w:rsid w:val="00EE13C5"/>
    <w:rsid w:val="00EE15ED"/>
    <w:rsid w:val="00EE1BF3"/>
    <w:rsid w:val="00EE54AF"/>
    <w:rsid w:val="00EE5589"/>
    <w:rsid w:val="00EE5999"/>
    <w:rsid w:val="00EE5D34"/>
    <w:rsid w:val="00EE6488"/>
    <w:rsid w:val="00EE6F4A"/>
    <w:rsid w:val="00EE7A71"/>
    <w:rsid w:val="00EF1C76"/>
    <w:rsid w:val="00EF4AA8"/>
    <w:rsid w:val="00EF5662"/>
    <w:rsid w:val="00EF6E97"/>
    <w:rsid w:val="00EF7C3D"/>
    <w:rsid w:val="00F00891"/>
    <w:rsid w:val="00F00AEE"/>
    <w:rsid w:val="00F00CEF"/>
    <w:rsid w:val="00F014A4"/>
    <w:rsid w:val="00F021FA"/>
    <w:rsid w:val="00F04666"/>
    <w:rsid w:val="00F0494E"/>
    <w:rsid w:val="00F05BFA"/>
    <w:rsid w:val="00F06718"/>
    <w:rsid w:val="00F0687D"/>
    <w:rsid w:val="00F06AEF"/>
    <w:rsid w:val="00F13343"/>
    <w:rsid w:val="00F13B09"/>
    <w:rsid w:val="00F13E12"/>
    <w:rsid w:val="00F140C8"/>
    <w:rsid w:val="00F14727"/>
    <w:rsid w:val="00F15233"/>
    <w:rsid w:val="00F15A41"/>
    <w:rsid w:val="00F166CB"/>
    <w:rsid w:val="00F1740F"/>
    <w:rsid w:val="00F17C69"/>
    <w:rsid w:val="00F20848"/>
    <w:rsid w:val="00F20A48"/>
    <w:rsid w:val="00F214A7"/>
    <w:rsid w:val="00F220BA"/>
    <w:rsid w:val="00F230AC"/>
    <w:rsid w:val="00F24899"/>
    <w:rsid w:val="00F254F6"/>
    <w:rsid w:val="00F257B5"/>
    <w:rsid w:val="00F25953"/>
    <w:rsid w:val="00F25E6E"/>
    <w:rsid w:val="00F25E81"/>
    <w:rsid w:val="00F273C4"/>
    <w:rsid w:val="00F27478"/>
    <w:rsid w:val="00F275EB"/>
    <w:rsid w:val="00F27F42"/>
    <w:rsid w:val="00F3023F"/>
    <w:rsid w:val="00F31933"/>
    <w:rsid w:val="00F334B4"/>
    <w:rsid w:val="00F3418E"/>
    <w:rsid w:val="00F35C4A"/>
    <w:rsid w:val="00F35DC2"/>
    <w:rsid w:val="00F3635C"/>
    <w:rsid w:val="00F36392"/>
    <w:rsid w:val="00F3693F"/>
    <w:rsid w:val="00F37592"/>
    <w:rsid w:val="00F37F9B"/>
    <w:rsid w:val="00F402F4"/>
    <w:rsid w:val="00F415FF"/>
    <w:rsid w:val="00F423DA"/>
    <w:rsid w:val="00F43387"/>
    <w:rsid w:val="00F444A7"/>
    <w:rsid w:val="00F46330"/>
    <w:rsid w:val="00F46AFD"/>
    <w:rsid w:val="00F47C1B"/>
    <w:rsid w:val="00F47FC7"/>
    <w:rsid w:val="00F51E10"/>
    <w:rsid w:val="00F521F2"/>
    <w:rsid w:val="00F5486F"/>
    <w:rsid w:val="00F57319"/>
    <w:rsid w:val="00F60D97"/>
    <w:rsid w:val="00F615D0"/>
    <w:rsid w:val="00F61CC8"/>
    <w:rsid w:val="00F6215F"/>
    <w:rsid w:val="00F62E97"/>
    <w:rsid w:val="00F63289"/>
    <w:rsid w:val="00F6364A"/>
    <w:rsid w:val="00F64209"/>
    <w:rsid w:val="00F67A30"/>
    <w:rsid w:val="00F70FC9"/>
    <w:rsid w:val="00F71A84"/>
    <w:rsid w:val="00F71BD2"/>
    <w:rsid w:val="00F7209D"/>
    <w:rsid w:val="00F72424"/>
    <w:rsid w:val="00F72C63"/>
    <w:rsid w:val="00F73A1F"/>
    <w:rsid w:val="00F76092"/>
    <w:rsid w:val="00F77304"/>
    <w:rsid w:val="00F7755A"/>
    <w:rsid w:val="00F80D17"/>
    <w:rsid w:val="00F816A2"/>
    <w:rsid w:val="00F81BFF"/>
    <w:rsid w:val="00F81D8F"/>
    <w:rsid w:val="00F8226D"/>
    <w:rsid w:val="00F8392F"/>
    <w:rsid w:val="00F844EC"/>
    <w:rsid w:val="00F84B7E"/>
    <w:rsid w:val="00F84C51"/>
    <w:rsid w:val="00F851FA"/>
    <w:rsid w:val="00F85470"/>
    <w:rsid w:val="00F8549B"/>
    <w:rsid w:val="00F87CA7"/>
    <w:rsid w:val="00F907F5"/>
    <w:rsid w:val="00F9080F"/>
    <w:rsid w:val="00F92BAC"/>
    <w:rsid w:val="00F93BF5"/>
    <w:rsid w:val="00F94A64"/>
    <w:rsid w:val="00F955CD"/>
    <w:rsid w:val="00F958F1"/>
    <w:rsid w:val="00F96121"/>
    <w:rsid w:val="00F973AD"/>
    <w:rsid w:val="00F974FC"/>
    <w:rsid w:val="00FA0061"/>
    <w:rsid w:val="00FA1D86"/>
    <w:rsid w:val="00FA2A11"/>
    <w:rsid w:val="00FA4991"/>
    <w:rsid w:val="00FA4D28"/>
    <w:rsid w:val="00FA4DFF"/>
    <w:rsid w:val="00FA58C4"/>
    <w:rsid w:val="00FA678F"/>
    <w:rsid w:val="00FA7964"/>
    <w:rsid w:val="00FB0772"/>
    <w:rsid w:val="00FB0BC4"/>
    <w:rsid w:val="00FB1046"/>
    <w:rsid w:val="00FB136D"/>
    <w:rsid w:val="00FB26C4"/>
    <w:rsid w:val="00FB2B69"/>
    <w:rsid w:val="00FB2ED3"/>
    <w:rsid w:val="00FB2FBB"/>
    <w:rsid w:val="00FB347C"/>
    <w:rsid w:val="00FB63B4"/>
    <w:rsid w:val="00FB6756"/>
    <w:rsid w:val="00FB6D13"/>
    <w:rsid w:val="00FB7674"/>
    <w:rsid w:val="00FB7E75"/>
    <w:rsid w:val="00FC1F57"/>
    <w:rsid w:val="00FC215A"/>
    <w:rsid w:val="00FC27B8"/>
    <w:rsid w:val="00FC290D"/>
    <w:rsid w:val="00FC37A1"/>
    <w:rsid w:val="00FC383D"/>
    <w:rsid w:val="00FC3B3A"/>
    <w:rsid w:val="00FC4A33"/>
    <w:rsid w:val="00FC5AF1"/>
    <w:rsid w:val="00FC692C"/>
    <w:rsid w:val="00FC74E0"/>
    <w:rsid w:val="00FD0494"/>
    <w:rsid w:val="00FD04AA"/>
    <w:rsid w:val="00FD1ECE"/>
    <w:rsid w:val="00FD237D"/>
    <w:rsid w:val="00FD2565"/>
    <w:rsid w:val="00FD27CB"/>
    <w:rsid w:val="00FD3036"/>
    <w:rsid w:val="00FD35F5"/>
    <w:rsid w:val="00FD38A2"/>
    <w:rsid w:val="00FD4B7A"/>
    <w:rsid w:val="00FD609D"/>
    <w:rsid w:val="00FD6BBD"/>
    <w:rsid w:val="00FD6C08"/>
    <w:rsid w:val="00FD7773"/>
    <w:rsid w:val="00FE02CC"/>
    <w:rsid w:val="00FE17A1"/>
    <w:rsid w:val="00FE1933"/>
    <w:rsid w:val="00FE1CE2"/>
    <w:rsid w:val="00FE2117"/>
    <w:rsid w:val="00FE2B42"/>
    <w:rsid w:val="00FE3A80"/>
    <w:rsid w:val="00FE5362"/>
    <w:rsid w:val="00FE5823"/>
    <w:rsid w:val="00FE64E5"/>
    <w:rsid w:val="00FE7007"/>
    <w:rsid w:val="00FE7270"/>
    <w:rsid w:val="00FF28D7"/>
    <w:rsid w:val="00FF317A"/>
    <w:rsid w:val="00FF4255"/>
    <w:rsid w:val="00FF47FC"/>
    <w:rsid w:val="00FF4FCB"/>
    <w:rsid w:val="00FF500E"/>
    <w:rsid w:val="00FF6355"/>
    <w:rsid w:val="00FF6903"/>
    <w:rsid w:val="00FF71B2"/>
    <w:rsid w:val="00FF7DD8"/>
    <w:rsid w:val="00FF7E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8EA76C-9ABD-45BA-BA11-26E6054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5C"/>
    <w:pPr>
      <w:widowControl w:val="0"/>
    </w:pPr>
    <w:rPr>
      <w:snapToGrid w:val="0"/>
      <w:kern w:val="28"/>
      <w:sz w:val="22"/>
    </w:rPr>
  </w:style>
  <w:style w:type="paragraph" w:styleId="Heading1">
    <w:name w:val="heading 1"/>
    <w:basedOn w:val="Normal"/>
    <w:next w:val="ParaNum"/>
    <w:qFormat/>
    <w:rsid w:val="009851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515C"/>
    <w:pPr>
      <w:keepNext/>
      <w:numPr>
        <w:ilvl w:val="1"/>
        <w:numId w:val="3"/>
      </w:numPr>
      <w:spacing w:after="120"/>
      <w:outlineLvl w:val="1"/>
    </w:pPr>
    <w:rPr>
      <w:b/>
    </w:rPr>
  </w:style>
  <w:style w:type="paragraph" w:styleId="Heading3">
    <w:name w:val="heading 3"/>
    <w:basedOn w:val="Normal"/>
    <w:next w:val="ParaNum"/>
    <w:qFormat/>
    <w:rsid w:val="0098515C"/>
    <w:pPr>
      <w:keepNext/>
      <w:numPr>
        <w:ilvl w:val="2"/>
        <w:numId w:val="3"/>
      </w:numPr>
      <w:tabs>
        <w:tab w:val="left" w:pos="2160"/>
      </w:tabs>
      <w:spacing w:after="120"/>
      <w:outlineLvl w:val="2"/>
    </w:pPr>
    <w:rPr>
      <w:b/>
    </w:rPr>
  </w:style>
  <w:style w:type="paragraph" w:styleId="Heading4">
    <w:name w:val="heading 4"/>
    <w:basedOn w:val="Normal"/>
    <w:next w:val="ParaNum"/>
    <w:qFormat/>
    <w:rsid w:val="0098515C"/>
    <w:pPr>
      <w:keepNext/>
      <w:numPr>
        <w:ilvl w:val="3"/>
        <w:numId w:val="3"/>
      </w:numPr>
      <w:tabs>
        <w:tab w:val="left" w:pos="2880"/>
      </w:tabs>
      <w:spacing w:after="120"/>
      <w:outlineLvl w:val="3"/>
    </w:pPr>
    <w:rPr>
      <w:b/>
    </w:rPr>
  </w:style>
  <w:style w:type="paragraph" w:styleId="Heading5">
    <w:name w:val="heading 5"/>
    <w:basedOn w:val="Normal"/>
    <w:next w:val="ParaNum"/>
    <w:qFormat/>
    <w:rsid w:val="0098515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8515C"/>
    <w:pPr>
      <w:numPr>
        <w:ilvl w:val="5"/>
        <w:numId w:val="3"/>
      </w:numPr>
      <w:tabs>
        <w:tab w:val="left" w:pos="4320"/>
      </w:tabs>
      <w:spacing w:after="120"/>
      <w:outlineLvl w:val="5"/>
    </w:pPr>
    <w:rPr>
      <w:b/>
    </w:rPr>
  </w:style>
  <w:style w:type="paragraph" w:styleId="Heading7">
    <w:name w:val="heading 7"/>
    <w:basedOn w:val="Normal"/>
    <w:next w:val="ParaNum"/>
    <w:qFormat/>
    <w:rsid w:val="009851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851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851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5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15C"/>
  </w:style>
  <w:style w:type="paragraph" w:customStyle="1" w:styleId="ParaNum">
    <w:name w:val="ParaNum"/>
    <w:basedOn w:val="Normal"/>
    <w:link w:val="ParaNumChar"/>
    <w:rsid w:val="0098515C"/>
    <w:pPr>
      <w:numPr>
        <w:numId w:val="2"/>
      </w:numPr>
      <w:tabs>
        <w:tab w:val="clear" w:pos="1080"/>
        <w:tab w:val="num" w:pos="1440"/>
      </w:tabs>
      <w:spacing w:after="120"/>
    </w:pPr>
  </w:style>
  <w:style w:type="paragraph" w:styleId="EndnoteText">
    <w:name w:val="endnote text"/>
    <w:basedOn w:val="Normal"/>
    <w:semiHidden/>
    <w:rsid w:val="0098515C"/>
    <w:rPr>
      <w:sz w:val="20"/>
    </w:rPr>
  </w:style>
  <w:style w:type="character" w:styleId="EndnoteReference">
    <w:name w:val="endnote reference"/>
    <w:semiHidden/>
    <w:rsid w:val="0098515C"/>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98515C"/>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98515C"/>
    <w:rPr>
      <w:rFonts w:ascii="Times New Roman" w:hAnsi="Times New Roman"/>
      <w:dstrike w:val="0"/>
      <w:color w:val="auto"/>
      <w:sz w:val="20"/>
      <w:vertAlign w:val="superscript"/>
    </w:rPr>
  </w:style>
  <w:style w:type="paragraph" w:styleId="TOC1">
    <w:name w:val="toc 1"/>
    <w:basedOn w:val="Normal"/>
    <w:next w:val="Normal"/>
    <w:rsid w:val="0098515C"/>
    <w:pPr>
      <w:tabs>
        <w:tab w:val="left" w:pos="360"/>
        <w:tab w:val="right" w:leader="dot" w:pos="9360"/>
      </w:tabs>
      <w:suppressAutoHyphens/>
      <w:ind w:left="360" w:right="720" w:hanging="360"/>
    </w:pPr>
    <w:rPr>
      <w:caps/>
      <w:noProof/>
    </w:rPr>
  </w:style>
  <w:style w:type="paragraph" w:styleId="TOC2">
    <w:name w:val="toc 2"/>
    <w:basedOn w:val="Normal"/>
    <w:next w:val="Normal"/>
    <w:rsid w:val="0098515C"/>
    <w:pPr>
      <w:tabs>
        <w:tab w:val="left" w:pos="720"/>
        <w:tab w:val="right" w:leader="dot" w:pos="9360"/>
      </w:tabs>
      <w:suppressAutoHyphens/>
      <w:ind w:left="720" w:right="720" w:hanging="360"/>
    </w:pPr>
    <w:rPr>
      <w:noProof/>
    </w:rPr>
  </w:style>
  <w:style w:type="paragraph" w:styleId="TOC3">
    <w:name w:val="toc 3"/>
    <w:basedOn w:val="Normal"/>
    <w:next w:val="Normal"/>
    <w:semiHidden/>
    <w:rsid w:val="009851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51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51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51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51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51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51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515C"/>
    <w:pPr>
      <w:tabs>
        <w:tab w:val="right" w:pos="9360"/>
      </w:tabs>
      <w:suppressAutoHyphens/>
    </w:pPr>
  </w:style>
  <w:style w:type="character" w:customStyle="1" w:styleId="EquationCaption">
    <w:name w:val="_Equation Caption"/>
    <w:rsid w:val="0098515C"/>
  </w:style>
  <w:style w:type="paragraph" w:styleId="Header">
    <w:name w:val="header"/>
    <w:basedOn w:val="Normal"/>
    <w:autoRedefine/>
    <w:rsid w:val="0098515C"/>
    <w:pPr>
      <w:tabs>
        <w:tab w:val="center" w:pos="4680"/>
        <w:tab w:val="right" w:pos="9360"/>
      </w:tabs>
    </w:pPr>
    <w:rPr>
      <w:b/>
    </w:rPr>
  </w:style>
  <w:style w:type="paragraph" w:styleId="Footer">
    <w:name w:val="footer"/>
    <w:basedOn w:val="Normal"/>
    <w:link w:val="FooterChar"/>
    <w:uiPriority w:val="99"/>
    <w:rsid w:val="0098515C"/>
    <w:pPr>
      <w:tabs>
        <w:tab w:val="center" w:pos="4320"/>
        <w:tab w:val="right" w:pos="8640"/>
      </w:tabs>
    </w:pPr>
  </w:style>
  <w:style w:type="character" w:styleId="PageNumber">
    <w:name w:val="page number"/>
    <w:basedOn w:val="DefaultParagraphFont"/>
    <w:rsid w:val="0098515C"/>
  </w:style>
  <w:style w:type="paragraph" w:styleId="BlockText">
    <w:name w:val="Block Text"/>
    <w:basedOn w:val="Normal"/>
    <w:rsid w:val="0098515C"/>
    <w:pPr>
      <w:spacing w:after="240"/>
      <w:ind w:left="1440" w:right="1440"/>
    </w:pPr>
  </w:style>
  <w:style w:type="paragraph" w:customStyle="1" w:styleId="Paratitle">
    <w:name w:val="Para title"/>
    <w:basedOn w:val="Normal"/>
    <w:rsid w:val="0098515C"/>
    <w:pPr>
      <w:tabs>
        <w:tab w:val="center" w:pos="9270"/>
      </w:tabs>
      <w:spacing w:after="240"/>
    </w:pPr>
    <w:rPr>
      <w:spacing w:val="-2"/>
    </w:rPr>
  </w:style>
  <w:style w:type="paragraph" w:customStyle="1" w:styleId="Bullet">
    <w:name w:val="Bullet"/>
    <w:basedOn w:val="Normal"/>
    <w:rsid w:val="0098515C"/>
    <w:pPr>
      <w:tabs>
        <w:tab w:val="left" w:pos="2160"/>
      </w:tabs>
      <w:spacing w:after="220"/>
      <w:ind w:left="2160" w:hanging="720"/>
    </w:pPr>
  </w:style>
  <w:style w:type="paragraph" w:customStyle="1" w:styleId="TableFormat">
    <w:name w:val="TableFormat"/>
    <w:basedOn w:val="Bullet"/>
    <w:rsid w:val="0098515C"/>
    <w:pPr>
      <w:tabs>
        <w:tab w:val="clear" w:pos="2160"/>
        <w:tab w:val="left" w:pos="5040"/>
      </w:tabs>
      <w:ind w:left="5040" w:hanging="3600"/>
    </w:pPr>
  </w:style>
  <w:style w:type="paragraph" w:customStyle="1" w:styleId="TOCTitle">
    <w:name w:val="TOC Title"/>
    <w:basedOn w:val="Normal"/>
    <w:rsid w:val="009851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515C"/>
    <w:pPr>
      <w:jc w:val="center"/>
    </w:pPr>
    <w:rPr>
      <w:rFonts w:ascii="Times New Roman Bold" w:hAnsi="Times New Roman Bold"/>
      <w:b/>
      <w:bCs/>
      <w:caps/>
      <w:szCs w:val="22"/>
    </w:rPr>
  </w:style>
  <w:style w:type="character" w:styleId="Hyperlink">
    <w:name w:val="Hyperlink"/>
    <w:rsid w:val="0098515C"/>
    <w:rPr>
      <w:color w:val="0000FF"/>
      <w:u w:val="single"/>
    </w:rPr>
  </w:style>
  <w:style w:type="character" w:customStyle="1" w:styleId="FooterChar">
    <w:name w:val="Footer Char"/>
    <w:link w:val="Footer"/>
    <w:uiPriority w:val="99"/>
    <w:rsid w:val="0098515C"/>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rsid w:val="00325670"/>
  </w:style>
  <w:style w:type="character" w:customStyle="1" w:styleId="ParaNumChar">
    <w:name w:val="ParaNum Char"/>
    <w:link w:val="ParaNum"/>
    <w:locked/>
    <w:rsid w:val="00325670"/>
    <w:rPr>
      <w:snapToGrid w:val="0"/>
      <w:kern w:val="28"/>
      <w:sz w:val="22"/>
    </w:rPr>
  </w:style>
  <w:style w:type="paragraph" w:styleId="BalloonText">
    <w:name w:val="Balloon Text"/>
    <w:basedOn w:val="Normal"/>
    <w:link w:val="BalloonTextChar"/>
    <w:semiHidden/>
    <w:unhideWhenUsed/>
    <w:rsid w:val="007B501D"/>
    <w:rPr>
      <w:rFonts w:ascii="Segoe UI" w:hAnsi="Segoe UI" w:cs="Segoe UI"/>
      <w:sz w:val="18"/>
      <w:szCs w:val="18"/>
    </w:rPr>
  </w:style>
  <w:style w:type="character" w:customStyle="1" w:styleId="BalloonTextChar">
    <w:name w:val="Balloon Text Char"/>
    <w:basedOn w:val="DefaultParagraphFont"/>
    <w:link w:val="BalloonText"/>
    <w:semiHidden/>
    <w:rsid w:val="007B501D"/>
    <w:rPr>
      <w:rFonts w:ascii="Segoe UI" w:hAnsi="Segoe UI" w:cs="Segoe UI"/>
      <w:snapToGrid w:val="0"/>
      <w:kern w:val="28"/>
      <w:sz w:val="18"/>
      <w:szCs w:val="18"/>
    </w:rPr>
  </w:style>
  <w:style w:type="character" w:styleId="Emphasis">
    <w:name w:val="Emphasis"/>
    <w:basedOn w:val="DefaultParagraphFont"/>
    <w:uiPriority w:val="20"/>
    <w:qFormat/>
    <w:rsid w:val="004257A9"/>
    <w:rPr>
      <w:i/>
      <w:iCs/>
    </w:rPr>
  </w:style>
  <w:style w:type="paragraph" w:styleId="ListParagraph">
    <w:name w:val="List Paragraph"/>
    <w:basedOn w:val="Normal"/>
    <w:uiPriority w:val="34"/>
    <w:qFormat/>
    <w:rsid w:val="007C7293"/>
    <w:pPr>
      <w:widowControl/>
      <w:spacing w:after="200" w:line="276" w:lineRule="auto"/>
      <w:ind w:left="720"/>
      <w:contextualSpacing/>
    </w:pPr>
    <w:rPr>
      <w:rFonts w:asciiTheme="minorHAnsi" w:eastAsiaTheme="minorHAnsi" w:hAnsiTheme="minorHAnsi" w:cstheme="minorBidi"/>
      <w:snapToGrid/>
      <w:kern w:val="0"/>
      <w:szCs w:val="22"/>
    </w:rPr>
  </w:style>
  <w:style w:type="paragraph" w:customStyle="1" w:styleId="Default">
    <w:name w:val="Default"/>
    <w:rsid w:val="0034025B"/>
    <w:pPr>
      <w:autoSpaceDE w:val="0"/>
      <w:autoSpaceDN w:val="0"/>
      <w:adjustRightInd w:val="0"/>
    </w:pPr>
    <w:rPr>
      <w:color w:val="000000"/>
      <w:sz w:val="24"/>
      <w:szCs w:val="24"/>
    </w:rPr>
  </w:style>
  <w:style w:type="paragraph" w:customStyle="1" w:styleId="SectionHeading">
    <w:name w:val="Section Heading"/>
    <w:basedOn w:val="Normal"/>
    <w:next w:val="OutlineI"/>
    <w:uiPriority w:val="50"/>
    <w:qFormat/>
    <w:rsid w:val="00CC6AC2"/>
    <w:pPr>
      <w:keepNext/>
      <w:keepLines/>
      <w:widowControl/>
      <w:numPr>
        <w:numId w:val="30"/>
      </w:numPr>
      <w:spacing w:after="240" w:afterLines="100"/>
      <w:outlineLvl w:val="0"/>
    </w:pPr>
    <w:rPr>
      <w:rFonts w:asciiTheme="majorHAnsi" w:eastAsiaTheme="minorHAnsi" w:hAnsiTheme="majorHAnsi"/>
      <w:b/>
      <w:snapToGrid/>
      <w:kern w:val="16"/>
      <w:sz w:val="24"/>
      <w:szCs w:val="24"/>
      <w14:ligatures w14:val="standardContextual"/>
      <w14:numForm w14:val="lining"/>
      <w14:numSpacing w14:val="proportional"/>
      <w14:cntxtAlts w14:val="1"/>
    </w:rPr>
  </w:style>
  <w:style w:type="paragraph" w:customStyle="1" w:styleId="OutlineI">
    <w:name w:val="Outline I"/>
    <w:basedOn w:val="SectionHeading"/>
    <w:uiPriority w:val="51"/>
    <w:qFormat/>
    <w:rsid w:val="00CC6AC2"/>
    <w:pPr>
      <w:numPr>
        <w:ilvl w:val="1"/>
      </w:numPr>
      <w:outlineLvl w:val="1"/>
    </w:pPr>
    <w:rPr>
      <w:b w:val="0"/>
    </w:rPr>
  </w:style>
  <w:style w:type="paragraph" w:customStyle="1" w:styleId="OutlineA">
    <w:name w:val="Outline A"/>
    <w:basedOn w:val="OutlineI"/>
    <w:uiPriority w:val="52"/>
    <w:qFormat/>
    <w:rsid w:val="00CC6AC2"/>
    <w:pPr>
      <w:numPr>
        <w:ilvl w:val="2"/>
      </w:numPr>
      <w:spacing w:after="100"/>
      <w:outlineLvl w:val="2"/>
    </w:pPr>
  </w:style>
  <w:style w:type="paragraph" w:customStyle="1" w:styleId="Outline1">
    <w:name w:val="Outline 1"/>
    <w:basedOn w:val="OutlineA"/>
    <w:uiPriority w:val="53"/>
    <w:qFormat/>
    <w:rsid w:val="00CC6AC2"/>
    <w:pPr>
      <w:keepNext w:val="0"/>
      <w:numPr>
        <w:ilvl w:val="3"/>
      </w:numPr>
      <w:outlineLvl w:val="9"/>
    </w:pPr>
  </w:style>
  <w:style w:type="paragraph" w:customStyle="1" w:styleId="Outlinea0">
    <w:name w:val="Outline a"/>
    <w:basedOn w:val="Outline1"/>
    <w:uiPriority w:val="54"/>
    <w:rsid w:val="00CC6AC2"/>
    <w:pPr>
      <w:numPr>
        <w:ilvl w:val="4"/>
      </w:numPr>
    </w:pPr>
  </w:style>
  <w:style w:type="paragraph" w:customStyle="1" w:styleId="Outlinei0">
    <w:name w:val="Outline i"/>
    <w:basedOn w:val="Outlinea0"/>
    <w:uiPriority w:val="55"/>
    <w:rsid w:val="00CC6AC2"/>
    <w:pPr>
      <w:numPr>
        <w:ilvl w:val="5"/>
      </w:numPr>
    </w:pPr>
  </w:style>
  <w:style w:type="paragraph" w:customStyle="1" w:styleId="Outline10">
    <w:name w:val="Outline (1)"/>
    <w:basedOn w:val="Outlinei0"/>
    <w:uiPriority w:val="56"/>
    <w:rsid w:val="00CC6AC2"/>
    <w:pPr>
      <w:numPr>
        <w:ilvl w:val="6"/>
      </w:numPr>
    </w:pPr>
  </w:style>
  <w:style w:type="paragraph" w:customStyle="1" w:styleId="Outlinea1">
    <w:name w:val="Outline (a)"/>
    <w:basedOn w:val="Outline10"/>
    <w:uiPriority w:val="57"/>
    <w:rsid w:val="00CC6AC2"/>
    <w:pPr>
      <w:numPr>
        <w:ilvl w:val="7"/>
      </w:numPr>
    </w:pPr>
  </w:style>
  <w:style w:type="paragraph" w:customStyle="1" w:styleId="Outlinei1">
    <w:name w:val="Outline (i)"/>
    <w:basedOn w:val="Outlinea1"/>
    <w:uiPriority w:val="58"/>
    <w:rsid w:val="00CC6AC2"/>
    <w:pPr>
      <w:numPr>
        <w:ilvl w:val="8"/>
      </w:numPr>
    </w:pPr>
  </w:style>
  <w:style w:type="character" w:customStyle="1" w:styleId="UnresolvedMention">
    <w:name w:val="Unresolved Mention"/>
    <w:basedOn w:val="DefaultParagraphFont"/>
    <w:uiPriority w:val="99"/>
    <w:semiHidden/>
    <w:unhideWhenUsed/>
    <w:rsid w:val="00122A1E"/>
    <w:rPr>
      <w:color w:val="605E5C"/>
      <w:shd w:val="clear" w:color="auto" w:fill="E1DFDD"/>
    </w:rPr>
  </w:style>
  <w:style w:type="paragraph" w:styleId="CommentText">
    <w:name w:val="annotation text"/>
    <w:basedOn w:val="Normal"/>
    <w:link w:val="CommentTextChar"/>
    <w:rsid w:val="00D237F0"/>
    <w:rPr>
      <w:sz w:val="20"/>
    </w:rPr>
  </w:style>
  <w:style w:type="character" w:customStyle="1" w:styleId="CommentTextChar">
    <w:name w:val="Comment Text Char"/>
    <w:basedOn w:val="DefaultParagraphFont"/>
    <w:link w:val="CommentText"/>
    <w:rsid w:val="00D237F0"/>
    <w:rPr>
      <w:snapToGrid w:val="0"/>
      <w:kern w:val="28"/>
    </w:rPr>
  </w:style>
  <w:style w:type="paragraph" w:customStyle="1" w:styleId="xxmsonormal">
    <w:name w:val="x_xmsonormal"/>
    <w:basedOn w:val="Normal"/>
    <w:rsid w:val="005B020A"/>
    <w:pPr>
      <w:widowControl/>
    </w:pPr>
    <w:rPr>
      <w:rFonts w:ascii="MS PGothic" w:eastAsia="MS PGothic" w:hAnsi="MS PGothic" w:cs="MS PGothic"/>
      <w:snapToGrid/>
      <w:kern w:val="0"/>
      <w:sz w:val="24"/>
      <w:szCs w:val="24"/>
      <w:lang w:eastAsia="ja-JP"/>
    </w:rPr>
  </w:style>
  <w:style w:type="character" w:styleId="CommentReference">
    <w:name w:val="annotation reference"/>
    <w:basedOn w:val="DefaultParagraphFont"/>
    <w:rsid w:val="003B515A"/>
    <w:rPr>
      <w:sz w:val="16"/>
      <w:szCs w:val="16"/>
    </w:rPr>
  </w:style>
  <w:style w:type="paragraph" w:styleId="CommentSubject">
    <w:name w:val="annotation subject"/>
    <w:basedOn w:val="CommentText"/>
    <w:next w:val="CommentText"/>
    <w:link w:val="CommentSubjectChar"/>
    <w:rsid w:val="003B515A"/>
    <w:rPr>
      <w:b/>
      <w:bCs/>
    </w:rPr>
  </w:style>
  <w:style w:type="character" w:customStyle="1" w:styleId="CommentSubjectChar">
    <w:name w:val="Comment Subject Char"/>
    <w:basedOn w:val="CommentTextChar"/>
    <w:link w:val="CommentSubject"/>
    <w:rsid w:val="003B515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2" TargetMode="External" /><Relationship Id="rId2" Type="http://schemas.openxmlformats.org/officeDocument/2006/relationships/hyperlink" Target="https://www.fcc.gov/auction/103" TargetMode="External" /><Relationship Id="rId3" Type="http://schemas.openxmlformats.org/officeDocument/2006/relationships/hyperlink" Target="https://www.satbeams.com/footprints?beam=820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