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A67286" w:rsidP="00A67286" w14:paraId="12049D2C" w14:textId="09D9FAB6">
      <w:pPr>
        <w:jc w:val="right"/>
        <w:rPr>
          <w:b/>
          <w:sz w:val="24"/>
          <w:szCs w:val="24"/>
        </w:rPr>
      </w:pPr>
      <w:bookmarkStart w:id="0" w:name="_GoBack"/>
      <w:bookmarkEnd w:id="0"/>
      <w:r>
        <w:rPr>
          <w:b/>
          <w:sz w:val="24"/>
          <w:szCs w:val="24"/>
        </w:rPr>
        <w:t>DA 20-</w:t>
      </w:r>
      <w:r w:rsidR="005B7586">
        <w:rPr>
          <w:b/>
          <w:sz w:val="24"/>
          <w:szCs w:val="24"/>
        </w:rPr>
        <w:t>61</w:t>
      </w:r>
      <w:r w:rsidR="005B3936">
        <w:rPr>
          <w:b/>
          <w:sz w:val="24"/>
          <w:szCs w:val="24"/>
        </w:rPr>
        <w:t>4</w:t>
      </w:r>
    </w:p>
    <w:p w:rsidR="00013A8B" w:rsidRPr="00A67286" w:rsidP="00013A8B" w14:paraId="560E4C24" w14:textId="00D24227">
      <w:pPr>
        <w:spacing w:before="60"/>
        <w:jc w:val="right"/>
        <w:rPr>
          <w:b/>
          <w:sz w:val="24"/>
          <w:szCs w:val="24"/>
        </w:rPr>
      </w:pPr>
      <w:r w:rsidRPr="00A67286">
        <w:rPr>
          <w:b/>
          <w:sz w:val="24"/>
          <w:szCs w:val="24"/>
        </w:rPr>
        <w:t xml:space="preserve">Released:  </w:t>
      </w:r>
      <w:r w:rsidR="00A67286">
        <w:rPr>
          <w:b/>
          <w:sz w:val="24"/>
          <w:szCs w:val="24"/>
        </w:rPr>
        <w:t>June 11, 2020</w:t>
      </w:r>
    </w:p>
    <w:p w:rsidR="00013A8B" w:rsidRPr="00A67286" w:rsidP="00013A8B" w14:paraId="7D8BF2E4" w14:textId="77777777">
      <w:pPr>
        <w:jc w:val="right"/>
        <w:rPr>
          <w:sz w:val="24"/>
          <w:szCs w:val="24"/>
        </w:rPr>
      </w:pPr>
    </w:p>
    <w:p w:rsidR="00A67286" w:rsidRPr="00A67286" w:rsidP="00A67286" w14:paraId="4D9BEB22" w14:textId="77777777">
      <w:pPr>
        <w:jc w:val="center"/>
        <w:rPr>
          <w:b/>
          <w:caps/>
          <w:sz w:val="24"/>
          <w:szCs w:val="24"/>
        </w:rPr>
      </w:pPr>
      <w:bookmarkStart w:id="1" w:name="TOChere"/>
      <w:r w:rsidRPr="00A67286">
        <w:rPr>
          <w:b/>
          <w:caps/>
          <w:sz w:val="24"/>
          <w:szCs w:val="24"/>
        </w:rPr>
        <w:t xml:space="preserve">PLEADING CYCLE ESTABLISHED </w:t>
      </w:r>
    </w:p>
    <w:p w:rsidR="00A67286" w:rsidRPr="00A67286" w:rsidP="00A67286" w14:paraId="71985DA0" w14:textId="77777777">
      <w:pPr>
        <w:jc w:val="center"/>
        <w:rPr>
          <w:b/>
          <w:caps/>
          <w:sz w:val="24"/>
          <w:szCs w:val="24"/>
        </w:rPr>
      </w:pPr>
    </w:p>
    <w:p w:rsidR="00A67286" w:rsidRPr="00A67286" w:rsidP="00A67286" w14:paraId="7D4CC100" w14:textId="77777777">
      <w:pPr>
        <w:jc w:val="center"/>
        <w:rPr>
          <w:b/>
          <w:caps/>
          <w:sz w:val="24"/>
          <w:szCs w:val="24"/>
        </w:rPr>
      </w:pPr>
      <w:r w:rsidRPr="00A67286">
        <w:rPr>
          <w:b/>
          <w:caps/>
          <w:sz w:val="24"/>
          <w:szCs w:val="24"/>
        </w:rPr>
        <w:t>COMMENTs SOUGHT to refresh the record in THE 2012 contribution methodology Reform proceeding with regard to one-way vOip service providers</w:t>
      </w:r>
    </w:p>
    <w:p w:rsidR="00A67286" w:rsidRPr="00A67286" w:rsidP="00A67286" w14:paraId="04952333" w14:textId="77777777">
      <w:pPr>
        <w:rPr>
          <w:b/>
          <w:szCs w:val="22"/>
        </w:rPr>
      </w:pPr>
    </w:p>
    <w:p w:rsidR="00A67286" w:rsidRPr="00A67286" w:rsidP="00A67286" w14:paraId="68741B4A" w14:textId="77777777">
      <w:pPr>
        <w:jc w:val="center"/>
        <w:rPr>
          <w:b/>
          <w:szCs w:val="22"/>
        </w:rPr>
      </w:pPr>
      <w:r w:rsidRPr="00A67286">
        <w:rPr>
          <w:b/>
          <w:szCs w:val="22"/>
        </w:rPr>
        <w:t>WC Docket No.  06-122</w:t>
      </w:r>
    </w:p>
    <w:p w:rsidR="00A67286" w:rsidRPr="00A67286" w:rsidP="00A67286" w14:paraId="4947D5D3" w14:textId="77777777">
      <w:pPr>
        <w:jc w:val="center"/>
        <w:rPr>
          <w:b/>
          <w:szCs w:val="22"/>
        </w:rPr>
      </w:pPr>
      <w:r w:rsidRPr="00A67286">
        <w:rPr>
          <w:b/>
          <w:szCs w:val="22"/>
        </w:rPr>
        <w:t>GN Docket No. 09-51</w:t>
      </w:r>
    </w:p>
    <w:p w:rsidR="00A67286" w:rsidRPr="00A67286" w:rsidP="00A67286" w14:paraId="63E2E7BA" w14:textId="77777777">
      <w:pPr>
        <w:jc w:val="center"/>
        <w:rPr>
          <w:b/>
          <w:szCs w:val="22"/>
        </w:rPr>
      </w:pPr>
    </w:p>
    <w:p w:rsidR="00A67286" w:rsidRPr="00A67286" w:rsidP="00A67286" w14:paraId="12E0AFE0" w14:textId="77777777">
      <w:pPr>
        <w:rPr>
          <w:b/>
          <w:szCs w:val="22"/>
        </w:rPr>
      </w:pPr>
      <w:r w:rsidRPr="00A67286">
        <w:rPr>
          <w:b/>
          <w:szCs w:val="22"/>
        </w:rPr>
        <w:t>Comment Date: July 13, 2020</w:t>
      </w:r>
    </w:p>
    <w:p w:rsidR="00A67286" w:rsidRPr="00A67286" w:rsidP="00A67286" w14:paraId="50C7EE07" w14:textId="19239CE9">
      <w:pPr>
        <w:rPr>
          <w:b/>
          <w:szCs w:val="22"/>
        </w:rPr>
      </w:pPr>
      <w:r w:rsidRPr="00A67286">
        <w:rPr>
          <w:b/>
          <w:szCs w:val="22"/>
        </w:rPr>
        <w:t>Reply Comment Date: July 27, 2020</w:t>
      </w:r>
    </w:p>
    <w:p w:rsidR="00A67286" w:rsidRPr="00A67286" w:rsidP="00A67286" w14:paraId="06474541" w14:textId="77388156">
      <w:pPr>
        <w:rPr>
          <w:b/>
          <w:szCs w:val="22"/>
        </w:rPr>
      </w:pPr>
    </w:p>
    <w:p w:rsidR="00A67286" w:rsidRPr="00A67286" w:rsidP="00A67286" w14:paraId="374C162F" w14:textId="327F296F">
      <w:pPr>
        <w:spacing w:after="120"/>
        <w:ind w:firstLine="720"/>
        <w:rPr>
          <w:szCs w:val="22"/>
        </w:rPr>
      </w:pPr>
      <w:r w:rsidRPr="00A67286">
        <w:rPr>
          <w:szCs w:val="22"/>
        </w:rPr>
        <w:t xml:space="preserve">By this Public Notice, the Wireline Competition Bureau invites interested parties to update the record in the </w:t>
      </w:r>
      <w:r w:rsidRPr="00A67286">
        <w:rPr>
          <w:i/>
          <w:szCs w:val="22"/>
        </w:rPr>
        <w:t xml:space="preserve">2012 Contributions Reform Further Notice of Proposed Rulemaking </w:t>
      </w:r>
      <w:r w:rsidRPr="00A67286">
        <w:rPr>
          <w:szCs w:val="22"/>
        </w:rPr>
        <w:t xml:space="preserve">as it pertains to whether the Commission should exercise its permissive authority under section 254(d) to include in the contribution base revenues derived from the provision of “one-way” </w:t>
      </w:r>
      <w:r w:rsidR="00221B93">
        <w:rPr>
          <w:szCs w:val="22"/>
        </w:rPr>
        <w:t xml:space="preserve">voice over Internet Protocol (VoIP) </w:t>
      </w:r>
      <w:r w:rsidRPr="00A67286">
        <w:rPr>
          <w:szCs w:val="22"/>
        </w:rPr>
        <w:t>services.</w:t>
      </w:r>
      <w:r>
        <w:rPr>
          <w:rStyle w:val="FootnoteReference"/>
          <w:szCs w:val="22"/>
        </w:rPr>
        <w:footnoteReference w:id="3"/>
      </w:r>
      <w:r w:rsidRPr="00A67286">
        <w:rPr>
          <w:szCs w:val="22"/>
        </w:rPr>
        <w:t xml:space="preserve">  We incorporate by reference comments previously filed on this issue in response to the 2012 further notice, and </w:t>
      </w:r>
      <w:r w:rsidR="00221B93">
        <w:rPr>
          <w:szCs w:val="22"/>
        </w:rPr>
        <w:t xml:space="preserve">we </w:t>
      </w:r>
      <w:r w:rsidRPr="00A67286">
        <w:rPr>
          <w:szCs w:val="22"/>
        </w:rPr>
        <w:t>seek updated responses to the questions posed in that proceeding to ensure that the record reflects current viewpoints and includes any new developments in the VoIP marketplace.</w:t>
      </w:r>
      <w:r w:rsidR="00221B93">
        <w:rPr>
          <w:szCs w:val="22"/>
        </w:rPr>
        <w:t xml:space="preserve">  We also seek comment on whether such services should be required to pay other fees applicable to interconnected VoIP services, such as regulatory fees.</w:t>
      </w:r>
      <w:r w:rsidRPr="00A67286">
        <w:rPr>
          <w:szCs w:val="22"/>
        </w:rPr>
        <w:t xml:space="preserve">  We encourage commenters to provide specific data to support their analysis.  </w:t>
      </w:r>
    </w:p>
    <w:p w:rsidR="00A67286" w:rsidRPr="00A67286" w:rsidP="00A67286" w14:paraId="7CFBE2C3" w14:textId="77777777">
      <w:pPr>
        <w:spacing w:after="120"/>
        <w:ind w:firstLine="720"/>
        <w:rPr>
          <w:szCs w:val="22"/>
        </w:rPr>
      </w:pPr>
      <w:r w:rsidRPr="00A67286">
        <w:rPr>
          <w:szCs w:val="22"/>
        </w:rPr>
        <w:t xml:space="preserve">Pursuant to sections 1.415 and 1.419 of the Commission’s rules, 47 CFR §§ 1.415, 1.419, interested parties may file comments in this proceeding on or before </w:t>
      </w:r>
      <w:r w:rsidRPr="00A67286">
        <w:rPr>
          <w:b/>
          <w:bCs/>
          <w:szCs w:val="22"/>
        </w:rPr>
        <w:t>July 13, 2020</w:t>
      </w:r>
      <w:r w:rsidRPr="00A67286">
        <w:rPr>
          <w:szCs w:val="22"/>
        </w:rPr>
        <w:t xml:space="preserve"> and reply comments on or before </w:t>
      </w:r>
      <w:r w:rsidRPr="00A67286">
        <w:rPr>
          <w:b/>
          <w:bCs/>
          <w:szCs w:val="22"/>
        </w:rPr>
        <w:t>July 27, 2020</w:t>
      </w:r>
      <w:r w:rsidRPr="00A67286">
        <w:rPr>
          <w:szCs w:val="22"/>
        </w:rPr>
        <w:t>.  Comments should reference WC Docket Nos. 06-122; GN Docket No. 09-51 and may be filed using the Commission’s Electronic Comment Filing System (ECFS) or by filing paper copies.</w:t>
      </w:r>
      <w:r>
        <w:rPr>
          <w:rStyle w:val="FootnoteReference1"/>
          <w:sz w:val="22"/>
          <w:szCs w:val="22"/>
        </w:rPr>
        <w:footnoteReference w:id="4"/>
      </w:r>
      <w:r w:rsidRPr="00A67286">
        <w:rPr>
          <w:szCs w:val="22"/>
        </w:rPr>
        <w:t xml:space="preserve">  </w:t>
      </w:r>
    </w:p>
    <w:p w:rsidR="00A67286" w:rsidRPr="00A67286" w:rsidP="00A67286" w14:paraId="66373CF0" w14:textId="77777777">
      <w:pPr>
        <w:widowControl/>
        <w:numPr>
          <w:ilvl w:val="0"/>
          <w:numId w:val="8"/>
        </w:numPr>
        <w:rPr>
          <w:szCs w:val="22"/>
        </w:rPr>
      </w:pPr>
      <w:r w:rsidRPr="00A67286">
        <w:rPr>
          <w:i/>
          <w:iCs/>
          <w:szCs w:val="22"/>
        </w:rPr>
        <w:t>Electronic Filers</w:t>
      </w:r>
      <w:r w:rsidRPr="00A67286">
        <w:rPr>
          <w:szCs w:val="22"/>
        </w:rPr>
        <w:t xml:space="preserve">:  Comments may be filed electronically using the Internet by accessing the ECFS:  http://apps.fcc.gov/ecfs/.  </w:t>
      </w:r>
    </w:p>
    <w:p w:rsidR="00A67286" w:rsidRPr="00A67286" w:rsidP="00A67286" w14:paraId="7029A4D1" w14:textId="77777777">
      <w:pPr>
        <w:rPr>
          <w:szCs w:val="22"/>
        </w:rPr>
      </w:pPr>
    </w:p>
    <w:p w:rsidR="00A67286" w:rsidRPr="00A67286" w:rsidP="00A67286" w14:paraId="08A4D9C5" w14:textId="790D0867">
      <w:pPr>
        <w:widowControl/>
        <w:numPr>
          <w:ilvl w:val="0"/>
          <w:numId w:val="8"/>
        </w:numPr>
        <w:rPr>
          <w:szCs w:val="22"/>
        </w:rPr>
      </w:pPr>
      <w:r w:rsidRPr="00A67286">
        <w:rPr>
          <w:i/>
          <w:iCs/>
          <w:szCs w:val="22"/>
        </w:rPr>
        <w:t>Paper Filers</w:t>
      </w:r>
      <w:r w:rsidRPr="00A67286">
        <w:rPr>
          <w:szCs w:val="22"/>
        </w:rPr>
        <w:t xml:space="preserve">:  Parties who choose to file by paper must file an original and one copy of each filing. </w:t>
      </w:r>
      <w:r w:rsidR="00221B93">
        <w:rPr>
          <w:szCs w:val="22"/>
        </w:rPr>
        <w:t xml:space="preserve"> </w:t>
      </w:r>
      <w:r w:rsidRPr="00A67286">
        <w:rPr>
          <w:szCs w:val="22"/>
        </w:rPr>
        <w:t>If more than one docket or rulemaking number appears in the caption of this proceeding, filers must submit two additional copies for each additional docket or rulemaking number.</w:t>
      </w:r>
    </w:p>
    <w:p w:rsidR="00A67286" w:rsidRPr="00A67286" w:rsidP="00A67286" w14:paraId="37430726" w14:textId="77777777">
      <w:pPr>
        <w:rPr>
          <w:szCs w:val="22"/>
        </w:rPr>
      </w:pPr>
    </w:p>
    <w:p w:rsidR="00A67286" w:rsidRPr="00A67286" w:rsidP="00A67286" w14:paraId="21761991" w14:textId="77777777">
      <w:pPr>
        <w:widowControl/>
        <w:numPr>
          <w:ilvl w:val="1"/>
          <w:numId w:val="8"/>
        </w:numPr>
        <w:rPr>
          <w:szCs w:val="22"/>
        </w:rPr>
      </w:pPr>
      <w:r w:rsidRPr="00A67286">
        <w:rPr>
          <w:szCs w:val="22"/>
        </w:rPr>
        <w:t>Filings can be sent by commercial overnight courier, or by first-class or overnight U.S. Postal Service mail. All filings must be addressed to the Commission’s Secretary, Office of the Secretary, Federal Communications Commission.</w:t>
      </w:r>
    </w:p>
    <w:p w:rsidR="00A67286" w:rsidRPr="00A67286" w:rsidP="00A67286" w14:paraId="4ABFA492" w14:textId="77777777">
      <w:pPr>
        <w:rPr>
          <w:szCs w:val="22"/>
        </w:rPr>
      </w:pPr>
    </w:p>
    <w:p w:rsidR="00A67286" w:rsidRPr="00A67286" w:rsidP="00A67286" w14:paraId="35194729" w14:textId="77777777">
      <w:pPr>
        <w:widowControl/>
        <w:numPr>
          <w:ilvl w:val="1"/>
          <w:numId w:val="8"/>
        </w:numPr>
        <w:rPr>
          <w:szCs w:val="22"/>
        </w:rPr>
      </w:pPr>
      <w:r w:rsidRPr="00A67286">
        <w:rPr>
          <w:szCs w:val="22"/>
        </w:rPr>
        <w:t>Commercial overnight mail (other than U.S. Postal Service Express Mail and Priority Mail) must be sent to 9050 Junction Drive, Annapolis Junction, MD 20701.U.S. Postal Service first-class, Express, and Priority mail must be addressed to 445 12th Street, SW, Washington DC  20554</w:t>
      </w:r>
    </w:p>
    <w:p w:rsidR="00A67286" w:rsidRPr="00A67286" w:rsidP="00A67286" w14:paraId="25CBCCBC" w14:textId="77777777">
      <w:pPr>
        <w:rPr>
          <w:szCs w:val="22"/>
        </w:rPr>
      </w:pPr>
    </w:p>
    <w:p w:rsidR="00356CF0" w:rsidP="00356CF0" w14:paraId="1052033C" w14:textId="3552BCBC">
      <w:pPr>
        <w:widowControl/>
        <w:numPr>
          <w:ilvl w:val="1"/>
          <w:numId w:val="9"/>
        </w:numPr>
        <w:rPr>
          <w:szCs w:val="22"/>
        </w:rPr>
      </w:pPr>
      <w:r w:rsidRPr="00A67286">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67286">
        <w:rPr>
          <w:i/>
          <w:iCs/>
          <w:szCs w:val="22"/>
        </w:rPr>
        <w:t>See</w:t>
      </w:r>
      <w:r w:rsidRPr="00A67286">
        <w:rPr>
          <w:szCs w:val="22"/>
        </w:rPr>
        <w:t xml:space="preserve"> FCC Announces Closure of FCC Headquarters Open Window and Change in Hand-Delivery Policy, Public Notice, DA 20-304 (March 19, 2020).  </w:t>
      </w:r>
      <w:hyperlink r:id="rId5" w:history="1">
        <w:r w:rsidRPr="00A67286">
          <w:rPr>
            <w:szCs w:val="22"/>
          </w:rPr>
          <w:t>https://www.fcc.gov/document/fcc-closes-headquarters-open-window-and-changes-hand-delivery-policy</w:t>
        </w:r>
      </w:hyperlink>
    </w:p>
    <w:p w:rsidR="00356CF0" w:rsidP="00356CF0" w14:paraId="421F4B05" w14:textId="77777777">
      <w:pPr>
        <w:widowControl/>
        <w:ind w:left="1080"/>
        <w:rPr>
          <w:szCs w:val="22"/>
        </w:rPr>
      </w:pPr>
    </w:p>
    <w:p w:rsidR="00A67286" w:rsidRPr="00356CF0" w:rsidP="000A728D" w14:paraId="62A39462" w14:textId="6B46A5C2">
      <w:pPr>
        <w:widowControl/>
        <w:numPr>
          <w:ilvl w:val="0"/>
          <w:numId w:val="9"/>
        </w:numPr>
        <w:rPr>
          <w:szCs w:val="22"/>
        </w:rPr>
      </w:pPr>
      <w:r w:rsidRPr="00356CF0">
        <w:rPr>
          <w:rFonts w:eastAsia="ヒラギノ角ゴ Pro W3"/>
          <w:szCs w:val="22"/>
        </w:rPr>
        <w:t>People with Disabilities:</w:t>
      </w:r>
      <w:r w:rsidRPr="00356CF0">
        <w:rPr>
          <w:szCs w:val="22"/>
        </w:rPr>
        <w:t xml:space="preserve">  To request materials in accessible formats for people with disabilities (braille, large print, electronic files, audio format), send an e-mail to </w:t>
      </w:r>
      <w:hyperlink r:id="rId6" w:history="1">
        <w:r w:rsidRPr="00356CF0">
          <w:rPr>
            <w:rStyle w:val="Hyperlink1"/>
            <w:sz w:val="22"/>
            <w:szCs w:val="22"/>
          </w:rPr>
          <w:t>fcc504@fcc.gov</w:t>
        </w:r>
      </w:hyperlink>
      <w:r w:rsidRPr="00356CF0">
        <w:rPr>
          <w:szCs w:val="22"/>
        </w:rPr>
        <w:t xml:space="preserve"> or call the Consumer &amp; Governmental Affairs Bureau at 202-418-0530 (voice), 202-418-0432 (</w:t>
      </w:r>
      <w:r w:rsidRPr="00356CF0">
        <w:rPr>
          <w:szCs w:val="22"/>
        </w:rPr>
        <w:t>tty</w:t>
      </w:r>
      <w:r w:rsidRPr="00356CF0">
        <w:rPr>
          <w:szCs w:val="22"/>
        </w:rPr>
        <w:t>).</w:t>
      </w:r>
    </w:p>
    <w:p w:rsidR="00A67286" w:rsidRPr="00A67286" w:rsidP="00A67286" w14:paraId="38804BF1" w14:textId="77777777">
      <w:pPr>
        <w:ind w:left="360"/>
        <w:rPr>
          <w:rFonts w:eastAsia="ヒラギノ角ゴ Pro W3"/>
          <w:color w:val="000000"/>
          <w:szCs w:val="22"/>
        </w:rPr>
      </w:pPr>
    </w:p>
    <w:p w:rsidR="00A67286" w:rsidRPr="00A67286" w:rsidP="00A67286" w14:paraId="2CEE3C50" w14:textId="77777777">
      <w:pPr>
        <w:spacing w:after="120"/>
        <w:ind w:firstLine="720"/>
        <w:rPr>
          <w:rFonts w:eastAsia="ヒラギノ角ゴ Pro W3"/>
          <w:color w:val="000000"/>
          <w:szCs w:val="22"/>
        </w:rPr>
      </w:pP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Rules.  </w:t>
      </w:r>
      <w:r w:rsidRPr="00A67286">
        <w:rPr>
          <w:szCs w:val="22"/>
        </w:rPr>
        <w:t xml:space="preserve">The proceeding this Notice initiates shall be treated as a “permit-but-disclose” proceeding in accordance with the Commission’s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rules.</w:t>
      </w:r>
      <w:r>
        <w:rPr>
          <w:rStyle w:val="FootnoteReference1"/>
          <w:sz w:val="22"/>
          <w:szCs w:val="22"/>
        </w:rPr>
        <w:footnoteReference w:id="5"/>
      </w:r>
      <w:r w:rsidRPr="00A67286">
        <w:rPr>
          <w:szCs w:val="22"/>
        </w:rPr>
        <w:t xml:space="preserve">  Persons making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 xml:space="preserve">presentations are reminded that memoranda summarizing the presentation must (1) list all persons attending or otherwise participating in the meeting at which the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 xml:space="preserve">meetings are deemed to be written </w:t>
      </w:r>
      <w:r w:rsidRPr="00A67286">
        <w:rPr>
          <w:rFonts w:eastAsia="ヒラギノ角ゴ Pro W3"/>
          <w:szCs w:val="22"/>
        </w:rPr>
        <w:t xml:space="preserve">ex </w:t>
      </w:r>
      <w:r w:rsidRPr="00A67286">
        <w:rPr>
          <w:rFonts w:eastAsia="ヒラギノ角ゴ Pro W3"/>
          <w:szCs w:val="22"/>
        </w:rPr>
        <w:t>parte</w:t>
      </w:r>
      <w:r w:rsidRPr="00A67286">
        <w:rPr>
          <w:szCs w:val="22"/>
        </w:rPr>
        <w:t xml:space="preserve"> presentations and must be filed consistent with rule 1.1206(b).  In proceedings governed by rule 1.49(f) or for which the Commission has made available a method of electronic filing, written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 xml:space="preserve">presentations and memoranda summarizing oral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presentations, and all attachments thereto, must be filed through the electronic comment filing system available for that proceeding, and must be filed in their native format (</w:t>
      </w:r>
      <w:r w:rsidRPr="00A67286">
        <w:rPr>
          <w:rFonts w:eastAsia="ヒラギノ角ゴ Pro W3"/>
          <w:szCs w:val="22"/>
        </w:rPr>
        <w:t>e.g.</w:t>
      </w:r>
      <w:r w:rsidRPr="00A67286">
        <w:rPr>
          <w:szCs w:val="22"/>
        </w:rPr>
        <w:t xml:space="preserve">, .doc, .xml, .ppt, searchable .pdf).  Participants in this proceeding should familiarize themselves with the Commission’s </w:t>
      </w:r>
      <w:r w:rsidRPr="00A67286">
        <w:rPr>
          <w:rFonts w:eastAsia="ヒラギノ角ゴ Pro W3"/>
          <w:szCs w:val="22"/>
        </w:rPr>
        <w:t xml:space="preserve">ex </w:t>
      </w:r>
      <w:r w:rsidRPr="00A67286">
        <w:rPr>
          <w:rFonts w:eastAsia="ヒラギノ角ゴ Pro W3"/>
          <w:szCs w:val="22"/>
        </w:rPr>
        <w:t>parte</w:t>
      </w:r>
      <w:r w:rsidRPr="00A67286">
        <w:rPr>
          <w:rFonts w:eastAsia="ヒラギノ角ゴ Pro W3"/>
          <w:szCs w:val="22"/>
        </w:rPr>
        <w:t xml:space="preserve"> </w:t>
      </w:r>
      <w:r w:rsidRPr="00A67286">
        <w:rPr>
          <w:szCs w:val="22"/>
        </w:rPr>
        <w:t>rules.</w:t>
      </w:r>
    </w:p>
    <w:p w:rsidR="00A67286" w:rsidRPr="00A67286" w:rsidP="00A67286" w14:paraId="4A8C81C8" w14:textId="77777777">
      <w:pPr>
        <w:spacing w:after="120"/>
        <w:ind w:firstLine="720"/>
        <w:rPr>
          <w:szCs w:val="22"/>
        </w:rPr>
      </w:pPr>
      <w:r w:rsidRPr="00A67286">
        <w:rPr>
          <w:szCs w:val="22"/>
        </w:rPr>
        <w:t>For further information, please contact Claudia Fox, Telecommunications Access Policy Division, Wireline Competition Bureau at (202) 418-7400 or TTY (202) 418-0484, or Claudia.Fox@fcc.gov.</w:t>
      </w:r>
    </w:p>
    <w:p w:rsidR="00A67286" w:rsidRPr="00A67286" w:rsidP="00A67286" w14:paraId="0B5BC2C1" w14:textId="77777777">
      <w:pPr>
        <w:ind w:firstLine="720"/>
        <w:rPr>
          <w:szCs w:val="22"/>
        </w:rPr>
      </w:pPr>
    </w:p>
    <w:p w:rsidR="00A67286" w:rsidRPr="00A67286" w:rsidP="00A67286" w14:paraId="5A4B2B92" w14:textId="77777777">
      <w:pPr>
        <w:jc w:val="center"/>
        <w:rPr>
          <w:b/>
          <w:szCs w:val="22"/>
        </w:rPr>
      </w:pPr>
      <w:r w:rsidRPr="00A67286">
        <w:rPr>
          <w:b/>
          <w:szCs w:val="22"/>
        </w:rPr>
        <w:t>- FCC -</w:t>
      </w:r>
    </w:p>
    <w:p w:rsidR="00A67286" w:rsidRPr="00A67286" w:rsidP="00A67286" w14:paraId="4DC6BF52" w14:textId="77777777">
      <w:pPr>
        <w:rPr>
          <w:b/>
          <w:szCs w:val="22"/>
        </w:rPr>
      </w:pPr>
    </w:p>
    <w:bookmarkEnd w:id="1"/>
    <w:p w:rsidR="00F96F63" w:rsidRPr="00A67286" w:rsidP="00F96F63" w14:paraId="3809C0CB" w14:textId="77777777">
      <w:pPr>
        <w:rPr>
          <w:szCs w:val="22"/>
        </w:rPr>
      </w:pPr>
    </w:p>
    <w:p w:rsidR="00930ECF" w:rsidRPr="00A67286" w:rsidP="00F96F63" w14:paraId="6935F373" w14:textId="77777777">
      <w:pPr>
        <w:rPr>
          <w:szCs w:val="22"/>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6EAF4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EBD0A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7A60F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A08E6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286" w14:paraId="1D16B676" w14:textId="77777777">
      <w:r>
        <w:separator/>
      </w:r>
    </w:p>
  </w:footnote>
  <w:footnote w:type="continuationSeparator" w:id="1">
    <w:p w:rsidR="00A67286" w14:paraId="61C20983" w14:textId="77777777">
      <w:pPr>
        <w:rPr>
          <w:sz w:val="20"/>
        </w:rPr>
      </w:pPr>
      <w:r>
        <w:rPr>
          <w:sz w:val="20"/>
        </w:rPr>
        <w:t xml:space="preserve">(Continued from previous page)  </w:t>
      </w:r>
      <w:r>
        <w:rPr>
          <w:sz w:val="20"/>
        </w:rPr>
        <w:separator/>
      </w:r>
    </w:p>
  </w:footnote>
  <w:footnote w:type="continuationNotice" w:id="2">
    <w:p w:rsidR="00A67286" w:rsidP="00910F12" w14:paraId="03467553" w14:textId="77777777">
      <w:pPr>
        <w:jc w:val="right"/>
        <w:rPr>
          <w:sz w:val="20"/>
        </w:rPr>
      </w:pPr>
      <w:r>
        <w:rPr>
          <w:sz w:val="20"/>
        </w:rPr>
        <w:t>(continued….)</w:t>
      </w:r>
    </w:p>
  </w:footnote>
  <w:footnote w:id="3">
    <w:p w:rsidR="00A67286" w:rsidRPr="00B125ED" w:rsidP="00A67286" w14:paraId="10D3687E" w14:textId="4CE17045">
      <w:pPr>
        <w:pStyle w:val="FootnoteText"/>
      </w:pPr>
      <w:r>
        <w:rPr>
          <w:rStyle w:val="FootnoteReference"/>
        </w:rPr>
        <w:footnoteRef/>
      </w:r>
      <w:r>
        <w:rPr>
          <w:i/>
        </w:rPr>
        <w:t xml:space="preserve"> Universal Service Contribution Methodology A National Broadband Plan for Our Future, </w:t>
      </w:r>
      <w:r>
        <w:t xml:space="preserve">WC Docket No. 06-122, GN Docket No. 09-51, </w:t>
      </w:r>
      <w:r w:rsidRPr="00B125ED">
        <w:t>Further Notice of Proposed Rulemaking</w:t>
      </w:r>
      <w:r>
        <w:rPr>
          <w:i/>
        </w:rPr>
        <w:t xml:space="preserve">, </w:t>
      </w:r>
      <w:r>
        <w:t xml:space="preserve">27 FCC </w:t>
      </w:r>
      <w:r>
        <w:t>Rcd</w:t>
      </w:r>
      <w:r>
        <w:t xml:space="preserve"> 5357, 5386-89</w:t>
      </w:r>
      <w:r w:rsidR="0062553E">
        <w:t>,</w:t>
      </w:r>
      <w:r>
        <w:t xml:space="preserve"> paras. 57-64 (2012).</w:t>
      </w:r>
    </w:p>
  </w:footnote>
  <w:footnote w:id="4">
    <w:p w:rsidR="00A67286" w:rsidP="00A67286" w14:paraId="195C6532" w14:textId="77777777">
      <w:pPr>
        <w:spacing w:after="120"/>
        <w:rPr>
          <w:sz w:val="20"/>
          <w:lang w:bidi="x-none"/>
        </w:rPr>
      </w:pPr>
      <w:r>
        <w:rPr>
          <w:rStyle w:val="FootnoteReference1"/>
        </w:rPr>
        <w:footnoteRef/>
      </w:r>
      <w:r>
        <w:t xml:space="preserve"> </w:t>
      </w:r>
      <w:r>
        <w:rPr>
          <w:rFonts w:ascii="Times New Roman Italic" w:eastAsia="ヒラギノ角ゴ Pro W3" w:hAnsi="Times New Roman Italic"/>
          <w:sz w:val="20"/>
        </w:rPr>
        <w:t>See Electronic Filing of Documents in Rulemaking Proceedings</w:t>
      </w:r>
      <w:r w:rsidRPr="002C3961">
        <w:rPr>
          <w:sz w:val="20"/>
        </w:rPr>
        <w:t>, 63 FR 24121 (1999).</w:t>
      </w:r>
    </w:p>
  </w:footnote>
  <w:footnote w:id="5">
    <w:p w:rsidR="00A67286" w:rsidP="00A67286" w14:paraId="08A2E438" w14:textId="77777777">
      <w:pPr>
        <w:pStyle w:val="FootnoteText"/>
        <w:rPr>
          <w:lang w:bidi="x-none"/>
        </w:rPr>
      </w:pPr>
      <w:r>
        <w:rPr>
          <w:rStyle w:val="FootnoteReference1"/>
        </w:rPr>
        <w:footnoteRef/>
      </w:r>
      <w:r w:rsidRPr="00CF319F">
        <w:rPr>
          <w:lang w:val="fr-FR"/>
        </w:rPr>
        <w:t xml:space="preserve"> 47 C.F.R. §§ 1.1200 </w:t>
      </w:r>
      <w:r w:rsidRPr="00CF319F">
        <w:rPr>
          <w:rFonts w:ascii="Times New Roman Italic" w:eastAsia="ヒラギノ角ゴ Pro W3" w:hAnsi="Times New Roman Italic"/>
          <w:lang w:val="fr-FR"/>
        </w:rPr>
        <w:t xml:space="preserve">et </w:t>
      </w:r>
      <w:r w:rsidRPr="00CF319F">
        <w:rPr>
          <w:rFonts w:ascii="Times New Roman Italic" w:eastAsia="ヒラギノ角ゴ Pro W3" w:hAnsi="Times New Roman Italic"/>
          <w:lang w:val="fr-FR"/>
        </w:rPr>
        <w:t>seq</w:t>
      </w:r>
      <w:r w:rsidRPr="00CF319F">
        <w:rPr>
          <w:rFonts w:ascii="Times New Roman Italic" w:eastAsia="ヒラギノ角ゴ Pro W3" w:hAnsi="Times New Roman Italic"/>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636" w14:paraId="2EE055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1CA59E2" w14:textId="36B2CE97">
    <w:pPr>
      <w:tabs>
        <w:tab w:val="center" w:pos="4680"/>
        <w:tab w:val="right" w:pos="9360"/>
      </w:tabs>
    </w:pPr>
    <w:r w:rsidRPr="009838BC">
      <w:rPr>
        <w:b/>
      </w:rPr>
      <w:tab/>
      <w:t>Federal Communications Commission</w:t>
    </w:r>
    <w:r w:rsidRPr="009838BC">
      <w:rPr>
        <w:b/>
      </w:rPr>
      <w:tab/>
    </w:r>
    <w:r w:rsidR="005B7586">
      <w:rPr>
        <w:b/>
      </w:rPr>
      <w:t>DA 20-61</w:t>
    </w:r>
    <w:r w:rsidR="00571636">
      <w:rPr>
        <w:b/>
      </w:rPr>
      <w:t>4</w:t>
    </w:r>
  </w:p>
  <w:p w:rsidR="009838BC" w:rsidRPr="009838BC" w:rsidP="009838BC" w14:paraId="7AE73A1F" w14:textId="3F486C6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3ADB452"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D0548E" w14:textId="64FEC1B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6F83977" w14:textId="77777777">
                    <w:pPr>
                      <w:rPr>
                        <w:rFonts w:ascii="Arial" w:hAnsi="Arial"/>
                        <w:b/>
                      </w:rPr>
                    </w:pPr>
                    <w:r>
                      <w:rPr>
                        <w:rFonts w:ascii="Arial" w:hAnsi="Arial"/>
                        <w:b/>
                      </w:rPr>
                      <w:t>Federal Communications Commission</w:t>
                    </w:r>
                  </w:p>
                  <w:p w:rsidR="009838BC" w:rsidP="009838BC" w14:paraId="3BC1727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750BF6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0820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E4887C0" w14:textId="2E8AD19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33466E2" w14:textId="77777777">
                    <w:pPr>
                      <w:spacing w:before="40"/>
                      <w:jc w:val="right"/>
                      <w:rPr>
                        <w:rFonts w:ascii="Arial" w:hAnsi="Arial"/>
                        <w:b/>
                        <w:sz w:val="16"/>
                      </w:rPr>
                    </w:pPr>
                    <w:r>
                      <w:rPr>
                        <w:rFonts w:ascii="Arial" w:hAnsi="Arial"/>
                        <w:b/>
                        <w:sz w:val="16"/>
                      </w:rPr>
                      <w:t>News Media Information 202 / 418-0500</w:t>
                    </w:r>
                  </w:p>
                  <w:p w:rsidR="009838BC" w:rsidP="009838BC" w14:paraId="6C5BC63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7D0FFB5" w14:textId="77777777">
                    <w:pPr>
                      <w:jc w:val="right"/>
                    </w:pPr>
                    <w:r>
                      <w:rPr>
                        <w:rFonts w:ascii="Arial" w:hAnsi="Arial"/>
                        <w:b/>
                        <w:sz w:val="16"/>
                      </w:rPr>
                      <w:t>TTY: 1-888-835-5322</w:t>
                    </w:r>
                  </w:p>
                </w:txbxContent>
              </v:textbox>
            </v:shape>
          </w:pict>
        </mc:Fallback>
      </mc:AlternateContent>
    </w:r>
  </w:p>
  <w:p w:rsidR="006F7393" w:rsidRPr="009838BC" w:rsidP="009838BC" w14:paraId="1F8CCB7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7E24CED"/>
    <w:multiLevelType w:val="hybridMultilevel"/>
    <w:tmpl w:val="D13ED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D436BE"/>
    <w:multiLevelType w:val="hybridMultilevel"/>
    <w:tmpl w:val="9F70F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86"/>
    <w:rsid w:val="000072CE"/>
    <w:rsid w:val="00013A8B"/>
    <w:rsid w:val="00021445"/>
    <w:rsid w:val="00036039"/>
    <w:rsid w:val="00037F90"/>
    <w:rsid w:val="000875BF"/>
    <w:rsid w:val="00096D8C"/>
    <w:rsid w:val="000A728D"/>
    <w:rsid w:val="000C0B65"/>
    <w:rsid w:val="000E3D42"/>
    <w:rsid w:val="000E5884"/>
    <w:rsid w:val="00122BD5"/>
    <w:rsid w:val="001979D9"/>
    <w:rsid w:val="001D6BCF"/>
    <w:rsid w:val="001E01CA"/>
    <w:rsid w:val="002060D9"/>
    <w:rsid w:val="00221B93"/>
    <w:rsid w:val="00226822"/>
    <w:rsid w:val="00260594"/>
    <w:rsid w:val="00285017"/>
    <w:rsid w:val="002A2D2E"/>
    <w:rsid w:val="002C3961"/>
    <w:rsid w:val="00343749"/>
    <w:rsid w:val="00356CF0"/>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71636"/>
    <w:rsid w:val="005B3936"/>
    <w:rsid w:val="005B7586"/>
    <w:rsid w:val="00607BA5"/>
    <w:rsid w:val="0062553E"/>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67286"/>
    <w:rsid w:val="00A80A9C"/>
    <w:rsid w:val="00A866AC"/>
    <w:rsid w:val="00AA55B7"/>
    <w:rsid w:val="00AA5B9E"/>
    <w:rsid w:val="00AB2407"/>
    <w:rsid w:val="00AB53DF"/>
    <w:rsid w:val="00AE0C50"/>
    <w:rsid w:val="00AF64B4"/>
    <w:rsid w:val="00B07E5C"/>
    <w:rsid w:val="00B125ED"/>
    <w:rsid w:val="00B326E3"/>
    <w:rsid w:val="00B811F7"/>
    <w:rsid w:val="00BA5DC6"/>
    <w:rsid w:val="00BA6196"/>
    <w:rsid w:val="00BC6D8C"/>
    <w:rsid w:val="00C16AF2"/>
    <w:rsid w:val="00C34006"/>
    <w:rsid w:val="00C426B1"/>
    <w:rsid w:val="00C82B6B"/>
    <w:rsid w:val="00C90D6A"/>
    <w:rsid w:val="00CC72B6"/>
    <w:rsid w:val="00CF319F"/>
    <w:rsid w:val="00D0218D"/>
    <w:rsid w:val="00D216CD"/>
    <w:rsid w:val="00DA2529"/>
    <w:rsid w:val="00DB130A"/>
    <w:rsid w:val="00DC10A1"/>
    <w:rsid w:val="00DC655F"/>
    <w:rsid w:val="00DC772B"/>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AA901B-7A17-4E16-A183-7B1D7FB0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yperlink1">
    <w:name w:val="Hyperlink1"/>
    <w:rsid w:val="00A67286"/>
    <w:rPr>
      <w:color w:val="000000"/>
      <w:sz w:val="20"/>
    </w:rPr>
  </w:style>
  <w:style w:type="character" w:customStyle="1" w:styleId="FootnoteReference1">
    <w:name w:val="Footnote Reference1"/>
    <w:rsid w:val="00A67286"/>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