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7CBB" w:rsidP="00017CBB" w14:paraId="41253BD0"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017CBB" w:rsidP="00017CBB" w14:paraId="4C746F28" w14:textId="77777777">
      <w:pPr>
        <w:pStyle w:val="StyleBoldCentered"/>
      </w:pPr>
      <w:r>
        <w:t>F</w:t>
      </w:r>
      <w:r>
        <w:rPr>
          <w:caps w:val="0"/>
        </w:rPr>
        <w:t>ederal Communications Commission</w:t>
      </w:r>
    </w:p>
    <w:p w:rsidR="00017CBB" w:rsidP="00017CBB" w14:paraId="29D92E25" w14:textId="77777777">
      <w:pPr>
        <w:pStyle w:val="StyleBoldCentered"/>
      </w:pPr>
      <w:r>
        <w:rPr>
          <w:caps w:val="0"/>
        </w:rPr>
        <w:t>Washington, D.C. 20554</w:t>
      </w:r>
    </w:p>
    <w:p w:rsidR="00017CBB" w:rsidP="00017CBB" w14:paraId="0BCC0867" w14:textId="77777777"/>
    <w:p w:rsidR="00017CBB" w:rsidP="00017CBB" w14:paraId="2D6B0B6B" w14:textId="77777777"/>
    <w:tbl>
      <w:tblPr>
        <w:tblW w:w="0" w:type="auto"/>
        <w:tblLayout w:type="fixed"/>
        <w:tblLook w:val="0000"/>
      </w:tblPr>
      <w:tblGrid>
        <w:gridCol w:w="4698"/>
        <w:gridCol w:w="630"/>
        <w:gridCol w:w="4248"/>
      </w:tblGrid>
      <w:tr w14:paraId="3DFACAD3" w14:textId="77777777" w:rsidTr="00665280">
        <w:tblPrEx>
          <w:tblW w:w="0" w:type="auto"/>
          <w:tblLayout w:type="fixed"/>
          <w:tblLook w:val="0000"/>
        </w:tblPrEx>
        <w:tc>
          <w:tcPr>
            <w:tcW w:w="4698" w:type="dxa"/>
          </w:tcPr>
          <w:p w:rsidR="00017CBB" w:rsidP="00665280" w14:paraId="7EA1E3F4" w14:textId="77777777">
            <w:pPr>
              <w:tabs>
                <w:tab w:val="center" w:pos="4680"/>
              </w:tabs>
              <w:suppressAutoHyphens/>
              <w:rPr>
                <w:spacing w:val="-2"/>
              </w:rPr>
            </w:pPr>
            <w:r>
              <w:rPr>
                <w:spacing w:val="-2"/>
              </w:rPr>
              <w:t>In the Matter of</w:t>
            </w:r>
          </w:p>
          <w:p w:rsidR="00017CBB" w:rsidP="00665280" w14:paraId="23B310E9" w14:textId="77777777">
            <w:pPr>
              <w:tabs>
                <w:tab w:val="center" w:pos="4680"/>
              </w:tabs>
              <w:suppressAutoHyphens/>
              <w:rPr>
                <w:spacing w:val="-2"/>
              </w:rPr>
            </w:pPr>
          </w:p>
          <w:p w:rsidR="00017CBB" w:rsidP="00665280" w14:paraId="279C8B7E" w14:textId="77777777">
            <w:pPr>
              <w:tabs>
                <w:tab w:val="center" w:pos="4680"/>
              </w:tabs>
              <w:suppressAutoHyphens/>
              <w:rPr>
                <w:spacing w:val="-2"/>
              </w:rPr>
            </w:pPr>
            <w:r>
              <w:rPr>
                <w:spacing w:val="-2"/>
              </w:rPr>
              <w:t>Connect America Fund</w:t>
            </w:r>
          </w:p>
          <w:p w:rsidR="00017CBB" w:rsidP="00665280" w14:paraId="3BA03A3D" w14:textId="77777777">
            <w:pPr>
              <w:tabs>
                <w:tab w:val="center" w:pos="4680"/>
              </w:tabs>
              <w:suppressAutoHyphens/>
              <w:rPr>
                <w:spacing w:val="-2"/>
              </w:rPr>
            </w:pPr>
          </w:p>
          <w:p w:rsidR="00017CBB" w:rsidRPr="007115F7" w:rsidP="00665280" w14:paraId="0CE70B5B" w14:textId="77777777">
            <w:pPr>
              <w:tabs>
                <w:tab w:val="center" w:pos="4680"/>
              </w:tabs>
              <w:suppressAutoHyphens/>
              <w:rPr>
                <w:spacing w:val="-2"/>
              </w:rPr>
            </w:pPr>
            <w:r>
              <w:rPr>
                <w:spacing w:val="-2"/>
              </w:rPr>
              <w:t>Connect America Fund Phase II Auction</w:t>
            </w:r>
          </w:p>
        </w:tc>
        <w:tc>
          <w:tcPr>
            <w:tcW w:w="630" w:type="dxa"/>
          </w:tcPr>
          <w:p w:rsidR="00017CBB" w:rsidP="00665280" w14:paraId="16AB69B1" w14:textId="77777777">
            <w:pPr>
              <w:tabs>
                <w:tab w:val="center" w:pos="4680"/>
              </w:tabs>
              <w:suppressAutoHyphens/>
              <w:rPr>
                <w:b/>
                <w:spacing w:val="-2"/>
              </w:rPr>
            </w:pPr>
            <w:r>
              <w:rPr>
                <w:b/>
                <w:spacing w:val="-2"/>
              </w:rPr>
              <w:t>)</w:t>
            </w:r>
          </w:p>
          <w:p w:rsidR="00017CBB" w:rsidP="00665280" w14:paraId="490277A7" w14:textId="77777777">
            <w:pPr>
              <w:tabs>
                <w:tab w:val="center" w:pos="4680"/>
              </w:tabs>
              <w:suppressAutoHyphens/>
              <w:rPr>
                <w:b/>
                <w:spacing w:val="-2"/>
              </w:rPr>
            </w:pPr>
            <w:r>
              <w:rPr>
                <w:b/>
                <w:spacing w:val="-2"/>
              </w:rPr>
              <w:t>)</w:t>
            </w:r>
          </w:p>
          <w:p w:rsidR="00017CBB" w:rsidP="00665280" w14:paraId="7EB51F06" w14:textId="77777777">
            <w:pPr>
              <w:tabs>
                <w:tab w:val="center" w:pos="4680"/>
              </w:tabs>
              <w:suppressAutoHyphens/>
              <w:rPr>
                <w:b/>
                <w:spacing w:val="-2"/>
              </w:rPr>
            </w:pPr>
            <w:r>
              <w:rPr>
                <w:b/>
                <w:spacing w:val="-2"/>
              </w:rPr>
              <w:t>)</w:t>
            </w:r>
          </w:p>
          <w:p w:rsidR="00017CBB" w:rsidP="00665280" w14:paraId="057435D3" w14:textId="77777777">
            <w:pPr>
              <w:tabs>
                <w:tab w:val="center" w:pos="4680"/>
              </w:tabs>
              <w:suppressAutoHyphens/>
              <w:rPr>
                <w:b/>
                <w:spacing w:val="-2"/>
              </w:rPr>
            </w:pPr>
            <w:r>
              <w:rPr>
                <w:b/>
                <w:spacing w:val="-2"/>
              </w:rPr>
              <w:t>)</w:t>
            </w:r>
          </w:p>
          <w:p w:rsidR="00017CBB" w:rsidP="00665280" w14:paraId="564190E1" w14:textId="77777777">
            <w:pPr>
              <w:tabs>
                <w:tab w:val="center" w:pos="4680"/>
              </w:tabs>
              <w:suppressAutoHyphens/>
              <w:rPr>
                <w:b/>
                <w:spacing w:val="-2"/>
              </w:rPr>
            </w:pPr>
            <w:r>
              <w:rPr>
                <w:b/>
                <w:spacing w:val="-2"/>
              </w:rPr>
              <w:t>)</w:t>
            </w:r>
          </w:p>
          <w:p w:rsidR="00017CBB" w:rsidP="00665280" w14:paraId="2C5FEE8B" w14:textId="77777777">
            <w:pPr>
              <w:tabs>
                <w:tab w:val="center" w:pos="4680"/>
              </w:tabs>
              <w:suppressAutoHyphens/>
              <w:rPr>
                <w:spacing w:val="-2"/>
              </w:rPr>
            </w:pPr>
          </w:p>
        </w:tc>
        <w:tc>
          <w:tcPr>
            <w:tcW w:w="4248" w:type="dxa"/>
          </w:tcPr>
          <w:p w:rsidR="00017CBB" w:rsidP="00665280" w14:paraId="774F0610" w14:textId="77777777">
            <w:pPr>
              <w:tabs>
                <w:tab w:val="center" w:pos="4680"/>
              </w:tabs>
              <w:suppressAutoHyphens/>
              <w:rPr>
                <w:spacing w:val="-2"/>
              </w:rPr>
            </w:pPr>
          </w:p>
          <w:p w:rsidR="00017CBB" w:rsidP="00665280" w14:paraId="2DA87D2A" w14:textId="77777777">
            <w:pPr>
              <w:pStyle w:val="TOAHeading"/>
              <w:tabs>
                <w:tab w:val="center" w:pos="4680"/>
                <w:tab w:val="clear" w:pos="9360"/>
              </w:tabs>
              <w:rPr>
                <w:spacing w:val="-2"/>
              </w:rPr>
            </w:pPr>
          </w:p>
          <w:p w:rsidR="00017CBB" w:rsidP="00665280" w14:paraId="33D676B8" w14:textId="77777777">
            <w:pPr>
              <w:tabs>
                <w:tab w:val="center" w:pos="4680"/>
              </w:tabs>
              <w:suppressAutoHyphens/>
              <w:rPr>
                <w:spacing w:val="-2"/>
              </w:rPr>
            </w:pPr>
            <w:r>
              <w:rPr>
                <w:spacing w:val="-2"/>
              </w:rPr>
              <w:t>WC Docket No. 10-90</w:t>
            </w:r>
          </w:p>
          <w:p w:rsidR="00017CBB" w:rsidP="00665280" w14:paraId="45954F1B" w14:textId="77777777">
            <w:pPr>
              <w:tabs>
                <w:tab w:val="center" w:pos="4680"/>
              </w:tabs>
              <w:suppressAutoHyphens/>
              <w:rPr>
                <w:spacing w:val="-2"/>
              </w:rPr>
            </w:pPr>
          </w:p>
          <w:p w:rsidR="00017CBB" w:rsidP="00665280" w14:paraId="0C08859F" w14:textId="77777777">
            <w:pPr>
              <w:tabs>
                <w:tab w:val="center" w:pos="4680"/>
              </w:tabs>
              <w:suppressAutoHyphens/>
              <w:rPr>
                <w:spacing w:val="-2"/>
              </w:rPr>
            </w:pPr>
            <w:r>
              <w:rPr>
                <w:spacing w:val="-2"/>
              </w:rPr>
              <w:t>AU Docket No. 17-182</w:t>
            </w:r>
          </w:p>
        </w:tc>
      </w:tr>
      <w:tr w14:paraId="62C8CC72" w14:textId="77777777" w:rsidTr="00665280">
        <w:tblPrEx>
          <w:tblW w:w="0" w:type="auto"/>
          <w:tblLayout w:type="fixed"/>
          <w:tblLook w:val="0000"/>
        </w:tblPrEx>
        <w:tc>
          <w:tcPr>
            <w:tcW w:w="4698" w:type="dxa"/>
          </w:tcPr>
          <w:p w:rsidR="00017CBB" w:rsidP="00665280" w14:paraId="5943E4FB" w14:textId="77777777">
            <w:pPr>
              <w:tabs>
                <w:tab w:val="center" w:pos="4680"/>
              </w:tabs>
              <w:suppressAutoHyphens/>
              <w:rPr>
                <w:spacing w:val="-2"/>
              </w:rPr>
            </w:pPr>
          </w:p>
        </w:tc>
        <w:tc>
          <w:tcPr>
            <w:tcW w:w="630" w:type="dxa"/>
          </w:tcPr>
          <w:p w:rsidR="00017CBB" w:rsidP="00665280" w14:paraId="1CB45358" w14:textId="77777777">
            <w:pPr>
              <w:tabs>
                <w:tab w:val="center" w:pos="4680"/>
              </w:tabs>
              <w:suppressAutoHyphens/>
              <w:rPr>
                <w:b/>
                <w:spacing w:val="-2"/>
              </w:rPr>
            </w:pPr>
          </w:p>
        </w:tc>
        <w:tc>
          <w:tcPr>
            <w:tcW w:w="4248" w:type="dxa"/>
          </w:tcPr>
          <w:p w:rsidR="00017CBB" w:rsidP="00665280" w14:paraId="4CEE087F" w14:textId="77777777">
            <w:pPr>
              <w:tabs>
                <w:tab w:val="center" w:pos="4680"/>
              </w:tabs>
              <w:suppressAutoHyphens/>
              <w:rPr>
                <w:spacing w:val="-2"/>
              </w:rPr>
            </w:pPr>
          </w:p>
        </w:tc>
      </w:tr>
    </w:tbl>
    <w:p w:rsidR="00017CBB" w:rsidP="00017CBB" w14:paraId="6D325A8D" w14:textId="77777777">
      <w:pPr>
        <w:pStyle w:val="StyleBoldCentered"/>
      </w:pPr>
      <w:r>
        <w:t>Order</w:t>
      </w:r>
    </w:p>
    <w:p w:rsidR="00017CBB" w:rsidP="00017CBB" w14:paraId="3FC8D42D" w14:textId="77777777">
      <w:pPr>
        <w:tabs>
          <w:tab w:val="left" w:pos="-720"/>
        </w:tabs>
        <w:suppressAutoHyphens/>
        <w:spacing w:line="227" w:lineRule="auto"/>
        <w:rPr>
          <w:spacing w:val="-2"/>
        </w:rPr>
      </w:pPr>
    </w:p>
    <w:p w:rsidR="00017CBB" w:rsidP="00017CBB" w14:paraId="16808D0E" w14:textId="0C20C154">
      <w:pPr>
        <w:tabs>
          <w:tab w:val="left" w:pos="720"/>
          <w:tab w:val="right" w:pos="9360"/>
        </w:tabs>
        <w:suppressAutoHyphens/>
        <w:spacing w:line="227" w:lineRule="auto"/>
        <w:rPr>
          <w:spacing w:val="-2"/>
        </w:rPr>
      </w:pPr>
      <w:r>
        <w:rPr>
          <w:b/>
          <w:spacing w:val="-2"/>
        </w:rPr>
        <w:t xml:space="preserve">Adopted:  </w:t>
      </w:r>
      <w:r w:rsidR="00EC6F54">
        <w:rPr>
          <w:b/>
          <w:spacing w:val="-2"/>
        </w:rPr>
        <w:t>June 12, 2020</w:t>
      </w:r>
      <w:r>
        <w:rPr>
          <w:b/>
          <w:spacing w:val="-2"/>
        </w:rPr>
        <w:tab/>
        <w:t xml:space="preserve">Released:  </w:t>
      </w:r>
      <w:r w:rsidR="00EC6F54">
        <w:rPr>
          <w:b/>
          <w:spacing w:val="-2"/>
        </w:rPr>
        <w:t>June 12, 2020</w:t>
      </w:r>
    </w:p>
    <w:p w:rsidR="00017CBB" w:rsidP="00017CBB" w14:paraId="5CB0093B" w14:textId="77777777"/>
    <w:p w:rsidR="00017CBB" w:rsidP="00017CBB" w14:paraId="685F10A5" w14:textId="77777777">
      <w:pPr>
        <w:rPr>
          <w:spacing w:val="-2"/>
        </w:rPr>
      </w:pPr>
      <w:r>
        <w:t xml:space="preserve">By the Chief, </w:t>
      </w:r>
      <w:r>
        <w:rPr>
          <w:spacing w:val="-2"/>
        </w:rPr>
        <w:t>Wireline Competition Bureau:</w:t>
      </w:r>
    </w:p>
    <w:p w:rsidR="00017CBB" w:rsidP="00017CBB" w14:paraId="220E7F95" w14:textId="77777777">
      <w:pPr>
        <w:rPr>
          <w:spacing w:val="-2"/>
        </w:rPr>
      </w:pPr>
    </w:p>
    <w:p w:rsidR="00017CBB" w:rsidP="00017CBB" w14:paraId="2141315A" w14:textId="77777777">
      <w:pPr>
        <w:pStyle w:val="Heading1"/>
      </w:pPr>
      <w:r>
        <w:t>Introduc</w:t>
      </w:r>
      <w:r w:rsidRPr="00133C02">
        <w:t>tion</w:t>
      </w:r>
    </w:p>
    <w:p w:rsidR="00017CBB" w:rsidRPr="00C9299B" w:rsidP="00017CBB" w14:paraId="5D0F0257" w14:textId="77777777">
      <w:pPr>
        <w:pStyle w:val="ParaNum"/>
      </w:pPr>
      <w:r w:rsidRPr="00133C02">
        <w:t>In this</w:t>
      </w:r>
      <w:r>
        <w:t xml:space="preserve"> Order, the Wireline Competition Bureau (Bureau), in conjunction with the Rural Broadband Auctions Task Force and the Office of Economics and Analytics, partially grants </w:t>
      </w:r>
      <w:r>
        <w:t>Redwire</w:t>
      </w:r>
      <w:r>
        <w:t xml:space="preserve"> Inc.’s (</w:t>
      </w:r>
      <w:r>
        <w:t>Redwire</w:t>
      </w:r>
      <w:r>
        <w:t>) petition for waiver of the letter of credit requirement for the Connect America Fund Phase II auction (Auction 903), limited to the first twelve months of its support term.</w:t>
      </w:r>
      <w:r>
        <w:rPr>
          <w:rStyle w:val="FootnoteReference"/>
        </w:rPr>
        <w:footnoteReference w:id="3"/>
      </w:r>
      <w:r>
        <w:t xml:space="preserve">  </w:t>
      </w:r>
      <w:bookmarkStart w:id="1" w:name="_Hlk36464921"/>
      <w:r>
        <w:t>Redwire</w:t>
      </w:r>
      <w:r>
        <w:t xml:space="preserve">, an Auction 903 winning bidder formed for the purpose of participating in Auction 903 to provide services to its members in North Central Oklahoma, is a corporation wholly owned by the Otoe-Missouria Tribe of Oklahoma (Tribe).  </w:t>
      </w:r>
      <w:r w:rsidRPr="00C9299B">
        <w:rPr>
          <w:bCs/>
        </w:rPr>
        <w:t>In addition,</w:t>
      </w:r>
      <w:r>
        <w:rPr>
          <w:bCs/>
        </w:rPr>
        <w:t xml:space="preserve"> we grant Fond Du Lac Communications, Inc.’s (Fond Du Lac) petition for waiver of the letter of credit deadline for Auction 903.</w:t>
      </w:r>
      <w:r>
        <w:rPr>
          <w:rStyle w:val="FootnoteReference"/>
          <w:bCs/>
        </w:rPr>
        <w:footnoteReference w:id="4"/>
      </w:r>
      <w:r>
        <w:rPr>
          <w:bCs/>
        </w:rPr>
        <w:t xml:space="preserve">  </w:t>
      </w:r>
      <w:r>
        <w:rPr>
          <w:iCs/>
        </w:rPr>
        <w:t>Fond du Lac, another Auction 903 winner, is owned by the Fond du Lac Band of Lake Superior Chippewa.  Both petitioners will be authorized to receive Auction 903 support in separate public notices.</w:t>
      </w:r>
      <w:r w:rsidRPr="00E10CA9">
        <w:rPr>
          <w:b/>
        </w:rPr>
        <w:t xml:space="preserve"> </w:t>
      </w:r>
    </w:p>
    <w:bookmarkEnd w:id="1"/>
    <w:p w:rsidR="00017CBB" w:rsidP="00017CBB" w14:paraId="23D9A9BC" w14:textId="77777777">
      <w:pPr>
        <w:pStyle w:val="Heading1"/>
      </w:pPr>
      <w:r>
        <w:t>Background</w:t>
      </w:r>
    </w:p>
    <w:p w:rsidR="00017CBB" w:rsidRPr="00DE1A79" w:rsidP="00017CBB" w14:paraId="70515AE0" w14:textId="77777777">
      <w:pPr>
        <w:pStyle w:val="ParaNum"/>
      </w:pPr>
      <w:r>
        <w:t>The Commission requires that before being authorized to receive support awarded by Auction 903, an applicant must obtain a letter of credit issued by a qualified bank to protect the public’s funds.</w:t>
      </w:r>
      <w:r>
        <w:rPr>
          <w:rStyle w:val="FootnoteReference"/>
        </w:rPr>
        <w:footnoteReference w:id="5"/>
      </w:r>
      <w:r>
        <w:t xml:space="preserve">  Once Commission staff announces that an auction winner’s long-form application is complete and the applicant is ready to be authorized, the applicant then has 10 business days to submit a letter of credit meeting the Commission’s requirements that covers the first year of support and an attorney bankruptcy opinion letter.</w:t>
      </w:r>
      <w:r>
        <w:rPr>
          <w:rStyle w:val="FootnoteReference"/>
        </w:rPr>
        <w:footnoteReference w:id="6"/>
      </w:r>
      <w:r>
        <w:t xml:space="preserve">  </w:t>
      </w:r>
    </w:p>
    <w:p w:rsidR="00017CBB" w:rsidP="00017CBB" w14:paraId="7C182B72" w14:textId="77777777">
      <w:pPr>
        <w:pStyle w:val="ParaNum"/>
      </w:pPr>
      <w:r>
        <w:rPr>
          <w:i/>
        </w:rPr>
        <w:t>Redwire’s</w:t>
      </w:r>
      <w:r>
        <w:rPr>
          <w:i/>
        </w:rPr>
        <w:t xml:space="preserve"> Petition</w:t>
      </w:r>
      <w:r>
        <w:t xml:space="preserve">.  </w:t>
      </w:r>
      <w:r>
        <w:t>Redwire</w:t>
      </w:r>
      <w:r>
        <w:t>, a Tribally owned provider, participated in Auction 903 and was found ready to authorize on March 5, 2020 for $</w:t>
      </w:r>
      <w:r w:rsidRPr="008926E4">
        <w:t>4</w:t>
      </w:r>
      <w:r>
        <w:t>,</w:t>
      </w:r>
      <w:r w:rsidRPr="008926E4">
        <w:t>766</w:t>
      </w:r>
      <w:r>
        <w:t>,</w:t>
      </w:r>
      <w:r w:rsidRPr="008926E4">
        <w:t>845.6</w:t>
      </w:r>
      <w:r>
        <w:t>0 in total to serve 8,041 locations in Oklahoma for ten years.</w:t>
      </w:r>
      <w:r>
        <w:rPr>
          <w:rStyle w:val="FootnoteReference"/>
        </w:rPr>
        <w:footnoteReference w:id="7"/>
      </w:r>
      <w:r>
        <w:t xml:space="preserve">  </w:t>
      </w:r>
      <w:r>
        <w:t>Redwire</w:t>
      </w:r>
      <w:r>
        <w:t xml:space="preserve"> initially requested a 30-day extension of the March 19, 2020 deadline to </w:t>
      </w:r>
      <w:r w:rsidRPr="00A21944">
        <w:t>submit its letter of</w:t>
      </w:r>
      <w:r>
        <w:t xml:space="preserve"> </w:t>
      </w:r>
      <w:r w:rsidRPr="00A21944">
        <w:t xml:space="preserve">credit and bankruptcy opinion letter to </w:t>
      </w:r>
      <w:r>
        <w:t xml:space="preserve">the Universal Service Administrative </w:t>
      </w:r>
      <w:r>
        <w:t>Company.</w:t>
      </w:r>
      <w:r>
        <w:rPr>
          <w:rStyle w:val="FootnoteReference"/>
        </w:rPr>
        <w:footnoteReference w:id="8"/>
      </w:r>
      <w:r>
        <w:t xml:space="preserve">  </w:t>
      </w:r>
      <w:r>
        <w:t>Redwire</w:t>
      </w:r>
      <w:r>
        <w:t xml:space="preserve"> explained that it would not be able to meet the March 19, 2020 deadline due to “[focusing] on the urgent needs of the Tribe’s members during the coronavirus pandemic</w:t>
      </w:r>
      <w:r w:rsidRPr="005044A9">
        <w:t>.</w:t>
      </w:r>
      <w:r>
        <w:t>”</w:t>
      </w:r>
      <w:r>
        <w:rPr>
          <w:rStyle w:val="FootnoteReference"/>
        </w:rPr>
        <w:footnoteReference w:id="9"/>
      </w:r>
      <w:r>
        <w:t xml:space="preserve">  However, on April 20, 2020, </w:t>
      </w:r>
      <w:r>
        <w:t>Redwire</w:t>
      </w:r>
      <w:r>
        <w:t xml:space="preserve"> filed another petition for waiver requesting a permanent waiver of the letter of credit requirement for Auction 903, stating that since the filing of the earlier waiver request the “</w:t>
      </w:r>
      <w:r w:rsidRPr="0008400B">
        <w:t xml:space="preserve">conditions </w:t>
      </w:r>
      <w:r>
        <w:t>[of]</w:t>
      </w:r>
      <w:r w:rsidRPr="0008400B">
        <w:t xml:space="preserve"> the Tribe and </w:t>
      </w:r>
      <w:r w:rsidRPr="0008400B">
        <w:t>Redwire</w:t>
      </w:r>
      <w:r w:rsidRPr="0008400B">
        <w:t xml:space="preserve"> have</w:t>
      </w:r>
      <w:r>
        <w:t xml:space="preserve"> </w:t>
      </w:r>
      <w:r w:rsidRPr="0008400B">
        <w:t>deteriorated rapidly and precipitously</w:t>
      </w:r>
      <w:r>
        <w:t>.”</w:t>
      </w:r>
      <w:r>
        <w:rPr>
          <w:rStyle w:val="FootnoteReference"/>
        </w:rPr>
        <w:footnoteReference w:id="10"/>
      </w:r>
    </w:p>
    <w:p w:rsidR="00017CBB" w:rsidP="00017CBB" w14:paraId="4647C028" w14:textId="77777777">
      <w:pPr>
        <w:pStyle w:val="ParaNum"/>
      </w:pPr>
      <w:r>
        <w:rPr>
          <w:i/>
        </w:rPr>
        <w:t xml:space="preserve">Fond du Lac’s Petition.  </w:t>
      </w:r>
      <w:r>
        <w:rPr>
          <w:iCs/>
        </w:rPr>
        <w:t xml:space="preserve">Fond du Lac, a Tribally owned provider, was found ready to authorize </w:t>
      </w:r>
      <w:r>
        <w:t>on May 4, 2020, for $55,010.80 in total to serve 13 locations in Minnesota for ten years.</w:t>
      </w:r>
      <w:r>
        <w:rPr>
          <w:rStyle w:val="FootnoteReference"/>
        </w:rPr>
        <w:footnoteReference w:id="11"/>
      </w:r>
      <w:r>
        <w:rPr>
          <w:iCs/>
        </w:rPr>
        <w:t xml:space="preserve">  </w:t>
      </w:r>
      <w:r>
        <w:t xml:space="preserve">Fond du Lac was then </w:t>
      </w:r>
      <w:r w:rsidRPr="00FB1424">
        <w:t xml:space="preserve">required to submit </w:t>
      </w:r>
      <w:r>
        <w:t>its</w:t>
      </w:r>
      <w:r w:rsidRPr="00FB1424">
        <w:t xml:space="preserve"> </w:t>
      </w:r>
      <w:r>
        <w:t xml:space="preserve">letter of credit </w:t>
      </w:r>
      <w:r w:rsidRPr="00A43BF7">
        <w:rPr>
          <w:bCs/>
        </w:rPr>
        <w:t>prior to 6:00 p.m. ET on Monday, May 18, 2020.</w:t>
      </w:r>
      <w:r>
        <w:rPr>
          <w:rStyle w:val="FootnoteReference"/>
          <w:bCs/>
        </w:rPr>
        <w:footnoteReference w:id="12"/>
      </w:r>
      <w:r>
        <w:rPr>
          <w:iCs/>
        </w:rPr>
        <w:t xml:space="preserve">  Fond du Lac claims that its bank, Wells Fargo, had processing issues due to the pandemic, causing the bank to not provide the letter of credit to Fond du Lac until May 19, 2020.</w:t>
      </w:r>
      <w:r>
        <w:rPr>
          <w:rStyle w:val="FootnoteReference"/>
          <w:iCs/>
        </w:rPr>
        <w:footnoteReference w:id="13"/>
      </w:r>
      <w:r>
        <w:rPr>
          <w:iCs/>
        </w:rPr>
        <w:t xml:space="preserve">  </w:t>
      </w:r>
      <w:r>
        <w:t>Once Fond Du Lac obtained its letter of credit, it submitted the letter of credit and bankruptcy opinion letter to the Commission on May 19, 2020, and to USAC on May 20, 2020, respectively.</w:t>
      </w:r>
      <w:r>
        <w:rPr>
          <w:rStyle w:val="FootnoteReference"/>
        </w:rPr>
        <w:footnoteReference w:id="14"/>
      </w:r>
      <w:r>
        <w:t xml:space="preserve">  Fond du Lac now seeks waiver of the May 18th deadline. </w:t>
      </w:r>
    </w:p>
    <w:p w:rsidR="00017CBB" w:rsidP="00017CBB" w14:paraId="49A38F3B" w14:textId="77777777">
      <w:pPr>
        <w:pStyle w:val="Heading1"/>
      </w:pPr>
      <w:r>
        <w:t>Discussion</w:t>
      </w:r>
    </w:p>
    <w:p w:rsidR="00017CBB" w:rsidP="00017CBB" w14:paraId="22BA95F7" w14:textId="77777777">
      <w:pPr>
        <w:pStyle w:val="ParaNum"/>
      </w:pPr>
      <w:r>
        <w:t>Generally, the Commission’s rules may be waived for good cause shown.</w:t>
      </w:r>
      <w:r>
        <w:rPr>
          <w:rStyle w:val="FootnoteReference"/>
        </w:rPr>
        <w:footnoteReference w:id="15"/>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6"/>
      </w:r>
      <w:r w:rsidRPr="00F6751B">
        <w:t xml:space="preserve">  </w:t>
      </w:r>
    </w:p>
    <w:p w:rsidR="00017CBB" w:rsidP="00017CBB" w14:paraId="6B17DBCD" w14:textId="77777777">
      <w:pPr>
        <w:pStyle w:val="ParaNum"/>
      </w:pPr>
      <w:r w:rsidRPr="00260C7F">
        <w:rPr>
          <w:i/>
          <w:iCs/>
        </w:rPr>
        <w:t>Redwire’s</w:t>
      </w:r>
      <w:r w:rsidRPr="00260C7F">
        <w:rPr>
          <w:i/>
          <w:iCs/>
        </w:rPr>
        <w:t xml:space="preserve"> Petition</w:t>
      </w:r>
      <w:r>
        <w:t xml:space="preserve">.  We find good cause to partially grant </w:t>
      </w:r>
      <w:r>
        <w:t>Redwire’s</w:t>
      </w:r>
      <w:r>
        <w:t xml:space="preserve"> petition for waiver.  Therefore, we waive the section 54.315(c) letter of credit requirement for the first year of </w:t>
      </w:r>
      <w:r>
        <w:t>Redwire’s</w:t>
      </w:r>
      <w:r>
        <w:t xml:space="preserve"> support term.  On our own motion, we then require </w:t>
      </w:r>
      <w:r>
        <w:t>Redwire</w:t>
      </w:r>
      <w:r>
        <w:t xml:space="preserve"> either to file a letter of credit prior to its second-year support term or request a further waiver of the letter of credit requirement for good cause shown. </w:t>
      </w:r>
    </w:p>
    <w:p w:rsidR="00017CBB" w:rsidP="00017CBB" w14:paraId="0D5834B9" w14:textId="77777777">
      <w:pPr>
        <w:pStyle w:val="ParaNum"/>
      </w:pPr>
      <w:r>
        <w:t xml:space="preserve">First, we find that special circumstances warrant deviation from the Commission’s letter of credit requirement for </w:t>
      </w:r>
      <w:r>
        <w:t>Redwire’s</w:t>
      </w:r>
      <w:r>
        <w:t xml:space="preserve"> first-year support term.  The Tribe’s principal livelihood encompasses the hospitality industry, including restaurants, casinos, and a hotel, which has severely suffered due to the pandemic.</w:t>
      </w:r>
      <w:r>
        <w:rPr>
          <w:rStyle w:val="FootnoteReference"/>
        </w:rPr>
        <w:footnoteReference w:id="17"/>
      </w:r>
      <w:r>
        <w:t xml:space="preserve">  The Tribe also owns an event center “which hosts top-name entertainment throughout the year” as well as a water park.</w:t>
      </w:r>
      <w:r>
        <w:rPr>
          <w:rStyle w:val="FootnoteReference"/>
        </w:rPr>
        <w:footnoteReference w:id="18"/>
      </w:r>
      <w:r>
        <w:t xml:space="preserve">  Oklahoma was under a state of emergency beginning March 22, 2020, requiring all non-essential citizens to stay home, harming the hospitality industry that provides a </w:t>
      </w:r>
      <w:r>
        <w:t>substantial source of revenue to the Tribe.</w:t>
      </w:r>
      <w:r>
        <w:rPr>
          <w:rStyle w:val="FootnoteReference"/>
        </w:rPr>
        <w:footnoteReference w:id="19"/>
      </w:r>
      <w:r>
        <w:t xml:space="preserve">  </w:t>
      </w:r>
      <w:r>
        <w:t>Redwire</w:t>
      </w:r>
      <w:r>
        <w:t xml:space="preserve"> explains that “the unprecedented and destructive financial impacts of the COVID-19 pandemic . . . have been devastating to the Tribe’s hospitality-based economy” resulting in its long-standing bank’s decision not to issue a letter of credit.</w:t>
      </w:r>
      <w:r>
        <w:rPr>
          <w:rStyle w:val="FootnoteReference"/>
        </w:rPr>
        <w:footnoteReference w:id="20"/>
      </w:r>
      <w:r>
        <w:t xml:space="preserve">  The Bank of Oklahoma stated that “[at this time] [the Tribe] does not have [enough] available on its revolving line of credit to fund an irrevocable stand-by letter of credit . . . due to the</w:t>
      </w:r>
      <w:r w:rsidRPr="004460B7">
        <w:t xml:space="preserve"> tribe’s</w:t>
      </w:r>
      <w:r>
        <w:t xml:space="preserve"> </w:t>
      </w:r>
      <w:r w:rsidRPr="004460B7">
        <w:t>financial hardship resulting from the closing of its casinos, hotels, and other public businesses</w:t>
      </w:r>
      <w:r>
        <w:t>.”</w:t>
      </w:r>
      <w:r>
        <w:rPr>
          <w:rStyle w:val="FootnoteReference"/>
        </w:rPr>
        <w:footnoteReference w:id="21"/>
      </w:r>
      <w:r>
        <w:t xml:space="preserve">  Moreover, the Tribe’s covenants with the Bank of Oklahoma prevent it from seeking a letter of credit from another bank.</w:t>
      </w:r>
      <w:r>
        <w:rPr>
          <w:rStyle w:val="FootnoteReference"/>
        </w:rPr>
        <w:footnoteReference w:id="22"/>
      </w:r>
    </w:p>
    <w:p w:rsidR="00017CBB" w:rsidP="00017CBB" w14:paraId="0BEB4A64" w14:textId="77777777">
      <w:pPr>
        <w:pStyle w:val="ParaNum"/>
      </w:pPr>
      <w:r>
        <w:t xml:space="preserve">Here, </w:t>
      </w:r>
      <w:r>
        <w:t>Redwire</w:t>
      </w:r>
      <w:r>
        <w:t xml:space="preserve"> engaged in good faith efforts to obtain a letter of credit for its first-year term of support for Auction 903.  However, the unprecedented pandemic’s impact on the hospitality industry, which uniquely impacts the Tribe and </w:t>
      </w:r>
      <w:r>
        <w:t>Redwire</w:t>
      </w:r>
      <w:r>
        <w:t xml:space="preserve">, unlike other winning bidders, has resulted in </w:t>
      </w:r>
      <w:r>
        <w:t>Redwire’s</w:t>
      </w:r>
      <w:r>
        <w:t xml:space="preserve"> inability to secure a letter of credit at this time.</w:t>
      </w:r>
      <w:r>
        <w:rPr>
          <w:rStyle w:val="FootnoteReference"/>
        </w:rPr>
        <w:footnoteReference w:id="23"/>
      </w:r>
      <w:r>
        <w:t xml:space="preserve">  Accordingly, </w:t>
      </w:r>
      <w:r w:rsidRPr="00880A3E">
        <w:t>the unp</w:t>
      </w:r>
      <w:r>
        <w:t xml:space="preserve">aralleled economic crisis diminishing the Tribe’s livelihood presents special circumstances for this Tribe, making it impossible for </w:t>
      </w:r>
      <w:r>
        <w:t>Redwire</w:t>
      </w:r>
      <w:r>
        <w:t xml:space="preserve"> to obtain a letter of credit for the first year of its term of support.  </w:t>
      </w:r>
    </w:p>
    <w:p w:rsidR="00017CBB" w:rsidP="00017CBB" w14:paraId="5C91A61C" w14:textId="77777777">
      <w:pPr>
        <w:pStyle w:val="ParaNum"/>
      </w:pPr>
      <w:r>
        <w:t xml:space="preserve">Second, we find that it serves the public interest to partially grant </w:t>
      </w:r>
      <w:r>
        <w:t>Redwire’s</w:t>
      </w:r>
      <w:r>
        <w:t xml:space="preserve"> waiver petition.  Tribal communities are having to adjust to the burdens and restrictions imposed by the coronavirus pandemic while also facing challenges caused by the digital divide.  </w:t>
      </w:r>
      <w:bookmarkStart w:id="2" w:name="_Hlk8395483"/>
      <w:r>
        <w:t>In light of the uncertainty surrounding the spread and impacts of the coronavirus, we conclude that it will serve the public interest to waive the letter of credit requirement for the first year of support for a Tribal applicant that has otherwise substantially complied with application requirements and has expressed a willingness to serve the consumers in its winning bid areas.</w:t>
      </w:r>
      <w:bookmarkEnd w:id="2"/>
      <w:r>
        <w:rPr>
          <w:rStyle w:val="FootnoteReference"/>
        </w:rPr>
        <w:footnoteReference w:id="24"/>
      </w:r>
      <w:r>
        <w:t xml:space="preserve">  Had we found </w:t>
      </w:r>
      <w:r>
        <w:t>Redwire</w:t>
      </w:r>
      <w:r>
        <w:t xml:space="preserve"> in default for not securing a letter of credit despite its efforts to do so prior to the onset of the pandemic, we may have precluded an otherwise qualified Tribal applicant from being authorized to receive support, delaying the provision of voice and broadband service in these areas.</w:t>
      </w:r>
      <w:r>
        <w:rPr>
          <w:rStyle w:val="FootnoteReference"/>
        </w:rPr>
        <w:footnoteReference w:id="25"/>
      </w:r>
      <w:r>
        <w:t xml:space="preserve">  </w:t>
      </w:r>
    </w:p>
    <w:p w:rsidR="00017CBB" w:rsidP="00017CBB" w14:paraId="5A9E5A76" w14:textId="77777777">
      <w:pPr>
        <w:pStyle w:val="ParaNum"/>
        <w:widowControl/>
      </w:pPr>
      <w:r>
        <w:t>Redwire</w:t>
      </w:r>
      <w:r>
        <w:t xml:space="preserve"> has also requested a permanent waiver of the letter of credit deadline as it “</w:t>
      </w:r>
      <w:r w:rsidRPr="001553BE">
        <w:t>is not optimistic that it can obtain a letter of</w:t>
      </w:r>
      <w:r>
        <w:t xml:space="preserve"> </w:t>
      </w:r>
      <w:r w:rsidRPr="001553BE">
        <w:t>credit in the near or long term</w:t>
      </w:r>
      <w:r>
        <w:t>.”</w:t>
      </w:r>
      <w:r>
        <w:rPr>
          <w:rStyle w:val="FootnoteReference"/>
        </w:rPr>
        <w:footnoteReference w:id="26"/>
      </w:r>
      <w:r>
        <w:t xml:space="preserve">  </w:t>
      </w:r>
      <w:r>
        <w:t>Redwire</w:t>
      </w:r>
      <w:r>
        <w:t xml:space="preserve"> claims it will take “several months or longer to </w:t>
      </w:r>
      <w:r w:rsidRPr="003A084F">
        <w:t>establish</w:t>
      </w:r>
      <w:r>
        <w:t xml:space="preserve"> [the Tribe’s]</w:t>
      </w:r>
      <w:r w:rsidRPr="003A084F">
        <w:t xml:space="preserve"> revenue base, and even then, banks </w:t>
      </w:r>
      <w:r>
        <w:t>are likely to provide credit for other projects.”</w:t>
      </w:r>
      <w:r>
        <w:rPr>
          <w:rStyle w:val="FootnoteReference"/>
        </w:rPr>
        <w:footnoteReference w:id="27"/>
      </w:r>
      <w:r>
        <w:t xml:space="preserve">  At this time, during the ongoing pandemic, we find it is in the public interest to allow </w:t>
      </w:r>
      <w:r>
        <w:t>Redwire</w:t>
      </w:r>
      <w:r>
        <w:t xml:space="preserve"> to begin receiving support to deploy to the more than 8,000 unserved Tribal locations in its awarded area without the security of a letter of credit.</w:t>
      </w:r>
      <w:r>
        <w:rPr>
          <w:rStyle w:val="FootnoteReference"/>
        </w:rPr>
        <w:footnoteReference w:id="28"/>
      </w:r>
      <w:r>
        <w:t xml:space="preserve">  Given the uncertainty about the timing of an economic recovery, however, we do not find it prudent to relieve </w:t>
      </w:r>
      <w:r>
        <w:t>Redwire</w:t>
      </w:r>
      <w:r>
        <w:t xml:space="preserve"> of its letter of credit requirement for the entirety of its deployment term.  Thus, we direct </w:t>
      </w:r>
      <w:r>
        <w:t>Redwire</w:t>
      </w:r>
      <w:r>
        <w:t xml:space="preserve"> to keep the Bureau apprised quarterly of its situation and to make every effort to secure a letter of credit going </w:t>
      </w:r>
      <w:r>
        <w:t>forward..</w:t>
      </w:r>
      <w:r>
        <w:t xml:space="preserve">  </w:t>
      </w:r>
    </w:p>
    <w:p w:rsidR="00017CBB" w:rsidP="00017CBB" w14:paraId="080135FD" w14:textId="77777777">
      <w:pPr>
        <w:pStyle w:val="ParaNum"/>
      </w:pPr>
      <w:r w:rsidRPr="00260C7F">
        <w:rPr>
          <w:i/>
          <w:iCs/>
        </w:rPr>
        <w:t>Fond du Lac’s Petition</w:t>
      </w:r>
      <w:r>
        <w:t xml:space="preserve">.  We find good cause to grant Fond du Lac’s petition for waiver and we waive the May 18, 2020 deadline for letter of credit and accept Fond du Lac’s May 20, 2020 letter of credit as timely filed.  </w:t>
      </w:r>
    </w:p>
    <w:p w:rsidR="00017CBB" w:rsidP="00017CBB" w14:paraId="3180EB93" w14:textId="77777777">
      <w:pPr>
        <w:pStyle w:val="ParaNum"/>
        <w:widowControl/>
      </w:pPr>
      <w:r>
        <w:t xml:space="preserve">First, we find that special circumstances warrant deviation from the Commission’s letter of credit deadline.  </w:t>
      </w:r>
      <w:r w:rsidRPr="0012579F">
        <w:t>For Auction 903 and in the context of other auctions, Commission bureaus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29"/>
      </w:r>
      <w:r w:rsidRPr="0012579F">
        <w:t xml:space="preserve">  Here, </w:t>
      </w:r>
      <w:r>
        <w:t>Fond du Lac’s</w:t>
      </w:r>
      <w:r w:rsidRPr="0012579F">
        <w:t xml:space="preserve"> letter of credit had been </w:t>
      </w:r>
      <w:r>
        <w:t xml:space="preserve">delayed </w:t>
      </w:r>
      <w:r w:rsidRPr="0012579F">
        <w:t>due to the bank</w:t>
      </w:r>
      <w:r>
        <w:t xml:space="preserve"> encountering processing issues because of the pandemic</w:t>
      </w:r>
      <w:r w:rsidRPr="0012579F">
        <w:t>.</w:t>
      </w:r>
      <w:r>
        <w:rPr>
          <w:rStyle w:val="FootnoteReference"/>
        </w:rPr>
        <w:footnoteReference w:id="30"/>
      </w:r>
      <w:r w:rsidRPr="0012579F">
        <w:t xml:space="preserve">  Even though </w:t>
      </w:r>
      <w:r>
        <w:t>Fond du Lac</w:t>
      </w:r>
      <w:r w:rsidRPr="0012579F">
        <w:t xml:space="preserve"> missed the </w:t>
      </w:r>
      <w:r>
        <w:t>May 18,</w:t>
      </w:r>
      <w:r w:rsidRPr="0012579F">
        <w:t xml:space="preserve"> 2020 deadline</w:t>
      </w:r>
      <w:r>
        <w:t xml:space="preserve"> by two business days</w:t>
      </w:r>
      <w:r w:rsidRPr="0012579F">
        <w:t xml:space="preserve">, the bank’s </w:t>
      </w:r>
      <w:r>
        <w:t>delay</w:t>
      </w:r>
      <w:r w:rsidRPr="0012579F">
        <w:t xml:space="preserve"> did not </w:t>
      </w:r>
      <w:r>
        <w:t>postpone</w:t>
      </w:r>
      <w:r w:rsidRPr="0012579F">
        <w:t xml:space="preserve"> the Commission’s auction process or the provision of voice and broadband service to consumers living in the areas where </w:t>
      </w:r>
      <w:r>
        <w:t>Fond du Lac</w:t>
      </w:r>
      <w:r w:rsidRPr="0012579F">
        <w:t xml:space="preserve"> was awarded support.</w:t>
      </w:r>
      <w:r>
        <w:rPr>
          <w:rStyle w:val="FootnoteReference"/>
        </w:rPr>
        <w:footnoteReference w:id="31"/>
      </w:r>
      <w:r>
        <w:t xml:space="preserve">  Indeed, we expect to authorize Fond du Lac in the first authorization public notice since its letter of credit deadline.</w:t>
      </w:r>
    </w:p>
    <w:p w:rsidR="00017CBB" w:rsidP="00017CBB" w14:paraId="39DA36E0" w14:textId="77777777">
      <w:pPr>
        <w:pStyle w:val="ParaNum"/>
        <w:widowControl/>
      </w:pPr>
      <w:r w:rsidRPr="0012579F">
        <w:t xml:space="preserve">Second, we find that it serves the public interest to grant </w:t>
      </w:r>
      <w:r>
        <w:t>Fond du Lac</w:t>
      </w:r>
      <w:r w:rsidRPr="0012579F">
        <w:t xml:space="preserve">’s waiver petition.  </w:t>
      </w:r>
      <w:r>
        <w:t>T</w:t>
      </w:r>
      <w:r w:rsidRPr="0012579F">
        <w:t>he Commission adopted the requirement for a standby irrevocable letter of credit due within 10 business days after the Bureau announced that it was ready to authorize a provisionally selected bidder to receive support, in order to “[accomplish] our role as stewards of the public’s funds by securing our financial commitment to provide Connect America support in the auction context.”</w:t>
      </w:r>
      <w:r>
        <w:rPr>
          <w:rStyle w:val="FootnoteReference"/>
        </w:rPr>
        <w:footnoteReference w:id="32"/>
      </w:r>
      <w:r w:rsidRPr="0012579F">
        <w:t xml:space="preserve">  Notwithstanding the </w:t>
      </w:r>
      <w:r>
        <w:t xml:space="preserve">brief </w:t>
      </w:r>
      <w:r w:rsidRPr="0012579F">
        <w:t xml:space="preserve">delay in submitting the letter of credit to the Commission and USAC, Commission staff and USAC were able to fully evaluate </w:t>
      </w:r>
      <w:r>
        <w:t>Fond du Lac</w:t>
      </w:r>
      <w:r w:rsidRPr="0012579F">
        <w:t>’s qualifications in a timely fashion.  We conclude that it will serve the public</w:t>
      </w:r>
      <w:r>
        <w:t xml:space="preserve"> </w:t>
      </w:r>
      <w:r w:rsidRPr="0012579F">
        <w:t xml:space="preserve">interest as </w:t>
      </w:r>
      <w:r>
        <w:t>Fond du Lac</w:t>
      </w:r>
      <w:r w:rsidRPr="0012579F">
        <w:t xml:space="preserve"> has otherwise substantially complied with the application deadlines, has expressed a willingness to serve consumers in its winning bid areas, and has provided the required assurance through its letter of credit that will protect the public’s funds.  Had we found </w:t>
      </w:r>
      <w:r>
        <w:t>Fond du Lac</w:t>
      </w:r>
      <w:r w:rsidRPr="0012579F">
        <w:t xml:space="preserve"> in default for missing the deadline, we may have precluded an otherwise qualified applicant from being authorized to receive support, delaying the provision of voice and broadband service in these</w:t>
      </w:r>
      <w:r>
        <w:t xml:space="preserve"> Tribal</w:t>
      </w:r>
      <w:r w:rsidRPr="0012579F">
        <w:t xml:space="preserve"> areas.</w:t>
      </w:r>
      <w:r>
        <w:rPr>
          <w:rStyle w:val="FootnoteReference"/>
        </w:rPr>
        <w:footnoteReference w:id="33"/>
      </w:r>
      <w:r w:rsidRPr="0012579F">
        <w:t xml:space="preserve">  </w:t>
      </w:r>
    </w:p>
    <w:p w:rsidR="00017CBB" w:rsidRPr="0019242C" w:rsidP="00017CBB" w14:paraId="03780C5D" w14:textId="77777777">
      <w:pPr>
        <w:pStyle w:val="Heading1"/>
        <w:widowControl/>
        <w:tabs>
          <w:tab w:val="num" w:pos="720"/>
        </w:tabs>
        <w:spacing w:after="220"/>
        <w:jc w:val="both"/>
      </w:pPr>
      <w:r w:rsidRPr="0019242C">
        <w:t>ORDERING CLAUSES</w:t>
      </w:r>
    </w:p>
    <w:p w:rsidR="00017CBB" w:rsidRPr="0019242C" w:rsidP="00017CBB" w14:paraId="2F7F0F39"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EC6F54" w:rsidP="00EC6F54" w14:paraId="5F45C388" w14:textId="77777777">
      <w:pPr>
        <w:pStyle w:val="ParaNum"/>
      </w:pPr>
      <w:r w:rsidRPr="0019242C">
        <w:t>IT IS FURTHER ORDERED that</w:t>
      </w:r>
      <w:r>
        <w:t xml:space="preserve"> the petition for waiver filed by </w:t>
      </w:r>
      <w:r>
        <w:t>Redwire</w:t>
      </w:r>
      <w:r>
        <w:t xml:space="preserve">, Inc. IS GRANTED </w:t>
      </w:r>
      <w:r w:rsidRPr="0019242C">
        <w:t>as described herein</w:t>
      </w:r>
      <w:r>
        <w:t>.</w:t>
      </w:r>
    </w:p>
    <w:p w:rsidR="00017CBB" w:rsidP="00EC6F54" w14:paraId="65928A30" w14:textId="7F9DAEBF">
      <w:pPr>
        <w:pStyle w:val="ParaNum"/>
      </w:pPr>
      <w:r>
        <w:t xml:space="preserve">IT IS FURTHER ORDERED that the petition for waiver filed by </w:t>
      </w:r>
      <w:r w:rsidRPr="00EC6F54">
        <w:rPr>
          <w:bCs/>
        </w:rPr>
        <w:t xml:space="preserve">Fond Du Lac Communications, Inc. </w:t>
      </w:r>
      <w:r>
        <w:t>IS GRANTED as described herein.</w:t>
      </w:r>
    </w:p>
    <w:p w:rsidR="00017CBB" w:rsidP="00017CBB" w14:paraId="41CC4B19" w14:textId="26322D5D">
      <w:pPr>
        <w:pStyle w:val="ParaNum"/>
      </w:pPr>
      <w:r w:rsidRPr="0019242C">
        <w:t>IT IS FURTHER ORDERED that, pursuant to section 1.102(b)(1) of the Commission’s rules, 47 CFR § 1.102(b)(1), this Order SHALL BE EFFECTIVE upon release.</w:t>
      </w:r>
    </w:p>
    <w:p w:rsidR="00017CBB" w:rsidP="0017296B" w14:paraId="3A983713" w14:textId="77777777">
      <w:r>
        <w:tab/>
      </w:r>
      <w:r>
        <w:tab/>
      </w:r>
      <w:r>
        <w:tab/>
      </w:r>
      <w:r>
        <w:tab/>
      </w:r>
      <w:r>
        <w:tab/>
      </w:r>
      <w:r>
        <w:tab/>
      </w:r>
    </w:p>
    <w:p w:rsidR="00017CBB" w:rsidP="00017CBB" w14:paraId="1C1AB174" w14:textId="6CA6159E">
      <w:pPr>
        <w:ind w:left="3600" w:firstLine="720"/>
      </w:pPr>
      <w:r>
        <w:t>FEDERAL COMMUNICATIONS COMMISSION</w:t>
      </w:r>
    </w:p>
    <w:p w:rsidR="00017CBB" w:rsidP="0017296B" w14:paraId="47166889" w14:textId="77777777"/>
    <w:p w:rsidR="00017CBB" w:rsidP="0017296B" w14:paraId="41B52EDB" w14:textId="77777777"/>
    <w:p w:rsidR="00017CBB" w:rsidP="0017296B" w14:paraId="5ED34E4A" w14:textId="77777777"/>
    <w:p w:rsidR="00017CBB" w:rsidP="0017296B" w14:paraId="6B6F58B4" w14:textId="77777777"/>
    <w:p w:rsidR="00017CBB" w:rsidRPr="0019242C" w:rsidP="00017CBB" w14:paraId="4F39F661" w14:textId="77777777">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017CBB" w:rsidRPr="0019242C" w:rsidP="00017CBB" w14:paraId="7DADB66F"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412FC5" w:rsidP="00EC6F54" w14:paraId="689ED23E" w14:textId="7E7EE180">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A436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C2E5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6F54" w14:paraId="1F5CB462" w14:textId="52CE95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911D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CBB" w14:paraId="5AA2D0B6" w14:textId="77777777">
      <w:r>
        <w:separator/>
      </w:r>
    </w:p>
  </w:footnote>
  <w:footnote w:type="continuationSeparator" w:id="1">
    <w:p w:rsidR="00017CBB" w:rsidP="00C721AC" w14:paraId="7AAA3CD6" w14:textId="77777777">
      <w:pPr>
        <w:spacing w:before="120"/>
        <w:rPr>
          <w:sz w:val="20"/>
        </w:rPr>
      </w:pPr>
      <w:r>
        <w:rPr>
          <w:sz w:val="20"/>
        </w:rPr>
        <w:t xml:space="preserve">(Continued from previous page)  </w:t>
      </w:r>
      <w:r>
        <w:rPr>
          <w:sz w:val="20"/>
        </w:rPr>
        <w:separator/>
      </w:r>
    </w:p>
  </w:footnote>
  <w:footnote w:type="continuationNotice" w:id="2">
    <w:p w:rsidR="00017CBB" w:rsidP="00C721AC" w14:paraId="6CC9418F" w14:textId="77777777">
      <w:pPr>
        <w:jc w:val="right"/>
        <w:rPr>
          <w:sz w:val="20"/>
        </w:rPr>
      </w:pPr>
      <w:r>
        <w:rPr>
          <w:sz w:val="20"/>
        </w:rPr>
        <w:t>(continued….)</w:t>
      </w:r>
    </w:p>
  </w:footnote>
  <w:footnote w:id="3">
    <w:p w:rsidR="00017CBB" w:rsidP="00017CBB" w14:paraId="19E8560F" w14:textId="77777777">
      <w:pPr>
        <w:pStyle w:val="FootnoteText"/>
      </w:pPr>
      <w:r>
        <w:rPr>
          <w:rStyle w:val="FootnoteReference"/>
        </w:rPr>
        <w:footnoteRef/>
      </w:r>
      <w:r>
        <w:t xml:space="preserve"> Petition for Waiver, AU Docket No. 17-182, WC Docket No. 10-90 (filed Apr. 20, 2020) (</w:t>
      </w:r>
      <w:r>
        <w:t>Redwire</w:t>
      </w:r>
      <w:r>
        <w:t xml:space="preserve"> April Petition).</w:t>
      </w:r>
    </w:p>
  </w:footnote>
  <w:footnote w:id="4">
    <w:p w:rsidR="00017CBB" w:rsidP="00017CBB" w14:paraId="013A2A56" w14:textId="77777777">
      <w:pPr>
        <w:pStyle w:val="FootnoteText"/>
      </w:pPr>
      <w:r>
        <w:rPr>
          <w:rStyle w:val="FootnoteReference"/>
        </w:rPr>
        <w:footnoteRef/>
      </w:r>
      <w:r>
        <w:t xml:space="preserve"> Petition for Waiver, AU Docket No. 17-182, WC Docket No. 10-90 (filed May 20, 2020) (Fond du Lac Petition).</w:t>
      </w:r>
    </w:p>
  </w:footnote>
  <w:footnote w:id="5">
    <w:p w:rsidR="00017CBB" w:rsidP="00017CBB" w14:paraId="2F76D127" w14:textId="77777777">
      <w:pPr>
        <w:pStyle w:val="FootnoteText"/>
      </w:pPr>
      <w:r>
        <w:rPr>
          <w:rStyle w:val="FootnoteReference"/>
        </w:rPr>
        <w:footnoteRef/>
      </w:r>
      <w:r>
        <w:t xml:space="preserve"> 47 CFR §§ 54.315(c); </w:t>
      </w:r>
      <w:r w:rsidRPr="00B03C2A">
        <w:rPr>
          <w:i/>
          <w:iCs/>
        </w:rPr>
        <w:t>Connect America Fund et al.</w:t>
      </w:r>
      <w:r>
        <w:t>, Report and Order and Further Notice of Proposed Rulemaking, 31 FCC Rcd 5949, 5989-99, paras. 119-40 (2016) (</w:t>
      </w:r>
      <w:r w:rsidRPr="00B03C2A">
        <w:rPr>
          <w:i/>
          <w:iCs/>
        </w:rPr>
        <w:t>CAF Phase II Auction Order</w:t>
      </w:r>
      <w:r>
        <w:t>).</w:t>
      </w:r>
    </w:p>
  </w:footnote>
  <w:footnote w:id="6">
    <w:p w:rsidR="00017CBB" w:rsidP="00017CBB" w14:paraId="7C428993" w14:textId="77777777">
      <w:pPr>
        <w:pStyle w:val="FootnoteText"/>
      </w:pPr>
      <w:r>
        <w:rPr>
          <w:rStyle w:val="FootnoteReference"/>
        </w:rPr>
        <w:footnoteRef/>
      </w:r>
      <w:r>
        <w:t xml:space="preserve"> 47 CFR § 54.315(b)(6)(v); </w:t>
      </w:r>
      <w:r w:rsidRPr="00C016CC">
        <w:rPr>
          <w:i/>
        </w:rPr>
        <w:t>Auction 903 Closing Public Notice</w:t>
      </w:r>
      <w:r>
        <w:t>, 34 FCC Rcd at 8264, paras. 17-18.</w:t>
      </w:r>
    </w:p>
  </w:footnote>
  <w:footnote w:id="7">
    <w:p w:rsidR="00017CBB" w:rsidP="00017CBB" w14:paraId="1FA4D1E4" w14:textId="77777777">
      <w:pPr>
        <w:pStyle w:val="FootnoteText"/>
      </w:pPr>
      <w:r>
        <w:rPr>
          <w:rStyle w:val="FootnoteReference"/>
        </w:rPr>
        <w:footnoteRef/>
      </w:r>
      <w:r>
        <w:t xml:space="preserve"> </w:t>
      </w:r>
      <w:r>
        <w:rPr>
          <w:i/>
        </w:rPr>
        <w:t>Ninth Ready to Authorize Public Notice</w:t>
      </w:r>
      <w:r>
        <w:t xml:space="preserve">, Public Notice, DA 20-230, at Attach. A (WCB Mar. 5, 2020).  </w:t>
      </w:r>
    </w:p>
  </w:footnote>
  <w:footnote w:id="8">
    <w:p w:rsidR="00017CBB" w:rsidP="00017CBB" w14:paraId="1114CEE7" w14:textId="77777777">
      <w:pPr>
        <w:pStyle w:val="FootnoteText"/>
      </w:pPr>
      <w:r>
        <w:rPr>
          <w:rStyle w:val="FootnoteReference"/>
        </w:rPr>
        <w:footnoteRef/>
      </w:r>
      <w:r>
        <w:t xml:space="preserve"> Petition for Waiver, AU Docket No. 17-182, WC Docket No. 10-90, at 2 (filed Mar. 5, 2020) (</w:t>
      </w:r>
      <w:r>
        <w:t>Redwire</w:t>
      </w:r>
      <w:r>
        <w:t xml:space="preserve"> March Petition).</w:t>
      </w:r>
    </w:p>
  </w:footnote>
  <w:footnote w:id="9">
    <w:p w:rsidR="00017CBB" w:rsidP="00017CBB" w14:paraId="66523ACC" w14:textId="77777777">
      <w:pPr>
        <w:pStyle w:val="FootnoteText"/>
      </w:pPr>
      <w:r>
        <w:rPr>
          <w:rStyle w:val="FootnoteReference"/>
        </w:rPr>
        <w:footnoteRef/>
      </w:r>
      <w:r>
        <w:t xml:space="preserve"> </w:t>
      </w:r>
      <w:r>
        <w:t>Redwire</w:t>
      </w:r>
      <w:r>
        <w:t xml:space="preserve"> March Petition at 2.</w:t>
      </w:r>
    </w:p>
  </w:footnote>
  <w:footnote w:id="10">
    <w:p w:rsidR="00017CBB" w:rsidP="00017CBB" w14:paraId="7BA69DDD" w14:textId="77777777">
      <w:pPr>
        <w:pStyle w:val="FootnoteText"/>
      </w:pPr>
      <w:r>
        <w:rPr>
          <w:rStyle w:val="FootnoteReference"/>
        </w:rPr>
        <w:footnoteRef/>
      </w:r>
      <w:r>
        <w:t xml:space="preserve"> </w:t>
      </w:r>
      <w:r>
        <w:t>Redwire</w:t>
      </w:r>
      <w:r>
        <w:t xml:space="preserve"> April Petition at 2.</w:t>
      </w:r>
    </w:p>
  </w:footnote>
  <w:footnote w:id="11">
    <w:p w:rsidR="00017CBB" w:rsidP="00017CBB" w14:paraId="42032DDB" w14:textId="77777777">
      <w:pPr>
        <w:pStyle w:val="FootnoteText"/>
      </w:pPr>
      <w:r>
        <w:rPr>
          <w:rStyle w:val="FootnoteReference"/>
        </w:rPr>
        <w:footnoteRef/>
      </w:r>
      <w:r>
        <w:t xml:space="preserve"> </w:t>
      </w:r>
      <w:r>
        <w:rPr>
          <w:i/>
        </w:rPr>
        <w:t>Tenth Ready to Authorize Public Notice</w:t>
      </w:r>
      <w:r>
        <w:t xml:space="preserve">, Public Notice, DA 20-483, at Attach. A (WCB May 4, 2020).  </w:t>
      </w:r>
    </w:p>
  </w:footnote>
  <w:footnote w:id="12">
    <w:p w:rsidR="00017CBB" w:rsidP="00017CBB" w14:paraId="0F030D18" w14:textId="77777777">
      <w:pPr>
        <w:pStyle w:val="FootnoteText"/>
      </w:pPr>
      <w:r>
        <w:rPr>
          <w:rStyle w:val="FootnoteReference"/>
        </w:rPr>
        <w:footnoteRef/>
      </w:r>
      <w:r>
        <w:t xml:space="preserve"> </w:t>
      </w:r>
      <w:r w:rsidRPr="00A43BF7">
        <w:rPr>
          <w:i/>
          <w:iCs/>
        </w:rPr>
        <w:t>Id.</w:t>
      </w:r>
    </w:p>
  </w:footnote>
  <w:footnote w:id="13">
    <w:p w:rsidR="00017CBB" w:rsidP="00017CBB" w14:paraId="0319FFBB" w14:textId="77777777">
      <w:pPr>
        <w:pStyle w:val="FootnoteText"/>
      </w:pPr>
      <w:r>
        <w:rPr>
          <w:rStyle w:val="FootnoteReference"/>
        </w:rPr>
        <w:footnoteRef/>
      </w:r>
      <w:r>
        <w:t xml:space="preserve"> Fond du Lac Petition at 1-2.</w:t>
      </w:r>
    </w:p>
  </w:footnote>
  <w:footnote w:id="14">
    <w:p w:rsidR="00017CBB" w:rsidP="00017CBB" w14:paraId="17744A48" w14:textId="77777777">
      <w:pPr>
        <w:pStyle w:val="FootnoteText"/>
      </w:pPr>
      <w:r>
        <w:rPr>
          <w:rStyle w:val="FootnoteReference"/>
        </w:rPr>
        <w:footnoteRef/>
      </w:r>
      <w:r>
        <w:t xml:space="preserve"> </w:t>
      </w:r>
      <w:r w:rsidRPr="006826BC">
        <w:rPr>
          <w:i/>
        </w:rPr>
        <w:t>Id.</w:t>
      </w:r>
      <w:r>
        <w:t xml:space="preserve"> at 1-2.</w:t>
      </w:r>
    </w:p>
  </w:footnote>
  <w:footnote w:id="15">
    <w:p w:rsidR="00017CBB" w:rsidP="00017CBB" w14:paraId="6352591D" w14:textId="77777777">
      <w:pPr>
        <w:pStyle w:val="FootnoteText"/>
      </w:pPr>
      <w:r>
        <w:rPr>
          <w:rStyle w:val="FootnoteReference"/>
        </w:rPr>
        <w:footnoteRef/>
      </w:r>
      <w:r>
        <w:t xml:space="preserve"> </w:t>
      </w:r>
      <w:r w:rsidRPr="007F4A5D">
        <w:t>47 CFR § 1.3</w:t>
      </w:r>
      <w:r>
        <w:t>.</w:t>
      </w:r>
    </w:p>
  </w:footnote>
  <w:footnote w:id="16">
    <w:p w:rsidR="00017CBB" w:rsidRPr="008C2A06" w:rsidP="00017CBB" w14:paraId="69319DC7"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w:t>
      </w:r>
      <w:r w:rsidRPr="008C2A06">
        <w:t>F.2d</w:t>
      </w:r>
      <w:r w:rsidRPr="008C2A06">
        <w:t xml:space="preserve"> 1164, 1166 (D.C. Cir. 1990) (citing </w:t>
      </w:r>
      <w:r w:rsidRPr="008C2A06">
        <w:rPr>
          <w:i/>
        </w:rPr>
        <w:t>WAIT Radio v. FCC</w:t>
      </w:r>
      <w:r w:rsidRPr="008C2A06">
        <w:t xml:space="preserve">, 418 </w:t>
      </w:r>
      <w:r w:rsidRPr="008C2A06">
        <w:t>F.2d</w:t>
      </w:r>
      <w:r w:rsidRPr="008C2A06">
        <w:t xml:space="preserve">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7">
    <w:p w:rsidR="00017CBB" w:rsidP="00017CBB" w14:paraId="2F7EB8E1" w14:textId="77777777">
      <w:pPr>
        <w:pStyle w:val="FootnoteText"/>
      </w:pPr>
      <w:r>
        <w:rPr>
          <w:rStyle w:val="FootnoteReference"/>
        </w:rPr>
        <w:footnoteRef/>
      </w:r>
      <w:r>
        <w:t xml:space="preserve"> </w:t>
      </w:r>
      <w:r w:rsidRPr="00BA1A2C">
        <w:rPr>
          <w:i/>
          <w:iCs/>
        </w:rPr>
        <w:t>See</w:t>
      </w:r>
      <w:r>
        <w:t xml:space="preserve"> </w:t>
      </w:r>
      <w:r>
        <w:t>Redwire</w:t>
      </w:r>
      <w:r>
        <w:t xml:space="preserve"> April Petition at 3-4 (stating that </w:t>
      </w:r>
      <w:r>
        <w:t>Redwire</w:t>
      </w:r>
      <w:r>
        <w:t xml:space="preserve"> operates five casinos, six restaurants, and one hotel).  The Tribe and </w:t>
      </w:r>
      <w:r>
        <w:t>Redwire</w:t>
      </w:r>
      <w:r>
        <w:t xml:space="preserve"> (which is wholly owned by the Tribe) share the same staff and leadership and are simultaneously experiencing the same economic consequences of the pandemic.  </w:t>
      </w:r>
      <w:r w:rsidRPr="00A64A88">
        <w:rPr>
          <w:i/>
          <w:iCs/>
        </w:rPr>
        <w:t>See</w:t>
      </w:r>
      <w:r>
        <w:t xml:space="preserve"> </w:t>
      </w:r>
      <w:r w:rsidRPr="00A148DB">
        <w:rPr>
          <w:i/>
          <w:iCs/>
        </w:rPr>
        <w:t>id.</w:t>
      </w:r>
      <w:r>
        <w:t xml:space="preserve"> at 1-3.</w:t>
      </w:r>
    </w:p>
  </w:footnote>
  <w:footnote w:id="18">
    <w:p w:rsidR="00017CBB" w:rsidP="00017CBB" w14:paraId="2B87648F" w14:textId="77777777">
      <w:pPr>
        <w:pStyle w:val="FootnoteText"/>
      </w:pPr>
      <w:r>
        <w:rPr>
          <w:rStyle w:val="FootnoteReference"/>
        </w:rPr>
        <w:footnoteRef/>
      </w:r>
      <w:r>
        <w:t xml:space="preserve"> </w:t>
      </w:r>
      <w:r>
        <w:t>Redwire</w:t>
      </w:r>
      <w:r>
        <w:t xml:space="preserve"> April Petition at 4.</w:t>
      </w:r>
    </w:p>
  </w:footnote>
  <w:footnote w:id="19">
    <w:p w:rsidR="00017CBB" w:rsidP="00017CBB" w14:paraId="04298D1B" w14:textId="77777777">
      <w:pPr>
        <w:pStyle w:val="FootnoteText"/>
      </w:pPr>
      <w:r>
        <w:rPr>
          <w:rStyle w:val="FootnoteReference"/>
        </w:rPr>
        <w:footnoteRef/>
      </w:r>
      <w:r>
        <w:t xml:space="preserve"> </w:t>
      </w:r>
      <w:r w:rsidRPr="00A148DB">
        <w:rPr>
          <w:i/>
          <w:iCs/>
        </w:rPr>
        <w:t>Id.</w:t>
      </w:r>
    </w:p>
  </w:footnote>
  <w:footnote w:id="20">
    <w:p w:rsidR="00017CBB" w:rsidP="00017CBB" w14:paraId="4916FF67" w14:textId="77777777">
      <w:pPr>
        <w:pStyle w:val="FootnoteText"/>
      </w:pPr>
      <w:r>
        <w:rPr>
          <w:rStyle w:val="FootnoteReference"/>
        </w:rPr>
        <w:footnoteRef/>
      </w:r>
      <w:r>
        <w:t xml:space="preserve"> </w:t>
      </w:r>
      <w:r w:rsidRPr="00586FE7">
        <w:rPr>
          <w:i/>
          <w:iCs/>
        </w:rPr>
        <w:t>See</w:t>
      </w:r>
      <w:r>
        <w:t xml:space="preserve"> </w:t>
      </w:r>
      <w:r>
        <w:t>Redwire</w:t>
      </w:r>
      <w:r>
        <w:t xml:space="preserve"> April Petition at 3-6, 9. (explaining that </w:t>
      </w:r>
      <w:r>
        <w:t>Redwire’s</w:t>
      </w:r>
      <w:r>
        <w:t xml:space="preserve"> long-standing bank, Bank of Oklahoma, declined to issue it a letter of credit).</w:t>
      </w:r>
    </w:p>
  </w:footnote>
  <w:footnote w:id="21">
    <w:p w:rsidR="00017CBB" w:rsidP="00017CBB" w14:paraId="1250EDE9" w14:textId="77777777">
      <w:pPr>
        <w:pStyle w:val="FootnoteText"/>
      </w:pPr>
      <w:r>
        <w:rPr>
          <w:rStyle w:val="FootnoteReference"/>
        </w:rPr>
        <w:footnoteRef/>
      </w:r>
      <w:r>
        <w:t xml:space="preserve"> </w:t>
      </w:r>
      <w:r w:rsidRPr="00A148DB">
        <w:rPr>
          <w:i/>
          <w:iCs/>
        </w:rPr>
        <w:t>Id.</w:t>
      </w:r>
      <w:r>
        <w:t xml:space="preserve"> at 5; </w:t>
      </w:r>
      <w:r>
        <w:rPr>
          <w:i/>
          <w:iCs/>
        </w:rPr>
        <w:t xml:space="preserve">see also id. </w:t>
      </w:r>
      <w:r>
        <w:t>at Exhibit 1.</w:t>
      </w:r>
    </w:p>
  </w:footnote>
  <w:footnote w:id="22">
    <w:p w:rsidR="00017CBB" w:rsidP="00017CBB" w14:paraId="45C3AECE" w14:textId="77777777">
      <w:pPr>
        <w:pStyle w:val="FootnoteText"/>
      </w:pPr>
      <w:r>
        <w:rPr>
          <w:rStyle w:val="FootnoteReference"/>
        </w:rPr>
        <w:footnoteRef/>
      </w:r>
      <w:r>
        <w:t xml:space="preserve"> </w:t>
      </w:r>
      <w:r>
        <w:rPr>
          <w:i/>
          <w:iCs/>
        </w:rPr>
        <w:t xml:space="preserve">Id. </w:t>
      </w:r>
      <w:r>
        <w:t xml:space="preserve">at 5 (explaining that </w:t>
      </w:r>
      <w:r>
        <w:t>Redwire</w:t>
      </w:r>
      <w:r>
        <w:t xml:space="preserve"> contacted </w:t>
      </w:r>
      <w:r>
        <w:t>MidFirst</w:t>
      </w:r>
      <w:r>
        <w:t xml:space="preserve"> Bank in December 2019 when the Bank of Oklahoma’s Weiss bank safety rating dropped below a B-; however, once the Bank of Oklahoma’s Weiss rating increased, </w:t>
      </w:r>
      <w:r>
        <w:t>Redwire</w:t>
      </w:r>
      <w:r>
        <w:t xml:space="preserve"> was forced to terminate its inquiry with </w:t>
      </w:r>
      <w:r>
        <w:t>MidFirst</w:t>
      </w:r>
      <w:r>
        <w:t xml:space="preserve"> Bank due to its covenants with the Bank of Oklahoma).</w:t>
      </w:r>
    </w:p>
  </w:footnote>
  <w:footnote w:id="23">
    <w:p w:rsidR="00017CBB" w:rsidRPr="008006A9" w:rsidP="00017CBB" w14:paraId="7F15E049" w14:textId="77777777">
      <w:pPr>
        <w:pStyle w:val="FootnoteText"/>
        <w:rPr>
          <w:i/>
          <w:iCs/>
        </w:rPr>
      </w:pPr>
      <w:r>
        <w:rPr>
          <w:rStyle w:val="FootnoteReference"/>
        </w:rPr>
        <w:footnoteRef/>
      </w:r>
      <w:r>
        <w:t xml:space="preserve"> </w:t>
      </w:r>
      <w:r>
        <w:rPr>
          <w:i/>
          <w:iCs/>
        </w:rPr>
        <w:t xml:space="preserve">Cf. </w:t>
      </w:r>
      <w:r w:rsidRPr="0057119F">
        <w:rPr>
          <w:i/>
          <w:iCs/>
        </w:rPr>
        <w:t>Connect America Fund</w:t>
      </w:r>
      <w:r w:rsidRPr="0057119F">
        <w:t xml:space="preserve">, WC Docket No. 10-90, </w:t>
      </w:r>
      <w:r w:rsidRPr="0057119F">
        <w:rPr>
          <w:i/>
          <w:iCs/>
        </w:rPr>
        <w:t>Connect America Fund Phase II Auction</w:t>
      </w:r>
      <w:r w:rsidRPr="0057119F">
        <w:t xml:space="preserve">, AU Docket No. 17-182, Order, 34 FCC Rcd 3239 (WCB 2019) (finding that auction winner’s misunderstanding of </w:t>
      </w:r>
      <w:r>
        <w:t>letter of credit</w:t>
      </w:r>
      <w:r w:rsidRPr="0057119F">
        <w:t xml:space="preserve"> rules did not constitute special circumstances</w:t>
      </w:r>
      <w:r>
        <w:t>).</w:t>
      </w:r>
    </w:p>
  </w:footnote>
  <w:footnote w:id="24">
    <w:p w:rsidR="00017CBB" w:rsidRPr="003342C2" w:rsidP="00017CBB" w14:paraId="054A4D5B" w14:textId="77777777">
      <w:pPr>
        <w:pStyle w:val="FootnoteText"/>
      </w:pPr>
      <w:r w:rsidRPr="003342C2">
        <w:rPr>
          <w:rStyle w:val="FootnoteReference"/>
        </w:rPr>
        <w:footnoteRef/>
      </w:r>
      <w:r w:rsidRPr="00902430">
        <w:t xml:space="preserve"> </w:t>
      </w:r>
      <w:bookmarkStart w:id="3" w:name="_Hlk28875636"/>
      <w:bookmarkStart w:id="4" w:name="_Hlk42525473"/>
      <w:r w:rsidRPr="00AD435F">
        <w:t>Redwire</w:t>
      </w:r>
      <w:r w:rsidRPr="00AD435F">
        <w:t xml:space="preserve"> April Petition at 9-10 (stating that </w:t>
      </w:r>
      <w:r w:rsidRPr="00AD435F">
        <w:t>Redwire’s</w:t>
      </w:r>
      <w:r w:rsidRPr="00AD435F">
        <w:t xml:space="preserve"> current situation “demonstrates a more urgent need to support the provision of broadband services to unserved locations.”).</w:t>
      </w:r>
      <w:r>
        <w:t xml:space="preserve">  </w:t>
      </w:r>
      <w:r w:rsidRPr="00902430">
        <w:t xml:space="preserve">The Commission </w:t>
      </w:r>
      <w:r>
        <w:t xml:space="preserve">has </w:t>
      </w:r>
      <w:r w:rsidRPr="00902430">
        <w:t>recognize</w:t>
      </w:r>
      <w:r>
        <w:t>d</w:t>
      </w:r>
      <w:r w:rsidRPr="00902430">
        <w:t xml:space="preserve"> the historic challenges of serving Tribal lands and the </w:t>
      </w:r>
      <w:r>
        <w:t>challenges related to</w:t>
      </w:r>
      <w:r w:rsidRPr="00902430">
        <w:t xml:space="preserve"> broadband service deployment on Tribal lands.</w:t>
      </w:r>
      <w:r w:rsidRPr="00D122B6">
        <w:t xml:space="preserve">  </w:t>
      </w:r>
      <w:r w:rsidRPr="00AC3354">
        <w:rPr>
          <w:i/>
        </w:rPr>
        <w:t xml:space="preserve">See </w:t>
      </w:r>
      <w:r w:rsidRPr="005E52F4">
        <w:rPr>
          <w:i/>
        </w:rPr>
        <w:t>Connect America Fund et al</w:t>
      </w:r>
      <w:r w:rsidRPr="00902430">
        <w:rPr>
          <w:iCs/>
        </w:rPr>
        <w:t xml:space="preserve">., WC Docket No. 10-90 et al., </w:t>
      </w:r>
      <w:r w:rsidRPr="005E52F4">
        <w:rPr>
          <w:i/>
        </w:rPr>
        <w:t>Report and Order and Further Notice of Proposed Rulemaking</w:t>
      </w:r>
      <w:r w:rsidRPr="00902430">
        <w:rPr>
          <w:iCs/>
        </w:rPr>
        <w:t xml:space="preserve">, </w:t>
      </w:r>
      <w:bookmarkStart w:id="5" w:name="_Hlk27672275"/>
      <w:r w:rsidRPr="00902430">
        <w:rPr>
          <w:iCs/>
        </w:rPr>
        <w:t xml:space="preserve">31 FCC Rcd </w:t>
      </w:r>
      <w:bookmarkEnd w:id="5"/>
      <w:r w:rsidRPr="00902430">
        <w:rPr>
          <w:iCs/>
        </w:rPr>
        <w:t>5949</w:t>
      </w:r>
      <w:r>
        <w:t>,</w:t>
      </w:r>
      <w:r w:rsidRPr="00902430">
        <w:t xml:space="preserve"> </w:t>
      </w:r>
      <w:r w:rsidRPr="00AC3354">
        <w:t>6026, para. 225</w:t>
      </w:r>
      <w:bookmarkEnd w:id="3"/>
      <w:r>
        <w:t xml:space="preserve"> (2016) (</w:t>
      </w:r>
      <w:r w:rsidRPr="00902430">
        <w:rPr>
          <w:i/>
          <w:iCs/>
        </w:rPr>
        <w:t>CAF Phase II Auction Order</w:t>
      </w:r>
      <w:r>
        <w:t xml:space="preserve">); </w:t>
      </w:r>
      <w:r w:rsidRPr="00902430">
        <w:rPr>
          <w:i/>
          <w:iCs/>
        </w:rPr>
        <w:t>s</w:t>
      </w:r>
      <w:r w:rsidRPr="00AC3354">
        <w:rPr>
          <w:i/>
        </w:rPr>
        <w:t>ee also</w:t>
      </w:r>
      <w:r w:rsidRPr="00AC3354">
        <w:t xml:space="preserve"> </w:t>
      </w:r>
      <w:r w:rsidRPr="00AC3354">
        <w:rPr>
          <w:i/>
        </w:rPr>
        <w:t>Statement of Policy on Establishing a Government-to-Government Relationship with Indian Tribes</w:t>
      </w:r>
      <w:r w:rsidRPr="00AC3354">
        <w:t>, Policy Statement, 16 FCC Rcd 4078, 4080-81 (2000)</w:t>
      </w:r>
      <w:r>
        <w:t xml:space="preserve">; </w:t>
      </w:r>
      <w:r w:rsidRPr="00AC3354">
        <w:rPr>
          <w:i/>
        </w:rPr>
        <w:t xml:space="preserve">Federal-State Joint Board on Universal Service et al., </w:t>
      </w:r>
      <w:r w:rsidRPr="00AC3354">
        <w:t>CC Docket No. 96-45, Twelfth Report and Order, Memorandum Opinion and Order, and Further Notice of Proposed Rulemaking, 15 FCC Rcd 12208, 12212-15, paras. 4-11 (</w:t>
      </w:r>
      <w:r w:rsidRPr="00AC3354">
        <w:rPr>
          <w:i/>
        </w:rPr>
        <w:t>2000 Tribal Order</w:t>
      </w:r>
      <w:r w:rsidRPr="00AC3354">
        <w:t xml:space="preserve">); </w:t>
      </w:r>
      <w:r w:rsidRPr="00AC3354">
        <w:rPr>
          <w:i/>
        </w:rPr>
        <w:t>see generally</w:t>
      </w:r>
      <w:r w:rsidRPr="00AC3354">
        <w:t xml:space="preserve"> </w:t>
      </w:r>
      <w:r w:rsidRPr="00AC3354">
        <w:rPr>
          <w:i/>
        </w:rPr>
        <w:t>Improving Communications for Native Nations</w:t>
      </w:r>
      <w:r w:rsidRPr="00AC3354">
        <w:t>, CG Docket No. 11-41, Notice of Inquiry, 26 FCC Rcd 2672 (2011) (</w:t>
      </w:r>
      <w:r w:rsidRPr="00AC3354">
        <w:rPr>
          <w:i/>
        </w:rPr>
        <w:t xml:space="preserve">Native Nations </w:t>
      </w:r>
      <w:r w:rsidRPr="00AC3354">
        <w:rPr>
          <w:i/>
        </w:rPr>
        <w:t>NOI</w:t>
      </w:r>
      <w:r w:rsidRPr="00AC3354">
        <w:t>) (reviewing Commission actions regarding Native Nations)</w:t>
      </w:r>
      <w:r>
        <w:t>.</w:t>
      </w:r>
      <w:bookmarkEnd w:id="4"/>
      <w:r w:rsidRPr="00902430">
        <w:t xml:space="preserve"> </w:t>
      </w:r>
    </w:p>
  </w:footnote>
  <w:footnote w:id="25">
    <w:p w:rsidR="00017CBB" w:rsidP="00017CBB" w14:paraId="0E8640DA" w14:textId="77777777">
      <w:pPr>
        <w:pStyle w:val="FootnoteText"/>
      </w:pPr>
      <w:r>
        <w:rPr>
          <w:rStyle w:val="FootnoteReference"/>
        </w:rPr>
        <w:footnoteRef/>
      </w:r>
      <w:r>
        <w:t xml:space="preserve"> </w:t>
      </w:r>
      <w:r>
        <w:t>Redwire</w:t>
      </w:r>
      <w:r>
        <w:t xml:space="preserve"> April Petition at 10 (claiming that “</w:t>
      </w:r>
      <w:r w:rsidRPr="006E20EB">
        <w:t>Redwire</w:t>
      </w:r>
      <w:r w:rsidRPr="006E20EB">
        <w:t xml:space="preserve"> remains committed to meeting the </w:t>
      </w:r>
      <w:r>
        <w:t>high</w:t>
      </w:r>
      <w:r w:rsidRPr="006E20EB">
        <w:t xml:space="preserve"> demand for fixed broadband</w:t>
      </w:r>
      <w:r>
        <w:t xml:space="preserve"> </w:t>
      </w:r>
      <w:r w:rsidRPr="006E20EB">
        <w:t>service in unserved rural areas of Oklahoma</w:t>
      </w:r>
      <w:r>
        <w:t xml:space="preserve">”).  </w:t>
      </w:r>
    </w:p>
  </w:footnote>
  <w:footnote w:id="26">
    <w:p w:rsidR="00017CBB" w:rsidP="00017CBB" w14:paraId="4F72A5CA" w14:textId="77777777">
      <w:pPr>
        <w:pStyle w:val="FootnoteText"/>
      </w:pPr>
      <w:r w:rsidRPr="003342C2">
        <w:rPr>
          <w:rStyle w:val="FootnoteReference"/>
        </w:rPr>
        <w:footnoteRef/>
      </w:r>
      <w:r w:rsidRPr="003342C2">
        <w:t xml:space="preserve"> </w:t>
      </w:r>
      <w:r w:rsidRPr="003342C2">
        <w:rPr>
          <w:i/>
          <w:iCs/>
        </w:rPr>
        <w:t>Id.</w:t>
      </w:r>
      <w:r w:rsidRPr="003342C2">
        <w:t xml:space="preserve"> at 2.</w:t>
      </w:r>
    </w:p>
  </w:footnote>
  <w:footnote w:id="27">
    <w:p w:rsidR="00017CBB" w:rsidP="00017CBB" w14:paraId="7C4F11DE" w14:textId="77777777">
      <w:pPr>
        <w:pStyle w:val="FootnoteText"/>
      </w:pPr>
      <w:r>
        <w:rPr>
          <w:rStyle w:val="FootnoteReference"/>
        </w:rPr>
        <w:footnoteRef/>
      </w:r>
      <w:r>
        <w:t xml:space="preserve"> </w:t>
      </w:r>
      <w:r>
        <w:t>Redwire</w:t>
      </w:r>
      <w:r>
        <w:t xml:space="preserve"> April Petition at 6-7.</w:t>
      </w:r>
    </w:p>
  </w:footnote>
  <w:footnote w:id="28">
    <w:p w:rsidR="00017CBB" w:rsidRPr="00625F38" w:rsidP="00017CBB" w14:paraId="006D698A" w14:textId="77777777">
      <w:pPr>
        <w:pStyle w:val="FootnoteText"/>
      </w:pPr>
      <w:r>
        <w:rPr>
          <w:rStyle w:val="FootnoteReference"/>
        </w:rPr>
        <w:footnoteRef/>
      </w:r>
      <w:r>
        <w:t xml:space="preserve"> </w:t>
      </w:r>
      <w:r w:rsidRPr="003A084F">
        <w:rPr>
          <w:i/>
          <w:iCs/>
        </w:rPr>
        <w:t>Id.</w:t>
      </w:r>
      <w:r>
        <w:rPr>
          <w:i/>
          <w:iCs/>
        </w:rPr>
        <w:t xml:space="preserve"> </w:t>
      </w:r>
      <w:r>
        <w:t xml:space="preserve">at 8-9; </w:t>
      </w:r>
      <w:r w:rsidRPr="00305B65">
        <w:rPr>
          <w:i/>
          <w:iCs/>
        </w:rPr>
        <w:t>see also</w:t>
      </w:r>
      <w:r>
        <w:t xml:space="preserve"> </w:t>
      </w:r>
      <w:r w:rsidRPr="00B03C2A">
        <w:rPr>
          <w:i/>
          <w:iCs/>
        </w:rPr>
        <w:t>CAF Phase II Auction Order</w:t>
      </w:r>
      <w:r>
        <w:rPr>
          <w:color w:val="1D2B3E"/>
        </w:rPr>
        <w:t xml:space="preserve">, </w:t>
      </w:r>
      <w:r w:rsidRPr="00262083">
        <w:rPr>
          <w:color w:val="1D2B3E"/>
        </w:rPr>
        <w:t xml:space="preserve">31 FCC Rcd </w:t>
      </w:r>
      <w:r>
        <w:rPr>
          <w:color w:val="1D2B3E"/>
        </w:rPr>
        <w:t>at</w:t>
      </w:r>
      <w:r w:rsidRPr="00262083">
        <w:rPr>
          <w:color w:val="1D2B3E"/>
        </w:rPr>
        <w:t xml:space="preserve"> 5979, para. 87 (</w:t>
      </w:r>
      <w:r w:rsidRPr="00262083">
        <w:t>seeking to adopt mechanisms to advance broadband deployment on Tribal lands)</w:t>
      </w:r>
      <w:r>
        <w:t>.</w:t>
      </w:r>
    </w:p>
  </w:footnote>
  <w:footnote w:id="29">
    <w:p w:rsidR="00017CBB" w:rsidP="00017CBB" w14:paraId="0076783A" w14:textId="77777777">
      <w:pPr>
        <w:pStyle w:val="FootnoteText"/>
      </w:pPr>
      <w:r>
        <w:rPr>
          <w:rStyle w:val="FootnoteReference"/>
        </w:rPr>
        <w:footnoteRef/>
      </w:r>
      <w:r>
        <w:t xml:space="preserve"> </w:t>
      </w:r>
      <w:r w:rsidRPr="008D5D6F">
        <w:rPr>
          <w:i/>
        </w:rPr>
        <w:t>Connect America Fund et al.</w:t>
      </w:r>
      <w:r>
        <w:t>, Order, 34 FCC Rcd 7060 (WCB 2019) (</w:t>
      </w:r>
      <w:r w:rsidRPr="004E7582">
        <w:rPr>
          <w:i/>
        </w:rPr>
        <w:t xml:space="preserve">LTD </w:t>
      </w:r>
      <w:r>
        <w:rPr>
          <w:i/>
        </w:rPr>
        <w:t xml:space="preserve">Broadband </w:t>
      </w:r>
      <w:r w:rsidRPr="004E7582">
        <w:rPr>
          <w:i/>
        </w:rPr>
        <w:t>Waiver Order</w:t>
      </w:r>
      <w:r>
        <w:t xml:space="preserve">) (granting a petition for waiver of the Auction 903 Feb. 25, 2019 deadline for submitting audited financial statements for an applicant that had difficulty retaining and engaging an accountant), </w:t>
      </w:r>
      <w:r w:rsidRPr="008D5D6F">
        <w:rPr>
          <w:i/>
        </w:rPr>
        <w:t>Connect America Fund et al.</w:t>
      </w:r>
      <w:r>
        <w:t>, Order, 34 FCC Rcd 3239 (WCB 2019) (</w:t>
      </w:r>
      <w:r w:rsidRPr="000225C0">
        <w:rPr>
          <w:i/>
        </w:rPr>
        <w:t>Casey Mutual Waiver Order</w:t>
      </w:r>
      <w:r>
        <w:t xml:space="preserve">) (granting a petition for waiver of the Auction 903 letter of credit commitment letter deadline for an applicant that mistakenly believed it did not need a letter of credit).  </w:t>
      </w:r>
      <w:r w:rsidRPr="001D481D">
        <w:rPr>
          <w:i/>
        </w:rPr>
        <w:t>See</w:t>
      </w:r>
      <w:r>
        <w:rPr>
          <w:i/>
        </w:rPr>
        <w:t xml:space="preserve"> also </w:t>
      </w:r>
      <w:r w:rsidRPr="001F44C6">
        <w:rPr>
          <w:i/>
        </w:rPr>
        <w:t xml:space="preserve">Request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(granted the petitions for waiver of seven applicants that claimed to miss the deadline “due to inadvertence and/or unawareness that the long-form applications were due”).  </w:t>
      </w:r>
    </w:p>
  </w:footnote>
  <w:footnote w:id="30">
    <w:p w:rsidR="00017CBB" w:rsidP="00017CBB" w14:paraId="5BEEF92D" w14:textId="77777777">
      <w:pPr>
        <w:pStyle w:val="FootnoteText"/>
      </w:pPr>
      <w:r>
        <w:rPr>
          <w:rStyle w:val="FootnoteReference"/>
        </w:rPr>
        <w:footnoteRef/>
      </w:r>
      <w:r>
        <w:t xml:space="preserve"> </w:t>
      </w:r>
      <w:r w:rsidRPr="00DD6B97">
        <w:rPr>
          <w:i/>
          <w:iCs/>
        </w:rPr>
        <w:t>See</w:t>
      </w:r>
      <w:r>
        <w:t xml:space="preserve"> Fond du Lac Petition at 1-3 (explaining that “bank delays were caused by reasons beyond [Fond du Lac’s] control and issuance of the [letter of credit] did not come until one day after the . . . deadline.”). </w:t>
      </w:r>
    </w:p>
  </w:footnote>
  <w:footnote w:id="31">
    <w:p w:rsidR="00017CBB" w:rsidP="00017CBB" w14:paraId="79DA09D9" w14:textId="77777777">
      <w:pPr>
        <w:pStyle w:val="FootnoteText"/>
      </w:pPr>
      <w:r>
        <w:rPr>
          <w:rStyle w:val="FootnoteReference"/>
        </w:rPr>
        <w:footnoteRef/>
      </w:r>
      <w:r>
        <w:t xml:space="preserve"> </w:t>
      </w:r>
      <w:r w:rsidRPr="00A16AD2">
        <w:rPr>
          <w:i/>
        </w:rPr>
        <w:t>Cf.</w:t>
      </w:r>
      <w:r>
        <w:t xml:space="preserve"> </w:t>
      </w:r>
      <w:r w:rsidRPr="00D7719B">
        <w:rPr>
          <w:i/>
        </w:rPr>
        <w:t>Connect America Fund et al.</w:t>
      </w:r>
      <w:r>
        <w:t>, Memorandum Opinion and Order, 30 FCC Rcd 8967, 8968, para. 4 (2015) (finding that for the rural broadband experiments “[s]</w:t>
      </w:r>
      <w:r>
        <w:t>trict</w:t>
      </w:r>
      <w:r>
        <w:t xml:space="preserve">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965384">
        <w:rPr>
          <w:i/>
        </w:rPr>
        <w:t>Connect America Fund et al.</w:t>
      </w:r>
      <w:r>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32">
    <w:p w:rsidR="00017CBB" w:rsidP="00017CBB" w14:paraId="3CB8BAE6" w14:textId="77777777">
      <w:pPr>
        <w:pStyle w:val="FootnoteText"/>
      </w:pPr>
      <w:r>
        <w:rPr>
          <w:rStyle w:val="FootnoteReference"/>
        </w:rPr>
        <w:footnoteRef/>
      </w:r>
      <w:r>
        <w:t xml:space="preserve"> </w:t>
      </w:r>
      <w:r w:rsidRPr="006103B0">
        <w:rPr>
          <w:i/>
        </w:rPr>
        <w:t>Phase II Auction Order</w:t>
      </w:r>
      <w:r>
        <w:t>, 31 FCC Rcd at 5990, para. 120 (finding that “[l]</w:t>
      </w:r>
      <w:r w:rsidRPr="00000F37">
        <w:t>etters</w:t>
      </w:r>
      <w:r w:rsidRPr="00000F37">
        <w:t xml:space="preserve"> of credit permit the Commission to immediately reclaim support that has been provided in the event the recipient is not furthering the objectives of universal service by complying with the Commission’s rules or requirements</w:t>
      </w:r>
      <w:r>
        <w:t>)</w:t>
      </w:r>
      <w:r w:rsidRPr="00000F37">
        <w:t>.”</w:t>
      </w:r>
      <w:r>
        <w:t xml:space="preserve">  </w:t>
      </w:r>
      <w:r w:rsidRPr="000225C0">
        <w:rPr>
          <w:i/>
        </w:rPr>
        <w:t xml:space="preserve">See also LTD </w:t>
      </w:r>
      <w:r>
        <w:rPr>
          <w:i/>
        </w:rPr>
        <w:t xml:space="preserve">Broadband </w:t>
      </w:r>
      <w:r w:rsidRPr="000225C0">
        <w:rPr>
          <w:i/>
        </w:rPr>
        <w:t>Waiver Order</w:t>
      </w:r>
      <w:r>
        <w:t xml:space="preserve">, 34 FCC Rcd at 7063, para. 10; </w:t>
      </w:r>
      <w:r w:rsidRPr="000225C0">
        <w:rPr>
          <w:i/>
        </w:rPr>
        <w:t>Casey Mutual Waiver Order</w:t>
      </w:r>
      <w:r>
        <w:t>, 34 FCC Rcd at 3242-43, para. 11.</w:t>
      </w:r>
    </w:p>
  </w:footnote>
  <w:footnote w:id="33">
    <w:p w:rsidR="00017CBB" w:rsidP="00017CBB" w14:paraId="15E6E725" w14:textId="77777777">
      <w:pPr>
        <w:pStyle w:val="FootnoteText"/>
      </w:pPr>
      <w:r>
        <w:rPr>
          <w:rStyle w:val="FootnoteReference"/>
        </w:rPr>
        <w:footnoteRef/>
      </w:r>
      <w:r>
        <w:t xml:space="preserve"> Fond du Lac</w:t>
      </w:r>
      <w:r w:rsidRPr="00485FD1">
        <w:t xml:space="preserve"> Petition </w:t>
      </w:r>
      <w:r>
        <w:t xml:space="preserve">at 3 (stating that the CAF Phase II funding will help close the digital divide on its Tribal reservation).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3FB4F7" w14:textId="56E9AFEF">
    <w:pPr>
      <w:pStyle w:val="Header"/>
      <w:rPr>
        <w:b w:val="0"/>
      </w:rPr>
    </w:pPr>
    <w:r>
      <w:tab/>
      <w:t>Federal Communications Commission</w:t>
    </w:r>
    <w:r>
      <w:tab/>
    </w:r>
    <w:r w:rsidR="009A2735">
      <w:t>DA 20-</w:t>
    </w:r>
    <w:r w:rsidR="001D6C2E">
      <w:t>618</w:t>
    </w:r>
  </w:p>
  <w:p w:rsidR="00D25FB5" w14:paraId="3A0E3CB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F3B78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FA1E10" w14:textId="6A456D3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A2735">
      <w:rPr>
        <w:spacing w:val="-2"/>
      </w:rPr>
      <w:t>DA 20-</w:t>
    </w:r>
    <w:r>
      <w:rPr>
        <w:spacing w:val="-2"/>
      </w:rPr>
      <w:t>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BB"/>
    <w:rsid w:val="00000F37"/>
    <w:rsid w:val="00017CBB"/>
    <w:rsid w:val="000225C0"/>
    <w:rsid w:val="00036039"/>
    <w:rsid w:val="00037F90"/>
    <w:rsid w:val="0008400B"/>
    <w:rsid w:val="000875BF"/>
    <w:rsid w:val="00096D8C"/>
    <w:rsid w:val="000C0B65"/>
    <w:rsid w:val="000E05FE"/>
    <w:rsid w:val="000E3D42"/>
    <w:rsid w:val="00122BD5"/>
    <w:rsid w:val="0012579F"/>
    <w:rsid w:val="00133C02"/>
    <w:rsid w:val="00133F79"/>
    <w:rsid w:val="001553BE"/>
    <w:rsid w:val="0017296B"/>
    <w:rsid w:val="0019242C"/>
    <w:rsid w:val="00194A66"/>
    <w:rsid w:val="001D481D"/>
    <w:rsid w:val="001D6BCF"/>
    <w:rsid w:val="001D6C2E"/>
    <w:rsid w:val="001E01CA"/>
    <w:rsid w:val="001F44C6"/>
    <w:rsid w:val="00260C7F"/>
    <w:rsid w:val="00262083"/>
    <w:rsid w:val="00275CF5"/>
    <w:rsid w:val="0028301F"/>
    <w:rsid w:val="00285017"/>
    <w:rsid w:val="002A2D2E"/>
    <w:rsid w:val="002C00E8"/>
    <w:rsid w:val="00305B65"/>
    <w:rsid w:val="003342C2"/>
    <w:rsid w:val="00343749"/>
    <w:rsid w:val="003660ED"/>
    <w:rsid w:val="003A084F"/>
    <w:rsid w:val="003B0550"/>
    <w:rsid w:val="003B694F"/>
    <w:rsid w:val="003F171C"/>
    <w:rsid w:val="00412FC5"/>
    <w:rsid w:val="00422276"/>
    <w:rsid w:val="004242F1"/>
    <w:rsid w:val="00445A00"/>
    <w:rsid w:val="004460B7"/>
    <w:rsid w:val="00451B0F"/>
    <w:rsid w:val="00485FD1"/>
    <w:rsid w:val="004C2EE3"/>
    <w:rsid w:val="004E4A22"/>
    <w:rsid w:val="004E7582"/>
    <w:rsid w:val="005044A9"/>
    <w:rsid w:val="00511968"/>
    <w:rsid w:val="0055614C"/>
    <w:rsid w:val="00566D06"/>
    <w:rsid w:val="0057119F"/>
    <w:rsid w:val="00586FE7"/>
    <w:rsid w:val="005E14C2"/>
    <w:rsid w:val="005E52F4"/>
    <w:rsid w:val="00607BA5"/>
    <w:rsid w:val="006103B0"/>
    <w:rsid w:val="0061180A"/>
    <w:rsid w:val="00625F38"/>
    <w:rsid w:val="00626EB6"/>
    <w:rsid w:val="00655D03"/>
    <w:rsid w:val="00665280"/>
    <w:rsid w:val="006826BC"/>
    <w:rsid w:val="00683388"/>
    <w:rsid w:val="00683F84"/>
    <w:rsid w:val="00691864"/>
    <w:rsid w:val="006A6A81"/>
    <w:rsid w:val="006E20EB"/>
    <w:rsid w:val="006F7393"/>
    <w:rsid w:val="0070224F"/>
    <w:rsid w:val="007115F7"/>
    <w:rsid w:val="00785689"/>
    <w:rsid w:val="0079754B"/>
    <w:rsid w:val="007A1E6D"/>
    <w:rsid w:val="007B0EB2"/>
    <w:rsid w:val="007F4A5D"/>
    <w:rsid w:val="008006A9"/>
    <w:rsid w:val="00810B6F"/>
    <w:rsid w:val="00822CE0"/>
    <w:rsid w:val="00841AB1"/>
    <w:rsid w:val="00875055"/>
    <w:rsid w:val="00880A3E"/>
    <w:rsid w:val="008926E4"/>
    <w:rsid w:val="008C2A06"/>
    <w:rsid w:val="008C68F1"/>
    <w:rsid w:val="008D5D6F"/>
    <w:rsid w:val="00902430"/>
    <w:rsid w:val="00921803"/>
    <w:rsid w:val="00926503"/>
    <w:rsid w:val="00965384"/>
    <w:rsid w:val="009726D8"/>
    <w:rsid w:val="009A2735"/>
    <w:rsid w:val="009D7308"/>
    <w:rsid w:val="009F76DB"/>
    <w:rsid w:val="00A148DB"/>
    <w:rsid w:val="00A16AD2"/>
    <w:rsid w:val="00A21944"/>
    <w:rsid w:val="00A32C3B"/>
    <w:rsid w:val="00A43BF7"/>
    <w:rsid w:val="00A45F4F"/>
    <w:rsid w:val="00A600A9"/>
    <w:rsid w:val="00A64A88"/>
    <w:rsid w:val="00AA55B7"/>
    <w:rsid w:val="00AA5B9E"/>
    <w:rsid w:val="00AB2407"/>
    <w:rsid w:val="00AB53DF"/>
    <w:rsid w:val="00AC3354"/>
    <w:rsid w:val="00AD435F"/>
    <w:rsid w:val="00B03C2A"/>
    <w:rsid w:val="00B07E5C"/>
    <w:rsid w:val="00B811F7"/>
    <w:rsid w:val="00BA1A2C"/>
    <w:rsid w:val="00BA5DC6"/>
    <w:rsid w:val="00BA6196"/>
    <w:rsid w:val="00BB3C3D"/>
    <w:rsid w:val="00BC6D8C"/>
    <w:rsid w:val="00C016CC"/>
    <w:rsid w:val="00C34006"/>
    <w:rsid w:val="00C36B4C"/>
    <w:rsid w:val="00C426B1"/>
    <w:rsid w:val="00C66160"/>
    <w:rsid w:val="00C721AC"/>
    <w:rsid w:val="00C90D6A"/>
    <w:rsid w:val="00C9299B"/>
    <w:rsid w:val="00CA19D9"/>
    <w:rsid w:val="00CA247E"/>
    <w:rsid w:val="00CA6D21"/>
    <w:rsid w:val="00CC72B6"/>
    <w:rsid w:val="00D0218D"/>
    <w:rsid w:val="00D122B6"/>
    <w:rsid w:val="00D25FB5"/>
    <w:rsid w:val="00D44223"/>
    <w:rsid w:val="00D7719B"/>
    <w:rsid w:val="00DA2529"/>
    <w:rsid w:val="00DB130A"/>
    <w:rsid w:val="00DB2EBB"/>
    <w:rsid w:val="00DC10A1"/>
    <w:rsid w:val="00DC655F"/>
    <w:rsid w:val="00DD0B59"/>
    <w:rsid w:val="00DD6B97"/>
    <w:rsid w:val="00DD7EBD"/>
    <w:rsid w:val="00DE1A79"/>
    <w:rsid w:val="00DF62B6"/>
    <w:rsid w:val="00E07225"/>
    <w:rsid w:val="00E10CA9"/>
    <w:rsid w:val="00E5409F"/>
    <w:rsid w:val="00EC6F54"/>
    <w:rsid w:val="00EE4528"/>
    <w:rsid w:val="00EE5A97"/>
    <w:rsid w:val="00EE6488"/>
    <w:rsid w:val="00F021FA"/>
    <w:rsid w:val="00F62E97"/>
    <w:rsid w:val="00F64209"/>
    <w:rsid w:val="00F6751B"/>
    <w:rsid w:val="00F93BF5"/>
    <w:rsid w:val="00FB14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5D47E0-D0C9-4999-87FB-610E82B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2E"/>
    <w:pPr>
      <w:widowControl w:val="0"/>
    </w:pPr>
    <w:rPr>
      <w:snapToGrid w:val="0"/>
      <w:kern w:val="28"/>
      <w:sz w:val="22"/>
    </w:rPr>
  </w:style>
  <w:style w:type="paragraph" w:styleId="Heading1">
    <w:name w:val="heading 1"/>
    <w:basedOn w:val="Normal"/>
    <w:next w:val="ParaNum"/>
    <w:qFormat/>
    <w:rsid w:val="001D6C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6C2E"/>
    <w:pPr>
      <w:keepNext/>
      <w:numPr>
        <w:ilvl w:val="1"/>
        <w:numId w:val="3"/>
      </w:numPr>
      <w:spacing w:after="120"/>
      <w:outlineLvl w:val="1"/>
    </w:pPr>
    <w:rPr>
      <w:b/>
    </w:rPr>
  </w:style>
  <w:style w:type="paragraph" w:styleId="Heading3">
    <w:name w:val="heading 3"/>
    <w:basedOn w:val="Normal"/>
    <w:next w:val="ParaNum"/>
    <w:qFormat/>
    <w:rsid w:val="001D6C2E"/>
    <w:pPr>
      <w:keepNext/>
      <w:numPr>
        <w:ilvl w:val="2"/>
        <w:numId w:val="3"/>
      </w:numPr>
      <w:tabs>
        <w:tab w:val="left" w:pos="2160"/>
      </w:tabs>
      <w:spacing w:after="120"/>
      <w:outlineLvl w:val="2"/>
    </w:pPr>
    <w:rPr>
      <w:b/>
    </w:rPr>
  </w:style>
  <w:style w:type="paragraph" w:styleId="Heading4">
    <w:name w:val="heading 4"/>
    <w:basedOn w:val="Normal"/>
    <w:next w:val="ParaNum"/>
    <w:qFormat/>
    <w:rsid w:val="001D6C2E"/>
    <w:pPr>
      <w:keepNext/>
      <w:numPr>
        <w:ilvl w:val="3"/>
        <w:numId w:val="3"/>
      </w:numPr>
      <w:tabs>
        <w:tab w:val="left" w:pos="2880"/>
      </w:tabs>
      <w:spacing w:after="120"/>
      <w:outlineLvl w:val="3"/>
    </w:pPr>
    <w:rPr>
      <w:b/>
    </w:rPr>
  </w:style>
  <w:style w:type="paragraph" w:styleId="Heading5">
    <w:name w:val="heading 5"/>
    <w:basedOn w:val="Normal"/>
    <w:next w:val="ParaNum"/>
    <w:qFormat/>
    <w:rsid w:val="001D6C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6C2E"/>
    <w:pPr>
      <w:numPr>
        <w:ilvl w:val="5"/>
        <w:numId w:val="3"/>
      </w:numPr>
      <w:tabs>
        <w:tab w:val="left" w:pos="4320"/>
      </w:tabs>
      <w:spacing w:after="120"/>
      <w:outlineLvl w:val="5"/>
    </w:pPr>
    <w:rPr>
      <w:b/>
    </w:rPr>
  </w:style>
  <w:style w:type="paragraph" w:styleId="Heading7">
    <w:name w:val="heading 7"/>
    <w:basedOn w:val="Normal"/>
    <w:next w:val="ParaNum"/>
    <w:qFormat/>
    <w:rsid w:val="001D6C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6C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6C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6C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6C2E"/>
  </w:style>
  <w:style w:type="paragraph" w:customStyle="1" w:styleId="ParaNum">
    <w:name w:val="ParaNum"/>
    <w:basedOn w:val="Normal"/>
    <w:link w:val="ParaNumChar"/>
    <w:rsid w:val="001D6C2E"/>
    <w:pPr>
      <w:numPr>
        <w:numId w:val="2"/>
      </w:numPr>
      <w:tabs>
        <w:tab w:val="clear" w:pos="1080"/>
        <w:tab w:val="num" w:pos="1440"/>
      </w:tabs>
      <w:spacing w:after="120"/>
    </w:pPr>
  </w:style>
  <w:style w:type="paragraph" w:styleId="EndnoteText">
    <w:name w:val="endnote text"/>
    <w:basedOn w:val="Normal"/>
    <w:semiHidden/>
    <w:rsid w:val="001D6C2E"/>
    <w:rPr>
      <w:sz w:val="20"/>
    </w:rPr>
  </w:style>
  <w:style w:type="character" w:styleId="EndnoteReference">
    <w:name w:val="endnote reference"/>
    <w:semiHidden/>
    <w:rsid w:val="001D6C2E"/>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1D6C2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D6C2E"/>
    <w:rPr>
      <w:rFonts w:ascii="Times New Roman" w:hAnsi="Times New Roman"/>
      <w:dstrike w:val="0"/>
      <w:color w:val="auto"/>
      <w:sz w:val="20"/>
      <w:vertAlign w:val="superscript"/>
    </w:rPr>
  </w:style>
  <w:style w:type="paragraph" w:styleId="TOC1">
    <w:name w:val="toc 1"/>
    <w:basedOn w:val="Normal"/>
    <w:next w:val="Normal"/>
    <w:semiHidden/>
    <w:rsid w:val="001D6C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6C2E"/>
    <w:pPr>
      <w:tabs>
        <w:tab w:val="left" w:pos="720"/>
        <w:tab w:val="right" w:leader="dot" w:pos="9360"/>
      </w:tabs>
      <w:suppressAutoHyphens/>
      <w:ind w:left="720" w:right="720" w:hanging="360"/>
    </w:pPr>
    <w:rPr>
      <w:noProof/>
    </w:rPr>
  </w:style>
  <w:style w:type="paragraph" w:styleId="TOC3">
    <w:name w:val="toc 3"/>
    <w:basedOn w:val="Normal"/>
    <w:next w:val="Normal"/>
    <w:semiHidden/>
    <w:rsid w:val="001D6C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6C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6C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6C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6C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6C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6C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6C2E"/>
    <w:pPr>
      <w:tabs>
        <w:tab w:val="right" w:pos="9360"/>
      </w:tabs>
      <w:suppressAutoHyphens/>
    </w:pPr>
  </w:style>
  <w:style w:type="character" w:customStyle="1" w:styleId="EquationCaption">
    <w:name w:val="_Equation Caption"/>
    <w:rsid w:val="001D6C2E"/>
  </w:style>
  <w:style w:type="paragraph" w:styleId="Header">
    <w:name w:val="header"/>
    <w:basedOn w:val="Normal"/>
    <w:link w:val="HeaderChar"/>
    <w:autoRedefine/>
    <w:rsid w:val="001D6C2E"/>
    <w:pPr>
      <w:tabs>
        <w:tab w:val="center" w:pos="4680"/>
        <w:tab w:val="right" w:pos="9360"/>
      </w:tabs>
    </w:pPr>
    <w:rPr>
      <w:b/>
    </w:rPr>
  </w:style>
  <w:style w:type="paragraph" w:styleId="Footer">
    <w:name w:val="footer"/>
    <w:basedOn w:val="Normal"/>
    <w:link w:val="FooterChar"/>
    <w:uiPriority w:val="99"/>
    <w:rsid w:val="001D6C2E"/>
    <w:pPr>
      <w:tabs>
        <w:tab w:val="center" w:pos="4320"/>
        <w:tab w:val="right" w:pos="8640"/>
      </w:tabs>
    </w:pPr>
  </w:style>
  <w:style w:type="character" w:styleId="PageNumber">
    <w:name w:val="page number"/>
    <w:basedOn w:val="DefaultParagraphFont"/>
    <w:rsid w:val="001D6C2E"/>
  </w:style>
  <w:style w:type="paragraph" w:styleId="BlockText">
    <w:name w:val="Block Text"/>
    <w:basedOn w:val="Normal"/>
    <w:rsid w:val="001D6C2E"/>
    <w:pPr>
      <w:spacing w:after="240"/>
      <w:ind w:left="1440" w:right="1440"/>
    </w:pPr>
  </w:style>
  <w:style w:type="paragraph" w:customStyle="1" w:styleId="Paratitle">
    <w:name w:val="Para title"/>
    <w:basedOn w:val="Normal"/>
    <w:rsid w:val="001D6C2E"/>
    <w:pPr>
      <w:tabs>
        <w:tab w:val="center" w:pos="9270"/>
      </w:tabs>
      <w:spacing w:after="240"/>
    </w:pPr>
    <w:rPr>
      <w:spacing w:val="-2"/>
    </w:rPr>
  </w:style>
  <w:style w:type="paragraph" w:customStyle="1" w:styleId="Bullet">
    <w:name w:val="Bullet"/>
    <w:basedOn w:val="Normal"/>
    <w:rsid w:val="001D6C2E"/>
    <w:pPr>
      <w:tabs>
        <w:tab w:val="left" w:pos="2160"/>
      </w:tabs>
      <w:spacing w:after="220"/>
      <w:ind w:left="2160" w:hanging="720"/>
    </w:pPr>
  </w:style>
  <w:style w:type="paragraph" w:customStyle="1" w:styleId="TableFormat">
    <w:name w:val="TableFormat"/>
    <w:basedOn w:val="Bullet"/>
    <w:rsid w:val="001D6C2E"/>
    <w:pPr>
      <w:tabs>
        <w:tab w:val="clear" w:pos="2160"/>
        <w:tab w:val="left" w:pos="5040"/>
      </w:tabs>
      <w:ind w:left="5040" w:hanging="3600"/>
    </w:pPr>
  </w:style>
  <w:style w:type="paragraph" w:customStyle="1" w:styleId="TOCTitle">
    <w:name w:val="TOC Title"/>
    <w:basedOn w:val="Normal"/>
    <w:rsid w:val="001D6C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6C2E"/>
    <w:pPr>
      <w:jc w:val="center"/>
    </w:pPr>
    <w:rPr>
      <w:rFonts w:ascii="Times New Roman Bold" w:hAnsi="Times New Roman Bold"/>
      <w:b/>
      <w:bCs/>
      <w:caps/>
      <w:szCs w:val="22"/>
    </w:rPr>
  </w:style>
  <w:style w:type="character" w:styleId="Hyperlink">
    <w:name w:val="Hyperlink"/>
    <w:rsid w:val="001D6C2E"/>
    <w:rPr>
      <w:color w:val="0000FF"/>
      <w:u w:val="single"/>
    </w:rPr>
  </w:style>
  <w:style w:type="character" w:customStyle="1" w:styleId="FooterChar">
    <w:name w:val="Footer Char"/>
    <w:link w:val="Footer"/>
    <w:uiPriority w:val="99"/>
    <w:rsid w:val="001D6C2E"/>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017CBB"/>
  </w:style>
  <w:style w:type="character" w:customStyle="1" w:styleId="ParaNumChar">
    <w:name w:val="ParaNum Char"/>
    <w:link w:val="ParaNum"/>
    <w:locked/>
    <w:rsid w:val="00017CBB"/>
    <w:rPr>
      <w:snapToGrid w:val="0"/>
      <w:kern w:val="28"/>
      <w:sz w:val="22"/>
    </w:rPr>
  </w:style>
  <w:style w:type="character" w:customStyle="1" w:styleId="HeaderChar">
    <w:name w:val="Header Char"/>
    <w:link w:val="Header"/>
    <w:locked/>
    <w:rsid w:val="00017CB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