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7B6A9C58"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43FCE5FD" w14:textId="77777777">
      <w:pPr>
        <w:pStyle w:val="StyleBoldCentered"/>
      </w:pPr>
      <w:r>
        <w:t>F</w:t>
      </w:r>
      <w:r>
        <w:rPr>
          <w:caps w:val="0"/>
        </w:rPr>
        <w:t>ederal Communications Commission</w:t>
      </w:r>
    </w:p>
    <w:p w:rsidR="004C2EE3" w:rsidP="00096D8C" w14:paraId="580FE4DD" w14:textId="77777777">
      <w:pPr>
        <w:pStyle w:val="StyleBoldCentered"/>
      </w:pPr>
      <w:r>
        <w:rPr>
          <w:caps w:val="0"/>
        </w:rPr>
        <w:t>Washington, D.C. 20554</w:t>
      </w:r>
    </w:p>
    <w:p w:rsidR="004C2EE3" w:rsidP="0070224F" w14:paraId="74CBD6D6" w14:textId="77777777"/>
    <w:p w:rsidR="004C2EE3" w:rsidP="0070224F" w14:paraId="4AFDC6CE" w14:textId="77777777"/>
    <w:tbl>
      <w:tblPr>
        <w:tblW w:w="0" w:type="auto"/>
        <w:tblLayout w:type="fixed"/>
        <w:tblLook w:val="0000"/>
      </w:tblPr>
      <w:tblGrid>
        <w:gridCol w:w="4698"/>
        <w:gridCol w:w="630"/>
        <w:gridCol w:w="4248"/>
      </w:tblGrid>
      <w:tr w14:paraId="56C1C576" w14:textId="77777777">
        <w:tblPrEx>
          <w:tblW w:w="0" w:type="auto"/>
          <w:tblLayout w:type="fixed"/>
          <w:tblLook w:val="0000"/>
        </w:tblPrEx>
        <w:tc>
          <w:tcPr>
            <w:tcW w:w="4698" w:type="dxa"/>
          </w:tcPr>
          <w:p w:rsidR="004C2EE3" w14:paraId="04C09871" w14:textId="77777777">
            <w:pPr>
              <w:tabs>
                <w:tab w:val="center" w:pos="4680"/>
              </w:tabs>
              <w:suppressAutoHyphens/>
              <w:rPr>
                <w:spacing w:val="-2"/>
              </w:rPr>
            </w:pPr>
            <w:r>
              <w:rPr>
                <w:spacing w:val="-2"/>
              </w:rPr>
              <w:t>In the Matter of</w:t>
            </w:r>
          </w:p>
          <w:p w:rsidR="004C2EE3" w14:paraId="6BA4E517" w14:textId="77777777">
            <w:pPr>
              <w:tabs>
                <w:tab w:val="center" w:pos="4680"/>
              </w:tabs>
              <w:suppressAutoHyphens/>
              <w:rPr>
                <w:spacing w:val="-2"/>
              </w:rPr>
            </w:pPr>
          </w:p>
          <w:p w:rsidR="004C2EE3" w:rsidRPr="007115F7" w:rsidP="007115F7" w14:paraId="2FF58C7B" w14:textId="662432EF">
            <w:pPr>
              <w:tabs>
                <w:tab w:val="center" w:pos="4680"/>
              </w:tabs>
              <w:suppressAutoHyphens/>
              <w:rPr>
                <w:spacing w:val="-2"/>
              </w:rPr>
            </w:pPr>
            <w:r>
              <w:rPr>
                <w:spacing w:val="-2"/>
              </w:rPr>
              <w:t>Expanding Flexible Use of the 3.7 to 4.2 G</w:t>
            </w:r>
            <w:r w:rsidR="002D50EA">
              <w:rPr>
                <w:spacing w:val="-2"/>
              </w:rPr>
              <w:t>H</w:t>
            </w:r>
            <w:r>
              <w:rPr>
                <w:spacing w:val="-2"/>
              </w:rPr>
              <w:t>z Band</w:t>
            </w:r>
          </w:p>
        </w:tc>
        <w:tc>
          <w:tcPr>
            <w:tcW w:w="630" w:type="dxa"/>
          </w:tcPr>
          <w:p w:rsidR="004C2EE3" w14:paraId="7A1B1E86" w14:textId="77777777">
            <w:pPr>
              <w:tabs>
                <w:tab w:val="center" w:pos="4680"/>
              </w:tabs>
              <w:suppressAutoHyphens/>
              <w:rPr>
                <w:b/>
                <w:spacing w:val="-2"/>
              </w:rPr>
            </w:pPr>
            <w:r>
              <w:rPr>
                <w:b/>
                <w:spacing w:val="-2"/>
              </w:rPr>
              <w:t>)</w:t>
            </w:r>
          </w:p>
          <w:p w:rsidR="004C2EE3" w14:paraId="7D6F04B2" w14:textId="77777777">
            <w:pPr>
              <w:tabs>
                <w:tab w:val="center" w:pos="4680"/>
              </w:tabs>
              <w:suppressAutoHyphens/>
              <w:rPr>
                <w:b/>
                <w:spacing w:val="-2"/>
              </w:rPr>
            </w:pPr>
            <w:r>
              <w:rPr>
                <w:b/>
                <w:spacing w:val="-2"/>
              </w:rPr>
              <w:t>)</w:t>
            </w:r>
          </w:p>
          <w:p w:rsidR="004C2EE3" w14:paraId="271410FC" w14:textId="77777777">
            <w:pPr>
              <w:tabs>
                <w:tab w:val="center" w:pos="4680"/>
              </w:tabs>
              <w:suppressAutoHyphens/>
              <w:rPr>
                <w:b/>
                <w:spacing w:val="-2"/>
              </w:rPr>
            </w:pPr>
            <w:r>
              <w:rPr>
                <w:b/>
                <w:spacing w:val="-2"/>
              </w:rPr>
              <w:t>)</w:t>
            </w:r>
          </w:p>
          <w:p w:rsidR="004C2EE3" w14:paraId="47DC51D0" w14:textId="77777777">
            <w:pPr>
              <w:tabs>
                <w:tab w:val="center" w:pos="4680"/>
              </w:tabs>
              <w:suppressAutoHyphens/>
              <w:rPr>
                <w:b/>
                <w:spacing w:val="-2"/>
              </w:rPr>
            </w:pPr>
            <w:r>
              <w:rPr>
                <w:b/>
                <w:spacing w:val="-2"/>
              </w:rPr>
              <w:t>)</w:t>
            </w:r>
          </w:p>
          <w:p w:rsidR="004C2EE3" w:rsidRPr="00B13C38" w14:paraId="2E0BC017" w14:textId="19493192">
            <w:pPr>
              <w:tabs>
                <w:tab w:val="center" w:pos="4680"/>
              </w:tabs>
              <w:suppressAutoHyphens/>
              <w:rPr>
                <w:b/>
                <w:spacing w:val="-2"/>
              </w:rPr>
            </w:pPr>
          </w:p>
        </w:tc>
        <w:tc>
          <w:tcPr>
            <w:tcW w:w="4248" w:type="dxa"/>
          </w:tcPr>
          <w:p w:rsidR="004C2EE3" w14:paraId="13D50514" w14:textId="77777777">
            <w:pPr>
              <w:tabs>
                <w:tab w:val="center" w:pos="4680"/>
              </w:tabs>
              <w:suppressAutoHyphens/>
              <w:rPr>
                <w:spacing w:val="-2"/>
              </w:rPr>
            </w:pPr>
          </w:p>
          <w:p w:rsidR="004C2EE3" w14:paraId="6E30981F" w14:textId="77777777">
            <w:pPr>
              <w:pStyle w:val="TOAHeading"/>
              <w:tabs>
                <w:tab w:val="center" w:pos="4680"/>
                <w:tab w:val="clear" w:pos="9360"/>
              </w:tabs>
              <w:rPr>
                <w:spacing w:val="-2"/>
              </w:rPr>
            </w:pPr>
          </w:p>
          <w:p w:rsidR="004C2EE3" w14:paraId="5948BE84" w14:textId="648999D7">
            <w:pPr>
              <w:tabs>
                <w:tab w:val="center" w:pos="4680"/>
              </w:tabs>
              <w:suppressAutoHyphens/>
              <w:rPr>
                <w:spacing w:val="-2"/>
              </w:rPr>
            </w:pPr>
            <w:r>
              <w:rPr>
                <w:spacing w:val="-2"/>
              </w:rPr>
              <w:t>GN Docket No. 18-122</w:t>
            </w:r>
          </w:p>
        </w:tc>
      </w:tr>
    </w:tbl>
    <w:p w:rsidR="004C2EE3" w:rsidP="0070224F" w14:paraId="62C13534" w14:textId="77777777"/>
    <w:p w:rsidR="00841AB1" w:rsidP="00F021FA" w14:paraId="2922F6F7" w14:textId="7B7F80AB">
      <w:pPr>
        <w:pStyle w:val="StyleBoldCentered"/>
      </w:pPr>
      <w:r>
        <w:t>Order</w:t>
      </w:r>
    </w:p>
    <w:p w:rsidR="004C2EE3" w14:paraId="3D692ADC" w14:textId="77777777">
      <w:pPr>
        <w:tabs>
          <w:tab w:val="left" w:pos="-720"/>
        </w:tabs>
        <w:suppressAutoHyphens/>
        <w:spacing w:line="227" w:lineRule="auto"/>
        <w:rPr>
          <w:spacing w:val="-2"/>
        </w:rPr>
      </w:pPr>
    </w:p>
    <w:p w:rsidR="004C2EE3" w:rsidP="00133F79" w14:paraId="069E1E8E" w14:textId="2869DE62">
      <w:pPr>
        <w:tabs>
          <w:tab w:val="left" w:pos="720"/>
          <w:tab w:val="right" w:pos="9360"/>
        </w:tabs>
        <w:suppressAutoHyphens/>
        <w:spacing w:line="227" w:lineRule="auto"/>
      </w:pPr>
      <w:r>
        <w:rPr>
          <w:b/>
          <w:spacing w:val="-2"/>
        </w:rPr>
        <w:t xml:space="preserve">Adopted:  </w:t>
      </w:r>
      <w:r w:rsidR="00B13C38">
        <w:rPr>
          <w:b/>
          <w:spacing w:val="-2"/>
        </w:rPr>
        <w:t xml:space="preserve">June </w:t>
      </w:r>
      <w:r w:rsidRPr="5FF6E11B" w:rsidR="4EC59F35">
        <w:rPr>
          <w:b/>
          <w:bCs/>
          <w:spacing w:val="-2"/>
        </w:rPr>
        <w:t>12</w:t>
      </w:r>
      <w:r w:rsidR="00B13C38">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13C38">
        <w:rPr>
          <w:b/>
          <w:spacing w:val="-2"/>
        </w:rPr>
        <w:t xml:space="preserve">June </w:t>
      </w:r>
      <w:r w:rsidRPr="5FF6E11B" w:rsidR="06894C7D">
        <w:rPr>
          <w:b/>
          <w:bCs/>
          <w:spacing w:val="-2"/>
        </w:rPr>
        <w:t>12</w:t>
      </w:r>
      <w:r w:rsidR="00B13C38">
        <w:rPr>
          <w:b/>
          <w:spacing w:val="-2"/>
        </w:rPr>
        <w:t>, 2020</w:t>
      </w:r>
    </w:p>
    <w:p w:rsidR="00822CE0" w14:paraId="7B06DEE3" w14:textId="77777777"/>
    <w:p w:rsidR="004C2EE3" w14:paraId="51A1983C" w14:textId="126D09CD">
      <w:pPr>
        <w:rPr>
          <w:spacing w:val="-2"/>
        </w:rPr>
      </w:pPr>
      <w:r>
        <w:t xml:space="preserve">By </w:t>
      </w:r>
      <w:r w:rsidR="004E4A22">
        <w:t>the</w:t>
      </w:r>
      <w:r w:rsidR="002A2D2E">
        <w:t xml:space="preserve"> </w:t>
      </w:r>
      <w:r w:rsidR="00B13C38">
        <w:rPr>
          <w:spacing w:val="-2"/>
        </w:rPr>
        <w:t>Chief, Wireless Telecommunications Bureau</w:t>
      </w:r>
      <w:r>
        <w:rPr>
          <w:spacing w:val="-2"/>
        </w:rPr>
        <w:t>:</w:t>
      </w:r>
    </w:p>
    <w:p w:rsidR="000C1F7D" w:rsidRPr="000C1F7D" w:rsidP="000C1F7D" w14:paraId="7AE0BCC6" w14:textId="77777777">
      <w:pPr>
        <w:pStyle w:val="ParaNum"/>
        <w:numPr>
          <w:ilvl w:val="0"/>
          <w:numId w:val="0"/>
        </w:numPr>
      </w:pPr>
    </w:p>
    <w:p w:rsidR="00B13C38" w:rsidP="00B13C38" w14:paraId="06E16F1C" w14:textId="2F97940E">
      <w:pPr>
        <w:pStyle w:val="ParaNum"/>
      </w:pPr>
      <w:r>
        <w:t>By this Order, the Wireless Telecommunications Bureau (</w:t>
      </w:r>
      <w:r w:rsidR="003B3807">
        <w:t>Bureau</w:t>
      </w:r>
      <w:r>
        <w:t xml:space="preserve">) denies in its entirety a request </w:t>
      </w:r>
      <w:r w:rsidR="00614A57">
        <w:t>filed by</w:t>
      </w:r>
      <w:r w:rsidR="006761A3">
        <w:t xml:space="preserve"> ACA Connects (America’s Communications Association or ACA) and NCTA (The Internet &amp; Television Association o</w:t>
      </w:r>
      <w:r w:rsidR="00D34C31">
        <w:t>r</w:t>
      </w:r>
      <w:r w:rsidR="006761A3">
        <w:t xml:space="preserve"> NCTA) (jointly, Requestors)</w:t>
      </w:r>
      <w:bookmarkStart w:id="1" w:name="_Hlk42796741"/>
      <w:r w:rsidR="007F7BBF">
        <w:t xml:space="preserve">, </w:t>
      </w:r>
      <w:bookmarkEnd w:id="1"/>
      <w:r w:rsidR="007F7BBF">
        <w:t xml:space="preserve">asking </w:t>
      </w:r>
      <w:r w:rsidR="003B3807">
        <w:t>the Bureau</w:t>
      </w:r>
      <w:r w:rsidR="00F22645">
        <w:t xml:space="preserve"> </w:t>
      </w:r>
      <w:r>
        <w:t>to</w:t>
      </w:r>
      <w:r w:rsidR="3411CE21">
        <w:t>:</w:t>
      </w:r>
      <w:r>
        <w:t xml:space="preserve"> </w:t>
      </w:r>
      <w:r w:rsidRPr="00E576F4">
        <w:t xml:space="preserve">“(1) extend the comment deadline on the Lump Sum PN by six days, until June 22, to enable parties to review satellite operator transition plans and ensure </w:t>
      </w:r>
      <w:r w:rsidR="00F22645">
        <w:t xml:space="preserve">that </w:t>
      </w:r>
      <w:r w:rsidRPr="00E576F4">
        <w:t>their comments reflect that information; (2) publish the space station operators’ transition plans on its website immediately after they are received, either on the evening of June 12 or the morning of June 13; and (3) disclose the assumptions and methodology underlying its proposed lump sum payment amounts.”</w:t>
      </w:r>
      <w:r>
        <w:rPr>
          <w:rStyle w:val="FootnoteReference"/>
        </w:rPr>
        <w:footnoteReference w:id="3"/>
      </w:r>
      <w:r w:rsidRPr="00E576F4">
        <w:t xml:space="preserve">   </w:t>
      </w:r>
    </w:p>
    <w:p w:rsidR="00BC7B03" w:rsidP="006D3AB5" w14:paraId="018D6878" w14:textId="5AE451A4">
      <w:pPr>
        <w:pStyle w:val="ParaNum"/>
      </w:pPr>
      <w:r>
        <w:t xml:space="preserve">In the </w:t>
      </w:r>
      <w:r w:rsidRPr="398C3632">
        <w:rPr>
          <w:i/>
          <w:iCs/>
        </w:rPr>
        <w:t>3.7 GHz Report and Order</w:t>
      </w:r>
      <w:r w:rsidRPr="00174588">
        <w:t>,</w:t>
      </w:r>
      <w:r w:rsidRPr="398C3632">
        <w:rPr>
          <w:i/>
          <w:iCs/>
        </w:rPr>
        <w:t xml:space="preserve"> </w:t>
      </w:r>
      <w:r>
        <w:t>the Commission adopted rules to make 280 megahertz of mid-band spectrum available for flexible use, plus a 20 megahertz guard band, throughout the contiguous United States by transitioning existing services out of the lower portion and into the upper 200 megahertz of the C-band.</w:t>
      </w:r>
      <w:r>
        <w:rPr>
          <w:rStyle w:val="FootnoteReference"/>
        </w:rPr>
        <w:footnoteReference w:id="4"/>
      </w:r>
      <w:r>
        <w:t xml:space="preserve">  The </w:t>
      </w:r>
      <w:r w:rsidRPr="398C3632">
        <w:rPr>
          <w:i/>
          <w:iCs/>
        </w:rPr>
        <w:t>3.7 GHz Report and Order</w:t>
      </w:r>
      <w:r>
        <w:t xml:space="preserve"> established that new 3.7 GHz </w:t>
      </w:r>
      <w:r w:rsidR="00927328">
        <w:t>S</w:t>
      </w:r>
      <w:r w:rsidR="65DBF662">
        <w:t>ervice</w:t>
      </w:r>
      <w:r>
        <w:t xml:space="preserve"> licensees will reimburse the reasonable relocation costs of eligible incumbents, including incumbent </w:t>
      </w:r>
      <w:r w:rsidR="005A6B92">
        <w:t>Fixed Satellite Service (</w:t>
      </w:r>
      <w:r>
        <w:t>FSS</w:t>
      </w:r>
      <w:r w:rsidR="005A6B92">
        <w:t>)</w:t>
      </w:r>
      <w:r>
        <w:t xml:space="preserve"> earth station operators, to transition to the upper 200 megahertz of the band.</w:t>
      </w:r>
      <w:r>
        <w:rPr>
          <w:rStyle w:val="FootnoteReference"/>
        </w:rPr>
        <w:footnoteReference w:id="5"/>
      </w:r>
      <w:r>
        <w:t xml:space="preserve"> </w:t>
      </w:r>
      <w:r w:rsidR="006462BC">
        <w:t xml:space="preserve"> </w:t>
      </w:r>
      <w:r>
        <w:t xml:space="preserve">The </w:t>
      </w:r>
      <w:r w:rsidRPr="00544C11">
        <w:rPr>
          <w:i/>
          <w:iCs/>
        </w:rPr>
        <w:t xml:space="preserve">3.7 GHz Report and Order </w:t>
      </w:r>
      <w:r>
        <w:t>established that incumbent FSS earth station operators may either accept: (1) reimbursement for their actual reasonable relocation costs by maintaining satellite reception; or (2) a lump sum reimbursement “based on the average, estimated costs of relocating all of their incumbent earth stations” to the upper 200 megahertz of the C-band.</w:t>
      </w:r>
      <w:r>
        <w:rPr>
          <w:rStyle w:val="FootnoteReference"/>
        </w:rPr>
        <w:footnoteReference w:id="6"/>
      </w:r>
      <w:r>
        <w:t xml:space="preserve">  </w:t>
      </w:r>
    </w:p>
    <w:p w:rsidR="00842C4B" w:rsidP="00842C4B" w14:paraId="6D69FF8D" w14:textId="00850CD4">
      <w:pPr>
        <w:pStyle w:val="ParaNum"/>
      </w:pPr>
      <w:r>
        <w:t>The Commission engaged a third-party contractor, RKF Engineering Solutions, LLC</w:t>
      </w:r>
      <w:r w:rsidR="00EF3E5F">
        <w:t xml:space="preserve"> </w:t>
      </w:r>
      <w:r>
        <w:t xml:space="preserve">(RKF), to assist in identifying costs that incumbents might incur and to assist with the development of a </w:t>
      </w:r>
      <w:r w:rsidR="003B65D7">
        <w:t>cost category schedule.</w:t>
      </w:r>
      <w:r>
        <w:rPr>
          <w:rStyle w:val="FootnoteReference"/>
        </w:rPr>
        <w:footnoteReference w:id="7"/>
      </w:r>
      <w:r w:rsidR="00FD3634">
        <w:t xml:space="preserve">  </w:t>
      </w:r>
      <w:r w:rsidR="003B3807">
        <w:t>The Bureau</w:t>
      </w:r>
      <w:r w:rsidR="00FD3634">
        <w:t xml:space="preserve"> sought comment on the Preliminary Cost Catalog in the </w:t>
      </w:r>
      <w:r w:rsidRPr="398C3632" w:rsidR="00FD3634">
        <w:rPr>
          <w:i/>
          <w:iCs/>
        </w:rPr>
        <w:t>Cost Catalog Public Notice</w:t>
      </w:r>
      <w:r w:rsidR="00AE7CCC">
        <w:t>.</w:t>
      </w:r>
      <w:r>
        <w:rPr>
          <w:rStyle w:val="FootnoteReference"/>
        </w:rPr>
        <w:footnoteReference w:id="8"/>
      </w:r>
      <w:r w:rsidR="00FD3634">
        <w:t xml:space="preserve">  After considering the comments received in response to the </w:t>
      </w:r>
      <w:r w:rsidRPr="398C3632" w:rsidR="00FD3634">
        <w:rPr>
          <w:i/>
          <w:iCs/>
        </w:rPr>
        <w:t>Cost Catalog Public Notice</w:t>
      </w:r>
      <w:r w:rsidR="00122715">
        <w:t>,</w:t>
      </w:r>
      <w:r w:rsidR="00933B4C">
        <w:rPr>
          <w:rStyle w:val="FootnoteReference"/>
        </w:rPr>
        <w:t xml:space="preserve"> </w:t>
      </w:r>
      <w:r w:rsidR="003B3601">
        <w:t>o</w:t>
      </w:r>
      <w:r w:rsidRPr="00EF3E5F" w:rsidR="00EF3E5F">
        <w:t xml:space="preserve">n June 4, 2020, </w:t>
      </w:r>
      <w:r w:rsidR="003B3807">
        <w:t>the Bureau</w:t>
      </w:r>
      <w:r w:rsidRPr="00EF3E5F" w:rsidR="00EF3E5F">
        <w:t xml:space="preserve"> released a Public Notice inviting additional comment on</w:t>
      </w:r>
      <w:r w:rsidRPr="001D62B1" w:rsidR="001D62B1">
        <w:rPr>
          <w:snapToGrid/>
          <w:color w:val="000000"/>
          <w:kern w:val="0"/>
          <w:sz w:val="24"/>
          <w:szCs w:val="24"/>
        </w:rPr>
        <w:t xml:space="preserve"> </w:t>
      </w:r>
      <w:r w:rsidRPr="001D62B1" w:rsidR="001D62B1">
        <w:t>the preliminary lump sum categories and payment amounts available to FSS incumbent earth station operators as part of the C-band transition</w:t>
      </w:r>
      <w:r w:rsidR="009F23B5">
        <w:t>.</w:t>
      </w:r>
      <w:r>
        <w:rPr>
          <w:rStyle w:val="FootnoteReference"/>
        </w:rPr>
        <w:footnoteReference w:id="9"/>
      </w:r>
      <w:r w:rsidR="00B404B5">
        <w:t xml:space="preserve"> </w:t>
      </w:r>
    </w:p>
    <w:p w:rsidR="002C4222" w:rsidP="00531A39" w14:paraId="2FFED8B9" w14:textId="3BE63A22">
      <w:pPr>
        <w:pStyle w:val="ParaNum"/>
      </w:pPr>
      <w:r>
        <w:t xml:space="preserve">Requestors </w:t>
      </w:r>
      <w:r w:rsidR="00B404B5">
        <w:t>filed a Joint Request for Extension of Time and to Disclose Lump Sum Assumptions and Methodology (Extension Request)</w:t>
      </w:r>
      <w:r w:rsidR="009C581A">
        <w:t xml:space="preserve"> asking</w:t>
      </w:r>
      <w:r w:rsidR="006761A3">
        <w:t xml:space="preserve"> for </w:t>
      </w:r>
      <w:r w:rsidR="009C581A">
        <w:t>an e</w:t>
      </w:r>
      <w:r w:rsidR="006761A3">
        <w:t xml:space="preserve">xtension of </w:t>
      </w:r>
      <w:r w:rsidR="009C581A">
        <w:t>t</w:t>
      </w:r>
      <w:r w:rsidR="006761A3">
        <w:t xml:space="preserve">ime </w:t>
      </w:r>
      <w:r w:rsidR="009C581A">
        <w:t xml:space="preserve">to file comments, </w:t>
      </w:r>
      <w:r w:rsidR="006761A3">
        <w:t>and t</w:t>
      </w:r>
      <w:r w:rsidR="009C581A">
        <w:t>hat WTB</w:t>
      </w:r>
      <w:r w:rsidR="006761A3">
        <w:t xml:space="preserve"> </w:t>
      </w:r>
      <w:r w:rsidR="009C581A">
        <w:t>d</w:t>
      </w:r>
      <w:r w:rsidR="006761A3">
        <w:t xml:space="preserve">isclose </w:t>
      </w:r>
      <w:r w:rsidR="009C581A">
        <w:t>l</w:t>
      </w:r>
      <w:r w:rsidR="006761A3">
        <w:t xml:space="preserve">ump </w:t>
      </w:r>
      <w:r w:rsidR="009C581A">
        <w:t>s</w:t>
      </w:r>
      <w:r w:rsidR="006761A3">
        <w:t xml:space="preserve">um </w:t>
      </w:r>
      <w:r w:rsidR="009C581A">
        <w:t>a</w:t>
      </w:r>
      <w:r w:rsidR="006761A3">
        <w:t xml:space="preserve">ssumptions and </w:t>
      </w:r>
      <w:r w:rsidR="009C581A">
        <w:t>m</w:t>
      </w:r>
      <w:r w:rsidR="006761A3">
        <w:t>ethodology.</w:t>
      </w:r>
      <w:r>
        <w:rPr>
          <w:rStyle w:val="FootnoteReference"/>
        </w:rPr>
        <w:footnoteReference w:id="10"/>
      </w:r>
      <w:r w:rsidR="006761A3">
        <w:t xml:space="preserve"> </w:t>
      </w:r>
      <w:r w:rsidR="00806FA0">
        <w:t xml:space="preserve">  </w:t>
      </w:r>
      <w:r w:rsidR="009C581A">
        <w:t>Requestors also ask that the Commission make Transition Plans available immediately after they are filed.</w:t>
      </w:r>
      <w:r>
        <w:rPr>
          <w:rStyle w:val="FootnoteReference"/>
        </w:rPr>
        <w:footnoteReference w:id="11"/>
      </w:r>
      <w:r w:rsidR="009C581A">
        <w:t xml:space="preserve">  </w:t>
      </w:r>
      <w:r w:rsidR="00806FA0">
        <w:t xml:space="preserve">We deny the </w:t>
      </w:r>
      <w:r>
        <w:t>E</w:t>
      </w:r>
      <w:r w:rsidR="00806FA0">
        <w:t xml:space="preserve">xtension </w:t>
      </w:r>
      <w:r>
        <w:t>R</w:t>
      </w:r>
      <w:r w:rsidR="00806FA0">
        <w:t xml:space="preserve">equest in its entirety. </w:t>
      </w:r>
    </w:p>
    <w:p w:rsidR="00E314D3" w:rsidP="00806FA0" w14:paraId="26BF31E4" w14:textId="5EFB55EA">
      <w:pPr>
        <w:pStyle w:val="ParaNum"/>
      </w:pPr>
      <w:r>
        <w:t xml:space="preserve">In support of their </w:t>
      </w:r>
      <w:r w:rsidR="0020493D">
        <w:t>request</w:t>
      </w:r>
      <w:r>
        <w:t xml:space="preserve"> for an extension, </w:t>
      </w:r>
      <w:r w:rsidR="00F54E0B">
        <w:t>Requestors</w:t>
      </w:r>
      <w:r w:rsidR="008E6FEE">
        <w:t xml:space="preserve"> </w:t>
      </w:r>
      <w:r>
        <w:t xml:space="preserve">argue </w:t>
      </w:r>
      <w:r w:rsidR="008E6FEE">
        <w:t>that interested stakeholder</w:t>
      </w:r>
      <w:r w:rsidR="00673BC4">
        <w:t>s</w:t>
      </w:r>
      <w:r w:rsidR="008E6FEE">
        <w:t xml:space="preserve"> should have the opportunity to review the space station </w:t>
      </w:r>
      <w:r w:rsidR="01332313">
        <w:t>operators</w:t>
      </w:r>
      <w:r w:rsidR="00500EAC">
        <w:t>’</w:t>
      </w:r>
      <w:r w:rsidR="008E6FEE">
        <w:t xml:space="preserve"> </w:t>
      </w:r>
      <w:r w:rsidR="00500EAC">
        <w:t>Transition Plans</w:t>
      </w:r>
      <w:r w:rsidR="008E6FEE">
        <w:t xml:space="preserve"> before commenting on the lump sum proposals.</w:t>
      </w:r>
      <w:r>
        <w:rPr>
          <w:rStyle w:val="FootnoteReference"/>
        </w:rPr>
        <w:footnoteReference w:id="12"/>
      </w:r>
      <w:r w:rsidR="00673BC4">
        <w:t xml:space="preserve">  </w:t>
      </w:r>
      <w:r w:rsidR="005258C8">
        <w:t>It is the policy of the Commission that extensions of time shall not be routinely granted</w:t>
      </w:r>
      <w:r w:rsidR="00FE540D">
        <w:t xml:space="preserve"> and Requestors</w:t>
      </w:r>
      <w:r w:rsidR="008B6371">
        <w:t>’ arguments do not clear that high bar</w:t>
      </w:r>
      <w:r w:rsidR="005258C8">
        <w:t>.</w:t>
      </w:r>
      <w:r>
        <w:rPr>
          <w:rStyle w:val="FootnoteReference"/>
        </w:rPr>
        <w:footnoteReference w:id="13"/>
      </w:r>
      <w:r w:rsidR="005258C8">
        <w:t xml:space="preserve">  </w:t>
      </w:r>
      <w:r w:rsidR="00104DDE">
        <w:t>ACA</w:t>
      </w:r>
      <w:r w:rsidR="008E542F">
        <w:t xml:space="preserve"> previously requested that </w:t>
      </w:r>
      <w:r w:rsidR="003B3807">
        <w:t>the Bureau</w:t>
      </w:r>
      <w:r w:rsidR="008E542F">
        <w:t xml:space="preserve"> wait to finalize the Cost Catalog and lump sum categories until after space station operators submit their final </w:t>
      </w:r>
      <w:r w:rsidR="004E5973">
        <w:t>Transition Plans</w:t>
      </w:r>
      <w:r w:rsidR="008E542F">
        <w:t xml:space="preserve"> on August 14, 2020</w:t>
      </w:r>
      <w:r w:rsidR="00104DDE">
        <w:t xml:space="preserve">, and NCTA requested that </w:t>
      </w:r>
      <w:r w:rsidR="003B3807">
        <w:t>the Bureau</w:t>
      </w:r>
      <w:r w:rsidR="00104DDE">
        <w:t xml:space="preserve"> wait until after June 12, 2020</w:t>
      </w:r>
      <w:r w:rsidR="008E542F">
        <w:t>.</w:t>
      </w:r>
      <w:r>
        <w:rPr>
          <w:rStyle w:val="FootnoteReference"/>
        </w:rPr>
        <w:footnoteReference w:id="14"/>
      </w:r>
      <w:r w:rsidR="008E542F">
        <w:t xml:space="preserve"> </w:t>
      </w:r>
      <w:r w:rsidR="00104DDE">
        <w:t xml:space="preserve"> </w:t>
      </w:r>
      <w:r w:rsidR="00BB5CA7">
        <w:t xml:space="preserve">In the </w:t>
      </w:r>
      <w:r w:rsidR="00E576F4">
        <w:rPr>
          <w:i/>
          <w:iCs/>
        </w:rPr>
        <w:t>Lump Sum Public Notice</w:t>
      </w:r>
      <w:r w:rsidR="00BB5CA7">
        <w:t>, the Bureau</w:t>
      </w:r>
      <w:r w:rsidR="00104DDE">
        <w:rPr>
          <w:i/>
          <w:iCs/>
        </w:rPr>
        <w:t xml:space="preserve"> </w:t>
      </w:r>
      <w:r w:rsidR="00104DDE">
        <w:t>considered the</w:t>
      </w:r>
      <w:r w:rsidR="00BB5CA7">
        <w:t xml:space="preserve">se requests and </w:t>
      </w:r>
      <w:r w:rsidR="00104DDE">
        <w:t xml:space="preserve">elected to provide </w:t>
      </w:r>
      <w:r w:rsidR="00E576F4">
        <w:t xml:space="preserve">an additional opportunity for interested stakeholders to file comments beyond the </w:t>
      </w:r>
      <w:r w:rsidR="00421565">
        <w:t xml:space="preserve">requirements </w:t>
      </w:r>
      <w:r w:rsidR="006F694B">
        <w:t>established in the</w:t>
      </w:r>
      <w:r w:rsidR="4B35617F">
        <w:t xml:space="preserve"> </w:t>
      </w:r>
      <w:r w:rsidR="00421565">
        <w:rPr>
          <w:i/>
          <w:iCs/>
        </w:rPr>
        <w:t>3.7 GHz Report and Order</w:t>
      </w:r>
      <w:r w:rsidR="00421565">
        <w:t>.</w:t>
      </w:r>
      <w:r>
        <w:rPr>
          <w:rStyle w:val="FootnoteReference"/>
        </w:rPr>
        <w:footnoteReference w:id="15"/>
      </w:r>
      <w:r w:rsidR="00421565">
        <w:t xml:space="preserve"> </w:t>
      </w:r>
      <w:r w:rsidR="00F669EE">
        <w:t xml:space="preserve"> </w:t>
      </w:r>
      <w:r w:rsidR="002F5F55">
        <w:t>In addition, t</w:t>
      </w:r>
      <w:r w:rsidR="009F6602">
        <w:t xml:space="preserve">he </w:t>
      </w:r>
      <w:r w:rsidR="00BB5CA7">
        <w:t>Bureau</w:t>
      </w:r>
      <w:r w:rsidR="009F6602">
        <w:t xml:space="preserve"> noted</w:t>
      </w:r>
      <w:r w:rsidRPr="00B927C7" w:rsidR="009F6602">
        <w:t xml:space="preserve"> that incumbent earth station operators will </w:t>
      </w:r>
      <w:r w:rsidR="002F5F55">
        <w:t xml:space="preserve">be able to </w:t>
      </w:r>
      <w:r w:rsidRPr="00B927C7" w:rsidR="009F6602">
        <w:t xml:space="preserve">make their lump sum elections after </w:t>
      </w:r>
      <w:r w:rsidR="002B6FF5">
        <w:t>space station</w:t>
      </w:r>
      <w:r w:rsidRPr="00B927C7" w:rsidR="002B6FF5">
        <w:t xml:space="preserve"> </w:t>
      </w:r>
      <w:r w:rsidRPr="00B927C7" w:rsidR="009F6602">
        <w:t xml:space="preserve">operators have filed their Transition Plans and those plans have been made available for public comment, </w:t>
      </w:r>
      <w:r w:rsidR="00A208C8">
        <w:t xml:space="preserve">which would </w:t>
      </w:r>
      <w:r w:rsidRPr="00B927C7" w:rsidR="009F6602">
        <w:t>allow earth station operators to consider the Transition Plans in making their lump sum elections should they choose to do so.</w:t>
      </w:r>
      <w:r>
        <w:rPr>
          <w:rStyle w:val="FootnoteReference"/>
        </w:rPr>
        <w:footnoteReference w:id="16"/>
      </w:r>
      <w:r w:rsidRPr="00B927C7" w:rsidR="009F6602">
        <w:t xml:space="preserve"> </w:t>
      </w:r>
      <w:r w:rsidR="0044110B">
        <w:t xml:space="preserve"> </w:t>
      </w:r>
      <w:r>
        <w:t xml:space="preserve">Stakeholders have not </w:t>
      </w:r>
      <w:r w:rsidR="008F1922">
        <w:t xml:space="preserve">provided any </w:t>
      </w:r>
      <w:r w:rsidR="003107F9">
        <w:t xml:space="preserve">new </w:t>
      </w:r>
      <w:r w:rsidR="006D71B4">
        <w:t>information</w:t>
      </w:r>
      <w:r w:rsidR="000A2C0B">
        <w:t xml:space="preserve"> or arguments</w:t>
      </w:r>
      <w:r w:rsidR="003107F9">
        <w:t xml:space="preserve"> </w:t>
      </w:r>
      <w:r w:rsidR="00275512">
        <w:t xml:space="preserve">to support their request to revisit </w:t>
      </w:r>
      <w:r w:rsidR="00566787">
        <w:t>the timing of the</w:t>
      </w:r>
      <w:r w:rsidR="00F24C20">
        <w:t xml:space="preserve"> </w:t>
      </w:r>
      <w:r w:rsidR="008F2519">
        <w:t>comments on the lump sum payments or categories in relation to the Transition Plans</w:t>
      </w:r>
      <w:r w:rsidR="000A2C0B">
        <w:t>.  T</w:t>
      </w:r>
      <w:r w:rsidR="00811FDB">
        <w:t xml:space="preserve">herefore, we deny the request </w:t>
      </w:r>
      <w:r w:rsidR="00D846FD">
        <w:t>for an extension</w:t>
      </w:r>
      <w:r w:rsidR="00566787">
        <w:t>.</w:t>
      </w:r>
    </w:p>
    <w:p w:rsidR="0055134D" w:rsidP="00806FA0" w14:paraId="31E374FC" w14:textId="77097109">
      <w:pPr>
        <w:pStyle w:val="ParaNum"/>
      </w:pPr>
      <w:r>
        <w:t xml:space="preserve">Next, the </w:t>
      </w:r>
      <w:r w:rsidR="00F54E0B">
        <w:t>Requestors ask</w:t>
      </w:r>
      <w:r>
        <w:t xml:space="preserve"> that the Commission “</w:t>
      </w:r>
      <w:r w:rsidRPr="006462BC">
        <w:t xml:space="preserve">publish the space station operators’ </w:t>
      </w:r>
      <w:r w:rsidRPr="006462BC">
        <w:t>transition plans on its website immediately after they are received, either on the evening of June 12 or the morning of June 13</w:t>
      </w:r>
      <w:r>
        <w:t>.”</w:t>
      </w:r>
      <w:r>
        <w:rPr>
          <w:rStyle w:val="FootnoteReference"/>
        </w:rPr>
        <w:footnoteReference w:id="17"/>
      </w:r>
      <w:r>
        <w:t xml:space="preserve">  The </w:t>
      </w:r>
      <w:r w:rsidR="00EB3FAA">
        <w:t>Transition Plans</w:t>
      </w:r>
      <w:r>
        <w:t xml:space="preserve"> will be available </w:t>
      </w:r>
      <w:r w:rsidR="00301303">
        <w:t xml:space="preserve">for public review </w:t>
      </w:r>
      <w:r>
        <w:t xml:space="preserve">in </w:t>
      </w:r>
      <w:r w:rsidR="003E4E35">
        <w:t xml:space="preserve">the </w:t>
      </w:r>
      <w:r>
        <w:t>Commission’s Electronic Comment Filing System (ECFS) consistent with the Commission’s usual practice</w:t>
      </w:r>
      <w:r w:rsidR="0042039C">
        <w:t xml:space="preserve">, and as required by the rules adopted by the Commission in the </w:t>
      </w:r>
      <w:r w:rsidR="0042039C">
        <w:rPr>
          <w:i/>
          <w:iCs/>
        </w:rPr>
        <w:t>3.7 GHz Report and Order</w:t>
      </w:r>
      <w:r w:rsidR="173CF8D1">
        <w:t>.</w:t>
      </w:r>
      <w:r>
        <w:rPr>
          <w:rStyle w:val="FootnoteReference"/>
        </w:rPr>
        <w:footnoteReference w:id="18"/>
      </w:r>
      <w:r>
        <w:t xml:space="preserve"> </w:t>
      </w:r>
      <w:r w:rsidR="007E4474">
        <w:t xml:space="preserve"> </w:t>
      </w:r>
      <w:r w:rsidR="00D82696">
        <w:t xml:space="preserve"> </w:t>
      </w:r>
      <w:r w:rsidR="00806A8D">
        <w:t xml:space="preserve">Requestors have provided no clear and convincing justification </w:t>
      </w:r>
      <w:r w:rsidR="0015205D">
        <w:t xml:space="preserve">as to why </w:t>
      </w:r>
      <w:r w:rsidR="00342AB3">
        <w:t>a</w:t>
      </w:r>
      <w:r w:rsidR="00806A8D">
        <w:t xml:space="preserve"> deviation from the Commission’s usual practices</w:t>
      </w:r>
      <w:r w:rsidR="00082AD0">
        <w:t xml:space="preserve"> is necessary</w:t>
      </w:r>
      <w:r w:rsidR="00D82696">
        <w:t xml:space="preserve"> to serve their goals, and we find that </w:t>
      </w:r>
      <w:r w:rsidR="00D0491B">
        <w:t>publication in the ECFS docket for this proceeding provides</w:t>
      </w:r>
      <w:r w:rsidR="00D82696">
        <w:t xml:space="preserve"> Requestors with the desired opportunity to review space station operators’ Transition Plans</w:t>
      </w:r>
      <w:r w:rsidR="00082AD0">
        <w:t>.</w:t>
      </w:r>
    </w:p>
    <w:p w:rsidR="006462BC" w:rsidP="00806FA0" w14:paraId="77052F17" w14:textId="4A8DCDE1">
      <w:pPr>
        <w:pStyle w:val="ParaNum"/>
      </w:pPr>
      <w:r>
        <w:t xml:space="preserve">Finally, the Extension Request asks that </w:t>
      </w:r>
      <w:r w:rsidR="003B3807">
        <w:t>the Bureau</w:t>
      </w:r>
      <w:r>
        <w:t xml:space="preserve"> “</w:t>
      </w:r>
      <w:r w:rsidRPr="006462BC">
        <w:t>disclose the assumptions and methodology underlying its proposed lump sum payment amounts</w:t>
      </w:r>
      <w:r w:rsidR="00F54E0B">
        <w:t>.</w:t>
      </w:r>
      <w:r>
        <w:t>”</w:t>
      </w:r>
      <w:r>
        <w:rPr>
          <w:rStyle w:val="FootnoteReference"/>
        </w:rPr>
        <w:footnoteReference w:id="19"/>
      </w:r>
      <w:r>
        <w:t xml:space="preserve"> </w:t>
      </w:r>
      <w:r w:rsidR="00DC7EB3">
        <w:t xml:space="preserve"> </w:t>
      </w:r>
      <w:r w:rsidR="00F54E0B">
        <w:t>The</w:t>
      </w:r>
      <w:r>
        <w:t xml:space="preserve"> </w:t>
      </w:r>
      <w:r>
        <w:rPr>
          <w:i/>
          <w:iCs/>
        </w:rPr>
        <w:t>Lump Sum Public Notice</w:t>
      </w:r>
      <w:r>
        <w:t xml:space="preserve"> outlin</w:t>
      </w:r>
      <w:r w:rsidR="00F54E0B">
        <w:t>es</w:t>
      </w:r>
      <w:r>
        <w:t xml:space="preserve"> the methodology used to calculate lump sum amounts</w:t>
      </w:r>
      <w:r w:rsidR="00F54E0B">
        <w:t xml:space="preserve"> and seeks comment on the assumption</w:t>
      </w:r>
      <w:r w:rsidR="00DF42BE">
        <w:t>s</w:t>
      </w:r>
      <w:r w:rsidR="00F54E0B">
        <w:t xml:space="preserve"> made regarding the average transition for each class of earth station</w:t>
      </w:r>
      <w:r>
        <w:t>.</w:t>
      </w:r>
      <w:r>
        <w:rPr>
          <w:rStyle w:val="FootnoteReference"/>
        </w:rPr>
        <w:footnoteReference w:id="20"/>
      </w:r>
      <w:r w:rsidR="006D372F">
        <w:t xml:space="preserve">  </w:t>
      </w:r>
      <w:r w:rsidR="00F669EE">
        <w:t xml:space="preserve">The </w:t>
      </w:r>
      <w:r w:rsidR="00F669EE">
        <w:rPr>
          <w:i/>
          <w:iCs/>
        </w:rPr>
        <w:t>Lump Sum Public Notice</w:t>
      </w:r>
      <w:r w:rsidR="00F669EE">
        <w:t xml:space="preserve">, in combination with the </w:t>
      </w:r>
      <w:r w:rsidR="00D74676">
        <w:t>Preliminary C</w:t>
      </w:r>
      <w:r w:rsidR="133F94E3">
        <w:t xml:space="preserve">ost </w:t>
      </w:r>
      <w:r w:rsidR="00D74676">
        <w:t>Catalog</w:t>
      </w:r>
      <w:r w:rsidR="00F669EE">
        <w:t xml:space="preserve">, provides sufficient information for stakeholders to provide informed comment on the proposed cost categories and lump sum amounts. </w:t>
      </w:r>
      <w:r w:rsidR="76E8ECD9">
        <w:t xml:space="preserve"> </w:t>
      </w:r>
      <w:r w:rsidR="27063E75">
        <w:t xml:space="preserve">We thus decline to </w:t>
      </w:r>
      <w:r w:rsidR="2C037015">
        <w:t>take further action in this regard</w:t>
      </w:r>
      <w:r w:rsidR="27063E75">
        <w:t>.</w:t>
      </w:r>
      <w:r>
        <w:rPr>
          <w:rStyle w:val="FootnoteReference"/>
        </w:rPr>
        <w:footnoteReference w:id="21"/>
      </w:r>
      <w:r w:rsidR="133F94E3">
        <w:t xml:space="preserve"> </w:t>
      </w:r>
    </w:p>
    <w:p w:rsidR="00542A62" w:rsidP="00542A62" w14:paraId="59AD4A49" w14:textId="279B2DF5">
      <w:pPr>
        <w:pStyle w:val="ParaNum"/>
      </w:pPr>
      <w:r>
        <w:t>Accordingly, IT IS ORDERED, pursuant to sections 0.204, 0.291, and 1.46 of the Commission’s rules, 47 CFR §§ 0.204, 0.291, 1.46, that the Joint Request for Extension of Time and to Disclose Lump Sum Assumptions and Methodology filed by Requestors on June 9, 2020 is DENIED.</w:t>
      </w:r>
    </w:p>
    <w:p w:rsidR="00542A62" w:rsidP="00542A62" w14:paraId="7FB62F26" w14:textId="23850160">
      <w:pPr>
        <w:pStyle w:val="ParaNum"/>
        <w:numPr>
          <w:ilvl w:val="0"/>
          <w:numId w:val="0"/>
        </w:numPr>
        <w:jc w:val="right"/>
      </w:pPr>
    </w:p>
    <w:p w:rsidR="00542A62" w:rsidP="00542A62" w14:paraId="409273A7" w14:textId="551D2E4E">
      <w:pPr>
        <w:pStyle w:val="ParaNum"/>
        <w:numPr>
          <w:ilvl w:val="0"/>
          <w:numId w:val="0"/>
        </w:numPr>
        <w:jc w:val="right"/>
      </w:pPr>
      <w:r>
        <w:t>FEDERAL COMMUNICATIONS COMMISSION</w:t>
      </w:r>
    </w:p>
    <w:p w:rsidR="00F97A5F" w:rsidP="00542A62" w14:paraId="5B8649EA" w14:textId="49CE7F35">
      <w:pPr>
        <w:pStyle w:val="ParaNum"/>
        <w:numPr>
          <w:ilvl w:val="0"/>
          <w:numId w:val="0"/>
        </w:numPr>
        <w:jc w:val="right"/>
      </w:pPr>
    </w:p>
    <w:p w:rsidR="00F97A5F" w:rsidP="00F97A5F" w14:paraId="18D0BF5C" w14:textId="77777777">
      <w:pPr>
        <w:pStyle w:val="ParaNum"/>
        <w:numPr>
          <w:ilvl w:val="0"/>
          <w:numId w:val="0"/>
        </w:numPr>
        <w:spacing w:after="0"/>
        <w:ind w:left="4770" w:firstLine="90"/>
      </w:pPr>
      <w:r>
        <w:t>Donald Stockdale</w:t>
      </w:r>
    </w:p>
    <w:p w:rsidR="00F97A5F" w:rsidP="00F97A5F" w14:paraId="01031BFB" w14:textId="77777777">
      <w:pPr>
        <w:pStyle w:val="ParaNum"/>
        <w:numPr>
          <w:ilvl w:val="0"/>
          <w:numId w:val="0"/>
        </w:numPr>
        <w:spacing w:after="0"/>
        <w:ind w:left="4770" w:firstLine="90"/>
      </w:pPr>
      <w:r>
        <w:t>Chief</w:t>
      </w:r>
    </w:p>
    <w:p w:rsidR="00F97A5F" w:rsidP="003710F6" w14:paraId="23A98B23" w14:textId="50A2069B">
      <w:pPr>
        <w:pStyle w:val="ParaNum"/>
        <w:numPr>
          <w:ilvl w:val="0"/>
          <w:numId w:val="0"/>
        </w:numPr>
        <w:spacing w:after="0"/>
        <w:ind w:left="4770" w:firstLine="90"/>
      </w:pPr>
      <w:r>
        <w:t>Wireless Telecommunication Bureau</w:t>
      </w:r>
    </w:p>
    <w:p w:rsidR="00F97A5F" w:rsidP="00F97A5F" w14:paraId="7E671242" w14:textId="77777777">
      <w:pPr>
        <w:pStyle w:val="ParaNum"/>
        <w:numPr>
          <w:ilvl w:val="0"/>
          <w:numId w:val="0"/>
        </w:numPr>
        <w:spacing w:after="0"/>
        <w:jc w:val="right"/>
      </w:pPr>
    </w:p>
    <w:p w:rsidR="00542A62" w:rsidRPr="00B13C38" w:rsidP="00F97A5F" w14:paraId="7CB16B93" w14:textId="77777777">
      <w:pPr>
        <w:pStyle w:val="ParaNum"/>
        <w:numPr>
          <w:ilvl w:val="0"/>
          <w:numId w:val="0"/>
        </w:numPr>
        <w:spacing w:after="0"/>
        <w:jc w:val="right"/>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D2D0AC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40374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8676F2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0C5369" w14:paraId="1BA0E06C" w14:textId="4CE8B671">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C5369" w14:paraId="11F06043" w14:textId="4DA8C61C">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38D2" w14:paraId="049C88D4" w14:textId="77777777">
      <w:r>
        <w:separator/>
      </w:r>
    </w:p>
  </w:footnote>
  <w:footnote w:type="continuationSeparator" w:id="1">
    <w:p w:rsidR="004D38D2" w:rsidP="00C721AC" w14:paraId="3A6EDE91" w14:textId="77777777">
      <w:pPr>
        <w:spacing w:before="120"/>
        <w:rPr>
          <w:sz w:val="20"/>
        </w:rPr>
      </w:pPr>
      <w:r>
        <w:rPr>
          <w:sz w:val="20"/>
        </w:rPr>
        <w:t xml:space="preserve">(Continued from previous page)  </w:t>
      </w:r>
      <w:r>
        <w:rPr>
          <w:sz w:val="20"/>
        </w:rPr>
        <w:separator/>
      </w:r>
    </w:p>
  </w:footnote>
  <w:footnote w:type="continuationNotice" w:id="2">
    <w:p w:rsidR="004D38D2" w:rsidP="00C721AC" w14:paraId="76E81C9F" w14:textId="77777777">
      <w:pPr>
        <w:jc w:val="right"/>
        <w:rPr>
          <w:sz w:val="20"/>
        </w:rPr>
      </w:pPr>
      <w:r>
        <w:rPr>
          <w:sz w:val="20"/>
        </w:rPr>
        <w:t>(continued….)</w:t>
      </w:r>
    </w:p>
  </w:footnote>
  <w:footnote w:id="3">
    <w:p w:rsidR="00E576F4" w14:paraId="1E835222" w14:textId="34901C11">
      <w:pPr>
        <w:pStyle w:val="FootnoteText"/>
      </w:pPr>
      <w:r>
        <w:rPr>
          <w:rStyle w:val="FootnoteReference"/>
        </w:rPr>
        <w:footnoteRef/>
      </w:r>
      <w:r>
        <w:t xml:space="preserve"> </w:t>
      </w:r>
      <w:r w:rsidR="007A15FF">
        <w:t>ACA and NCTA,</w:t>
      </w:r>
      <w:r>
        <w:t xml:space="preserve"> </w:t>
      </w:r>
      <w:r w:rsidRPr="00E576F4">
        <w:t xml:space="preserve">Joint Request for Extension of Time and to Disclose Lump Sum Assumption and Methodology, GN Docket No. 18-122, at 3-4 (filed June 9, 2020), </w:t>
      </w:r>
      <w:hyperlink r:id="rId1" w:history="1">
        <w:r w:rsidRPr="00192894" w:rsidR="00924C49">
          <w:rPr>
            <w:rStyle w:val="Hyperlink"/>
          </w:rPr>
          <w:t>https://ecfsapi.fcc.gov/file/10609847302431/060920%2018-122%20Joint%20Lump%20Sum%20PN%20Extension%20Request%206%209%2020%20FINAL.pdf</w:t>
        </w:r>
      </w:hyperlink>
      <w:r w:rsidR="00924C49">
        <w:t xml:space="preserve"> </w:t>
      </w:r>
      <w:r w:rsidRPr="00E576F4">
        <w:t>(Extension Request).</w:t>
      </w:r>
    </w:p>
  </w:footnote>
  <w:footnote w:id="4">
    <w:p w:rsidR="006D3AB5" w14:paraId="2AC7B131" w14:textId="04E213CA">
      <w:pPr>
        <w:pStyle w:val="FootnoteText"/>
      </w:pPr>
      <w:r>
        <w:rPr>
          <w:rStyle w:val="FootnoteReference"/>
        </w:rPr>
        <w:footnoteRef/>
      </w:r>
      <w:r>
        <w:t xml:space="preserve"> </w:t>
      </w:r>
      <w:r w:rsidRPr="006D3AB5">
        <w:rPr>
          <w:i/>
          <w:iCs/>
        </w:rPr>
        <w:t>Expanding Flexible Use of the 3.7 to 4.2 GHz Band</w:t>
      </w:r>
      <w:r>
        <w:t xml:space="preserve">, Report and Order and Order of Proposed Modification, 35 FCC </w:t>
      </w:r>
      <w:r>
        <w:t>Rcd</w:t>
      </w:r>
      <w:r>
        <w:t xml:space="preserve"> 2343, 2345, para. 4 (2020) (</w:t>
      </w:r>
      <w:r w:rsidRPr="003710F6">
        <w:rPr>
          <w:i/>
          <w:iCs/>
        </w:rPr>
        <w:t>3.7 GHz Report and Order</w:t>
      </w:r>
      <w:r>
        <w:t>).</w:t>
      </w:r>
    </w:p>
  </w:footnote>
  <w:footnote w:id="5">
    <w:p w:rsidR="006D3AB5" w:rsidP="006D3AB5" w14:paraId="27AA9E50" w14:textId="1128C29B">
      <w:pPr>
        <w:pStyle w:val="FootnoteText"/>
      </w:pPr>
      <w:r>
        <w:rPr>
          <w:rStyle w:val="FootnoteReference"/>
        </w:rPr>
        <w:footnoteRef/>
      </w:r>
      <w:r>
        <w:t xml:space="preserve"> </w:t>
      </w:r>
      <w:r w:rsidR="005C14A6">
        <w:rPr>
          <w:i/>
          <w:iCs/>
        </w:rPr>
        <w:t>Id.</w:t>
      </w:r>
      <w:r>
        <w:rPr>
          <w:i/>
        </w:rPr>
        <w:t xml:space="preserve"> </w:t>
      </w:r>
      <w:r>
        <w:t xml:space="preserve">at 2391, 2465-66, paras. 111, 326; 47 CFR § 27.4. </w:t>
      </w:r>
    </w:p>
  </w:footnote>
  <w:footnote w:id="6">
    <w:p w:rsidR="006D3AB5" w:rsidP="006D3AB5" w14:paraId="4620EA44" w14:textId="02B718BA">
      <w:pPr>
        <w:pStyle w:val="FootnoteText"/>
      </w:pPr>
      <w:r>
        <w:rPr>
          <w:rStyle w:val="FootnoteReference"/>
        </w:rPr>
        <w:footnoteRef/>
      </w:r>
      <w:r>
        <w:t xml:space="preserve"> </w:t>
      </w:r>
      <w:r w:rsidRPr="006D3AB5">
        <w:rPr>
          <w:i/>
          <w:iCs/>
        </w:rPr>
        <w:t>3.7 GHz Report and Order</w:t>
      </w:r>
      <w:r>
        <w:t xml:space="preserve">, 35 FCC </w:t>
      </w:r>
      <w:r>
        <w:t>Rcd</w:t>
      </w:r>
      <w:r>
        <w:t xml:space="preserve"> at 2427-28, paras. 202-203.  </w:t>
      </w:r>
      <w:r w:rsidRPr="00174588">
        <w:rPr>
          <w:i/>
        </w:rPr>
        <w:t xml:space="preserve">But </w:t>
      </w:r>
      <w:r w:rsidRPr="00910D45">
        <w:rPr>
          <w:i/>
          <w:iCs/>
        </w:rPr>
        <w:t>see id</w:t>
      </w:r>
      <w:r>
        <w:t>. at 2428, para. 204 &amp; n.550 (noting that “incumbent earth stations owners may not elect a lump sum payment for earth stations outside of the contiguous United States”).</w:t>
      </w:r>
    </w:p>
  </w:footnote>
  <w:footnote w:id="7">
    <w:p w:rsidR="00531A39" w:rsidRPr="00531A39" w:rsidP="00531A39" w14:paraId="6D9E17DC" w14:textId="6EC5BE46">
      <w:pPr>
        <w:pStyle w:val="FootnoteText"/>
        <w:rPr>
          <w:i/>
          <w:iCs/>
        </w:rPr>
      </w:pPr>
      <w:r>
        <w:rPr>
          <w:rStyle w:val="FootnoteReference"/>
        </w:rPr>
        <w:footnoteRef/>
      </w:r>
      <w:r>
        <w:t xml:space="preserve"> </w:t>
      </w:r>
      <w:r w:rsidRPr="00531A39">
        <w:rPr>
          <w:i/>
          <w:iCs/>
        </w:rPr>
        <w:t>Wireless Telecommunications Bureau Seeks Comment on Preliminary Cost Category Schedule for 3.7-4.2 GHz</w:t>
      </w:r>
      <w:r>
        <w:rPr>
          <w:i/>
          <w:iCs/>
        </w:rPr>
        <w:t xml:space="preserve"> </w:t>
      </w:r>
      <w:r w:rsidRPr="00531A39">
        <w:rPr>
          <w:i/>
          <w:iCs/>
        </w:rPr>
        <w:t>Band Relocation Expenses</w:t>
      </w:r>
      <w:r>
        <w:t>, GN Docket No. 18-122, Public Notice, DA 20-457, at 2 (WTB Apr. 27, 2020) (</w:t>
      </w:r>
      <w:r w:rsidRPr="00531A39">
        <w:rPr>
          <w:i/>
          <w:iCs/>
        </w:rPr>
        <w:t>Cost Catalog Public Notice</w:t>
      </w:r>
      <w:r>
        <w:t>).</w:t>
      </w:r>
    </w:p>
  </w:footnote>
  <w:footnote w:id="8">
    <w:p w:rsidR="00FD3634" w:rsidRPr="00FD3634" w14:paraId="62329DF3" w14:textId="0C80881D">
      <w:pPr>
        <w:pStyle w:val="FootnoteText"/>
      </w:pPr>
      <w:r>
        <w:rPr>
          <w:rStyle w:val="FootnoteReference"/>
        </w:rPr>
        <w:footnoteRef/>
      </w:r>
      <w:r>
        <w:t xml:space="preserve"> </w:t>
      </w:r>
      <w:r>
        <w:rPr>
          <w:i/>
          <w:iCs/>
        </w:rPr>
        <w:t>Id.</w:t>
      </w:r>
    </w:p>
  </w:footnote>
  <w:footnote w:id="9">
    <w:p w:rsidR="00FD3634" w:rsidRPr="00FD3634" w14:paraId="74B50EC2" w14:textId="4EF4CC32">
      <w:pPr>
        <w:pStyle w:val="FootnoteText"/>
      </w:pPr>
      <w:r>
        <w:rPr>
          <w:rStyle w:val="FootnoteReference"/>
        </w:rPr>
        <w:footnoteRef/>
      </w:r>
      <w:r>
        <w:t xml:space="preserve"> </w:t>
      </w:r>
      <w:r w:rsidRPr="00E576F4" w:rsidR="00E576F4">
        <w:rPr>
          <w:i/>
          <w:iCs/>
        </w:rPr>
        <w:t xml:space="preserve">Wireless Telecommunications Bureau Seeks Comment on Optional Lump Sum Payments For 3.7-4.2 GHz Band Incumbent Earth Station Relocation Expenses, </w:t>
      </w:r>
      <w:r w:rsidRPr="00591B4C" w:rsidR="00E576F4">
        <w:t xml:space="preserve">Public Notice, DA 2-586, at </w:t>
      </w:r>
      <w:r w:rsidR="00E576F4">
        <w:t>3</w:t>
      </w:r>
      <w:r w:rsidRPr="00591B4C" w:rsidR="00E576F4">
        <w:t xml:space="preserve"> (WTB June 4, 2020) (</w:t>
      </w:r>
      <w:r w:rsidRPr="00E576F4" w:rsidR="00E576F4">
        <w:rPr>
          <w:i/>
          <w:iCs/>
        </w:rPr>
        <w:t>Lump Sum Public Notice</w:t>
      </w:r>
      <w:r w:rsidRPr="00591B4C" w:rsidR="00E576F4">
        <w:t>)</w:t>
      </w:r>
      <w:r w:rsidR="00314416">
        <w:t xml:space="preserve">; </w:t>
      </w:r>
      <w:r w:rsidR="00EA3497">
        <w:rPr>
          <w:i/>
          <w:iCs/>
        </w:rPr>
        <w:t xml:space="preserve">see also </w:t>
      </w:r>
      <w:r w:rsidRPr="2E884ADF" w:rsidR="00EA3497">
        <w:rPr>
          <w:i/>
          <w:iCs/>
        </w:rPr>
        <w:t>Wireless Telecommunications Bureau Seeks Comment on Optional Lump Sum Payments for 3.7–4.2 GHz Band Incumbent Earth Station Relocation Expenses</w:t>
      </w:r>
      <w:r w:rsidRPr="006A58B2" w:rsidR="00EA3497">
        <w:t xml:space="preserve">, 85 Fed. Reg. </w:t>
      </w:r>
      <w:r w:rsidR="00EA3497">
        <w:t>35086</w:t>
      </w:r>
      <w:r w:rsidRPr="006A58B2" w:rsidR="00EA3497">
        <w:t xml:space="preserve"> (June 8, 2020)</w:t>
      </w:r>
      <w:r w:rsidR="00EA3497">
        <w:t xml:space="preserve">; </w:t>
      </w:r>
      <w:r w:rsidRPr="2E884ADF" w:rsidR="00EA3497">
        <w:rPr>
          <w:i/>
          <w:iCs/>
        </w:rPr>
        <w:t>Wireless Telecommunications Bureau Seeks Comment on Optional Lump Sum Payments for 3.7–4.2 GHz Band Incumbent Earth Station Relocation Expenses</w:t>
      </w:r>
      <w:r w:rsidR="00EA3497">
        <w:t>, 85 Fed. Reg. 35653 (June 11, 2020)</w:t>
      </w:r>
      <w:r w:rsidR="00BD237B">
        <w:t xml:space="preserve"> (clarifying that comments are due June 15).</w:t>
      </w:r>
    </w:p>
  </w:footnote>
  <w:footnote w:id="10">
    <w:p w:rsidR="006761A3" w14:paraId="675DA971" w14:textId="4B59D1AD">
      <w:pPr>
        <w:pStyle w:val="FootnoteText"/>
      </w:pPr>
      <w:r>
        <w:rPr>
          <w:rStyle w:val="FootnoteReference"/>
        </w:rPr>
        <w:footnoteRef/>
      </w:r>
      <w:r>
        <w:t xml:space="preserve"> </w:t>
      </w:r>
      <w:r w:rsidR="009C581A">
        <w:t xml:space="preserve">Extension Request at 2. </w:t>
      </w:r>
    </w:p>
  </w:footnote>
  <w:footnote w:id="11">
    <w:p w:rsidR="009C581A" w:rsidRPr="009C581A" w14:paraId="7F7545E7" w14:textId="63E49337">
      <w:pPr>
        <w:pStyle w:val="FootnoteText"/>
      </w:pPr>
      <w:r>
        <w:rPr>
          <w:rStyle w:val="FootnoteReference"/>
        </w:rPr>
        <w:footnoteRef/>
      </w:r>
      <w:r>
        <w:t xml:space="preserve"> </w:t>
      </w:r>
      <w:r>
        <w:rPr>
          <w:i/>
          <w:iCs/>
        </w:rPr>
        <w:t>Id.</w:t>
      </w:r>
    </w:p>
  </w:footnote>
  <w:footnote w:id="12">
    <w:p w:rsidR="008E6FEE" w14:paraId="490E1A18" w14:textId="6ACAAACD">
      <w:pPr>
        <w:pStyle w:val="FootnoteText"/>
      </w:pPr>
      <w:r>
        <w:rPr>
          <w:rStyle w:val="FootnoteReference"/>
        </w:rPr>
        <w:footnoteRef/>
      </w:r>
      <w:r>
        <w:t xml:space="preserve"> Extension Request at 4. </w:t>
      </w:r>
    </w:p>
  </w:footnote>
  <w:footnote w:id="13">
    <w:p w:rsidR="005258C8" w:rsidP="005258C8" w14:paraId="2A8236D0" w14:textId="77777777">
      <w:pPr>
        <w:pStyle w:val="FootnoteText"/>
      </w:pPr>
      <w:r>
        <w:rPr>
          <w:rStyle w:val="FootnoteReference"/>
        </w:rPr>
        <w:footnoteRef/>
      </w:r>
      <w:r>
        <w:t xml:space="preserve"> 47 CFR § 1.46(a). </w:t>
      </w:r>
    </w:p>
  </w:footnote>
  <w:footnote w:id="14">
    <w:p w:rsidR="008E542F" w14:paraId="12F86999" w14:textId="0D1964F7">
      <w:pPr>
        <w:pStyle w:val="FootnoteText"/>
      </w:pPr>
      <w:r>
        <w:rPr>
          <w:rStyle w:val="FootnoteReference"/>
        </w:rPr>
        <w:footnoteRef/>
      </w:r>
      <w:r>
        <w:t xml:space="preserve"> ACA </w:t>
      </w:r>
      <w:r w:rsidR="00564BA2">
        <w:t>C</w:t>
      </w:r>
      <w:r>
        <w:t xml:space="preserve">omments </w:t>
      </w:r>
      <w:r w:rsidR="00564BA2">
        <w:t xml:space="preserve">(rec. May 14, 2020) </w:t>
      </w:r>
      <w:r>
        <w:t xml:space="preserve">at 7; NCTA </w:t>
      </w:r>
      <w:r w:rsidR="00564BA2">
        <w:t>C</w:t>
      </w:r>
      <w:r>
        <w:t xml:space="preserve">omments </w:t>
      </w:r>
      <w:r w:rsidR="00564BA2">
        <w:t xml:space="preserve">(rec. May 14, 2020) </w:t>
      </w:r>
      <w:r>
        <w:t xml:space="preserve">at </w:t>
      </w:r>
      <w:r w:rsidR="00104DDE">
        <w:t>30</w:t>
      </w:r>
      <w:r>
        <w:t xml:space="preserve">. </w:t>
      </w:r>
    </w:p>
  </w:footnote>
  <w:footnote w:id="15">
    <w:p w:rsidR="00421565" w:rsidRPr="00421565" w14:paraId="1033D377" w14:textId="17AB8BC2">
      <w:pPr>
        <w:pStyle w:val="FootnoteText"/>
      </w:pPr>
      <w:r>
        <w:rPr>
          <w:rStyle w:val="FootnoteReference"/>
        </w:rPr>
        <w:footnoteRef/>
      </w:r>
      <w:r>
        <w:t xml:space="preserve"> </w:t>
      </w:r>
      <w:r w:rsidR="00104DDE">
        <w:rPr>
          <w:i/>
          <w:iCs/>
        </w:rPr>
        <w:t xml:space="preserve">Lump Sum Public Notice </w:t>
      </w:r>
      <w:r w:rsidR="00104DDE">
        <w:t xml:space="preserve">at 3, n.13.  </w:t>
      </w:r>
      <w:r w:rsidR="00F669EE">
        <w:t xml:space="preserve">The </w:t>
      </w:r>
      <w:r w:rsidR="00F669EE">
        <w:rPr>
          <w:i/>
          <w:iCs/>
        </w:rPr>
        <w:t>3.7 GHz Report and Order</w:t>
      </w:r>
      <w:r w:rsidR="00F669EE">
        <w:t xml:space="preserve"> only required WTB </w:t>
      </w:r>
      <w:r w:rsidR="00BE55CD">
        <w:t>to</w:t>
      </w:r>
      <w:r w:rsidR="00F669EE">
        <w:t xml:space="preserve"> issue a Public Notice announcing that the lump sum will be made available. </w:t>
      </w:r>
      <w:r w:rsidR="00395F60">
        <w:t xml:space="preserve"> </w:t>
      </w:r>
      <w:r w:rsidRPr="00591B4C">
        <w:rPr>
          <w:i/>
          <w:iCs/>
        </w:rPr>
        <w:t>3.7 GHz Report and Order</w:t>
      </w:r>
      <w:r w:rsidRPr="00421565">
        <w:t xml:space="preserve">, 35 FCC </w:t>
      </w:r>
      <w:r w:rsidRPr="00421565">
        <w:t>Rcd</w:t>
      </w:r>
      <w:r w:rsidRPr="00421565">
        <w:t xml:space="preserve"> at 242</w:t>
      </w:r>
      <w:r>
        <w:t>8</w:t>
      </w:r>
      <w:r w:rsidRPr="00421565">
        <w:t>, para. 20</w:t>
      </w:r>
      <w:r>
        <w:t>3</w:t>
      </w:r>
      <w:r w:rsidRPr="00421565">
        <w:t>.</w:t>
      </w:r>
      <w:r>
        <w:t xml:space="preserve">  </w:t>
      </w:r>
    </w:p>
  </w:footnote>
  <w:footnote w:id="16">
    <w:p w:rsidR="009F6602" w:rsidP="009F6602" w14:paraId="24380498" w14:textId="63BE660F">
      <w:pPr>
        <w:pStyle w:val="FootnoteText"/>
      </w:pPr>
      <w:r>
        <w:rPr>
          <w:rStyle w:val="FootnoteReference"/>
        </w:rPr>
        <w:footnoteRef/>
      </w:r>
      <w:r>
        <w:t xml:space="preserve"> </w:t>
      </w:r>
      <w:r>
        <w:rPr>
          <w:i/>
          <w:iCs/>
        </w:rPr>
        <w:t xml:space="preserve">Lump Sum Public Notice </w:t>
      </w:r>
      <w:r>
        <w:t xml:space="preserve">at 3, n.13.  </w:t>
      </w:r>
      <w:r w:rsidRPr="00591B4C">
        <w:rPr>
          <w:i/>
          <w:iCs/>
        </w:rPr>
        <w:t>See 3.7 GHz Report and Order</w:t>
      </w:r>
      <w:r w:rsidRPr="00B927C7">
        <w:t xml:space="preserve">, 35 FCC </w:t>
      </w:r>
      <w:r w:rsidRPr="00B927C7">
        <w:t>Rcd</w:t>
      </w:r>
      <w:r w:rsidRPr="00B927C7">
        <w:t xml:space="preserve"> at 2428, 2457-59, paras. 203, 302, 305-06 (discussing transition deadlines).  </w:t>
      </w:r>
    </w:p>
  </w:footnote>
  <w:footnote w:id="17">
    <w:p w:rsidR="006462BC" w14:paraId="2E5225AA" w14:textId="2DB96EA3">
      <w:pPr>
        <w:pStyle w:val="FootnoteText"/>
      </w:pPr>
      <w:r>
        <w:rPr>
          <w:rStyle w:val="FootnoteReference"/>
        </w:rPr>
        <w:footnoteRef/>
      </w:r>
      <w:r>
        <w:t xml:space="preserve"> Extension Request at 3-4. </w:t>
      </w:r>
    </w:p>
  </w:footnote>
  <w:footnote w:id="18">
    <w:p w:rsidR="00A02267" w:rsidRPr="00231621" w14:paraId="3EFD00A5" w14:textId="5189DE1A">
      <w:pPr>
        <w:pStyle w:val="FootnoteText"/>
      </w:pPr>
      <w:r>
        <w:rPr>
          <w:rStyle w:val="FootnoteReference"/>
        </w:rPr>
        <w:footnoteRef/>
      </w:r>
      <w:r>
        <w:t xml:space="preserve"> </w:t>
      </w:r>
      <w:r w:rsidR="00231621">
        <w:rPr>
          <w:i/>
          <w:iCs/>
        </w:rPr>
        <w:t>3.7 GHz Report and Order</w:t>
      </w:r>
      <w:r w:rsidR="00231621">
        <w:t xml:space="preserve">, 35 FCC </w:t>
      </w:r>
      <w:r w:rsidR="00231621">
        <w:t>Rcd</w:t>
      </w:r>
      <w:r w:rsidR="00231621">
        <w:t xml:space="preserve"> at 2457-58</w:t>
      </w:r>
      <w:r w:rsidR="00E228CA">
        <w:t xml:space="preserve">, para. 302-03 &amp; n.692; </w:t>
      </w:r>
      <w:r w:rsidR="00AE22CB">
        <w:t xml:space="preserve">47 CFR </w:t>
      </w:r>
      <w:r w:rsidR="003A01F2">
        <w:t xml:space="preserve">§ </w:t>
      </w:r>
      <w:r w:rsidR="00EE71EE">
        <w:t>27.1412(</w:t>
      </w:r>
      <w:r w:rsidR="008C25FE">
        <w:t>d).</w:t>
      </w:r>
    </w:p>
  </w:footnote>
  <w:footnote w:id="19">
    <w:p w:rsidR="006462BC" w14:paraId="438343F9" w14:textId="22702C30">
      <w:pPr>
        <w:pStyle w:val="FootnoteText"/>
      </w:pPr>
      <w:r>
        <w:rPr>
          <w:rStyle w:val="FootnoteReference"/>
        </w:rPr>
        <w:footnoteRef/>
      </w:r>
      <w:r>
        <w:t xml:space="preserve"> Extension Request at 4. </w:t>
      </w:r>
    </w:p>
  </w:footnote>
  <w:footnote w:id="20">
    <w:p w:rsidR="006462BC" w:rsidRPr="006462BC" w14:paraId="5EA783AF" w14:textId="298300C7">
      <w:pPr>
        <w:pStyle w:val="FootnoteText"/>
      </w:pPr>
      <w:r>
        <w:rPr>
          <w:rStyle w:val="FootnoteReference"/>
        </w:rPr>
        <w:footnoteRef/>
      </w:r>
      <w:r>
        <w:t xml:space="preserve"> </w:t>
      </w:r>
      <w:r>
        <w:rPr>
          <w:i/>
          <w:iCs/>
        </w:rPr>
        <w:t>Lump Sum Public Notice</w:t>
      </w:r>
      <w:r>
        <w:t xml:space="preserve"> at </w:t>
      </w:r>
      <w:r w:rsidR="00D65936">
        <w:t xml:space="preserve">4. </w:t>
      </w:r>
    </w:p>
  </w:footnote>
  <w:footnote w:id="21">
    <w:p w:rsidR="0174C4F6" w:rsidRPr="00174588" w:rsidP="0174C4F6" w14:paraId="03893F22" w14:textId="2C96EB35">
      <w:pPr>
        <w:pStyle w:val="FootnoteText"/>
        <w:rPr>
          <w:i/>
        </w:rPr>
      </w:pPr>
      <w:r w:rsidRPr="0174C4F6">
        <w:rPr>
          <w:rStyle w:val="FootnoteReference"/>
        </w:rPr>
        <w:footnoteRef/>
      </w:r>
      <w:r>
        <w:t xml:space="preserve"> </w:t>
      </w:r>
      <w:r w:rsidR="00DC0A5E">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1D5E7E" w14:textId="5A052397">
    <w:pPr>
      <w:pStyle w:val="Header"/>
      <w:rPr>
        <w:b w:val="0"/>
      </w:rPr>
    </w:pPr>
    <w:r>
      <w:tab/>
      <w:t>Federal Communications Commission</w:t>
    </w:r>
    <w:r>
      <w:tab/>
    </w:r>
    <w:r w:rsidR="00F211C9">
      <w:t>DA 20-</w:t>
    </w:r>
    <w:r w:rsidR="006E496B">
      <w:t>622</w:t>
    </w:r>
  </w:p>
  <w:p w:rsidR="00D25FB5" w14:paraId="3ABEC9A3" w14:textId="557F06D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44A3F1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071E35" w14:textId="16F70C4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211C9">
      <w:rPr>
        <w:spacing w:val="-2"/>
      </w:rPr>
      <w:t>DA 20-</w:t>
    </w:r>
    <w:r w:rsidR="006E496B">
      <w:rPr>
        <w:spacing w:val="-2"/>
      </w:rPr>
      <w:t>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3829A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487511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38"/>
    <w:rsid w:val="000002BE"/>
    <w:rsid w:val="00001F18"/>
    <w:rsid w:val="00023DBB"/>
    <w:rsid w:val="00025BF7"/>
    <w:rsid w:val="0002697D"/>
    <w:rsid w:val="00036039"/>
    <w:rsid w:val="000374F6"/>
    <w:rsid w:val="00037F90"/>
    <w:rsid w:val="00053ED1"/>
    <w:rsid w:val="00057BFD"/>
    <w:rsid w:val="00082AD0"/>
    <w:rsid w:val="000875BF"/>
    <w:rsid w:val="00090721"/>
    <w:rsid w:val="00094C52"/>
    <w:rsid w:val="00096D8C"/>
    <w:rsid w:val="000A2C0B"/>
    <w:rsid w:val="000B6F5B"/>
    <w:rsid w:val="000C0B65"/>
    <w:rsid w:val="000C1F7D"/>
    <w:rsid w:val="000C5369"/>
    <w:rsid w:val="000D3E6F"/>
    <w:rsid w:val="000E05FE"/>
    <w:rsid w:val="000E3D42"/>
    <w:rsid w:val="000E721F"/>
    <w:rsid w:val="000F6688"/>
    <w:rsid w:val="00104DDE"/>
    <w:rsid w:val="00107593"/>
    <w:rsid w:val="001220D0"/>
    <w:rsid w:val="00122715"/>
    <w:rsid w:val="00122BD5"/>
    <w:rsid w:val="00122FE2"/>
    <w:rsid w:val="0012437B"/>
    <w:rsid w:val="00133728"/>
    <w:rsid w:val="00133F79"/>
    <w:rsid w:val="001442CB"/>
    <w:rsid w:val="0015205D"/>
    <w:rsid w:val="00152190"/>
    <w:rsid w:val="001608D2"/>
    <w:rsid w:val="0016269C"/>
    <w:rsid w:val="00166987"/>
    <w:rsid w:val="00171818"/>
    <w:rsid w:val="00174588"/>
    <w:rsid w:val="0017518D"/>
    <w:rsid w:val="00182F3E"/>
    <w:rsid w:val="0018570D"/>
    <w:rsid w:val="00192894"/>
    <w:rsid w:val="00194A66"/>
    <w:rsid w:val="001C0ADB"/>
    <w:rsid w:val="001C6B1A"/>
    <w:rsid w:val="001D62B1"/>
    <w:rsid w:val="001D6BCF"/>
    <w:rsid w:val="001E01CA"/>
    <w:rsid w:val="001E78BF"/>
    <w:rsid w:val="001F6BE4"/>
    <w:rsid w:val="0020493D"/>
    <w:rsid w:val="002223AB"/>
    <w:rsid w:val="00231010"/>
    <w:rsid w:val="00231621"/>
    <w:rsid w:val="0023476B"/>
    <w:rsid w:val="002555DB"/>
    <w:rsid w:val="00275512"/>
    <w:rsid w:val="00275CF5"/>
    <w:rsid w:val="002811DF"/>
    <w:rsid w:val="0028283A"/>
    <w:rsid w:val="0028301F"/>
    <w:rsid w:val="00285017"/>
    <w:rsid w:val="002A2D2E"/>
    <w:rsid w:val="002A4069"/>
    <w:rsid w:val="002B6FF5"/>
    <w:rsid w:val="002C00E8"/>
    <w:rsid w:val="002C4222"/>
    <w:rsid w:val="002C5E36"/>
    <w:rsid w:val="002D50EA"/>
    <w:rsid w:val="002F57DE"/>
    <w:rsid w:val="002F5F55"/>
    <w:rsid w:val="00301078"/>
    <w:rsid w:val="00301303"/>
    <w:rsid w:val="003107F9"/>
    <w:rsid w:val="0031380B"/>
    <w:rsid w:val="00314416"/>
    <w:rsid w:val="003205A4"/>
    <w:rsid w:val="00326A04"/>
    <w:rsid w:val="00336E08"/>
    <w:rsid w:val="00342AB3"/>
    <w:rsid w:val="00343749"/>
    <w:rsid w:val="00345A88"/>
    <w:rsid w:val="00347888"/>
    <w:rsid w:val="0036022E"/>
    <w:rsid w:val="003660ED"/>
    <w:rsid w:val="003710F6"/>
    <w:rsid w:val="00380D43"/>
    <w:rsid w:val="00381382"/>
    <w:rsid w:val="00382338"/>
    <w:rsid w:val="00394617"/>
    <w:rsid w:val="00394BA9"/>
    <w:rsid w:val="00395F60"/>
    <w:rsid w:val="00396F98"/>
    <w:rsid w:val="003A01F2"/>
    <w:rsid w:val="003A6382"/>
    <w:rsid w:val="003B0550"/>
    <w:rsid w:val="003B3601"/>
    <w:rsid w:val="003B3807"/>
    <w:rsid w:val="003B65D7"/>
    <w:rsid w:val="003B694F"/>
    <w:rsid w:val="003C0CFA"/>
    <w:rsid w:val="003C6DFF"/>
    <w:rsid w:val="003D174A"/>
    <w:rsid w:val="003D22B9"/>
    <w:rsid w:val="003D3230"/>
    <w:rsid w:val="003D3ECD"/>
    <w:rsid w:val="003E4E35"/>
    <w:rsid w:val="003F11D4"/>
    <w:rsid w:val="003F171C"/>
    <w:rsid w:val="004073F1"/>
    <w:rsid w:val="0041042F"/>
    <w:rsid w:val="00412FC5"/>
    <w:rsid w:val="00416C03"/>
    <w:rsid w:val="0042039C"/>
    <w:rsid w:val="00421565"/>
    <w:rsid w:val="00422276"/>
    <w:rsid w:val="0042305A"/>
    <w:rsid w:val="004242F1"/>
    <w:rsid w:val="00427290"/>
    <w:rsid w:val="00427A49"/>
    <w:rsid w:val="004372AC"/>
    <w:rsid w:val="0044110B"/>
    <w:rsid w:val="00445A00"/>
    <w:rsid w:val="004501E8"/>
    <w:rsid w:val="00451B0F"/>
    <w:rsid w:val="0045522D"/>
    <w:rsid w:val="00472472"/>
    <w:rsid w:val="0047404B"/>
    <w:rsid w:val="004800D7"/>
    <w:rsid w:val="004810FF"/>
    <w:rsid w:val="004822AE"/>
    <w:rsid w:val="004B28C7"/>
    <w:rsid w:val="004B7663"/>
    <w:rsid w:val="004C12A6"/>
    <w:rsid w:val="004C2EE3"/>
    <w:rsid w:val="004C6663"/>
    <w:rsid w:val="004D38D2"/>
    <w:rsid w:val="004E10F5"/>
    <w:rsid w:val="004E4A22"/>
    <w:rsid w:val="004E5973"/>
    <w:rsid w:val="004F067B"/>
    <w:rsid w:val="004F5210"/>
    <w:rsid w:val="0050027D"/>
    <w:rsid w:val="00500EAC"/>
    <w:rsid w:val="00511968"/>
    <w:rsid w:val="00522DD5"/>
    <w:rsid w:val="005258C8"/>
    <w:rsid w:val="00531A39"/>
    <w:rsid w:val="00542A62"/>
    <w:rsid w:val="00544C11"/>
    <w:rsid w:val="005456BE"/>
    <w:rsid w:val="0054777B"/>
    <w:rsid w:val="0055134D"/>
    <w:rsid w:val="0055614C"/>
    <w:rsid w:val="00564BA2"/>
    <w:rsid w:val="00566787"/>
    <w:rsid w:val="00566D06"/>
    <w:rsid w:val="005810BC"/>
    <w:rsid w:val="00581B38"/>
    <w:rsid w:val="0059088E"/>
    <w:rsid w:val="00591229"/>
    <w:rsid w:val="00591B4C"/>
    <w:rsid w:val="0059506B"/>
    <w:rsid w:val="005962CB"/>
    <w:rsid w:val="005A082B"/>
    <w:rsid w:val="005A1548"/>
    <w:rsid w:val="005A1D28"/>
    <w:rsid w:val="005A6B92"/>
    <w:rsid w:val="005B682A"/>
    <w:rsid w:val="005C14A6"/>
    <w:rsid w:val="005C609D"/>
    <w:rsid w:val="005D36C7"/>
    <w:rsid w:val="005E14C2"/>
    <w:rsid w:val="005E5C4F"/>
    <w:rsid w:val="005E722D"/>
    <w:rsid w:val="005F27E2"/>
    <w:rsid w:val="005F3462"/>
    <w:rsid w:val="005F5EF9"/>
    <w:rsid w:val="006026A5"/>
    <w:rsid w:val="00607BA5"/>
    <w:rsid w:val="0061078B"/>
    <w:rsid w:val="0061180A"/>
    <w:rsid w:val="006123D7"/>
    <w:rsid w:val="00614A57"/>
    <w:rsid w:val="00626EB6"/>
    <w:rsid w:val="0063065D"/>
    <w:rsid w:val="00630D0C"/>
    <w:rsid w:val="0063574C"/>
    <w:rsid w:val="00642468"/>
    <w:rsid w:val="006462BC"/>
    <w:rsid w:val="00655D03"/>
    <w:rsid w:val="006644B3"/>
    <w:rsid w:val="00666C95"/>
    <w:rsid w:val="00673BC4"/>
    <w:rsid w:val="006761A3"/>
    <w:rsid w:val="0067777C"/>
    <w:rsid w:val="00683388"/>
    <w:rsid w:val="00683F84"/>
    <w:rsid w:val="00697666"/>
    <w:rsid w:val="006A58B2"/>
    <w:rsid w:val="006A6A81"/>
    <w:rsid w:val="006B6AD6"/>
    <w:rsid w:val="006C2F83"/>
    <w:rsid w:val="006C4EF4"/>
    <w:rsid w:val="006D106D"/>
    <w:rsid w:val="006D14E9"/>
    <w:rsid w:val="006D3518"/>
    <w:rsid w:val="006D372F"/>
    <w:rsid w:val="006D3AB5"/>
    <w:rsid w:val="006D71B4"/>
    <w:rsid w:val="006E496B"/>
    <w:rsid w:val="006F1586"/>
    <w:rsid w:val="006F694B"/>
    <w:rsid w:val="006F7393"/>
    <w:rsid w:val="0070224F"/>
    <w:rsid w:val="00703539"/>
    <w:rsid w:val="007115F7"/>
    <w:rsid w:val="00713738"/>
    <w:rsid w:val="0071373F"/>
    <w:rsid w:val="007319FA"/>
    <w:rsid w:val="0074439B"/>
    <w:rsid w:val="00746E09"/>
    <w:rsid w:val="00760713"/>
    <w:rsid w:val="007663A6"/>
    <w:rsid w:val="007702C9"/>
    <w:rsid w:val="00785689"/>
    <w:rsid w:val="00786DA0"/>
    <w:rsid w:val="00796B72"/>
    <w:rsid w:val="0079754B"/>
    <w:rsid w:val="007A15FF"/>
    <w:rsid w:val="007A1E6D"/>
    <w:rsid w:val="007A4504"/>
    <w:rsid w:val="007A4A76"/>
    <w:rsid w:val="007A7652"/>
    <w:rsid w:val="007B0EB2"/>
    <w:rsid w:val="007C3E60"/>
    <w:rsid w:val="007C7FBF"/>
    <w:rsid w:val="007D3C41"/>
    <w:rsid w:val="007D7435"/>
    <w:rsid w:val="007E1716"/>
    <w:rsid w:val="007E19E8"/>
    <w:rsid w:val="007E4474"/>
    <w:rsid w:val="007F41D6"/>
    <w:rsid w:val="007F7BBF"/>
    <w:rsid w:val="00802D07"/>
    <w:rsid w:val="00806A8D"/>
    <w:rsid w:val="00806FA0"/>
    <w:rsid w:val="00810578"/>
    <w:rsid w:val="00810B6F"/>
    <w:rsid w:val="00811FDB"/>
    <w:rsid w:val="008172C6"/>
    <w:rsid w:val="0082116F"/>
    <w:rsid w:val="00822CE0"/>
    <w:rsid w:val="00827262"/>
    <w:rsid w:val="008300B9"/>
    <w:rsid w:val="00841AB1"/>
    <w:rsid w:val="00842C4B"/>
    <w:rsid w:val="00851158"/>
    <w:rsid w:val="0085575D"/>
    <w:rsid w:val="008564C3"/>
    <w:rsid w:val="00857997"/>
    <w:rsid w:val="008603C2"/>
    <w:rsid w:val="008801D9"/>
    <w:rsid w:val="00881857"/>
    <w:rsid w:val="008823D2"/>
    <w:rsid w:val="00883AE4"/>
    <w:rsid w:val="00887EEC"/>
    <w:rsid w:val="00890CF2"/>
    <w:rsid w:val="008928DA"/>
    <w:rsid w:val="008965AF"/>
    <w:rsid w:val="008B5810"/>
    <w:rsid w:val="008B6371"/>
    <w:rsid w:val="008C01ED"/>
    <w:rsid w:val="008C25FE"/>
    <w:rsid w:val="008C6316"/>
    <w:rsid w:val="008C68F1"/>
    <w:rsid w:val="008D58E9"/>
    <w:rsid w:val="008D73B5"/>
    <w:rsid w:val="008E07F5"/>
    <w:rsid w:val="008E3AAA"/>
    <w:rsid w:val="008E542F"/>
    <w:rsid w:val="008E6FEE"/>
    <w:rsid w:val="008F11A2"/>
    <w:rsid w:val="008F1922"/>
    <w:rsid w:val="008F2519"/>
    <w:rsid w:val="00901E5F"/>
    <w:rsid w:val="009050CA"/>
    <w:rsid w:val="009076B9"/>
    <w:rsid w:val="00910D45"/>
    <w:rsid w:val="009117A4"/>
    <w:rsid w:val="00921803"/>
    <w:rsid w:val="0092465F"/>
    <w:rsid w:val="00924C49"/>
    <w:rsid w:val="00926503"/>
    <w:rsid w:val="00927328"/>
    <w:rsid w:val="00927B3B"/>
    <w:rsid w:val="00927BD1"/>
    <w:rsid w:val="00931175"/>
    <w:rsid w:val="00933B4C"/>
    <w:rsid w:val="00942362"/>
    <w:rsid w:val="00954DEA"/>
    <w:rsid w:val="009726D8"/>
    <w:rsid w:val="009819ED"/>
    <w:rsid w:val="0099468E"/>
    <w:rsid w:val="00995D96"/>
    <w:rsid w:val="009A1942"/>
    <w:rsid w:val="009A6E31"/>
    <w:rsid w:val="009C581A"/>
    <w:rsid w:val="009C5EAC"/>
    <w:rsid w:val="009D621F"/>
    <w:rsid w:val="009D7308"/>
    <w:rsid w:val="009F23B5"/>
    <w:rsid w:val="009F6602"/>
    <w:rsid w:val="009F76DB"/>
    <w:rsid w:val="00A02267"/>
    <w:rsid w:val="00A039DA"/>
    <w:rsid w:val="00A03AF7"/>
    <w:rsid w:val="00A058C0"/>
    <w:rsid w:val="00A109C9"/>
    <w:rsid w:val="00A10BE8"/>
    <w:rsid w:val="00A126DD"/>
    <w:rsid w:val="00A176EF"/>
    <w:rsid w:val="00A208C8"/>
    <w:rsid w:val="00A25A5F"/>
    <w:rsid w:val="00A32C3B"/>
    <w:rsid w:val="00A422FE"/>
    <w:rsid w:val="00A43CD5"/>
    <w:rsid w:val="00A45F4F"/>
    <w:rsid w:val="00A600A9"/>
    <w:rsid w:val="00A61508"/>
    <w:rsid w:val="00A82751"/>
    <w:rsid w:val="00A96960"/>
    <w:rsid w:val="00AA004C"/>
    <w:rsid w:val="00AA55B7"/>
    <w:rsid w:val="00AA577D"/>
    <w:rsid w:val="00AA5B9E"/>
    <w:rsid w:val="00AA73D4"/>
    <w:rsid w:val="00AB2407"/>
    <w:rsid w:val="00AB3172"/>
    <w:rsid w:val="00AB53DF"/>
    <w:rsid w:val="00AC0CC7"/>
    <w:rsid w:val="00AC3EA2"/>
    <w:rsid w:val="00AC435C"/>
    <w:rsid w:val="00AE0E27"/>
    <w:rsid w:val="00AE22CB"/>
    <w:rsid w:val="00AE7CCC"/>
    <w:rsid w:val="00AF7309"/>
    <w:rsid w:val="00B07E5C"/>
    <w:rsid w:val="00B12179"/>
    <w:rsid w:val="00B13C38"/>
    <w:rsid w:val="00B2495C"/>
    <w:rsid w:val="00B25D26"/>
    <w:rsid w:val="00B404B5"/>
    <w:rsid w:val="00B5716C"/>
    <w:rsid w:val="00B802BC"/>
    <w:rsid w:val="00B811F7"/>
    <w:rsid w:val="00B82B67"/>
    <w:rsid w:val="00B91C6C"/>
    <w:rsid w:val="00B927C7"/>
    <w:rsid w:val="00B95D70"/>
    <w:rsid w:val="00BA422B"/>
    <w:rsid w:val="00BA5DC6"/>
    <w:rsid w:val="00BA6196"/>
    <w:rsid w:val="00BB5CA7"/>
    <w:rsid w:val="00BC6D8C"/>
    <w:rsid w:val="00BC7B03"/>
    <w:rsid w:val="00BD0A81"/>
    <w:rsid w:val="00BD237B"/>
    <w:rsid w:val="00BD4DC6"/>
    <w:rsid w:val="00BE55CD"/>
    <w:rsid w:val="00BF5585"/>
    <w:rsid w:val="00BF6084"/>
    <w:rsid w:val="00C34006"/>
    <w:rsid w:val="00C36B4C"/>
    <w:rsid w:val="00C426B1"/>
    <w:rsid w:val="00C465F2"/>
    <w:rsid w:val="00C51581"/>
    <w:rsid w:val="00C51F5F"/>
    <w:rsid w:val="00C56A27"/>
    <w:rsid w:val="00C57EFF"/>
    <w:rsid w:val="00C66160"/>
    <w:rsid w:val="00C71F35"/>
    <w:rsid w:val="00C721AC"/>
    <w:rsid w:val="00C7309A"/>
    <w:rsid w:val="00C82856"/>
    <w:rsid w:val="00C83EED"/>
    <w:rsid w:val="00C90D6A"/>
    <w:rsid w:val="00C913E2"/>
    <w:rsid w:val="00CA247E"/>
    <w:rsid w:val="00CA6D21"/>
    <w:rsid w:val="00CB70E9"/>
    <w:rsid w:val="00CC72B6"/>
    <w:rsid w:val="00CD2BE9"/>
    <w:rsid w:val="00CD41BB"/>
    <w:rsid w:val="00CF25CB"/>
    <w:rsid w:val="00CF5521"/>
    <w:rsid w:val="00D0218D"/>
    <w:rsid w:val="00D0491B"/>
    <w:rsid w:val="00D05D00"/>
    <w:rsid w:val="00D1163B"/>
    <w:rsid w:val="00D11C56"/>
    <w:rsid w:val="00D25FB5"/>
    <w:rsid w:val="00D34C31"/>
    <w:rsid w:val="00D350A6"/>
    <w:rsid w:val="00D4009C"/>
    <w:rsid w:val="00D44223"/>
    <w:rsid w:val="00D533C6"/>
    <w:rsid w:val="00D61DF9"/>
    <w:rsid w:val="00D61E62"/>
    <w:rsid w:val="00D65936"/>
    <w:rsid w:val="00D6731F"/>
    <w:rsid w:val="00D74676"/>
    <w:rsid w:val="00D7609B"/>
    <w:rsid w:val="00D82696"/>
    <w:rsid w:val="00D846FD"/>
    <w:rsid w:val="00D85661"/>
    <w:rsid w:val="00D86CAB"/>
    <w:rsid w:val="00DA2529"/>
    <w:rsid w:val="00DA3EC0"/>
    <w:rsid w:val="00DB130A"/>
    <w:rsid w:val="00DB2A6A"/>
    <w:rsid w:val="00DB2EBB"/>
    <w:rsid w:val="00DC0A5E"/>
    <w:rsid w:val="00DC10A1"/>
    <w:rsid w:val="00DC26F1"/>
    <w:rsid w:val="00DC655F"/>
    <w:rsid w:val="00DC7EB3"/>
    <w:rsid w:val="00DD0B59"/>
    <w:rsid w:val="00DD16B3"/>
    <w:rsid w:val="00DD7EBD"/>
    <w:rsid w:val="00DE1B1B"/>
    <w:rsid w:val="00DF42BE"/>
    <w:rsid w:val="00DF62B6"/>
    <w:rsid w:val="00E038AB"/>
    <w:rsid w:val="00E07225"/>
    <w:rsid w:val="00E228CA"/>
    <w:rsid w:val="00E3045A"/>
    <w:rsid w:val="00E314D3"/>
    <w:rsid w:val="00E53A69"/>
    <w:rsid w:val="00E5409F"/>
    <w:rsid w:val="00E540A4"/>
    <w:rsid w:val="00E576F4"/>
    <w:rsid w:val="00E80867"/>
    <w:rsid w:val="00E84A18"/>
    <w:rsid w:val="00EA3497"/>
    <w:rsid w:val="00EA747C"/>
    <w:rsid w:val="00EB3FAA"/>
    <w:rsid w:val="00EC438A"/>
    <w:rsid w:val="00EC5E5A"/>
    <w:rsid w:val="00ED1325"/>
    <w:rsid w:val="00EE1779"/>
    <w:rsid w:val="00EE6488"/>
    <w:rsid w:val="00EE71EE"/>
    <w:rsid w:val="00EF3E5F"/>
    <w:rsid w:val="00F021FA"/>
    <w:rsid w:val="00F03876"/>
    <w:rsid w:val="00F13498"/>
    <w:rsid w:val="00F211C9"/>
    <w:rsid w:val="00F22645"/>
    <w:rsid w:val="00F24C20"/>
    <w:rsid w:val="00F31120"/>
    <w:rsid w:val="00F3505E"/>
    <w:rsid w:val="00F37925"/>
    <w:rsid w:val="00F5328D"/>
    <w:rsid w:val="00F54E0B"/>
    <w:rsid w:val="00F62E97"/>
    <w:rsid w:val="00F64209"/>
    <w:rsid w:val="00F669EE"/>
    <w:rsid w:val="00F73AA7"/>
    <w:rsid w:val="00F92695"/>
    <w:rsid w:val="00F93BF5"/>
    <w:rsid w:val="00F97A5F"/>
    <w:rsid w:val="00FA2442"/>
    <w:rsid w:val="00FB0DB2"/>
    <w:rsid w:val="00FB62E7"/>
    <w:rsid w:val="00FC1F9C"/>
    <w:rsid w:val="00FC41FC"/>
    <w:rsid w:val="00FC503F"/>
    <w:rsid w:val="00FD3634"/>
    <w:rsid w:val="00FE540D"/>
    <w:rsid w:val="00FE6A71"/>
    <w:rsid w:val="00FF5790"/>
    <w:rsid w:val="01332313"/>
    <w:rsid w:val="0174C4F6"/>
    <w:rsid w:val="04158A4D"/>
    <w:rsid w:val="0589A5EC"/>
    <w:rsid w:val="06298470"/>
    <w:rsid w:val="06894C7D"/>
    <w:rsid w:val="0B0EC8BB"/>
    <w:rsid w:val="0CFE6FBC"/>
    <w:rsid w:val="121F801A"/>
    <w:rsid w:val="133F94E3"/>
    <w:rsid w:val="1669729B"/>
    <w:rsid w:val="173CF8D1"/>
    <w:rsid w:val="1BA72AE9"/>
    <w:rsid w:val="1CFA6D32"/>
    <w:rsid w:val="227201D9"/>
    <w:rsid w:val="27063E75"/>
    <w:rsid w:val="27B09DE5"/>
    <w:rsid w:val="296397EB"/>
    <w:rsid w:val="2B28CF02"/>
    <w:rsid w:val="2C037015"/>
    <w:rsid w:val="2C1A0AB0"/>
    <w:rsid w:val="2C4252D1"/>
    <w:rsid w:val="2E884ADF"/>
    <w:rsid w:val="2FC75C4D"/>
    <w:rsid w:val="307D7809"/>
    <w:rsid w:val="30A39F53"/>
    <w:rsid w:val="30D50D3B"/>
    <w:rsid w:val="325B4D46"/>
    <w:rsid w:val="3411CE21"/>
    <w:rsid w:val="36617B4E"/>
    <w:rsid w:val="38E4985F"/>
    <w:rsid w:val="398C3632"/>
    <w:rsid w:val="3BC04892"/>
    <w:rsid w:val="3BEBEF09"/>
    <w:rsid w:val="3D41235F"/>
    <w:rsid w:val="3E7BB2F6"/>
    <w:rsid w:val="3F441800"/>
    <w:rsid w:val="3FF2D8E5"/>
    <w:rsid w:val="4043D19F"/>
    <w:rsid w:val="4050DB2F"/>
    <w:rsid w:val="4554923E"/>
    <w:rsid w:val="466552BE"/>
    <w:rsid w:val="470F66CD"/>
    <w:rsid w:val="47B749FE"/>
    <w:rsid w:val="47D6A076"/>
    <w:rsid w:val="4B35617F"/>
    <w:rsid w:val="4E827BBD"/>
    <w:rsid w:val="4E85A3C9"/>
    <w:rsid w:val="4EC59F35"/>
    <w:rsid w:val="4FE9750D"/>
    <w:rsid w:val="5033CF2C"/>
    <w:rsid w:val="547B5ABE"/>
    <w:rsid w:val="5517ECC0"/>
    <w:rsid w:val="57744CA5"/>
    <w:rsid w:val="57A35F3D"/>
    <w:rsid w:val="5A1A3E73"/>
    <w:rsid w:val="5A30DCC0"/>
    <w:rsid w:val="5A5A154E"/>
    <w:rsid w:val="5C8D6E23"/>
    <w:rsid w:val="5D90CD70"/>
    <w:rsid w:val="5FF6E11B"/>
    <w:rsid w:val="605A7A59"/>
    <w:rsid w:val="60A658C6"/>
    <w:rsid w:val="6490E4FF"/>
    <w:rsid w:val="65DBF662"/>
    <w:rsid w:val="6C8CE088"/>
    <w:rsid w:val="6F2DDE01"/>
    <w:rsid w:val="7061C701"/>
    <w:rsid w:val="714CAB5C"/>
    <w:rsid w:val="72C4128B"/>
    <w:rsid w:val="7363E876"/>
    <w:rsid w:val="7451FEBD"/>
    <w:rsid w:val="76E8ECD9"/>
    <w:rsid w:val="774FDBC5"/>
    <w:rsid w:val="7A98BEAD"/>
    <w:rsid w:val="7B0B1D56"/>
    <w:rsid w:val="7B231D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5C56C46-6564-448E-83CC-AB593381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47404B"/>
    <w:rPr>
      <w:color w:val="605E5C"/>
      <w:shd w:val="clear" w:color="auto" w:fill="E1DFDD"/>
    </w:rPr>
  </w:style>
  <w:style w:type="character" w:styleId="CommentReference">
    <w:name w:val="annotation reference"/>
    <w:basedOn w:val="DefaultParagraphFont"/>
    <w:rsid w:val="006A58B2"/>
    <w:rPr>
      <w:sz w:val="16"/>
      <w:szCs w:val="16"/>
    </w:rPr>
  </w:style>
  <w:style w:type="paragraph" w:styleId="CommentText">
    <w:name w:val="annotation text"/>
    <w:basedOn w:val="Normal"/>
    <w:link w:val="CommentTextChar"/>
    <w:rsid w:val="006A58B2"/>
    <w:rPr>
      <w:sz w:val="20"/>
    </w:rPr>
  </w:style>
  <w:style w:type="character" w:customStyle="1" w:styleId="CommentTextChar">
    <w:name w:val="Comment Text Char"/>
    <w:basedOn w:val="DefaultParagraphFont"/>
    <w:link w:val="CommentText"/>
    <w:rsid w:val="006A58B2"/>
    <w:rPr>
      <w:snapToGrid w:val="0"/>
      <w:kern w:val="28"/>
    </w:rPr>
  </w:style>
  <w:style w:type="paragraph" w:styleId="CommentSubject">
    <w:name w:val="annotation subject"/>
    <w:basedOn w:val="CommentText"/>
    <w:next w:val="CommentText"/>
    <w:link w:val="CommentSubjectChar"/>
    <w:rsid w:val="006A58B2"/>
    <w:rPr>
      <w:b/>
      <w:bCs/>
    </w:rPr>
  </w:style>
  <w:style w:type="character" w:customStyle="1" w:styleId="CommentSubjectChar">
    <w:name w:val="Comment Subject Char"/>
    <w:basedOn w:val="CommentTextChar"/>
    <w:link w:val="CommentSubject"/>
    <w:rsid w:val="006A58B2"/>
    <w:rPr>
      <w:b/>
      <w:bCs/>
      <w:snapToGrid w:val="0"/>
      <w:kern w:val="28"/>
    </w:rPr>
  </w:style>
  <w:style w:type="paragraph" w:styleId="BalloonText">
    <w:name w:val="Balloon Text"/>
    <w:basedOn w:val="Normal"/>
    <w:link w:val="BalloonTextChar"/>
    <w:rsid w:val="006A58B2"/>
    <w:rPr>
      <w:rFonts w:ascii="Segoe UI" w:hAnsi="Segoe UI" w:cs="Segoe UI"/>
      <w:sz w:val="18"/>
      <w:szCs w:val="18"/>
    </w:rPr>
  </w:style>
  <w:style w:type="character" w:customStyle="1" w:styleId="BalloonTextChar">
    <w:name w:val="Balloon Text Char"/>
    <w:basedOn w:val="DefaultParagraphFont"/>
    <w:link w:val="BalloonText"/>
    <w:rsid w:val="006A58B2"/>
    <w:rPr>
      <w:rFonts w:ascii="Segoe UI" w:hAnsi="Segoe UI" w:cs="Segoe UI"/>
      <w:snapToGrid w:val="0"/>
      <w:kern w:val="28"/>
      <w:sz w:val="18"/>
      <w:szCs w:val="18"/>
    </w:rPr>
  </w:style>
  <w:style w:type="paragraph" w:styleId="Revision">
    <w:name w:val="Revision"/>
    <w:hidden/>
    <w:uiPriority w:val="99"/>
    <w:semiHidden/>
    <w:rsid w:val="00B1217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609847302431/060920%2018-122%20Joint%20Lump%20Sum%20PN%20Extension%20Request%206%209%2020%20FINAL.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