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E5CC54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80A321A" w14:textId="77777777">
      <w:pPr>
        <w:pStyle w:val="StyleBoldCentered"/>
      </w:pPr>
      <w:r>
        <w:t>F</w:t>
      </w:r>
      <w:r>
        <w:rPr>
          <w:caps w:val="0"/>
        </w:rPr>
        <w:t>ederal Communications Commission</w:t>
      </w:r>
    </w:p>
    <w:p w:rsidR="004C2EE3" w:rsidP="00096D8C" w14:paraId="4A30F785" w14:textId="77777777">
      <w:pPr>
        <w:pStyle w:val="StyleBoldCentered"/>
      </w:pPr>
      <w:r>
        <w:rPr>
          <w:caps w:val="0"/>
        </w:rPr>
        <w:t>Washington, D.C. 20554</w:t>
      </w:r>
    </w:p>
    <w:p w:rsidR="004C2EE3" w:rsidP="0070224F" w14:paraId="53948E9E" w14:textId="77777777"/>
    <w:p w:rsidR="004C2EE3" w:rsidP="0070224F" w14:paraId="0530336C" w14:textId="77777777"/>
    <w:tbl>
      <w:tblPr>
        <w:tblW w:w="0" w:type="auto"/>
        <w:tblLayout w:type="fixed"/>
        <w:tblLook w:val="0000"/>
      </w:tblPr>
      <w:tblGrid>
        <w:gridCol w:w="4698"/>
        <w:gridCol w:w="630"/>
        <w:gridCol w:w="4248"/>
      </w:tblGrid>
      <w:tr w14:paraId="419BB303" w14:textId="77777777">
        <w:tblPrEx>
          <w:tblW w:w="0" w:type="auto"/>
          <w:tblLayout w:type="fixed"/>
          <w:tblLook w:val="0000"/>
        </w:tblPrEx>
        <w:tc>
          <w:tcPr>
            <w:tcW w:w="4698" w:type="dxa"/>
          </w:tcPr>
          <w:p w:rsidR="004C2EE3" w14:paraId="2531588E" w14:textId="77777777">
            <w:pPr>
              <w:tabs>
                <w:tab w:val="center" w:pos="4680"/>
              </w:tabs>
              <w:suppressAutoHyphens/>
              <w:rPr>
                <w:spacing w:val="-2"/>
              </w:rPr>
            </w:pPr>
            <w:r>
              <w:rPr>
                <w:spacing w:val="-2"/>
              </w:rPr>
              <w:t>In the Matter of</w:t>
            </w:r>
          </w:p>
          <w:p w:rsidR="004C2EE3" w14:paraId="711EFA67" w14:textId="77777777">
            <w:pPr>
              <w:tabs>
                <w:tab w:val="center" w:pos="4680"/>
              </w:tabs>
              <w:suppressAutoHyphens/>
              <w:rPr>
                <w:spacing w:val="-2"/>
              </w:rPr>
            </w:pPr>
          </w:p>
          <w:p w:rsidR="004C2EE3" w:rsidP="007115F7" w14:paraId="2C5B83C6" w14:textId="77777777">
            <w:pPr>
              <w:tabs>
                <w:tab w:val="center" w:pos="4680"/>
              </w:tabs>
              <w:suppressAutoHyphens/>
              <w:rPr>
                <w:spacing w:val="-2"/>
              </w:rPr>
            </w:pPr>
            <w:r>
              <w:rPr>
                <w:spacing w:val="-2"/>
              </w:rPr>
              <w:t>LOWER COLORADO RIVER AUTHORITY</w:t>
            </w:r>
          </w:p>
          <w:p w:rsidR="00EB61CF" w:rsidP="007115F7" w14:paraId="69D1A466" w14:textId="77777777">
            <w:pPr>
              <w:tabs>
                <w:tab w:val="center" w:pos="4680"/>
              </w:tabs>
              <w:suppressAutoHyphens/>
              <w:rPr>
                <w:spacing w:val="-2"/>
              </w:rPr>
            </w:pPr>
          </w:p>
          <w:p w:rsidR="00EB61CF" w:rsidRPr="007115F7" w:rsidP="007115F7" w14:paraId="4C7931CF" w14:textId="44E011D9">
            <w:pPr>
              <w:tabs>
                <w:tab w:val="center" w:pos="4680"/>
              </w:tabs>
              <w:suppressAutoHyphens/>
              <w:rPr>
                <w:spacing w:val="-2"/>
              </w:rPr>
            </w:pPr>
            <w:r>
              <w:rPr>
                <w:spacing w:val="-2"/>
              </w:rPr>
              <w:t>Requests for Waiver of 900 MHz Application Freeze</w:t>
            </w:r>
          </w:p>
        </w:tc>
        <w:tc>
          <w:tcPr>
            <w:tcW w:w="630" w:type="dxa"/>
          </w:tcPr>
          <w:p w:rsidR="004C2EE3" w14:paraId="6078BDB8" w14:textId="77777777">
            <w:pPr>
              <w:tabs>
                <w:tab w:val="center" w:pos="4680"/>
              </w:tabs>
              <w:suppressAutoHyphens/>
              <w:rPr>
                <w:b/>
                <w:spacing w:val="-2"/>
              </w:rPr>
            </w:pPr>
            <w:r>
              <w:rPr>
                <w:b/>
                <w:spacing w:val="-2"/>
              </w:rPr>
              <w:t>)</w:t>
            </w:r>
          </w:p>
          <w:p w:rsidR="004C2EE3" w14:paraId="13132EC9" w14:textId="77777777">
            <w:pPr>
              <w:tabs>
                <w:tab w:val="center" w:pos="4680"/>
              </w:tabs>
              <w:suppressAutoHyphens/>
              <w:rPr>
                <w:b/>
                <w:spacing w:val="-2"/>
              </w:rPr>
            </w:pPr>
            <w:r>
              <w:rPr>
                <w:b/>
                <w:spacing w:val="-2"/>
              </w:rPr>
              <w:t>)</w:t>
            </w:r>
          </w:p>
          <w:p w:rsidR="004C2EE3" w14:paraId="61F6A0EC" w14:textId="77777777">
            <w:pPr>
              <w:tabs>
                <w:tab w:val="center" w:pos="4680"/>
              </w:tabs>
              <w:suppressAutoHyphens/>
              <w:rPr>
                <w:b/>
                <w:spacing w:val="-2"/>
              </w:rPr>
            </w:pPr>
            <w:r>
              <w:rPr>
                <w:b/>
                <w:spacing w:val="-2"/>
              </w:rPr>
              <w:t>)</w:t>
            </w:r>
          </w:p>
          <w:p w:rsidR="004C2EE3" w14:paraId="4D8857A6" w14:textId="77777777">
            <w:pPr>
              <w:tabs>
                <w:tab w:val="center" w:pos="4680"/>
              </w:tabs>
              <w:suppressAutoHyphens/>
              <w:rPr>
                <w:b/>
                <w:spacing w:val="-2"/>
              </w:rPr>
            </w:pPr>
            <w:r>
              <w:rPr>
                <w:b/>
                <w:spacing w:val="-2"/>
              </w:rPr>
              <w:t>)</w:t>
            </w:r>
          </w:p>
          <w:p w:rsidR="004C2EE3" w14:paraId="029753F3" w14:textId="77777777">
            <w:pPr>
              <w:tabs>
                <w:tab w:val="center" w:pos="4680"/>
              </w:tabs>
              <w:suppressAutoHyphens/>
              <w:rPr>
                <w:b/>
                <w:spacing w:val="-2"/>
              </w:rPr>
            </w:pPr>
            <w:r>
              <w:rPr>
                <w:b/>
                <w:spacing w:val="-2"/>
              </w:rPr>
              <w:t>)</w:t>
            </w:r>
          </w:p>
          <w:p w:rsidR="004C2EE3" w14:paraId="027C4030" w14:textId="77777777">
            <w:pPr>
              <w:tabs>
                <w:tab w:val="center" w:pos="4680"/>
              </w:tabs>
              <w:suppressAutoHyphens/>
              <w:rPr>
                <w:b/>
                <w:spacing w:val="-2"/>
              </w:rPr>
            </w:pPr>
            <w:r>
              <w:rPr>
                <w:b/>
                <w:spacing w:val="-2"/>
              </w:rPr>
              <w:t>)</w:t>
            </w:r>
          </w:p>
          <w:p w:rsidR="004C2EE3" w:rsidRPr="00EB61CF" w14:paraId="69A7895D" w14:textId="5FD59E03">
            <w:pPr>
              <w:tabs>
                <w:tab w:val="center" w:pos="4680"/>
              </w:tabs>
              <w:suppressAutoHyphens/>
              <w:rPr>
                <w:b/>
                <w:spacing w:val="-2"/>
              </w:rPr>
            </w:pPr>
            <w:r>
              <w:rPr>
                <w:b/>
                <w:spacing w:val="-2"/>
              </w:rPr>
              <w:t>)</w:t>
            </w:r>
          </w:p>
        </w:tc>
        <w:tc>
          <w:tcPr>
            <w:tcW w:w="4248" w:type="dxa"/>
          </w:tcPr>
          <w:p w:rsidR="004C2EE3" w14:paraId="5B4DB177" w14:textId="77777777">
            <w:pPr>
              <w:tabs>
                <w:tab w:val="center" w:pos="4680"/>
              </w:tabs>
              <w:suppressAutoHyphens/>
              <w:rPr>
                <w:spacing w:val="-2"/>
              </w:rPr>
            </w:pPr>
          </w:p>
          <w:p w:rsidR="004C2EE3" w14:paraId="4E9E05A9" w14:textId="77777777">
            <w:pPr>
              <w:pStyle w:val="TOAHeading"/>
              <w:tabs>
                <w:tab w:val="center" w:pos="4680"/>
                <w:tab w:val="clear" w:pos="9360"/>
              </w:tabs>
              <w:rPr>
                <w:spacing w:val="-2"/>
              </w:rPr>
            </w:pPr>
          </w:p>
          <w:p w:rsidR="004C2EE3" w14:paraId="1F4BFFA9" w14:textId="2D5C79D9">
            <w:pPr>
              <w:tabs>
                <w:tab w:val="center" w:pos="4680"/>
              </w:tabs>
              <w:suppressAutoHyphens/>
              <w:rPr>
                <w:spacing w:val="-2"/>
              </w:rPr>
            </w:pPr>
            <w:r>
              <w:rPr>
                <w:spacing w:val="-2"/>
              </w:rPr>
              <w:t>Call Signs WPLZ918 and WPMZ642</w:t>
            </w:r>
            <w:r w:rsidR="00271310">
              <w:rPr>
                <w:spacing w:val="-2"/>
              </w:rPr>
              <w:t>;</w:t>
            </w:r>
            <w:r w:rsidR="006E1416">
              <w:rPr>
                <w:spacing w:val="-2"/>
              </w:rPr>
              <w:t xml:space="preserve"> File Nos. 0008537944 and 0008910862</w:t>
            </w:r>
          </w:p>
        </w:tc>
      </w:tr>
    </w:tbl>
    <w:p w:rsidR="004C2EE3" w:rsidP="0070224F" w14:paraId="0D2F51E9" w14:textId="77777777"/>
    <w:p w:rsidR="00841AB1" w:rsidP="00F021FA" w14:paraId="6B66069F" w14:textId="357E4897">
      <w:pPr>
        <w:pStyle w:val="StyleBoldCentered"/>
      </w:pPr>
      <w:r>
        <w:t>order</w:t>
      </w:r>
    </w:p>
    <w:p w:rsidR="004C2EE3" w14:paraId="4418FDB1" w14:textId="77777777">
      <w:pPr>
        <w:tabs>
          <w:tab w:val="left" w:pos="-720"/>
        </w:tabs>
        <w:suppressAutoHyphens/>
        <w:spacing w:line="227" w:lineRule="auto"/>
        <w:rPr>
          <w:spacing w:val="-2"/>
        </w:rPr>
      </w:pPr>
    </w:p>
    <w:p w:rsidR="004C2EE3" w:rsidP="00133F79" w14:paraId="0DC959ED" w14:textId="0FBFD355">
      <w:pPr>
        <w:tabs>
          <w:tab w:val="left" w:pos="720"/>
          <w:tab w:val="right" w:pos="9360"/>
        </w:tabs>
        <w:suppressAutoHyphens/>
        <w:spacing w:line="227" w:lineRule="auto"/>
        <w:rPr>
          <w:spacing w:val="-2"/>
        </w:rPr>
      </w:pPr>
      <w:r>
        <w:rPr>
          <w:b/>
          <w:spacing w:val="-2"/>
        </w:rPr>
        <w:t xml:space="preserve">Adopted:  </w:t>
      </w:r>
      <w:r w:rsidR="00BC08F0">
        <w:rPr>
          <w:b/>
          <w:spacing w:val="-2"/>
        </w:rPr>
        <w:t>June 17, 2020</w:t>
      </w:r>
      <w:bookmarkStart w:id="0" w:name="_GoBack"/>
      <w:bookmarkEnd w:id="0"/>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C08F0">
        <w:rPr>
          <w:b/>
          <w:spacing w:val="-2"/>
        </w:rPr>
        <w:t>June 17, 2020</w:t>
      </w:r>
    </w:p>
    <w:p w:rsidR="00822CE0" w14:paraId="008B9EC9" w14:textId="77777777"/>
    <w:p w:rsidR="004C2EE3" w14:paraId="075735A7" w14:textId="3775DFBA">
      <w:pPr>
        <w:rPr>
          <w:spacing w:val="-2"/>
        </w:rPr>
      </w:pPr>
      <w:r>
        <w:t xml:space="preserve">By </w:t>
      </w:r>
      <w:r w:rsidR="004E4A22">
        <w:t>the</w:t>
      </w:r>
      <w:r w:rsidR="002A2D2E">
        <w:t xml:space="preserve"> </w:t>
      </w:r>
      <w:r w:rsidR="00D91356">
        <w:rPr>
          <w:spacing w:val="-2"/>
        </w:rPr>
        <w:t>Chief, Mobility Division, Wireless Telecommunications Bureau:</w:t>
      </w:r>
    </w:p>
    <w:p w:rsidR="00412FC5" w:rsidP="00EB61CF" w14:paraId="4152FF3F" w14:textId="23A9DFBB">
      <w:pPr>
        <w:pStyle w:val="Heading1"/>
        <w:numPr>
          <w:ilvl w:val="0"/>
          <w:numId w:val="0"/>
        </w:numPr>
      </w:pPr>
    </w:p>
    <w:p w:rsidR="00EB61CF" w:rsidP="00A222E1" w14:paraId="46F8C5B3" w14:textId="0E5C1989">
      <w:pPr>
        <w:pStyle w:val="ParaNum"/>
      </w:pPr>
      <w:r>
        <w:rPr>
          <w:i/>
          <w:iCs/>
        </w:rPr>
        <w:t>Introduction</w:t>
      </w:r>
      <w:r>
        <w:t xml:space="preserve">.  In this </w:t>
      </w:r>
      <w:r>
        <w:rPr>
          <w:i/>
          <w:iCs/>
        </w:rPr>
        <w:t>Order</w:t>
      </w:r>
      <w:r>
        <w:t xml:space="preserve">, </w:t>
      </w:r>
      <w:r w:rsidR="00A222E1">
        <w:t xml:space="preserve">we address </w:t>
      </w:r>
      <w:r w:rsidR="002B4BE4">
        <w:t>applications filed by</w:t>
      </w:r>
      <w:r w:rsidR="00A222E1">
        <w:t xml:space="preserve"> Lower Colorado River Authority</w:t>
      </w:r>
      <w:r w:rsidR="002B4BE4">
        <w:t xml:space="preserve"> (LCRA)</w:t>
      </w:r>
      <w:r>
        <w:rPr>
          <w:rStyle w:val="FootnoteReference"/>
        </w:rPr>
        <w:footnoteReference w:id="3"/>
      </w:r>
      <w:r w:rsidR="002B4BE4">
        <w:t xml:space="preserve"> to modify its licenses for 896-901/935-940 MHz (900 MHz) band Business/Industrial Land Transportation Stations WPLZ918 and WPMZ642 by adding three sites</w:t>
      </w:r>
      <w:r w:rsidR="0063631E">
        <w:t>,</w:t>
      </w:r>
      <w:r w:rsidR="002B4BE4">
        <w:t xml:space="preserve"> and </w:t>
      </w:r>
      <w:r w:rsidR="0063631E">
        <w:t xml:space="preserve">we address LCRA’s </w:t>
      </w:r>
      <w:r w:rsidR="002B4BE4">
        <w:t xml:space="preserve"> associated request for waiver of the 900 MHz application freeze.</w:t>
      </w:r>
      <w:r>
        <w:rPr>
          <w:rStyle w:val="FootnoteReference"/>
        </w:rPr>
        <w:footnoteReference w:id="4"/>
      </w:r>
      <w:r w:rsidR="002B4BE4">
        <w:t xml:space="preserve">  </w:t>
      </w:r>
      <w:r w:rsidR="006E1416">
        <w:t>For the reasons discussed below, w</w:t>
      </w:r>
      <w:r w:rsidR="002B4BE4">
        <w:t>e deny the waiver request and dismiss the applications.</w:t>
      </w:r>
    </w:p>
    <w:p w:rsidR="00ED3BDA" w:rsidP="00A222E1" w14:paraId="2B735019" w14:textId="0C84F322">
      <w:pPr>
        <w:pStyle w:val="ParaNum"/>
      </w:pPr>
      <w:r>
        <w:rPr>
          <w:i/>
          <w:iCs/>
        </w:rPr>
        <w:t>Background</w:t>
      </w:r>
      <w:r>
        <w:t xml:space="preserve">.  </w:t>
      </w:r>
      <w:r w:rsidR="00136314">
        <w:t xml:space="preserve">LCRA </w:t>
      </w:r>
      <w:r w:rsidR="006E1416">
        <w:t xml:space="preserve">is a Texas conservation and reclamation district that </w:t>
      </w:r>
      <w:r w:rsidR="00526AAE">
        <w:t>offers</w:t>
      </w:r>
      <w:r w:rsidR="006E1416">
        <w:t xml:space="preserve"> many services, including </w:t>
      </w:r>
      <w:r w:rsidR="00136314">
        <w:t>deliver</w:t>
      </w:r>
      <w:r w:rsidR="006E1416">
        <w:t>ing</w:t>
      </w:r>
      <w:r w:rsidR="00136314">
        <w:t xml:space="preserve"> electricity</w:t>
      </w:r>
      <w:r w:rsidR="00727775">
        <w:t xml:space="preserve"> to utilities</w:t>
      </w:r>
      <w:r w:rsidR="00136314">
        <w:t>, manag</w:t>
      </w:r>
      <w:r w:rsidR="006E1416">
        <w:t>ing</w:t>
      </w:r>
      <w:r w:rsidR="00136314">
        <w:t xml:space="preserve"> the water supply</w:t>
      </w:r>
      <w:r w:rsidR="00727775">
        <w:t xml:space="preserve"> of the lower Colorado River basin</w:t>
      </w:r>
      <w:r w:rsidR="00136314">
        <w:t>, and provid</w:t>
      </w:r>
      <w:r w:rsidR="006E1416">
        <w:t>ing</w:t>
      </w:r>
      <w:r w:rsidR="00136314">
        <w:t xml:space="preserve"> public recreation are</w:t>
      </w:r>
      <w:r w:rsidR="00727775">
        <w:t>as in Texas.</w:t>
      </w:r>
      <w:r>
        <w:rPr>
          <w:rStyle w:val="FootnoteReference"/>
        </w:rPr>
        <w:footnoteReference w:id="5"/>
      </w:r>
      <w:r w:rsidR="00727775">
        <w:t xml:space="preserve"> </w:t>
      </w:r>
      <w:r w:rsidR="002C2DCB">
        <w:t xml:space="preserve"> </w:t>
      </w:r>
      <w:r w:rsidRPr="002C2DCB" w:rsidR="002C2DCB">
        <w:t>LCRA supplies wholesale</w:t>
      </w:r>
      <w:r w:rsidR="00727775">
        <w:t xml:space="preserve"> </w:t>
      </w:r>
      <w:r w:rsidRPr="002C2DCB" w:rsidR="002C2DCB">
        <w:t xml:space="preserve">electricity to 34 Texas retail utilities, including cities and electric cooperatives that serve more than one </w:t>
      </w:r>
      <w:r w:rsidR="002C2DCB">
        <w:t>million people in 55 counties.</w:t>
      </w:r>
      <w:r>
        <w:rPr>
          <w:rStyle w:val="FootnoteReference"/>
        </w:rPr>
        <w:footnoteReference w:id="6"/>
      </w:r>
      <w:r w:rsidR="002C2DCB">
        <w:t xml:space="preserve">  LCRA </w:t>
      </w:r>
      <w:r w:rsidR="00727775">
        <w:t xml:space="preserve">operates a 900 MHz </w:t>
      </w:r>
      <w:r w:rsidR="00EA6256">
        <w:t xml:space="preserve">trunked </w:t>
      </w:r>
      <w:r w:rsidR="00727775">
        <w:t xml:space="preserve">private land mobile radio system </w:t>
      </w:r>
      <w:r w:rsidR="002C2DCB">
        <w:t>for mission critical utility operations</w:t>
      </w:r>
      <w:r w:rsidR="0054442B">
        <w:t>,</w:t>
      </w:r>
      <w:r w:rsidR="002C2DCB">
        <w:t xml:space="preserve"> and </w:t>
      </w:r>
      <w:r w:rsidR="0054442B">
        <w:t xml:space="preserve">it </w:t>
      </w:r>
      <w:r w:rsidR="002C2DCB">
        <w:t xml:space="preserve">also engages in non-profit </w:t>
      </w:r>
      <w:r w:rsidR="00727775">
        <w:t xml:space="preserve">shared </w:t>
      </w:r>
      <w:r w:rsidR="00EB77CC">
        <w:t xml:space="preserve">use of its system with </w:t>
      </w:r>
      <w:r w:rsidR="00727775">
        <w:t>a variety of public safety entities.</w:t>
      </w:r>
      <w:r>
        <w:rPr>
          <w:rStyle w:val="FootnoteReference"/>
        </w:rPr>
        <w:footnoteReference w:id="7"/>
      </w:r>
    </w:p>
    <w:p w:rsidR="00ED3BDA" w:rsidP="00A222E1" w14:paraId="35D6FD93" w14:textId="6B1AE341">
      <w:pPr>
        <w:pStyle w:val="ParaNum"/>
      </w:pPr>
      <w:r>
        <w:t>In September 2018,</w:t>
      </w:r>
      <w:r w:rsidR="00727775">
        <w:t xml:space="preserve"> the Wireless Telecommunications Bureau</w:t>
      </w:r>
      <w:r w:rsidR="00AB5C1E">
        <w:t xml:space="preserve"> (Bureau)</w:t>
      </w:r>
      <w:r w:rsidR="00727775">
        <w:t xml:space="preserve"> suspended the acceptance of applications for new or expanded 900 MHz operations to maintain a stable spectral landscape while the Commission determined how to proceed with respect to that spectrum.</w:t>
      </w:r>
      <w:r>
        <w:rPr>
          <w:rStyle w:val="FootnoteReference"/>
        </w:rPr>
        <w:footnoteReference w:id="8"/>
      </w:r>
      <w:r w:rsidR="003C287A">
        <w:t xml:space="preserve">  The </w:t>
      </w:r>
      <w:r w:rsidR="003C287A">
        <w:rPr>
          <w:i/>
          <w:iCs/>
        </w:rPr>
        <w:t xml:space="preserve">900 </w:t>
      </w:r>
      <w:r w:rsidR="003C287A">
        <w:rPr>
          <w:i/>
          <w:iCs/>
        </w:rPr>
        <w:t xml:space="preserve">MHz Freeze Public Notice </w:t>
      </w:r>
      <w:r w:rsidR="003C287A">
        <w:t xml:space="preserve">noted that licensees have recourse </w:t>
      </w:r>
      <w:r w:rsidR="00EB77CC">
        <w:t xml:space="preserve">through </w:t>
      </w:r>
      <w:r w:rsidR="003C287A">
        <w:t>the Commission’s waiver provisions to request an exception to the freeze.</w:t>
      </w:r>
      <w:r>
        <w:rPr>
          <w:rStyle w:val="FootnoteReference"/>
        </w:rPr>
        <w:footnoteReference w:id="9"/>
      </w:r>
      <w:r w:rsidR="003C287A">
        <w:t xml:space="preserve">  In March 2019, the Commission released a </w:t>
      </w:r>
      <w:r w:rsidR="003C287A">
        <w:rPr>
          <w:i/>
          <w:iCs/>
        </w:rPr>
        <w:t xml:space="preserve">Notice of Proposed Rulemaking </w:t>
      </w:r>
      <w:r w:rsidR="003C287A">
        <w:t>proposing to realign the 900 MHz band to create a 3/3 megahertz broadband segment, while reserving the remaining 2/2 megahertz for narrowband operations.</w:t>
      </w:r>
      <w:r>
        <w:rPr>
          <w:rStyle w:val="FootnoteReference"/>
        </w:rPr>
        <w:footnoteReference w:id="10"/>
      </w:r>
      <w:r w:rsidR="003C287A">
        <w:t xml:space="preserve">  In May 2020,</w:t>
      </w:r>
      <w:r w:rsidR="00CE0798">
        <w:t xml:space="preserve"> the Commission </w:t>
      </w:r>
      <w:r w:rsidR="00F878C4">
        <w:t>adopted</w:t>
      </w:r>
      <w:r w:rsidR="00CE0798">
        <w:t xml:space="preserve"> a </w:t>
      </w:r>
      <w:r w:rsidR="00CE0798">
        <w:rPr>
          <w:i/>
          <w:iCs/>
        </w:rPr>
        <w:t xml:space="preserve">Report and Order </w:t>
      </w:r>
      <w:r w:rsidR="00CE0798">
        <w:t>that established a 3/3 megahertz broadband segment</w:t>
      </w:r>
      <w:r w:rsidR="00EB1052">
        <w:t>, two narrowband segments</w:t>
      </w:r>
      <w:r w:rsidR="00F878C4">
        <w:t xml:space="preserve"> of 1.5/1.5 megahertz and .5/.5 megahertz</w:t>
      </w:r>
      <w:r w:rsidR="00EB1052">
        <w:t>,</w:t>
      </w:r>
      <w:r w:rsidR="00CE0798">
        <w:t xml:space="preserve"> and a transition mechanism based primarily on negotiations between prospective broadband licensees and existing narrowband incumbent licensees.</w:t>
      </w:r>
      <w:r>
        <w:rPr>
          <w:rStyle w:val="FootnoteReference"/>
        </w:rPr>
        <w:footnoteReference w:id="11"/>
      </w:r>
      <w:r w:rsidR="00C70028">
        <w:t xml:space="preserve">  </w:t>
      </w:r>
      <w:r w:rsidR="0028787B">
        <w:t>At the time it adopted</w:t>
      </w:r>
      <w:r w:rsidR="00C70028">
        <w:t xml:space="preserve"> the </w:t>
      </w:r>
      <w:r w:rsidR="00C70028">
        <w:rPr>
          <w:i/>
          <w:iCs/>
        </w:rPr>
        <w:t>Report and Order</w:t>
      </w:r>
      <w:r w:rsidR="00C70028">
        <w:t>, the Commission partially lifted the 900 MHz freeze for relocation of incumbents as part of a transition plan and clarified that the current freeze</w:t>
      </w:r>
      <w:r w:rsidR="00C438A8">
        <w:t>, which prohibits contour extensions,</w:t>
      </w:r>
      <w:r w:rsidR="00C70028">
        <w:t xml:space="preserve"> remains in place.</w:t>
      </w:r>
      <w:r>
        <w:rPr>
          <w:rStyle w:val="FootnoteReference"/>
        </w:rPr>
        <w:footnoteReference w:id="12"/>
      </w:r>
    </w:p>
    <w:p w:rsidR="00ED3BDA" w:rsidP="0055247E" w14:paraId="124A6221" w14:textId="47886B71">
      <w:pPr>
        <w:pStyle w:val="ParaNum"/>
      </w:pPr>
      <w:r>
        <w:t xml:space="preserve">In </w:t>
      </w:r>
      <w:r w:rsidR="00276B4F">
        <w:t>its Waiver Request and Supplement</w:t>
      </w:r>
      <w:r>
        <w:t xml:space="preserve">, LCRA </w:t>
      </w:r>
      <w:r w:rsidR="00276B4F">
        <w:t xml:space="preserve">requests a waiver of the 900 MHz freeze to add </w:t>
      </w:r>
      <w:r w:rsidR="008C50A4">
        <w:t>a</w:t>
      </w:r>
      <w:r w:rsidR="00276B4F">
        <w:t xml:space="preserve"> </w:t>
      </w:r>
      <w:r>
        <w:t xml:space="preserve">new 900 MHz site in </w:t>
      </w:r>
      <w:r w:rsidR="008C50A4">
        <w:t>three cities in Texas</w:t>
      </w:r>
      <w:r w:rsidR="0055247E">
        <w:t>—</w:t>
      </w:r>
      <w:r>
        <w:t xml:space="preserve">San Angelo, </w:t>
      </w:r>
      <w:r w:rsidR="00EA6256">
        <w:t>Amos Creek</w:t>
      </w:r>
      <w:r w:rsidR="00276B4F">
        <w:t>,</w:t>
      </w:r>
      <w:r>
        <w:t xml:space="preserve"> and </w:t>
      </w:r>
      <w:r>
        <w:t>Christoval</w:t>
      </w:r>
      <w:r w:rsidR="0055247E">
        <w:t>—</w:t>
      </w:r>
      <w:r w:rsidR="008C50A4">
        <w:t>for a total of three new sites</w:t>
      </w:r>
      <w:r>
        <w:t>.</w:t>
      </w:r>
      <w:r>
        <w:rPr>
          <w:rStyle w:val="FootnoteReference"/>
        </w:rPr>
        <w:footnoteReference w:id="13"/>
      </w:r>
      <w:r w:rsidR="00EA6256">
        <w:t xml:space="preserve">  At all three sites, LCRA request</w:t>
      </w:r>
      <w:r w:rsidR="001D7A5C">
        <w:t>s</w:t>
      </w:r>
      <w:r w:rsidR="00EA6256">
        <w:t xml:space="preserve"> </w:t>
      </w:r>
      <w:r w:rsidR="006921CA">
        <w:t xml:space="preserve">authority </w:t>
      </w:r>
      <w:r w:rsidR="00EA6256">
        <w:t>to operate on frequencies in the narrowband segments.</w:t>
      </w:r>
      <w:r>
        <w:rPr>
          <w:rStyle w:val="FootnoteReference"/>
        </w:rPr>
        <w:footnoteReference w:id="14"/>
      </w:r>
      <w:r w:rsidR="00EA6256">
        <w:t xml:space="preserve">  In its waiver request and supplement, LCRA </w:t>
      </w:r>
      <w:r w:rsidR="00EB77CC">
        <w:t xml:space="preserve">asserts that </w:t>
      </w:r>
      <w:r w:rsidR="00EA6256">
        <w:t xml:space="preserve">the three additional sites are </w:t>
      </w:r>
      <w:r w:rsidR="00C91A76">
        <w:t>needed</w:t>
      </w:r>
      <w:r w:rsidR="00EA6256">
        <w:t xml:space="preserve"> to</w:t>
      </w:r>
      <w:r w:rsidR="00C91A76">
        <w:t xml:space="preserve"> </w:t>
      </w:r>
      <w:r w:rsidR="00EA6256">
        <w:t xml:space="preserve">support the </w:t>
      </w:r>
      <w:r w:rsidR="00C91A76">
        <w:t xml:space="preserve">expansion of LCRA’s transmission service in West Texas and </w:t>
      </w:r>
      <w:bookmarkStart w:id="2" w:name="_Hlk41571788"/>
      <w:r w:rsidR="008C73A6">
        <w:t xml:space="preserve">to </w:t>
      </w:r>
      <w:r w:rsidR="00C91A76">
        <w:t xml:space="preserve">provide reliable communications in </w:t>
      </w:r>
      <w:r w:rsidR="00EB1052">
        <w:t xml:space="preserve">rural </w:t>
      </w:r>
      <w:r w:rsidR="00C91A76">
        <w:t xml:space="preserve">areas </w:t>
      </w:r>
      <w:r w:rsidR="00EB77CC">
        <w:t xml:space="preserve">that </w:t>
      </w:r>
      <w:r w:rsidR="005F04C1">
        <w:t xml:space="preserve">often </w:t>
      </w:r>
      <w:r w:rsidR="00EB77CC">
        <w:t xml:space="preserve">lack reliable </w:t>
      </w:r>
      <w:r w:rsidR="00C91A76">
        <w:t>radio coverage</w:t>
      </w:r>
      <w:bookmarkEnd w:id="2"/>
      <w:r w:rsidR="00C91A76">
        <w:t>.</w:t>
      </w:r>
      <w:r>
        <w:rPr>
          <w:rStyle w:val="FootnoteReference"/>
        </w:rPr>
        <w:footnoteReference w:id="15"/>
      </w:r>
      <w:r w:rsidR="00AB5C1E">
        <w:t xml:space="preserve">  LCRA</w:t>
      </w:r>
      <w:r w:rsidR="005F04C1">
        <w:t xml:space="preserve"> states that its 900 MHz </w:t>
      </w:r>
      <w:r w:rsidR="00BB4B22">
        <w:t xml:space="preserve">system </w:t>
      </w:r>
      <w:r w:rsidR="005F04C1">
        <w:t xml:space="preserve">is the primary means of communications for its employees to construct, operate, and maintain transmission lines </w:t>
      </w:r>
      <w:r w:rsidR="00A5404E">
        <w:t>and substations in these areas</w:t>
      </w:r>
      <w:r w:rsidRPr="00EB4855" w:rsidR="00EB4855">
        <w:t xml:space="preserve"> </w:t>
      </w:r>
      <w:r w:rsidR="00EB4855">
        <w:t>safely and reliably</w:t>
      </w:r>
      <w:r w:rsidR="00A5404E">
        <w:t>.</w:t>
      </w:r>
      <w:r>
        <w:rPr>
          <w:rStyle w:val="FootnoteReference"/>
        </w:rPr>
        <w:footnoteReference w:id="16"/>
      </w:r>
      <w:r w:rsidR="00A5404E">
        <w:t xml:space="preserve">  LCRA contends that the radio operations </w:t>
      </w:r>
      <w:r w:rsidR="00526AAE">
        <w:t xml:space="preserve">requested </w:t>
      </w:r>
      <w:r w:rsidR="00A5404E">
        <w:t xml:space="preserve">at the new sites are </w:t>
      </w:r>
      <w:r w:rsidR="00514115">
        <w:t>supported</w:t>
      </w:r>
      <w:r w:rsidR="00A5404E">
        <w:t xml:space="preserve"> by a demonstrated need for a private internal communications network to support the growth of LCRA’</w:t>
      </w:r>
      <w:r w:rsidR="00514115">
        <w:t>s</w:t>
      </w:r>
      <w:r w:rsidR="00A5404E">
        <w:t xml:space="preserve"> transmission system at a specific location. </w:t>
      </w:r>
      <w:r w:rsidR="00155764">
        <w:t xml:space="preserve"> </w:t>
      </w:r>
      <w:r w:rsidR="00BB4B22">
        <w:t xml:space="preserve">LCRA </w:t>
      </w:r>
      <w:r w:rsidR="005965F7">
        <w:t xml:space="preserve">further </w:t>
      </w:r>
      <w:r w:rsidR="00BB4B22">
        <w:t xml:space="preserve">argues that </w:t>
      </w:r>
      <w:r w:rsidR="00A5404E">
        <w:t>the expansion of transmission services</w:t>
      </w:r>
      <w:r w:rsidR="009C3166">
        <w:t>—</w:t>
      </w:r>
      <w:r w:rsidR="00A5404E">
        <w:t>necessitat</w:t>
      </w:r>
      <w:r w:rsidR="00BB4B22">
        <w:t xml:space="preserve">ing </w:t>
      </w:r>
      <w:r w:rsidR="00A5404E">
        <w:t>expansion of radio coverage</w:t>
      </w:r>
      <w:r w:rsidR="009C3166">
        <w:t>—</w:t>
      </w:r>
      <w:r w:rsidR="00A5404E">
        <w:t>is due to reasons beyond LCRA’s control.</w:t>
      </w:r>
      <w:r>
        <w:rPr>
          <w:rStyle w:val="FootnoteReference"/>
        </w:rPr>
        <w:footnoteReference w:id="17"/>
      </w:r>
      <w:r w:rsidR="00A5404E">
        <w:t xml:space="preserve"> </w:t>
      </w:r>
      <w:r w:rsidR="009C3166">
        <w:t xml:space="preserve"> </w:t>
      </w:r>
      <w:r w:rsidR="00155764">
        <w:t xml:space="preserve">LCRA </w:t>
      </w:r>
      <w:r w:rsidR="00682347">
        <w:t>also</w:t>
      </w:r>
      <w:r w:rsidR="00AB5C1E">
        <w:t xml:space="preserve"> claims that it could not have known about the expansion at the time </w:t>
      </w:r>
      <w:r w:rsidR="00682347">
        <w:t>the Bureau announced the application freeze.</w:t>
      </w:r>
      <w:r>
        <w:rPr>
          <w:rStyle w:val="FootnoteReference"/>
        </w:rPr>
        <w:footnoteReference w:id="18"/>
      </w:r>
      <w:r w:rsidR="008C50A4">
        <w:t xml:space="preserve">  </w:t>
      </w:r>
      <w:r w:rsidRPr="00B9124C" w:rsidR="008C50A4">
        <w:t xml:space="preserve">In June 2020, LCRA filed an ex </w:t>
      </w:r>
      <w:r w:rsidRPr="00B9124C" w:rsidR="008C50A4">
        <w:t>parte</w:t>
      </w:r>
      <w:r w:rsidRPr="00B9124C" w:rsidR="008C50A4">
        <w:t xml:space="preserve"> letter in the 900 MHz rulemaking docket urging the Commission to grant LCRA’s pending waiver request.</w:t>
      </w:r>
      <w:r>
        <w:rPr>
          <w:rStyle w:val="FootnoteReference"/>
        </w:rPr>
        <w:footnoteReference w:id="19"/>
      </w:r>
      <w:r w:rsidRPr="00B9124C" w:rsidR="008C50A4">
        <w:t xml:space="preserve">  </w:t>
      </w:r>
    </w:p>
    <w:p w:rsidR="00ED3BDA" w:rsidP="00A222E1" w14:paraId="300FEA8B" w14:textId="578E98AE">
      <w:pPr>
        <w:pStyle w:val="ParaNum"/>
      </w:pPr>
      <w:r>
        <w:rPr>
          <w:i/>
          <w:iCs/>
        </w:rPr>
        <w:t>Discussion</w:t>
      </w:r>
      <w:r>
        <w:t xml:space="preserve">.  </w:t>
      </w:r>
      <w:r w:rsidR="00C91A76">
        <w:t>To obtain a waiver of the Commission’s rules, a petitioner must demonstrate either that:  (</w:t>
      </w:r>
      <w:r w:rsidR="00C91A76">
        <w:t>i</w:t>
      </w:r>
      <w:r w:rsidR="00C91A76">
        <w:t xml:space="preserve">) </w:t>
      </w:r>
      <w:bookmarkStart w:id="3" w:name="_Hlk41571840"/>
      <w:r w:rsidR="00C91A76">
        <w:t xml:space="preserve">the underlying purpose of the rule(s) would not be served or would be frustrated by application to the present case and that grant of the waiver would be in the public interest; or (ii) in view of the unique or </w:t>
      </w:r>
      <w:r w:rsidR="00457CCC">
        <w:t>unusual factual circumstances of the instant case, application of the rule(s) would be inequitable, unduly burdensome, or contrary to the public interest, or the applicant has no reasonable alternative</w:t>
      </w:r>
      <w:bookmarkEnd w:id="3"/>
      <w:r w:rsidR="00457CCC">
        <w:t>.</w:t>
      </w:r>
      <w:r>
        <w:rPr>
          <w:rStyle w:val="FootnoteReference"/>
        </w:rPr>
        <w:footnoteReference w:id="20"/>
      </w:r>
      <w:r w:rsidR="00457CCC">
        <w:t xml:space="preserve">  </w:t>
      </w:r>
      <w:r w:rsidR="00221682">
        <w:t xml:space="preserve">Although </w:t>
      </w:r>
      <w:r w:rsidR="00457CCC">
        <w:t xml:space="preserve">LCRA asserts that it meets </w:t>
      </w:r>
      <w:r w:rsidR="00221682">
        <w:t xml:space="preserve">both </w:t>
      </w:r>
      <w:r w:rsidR="00457CCC">
        <w:t>prong</w:t>
      </w:r>
      <w:r w:rsidR="00221682">
        <w:t>s</w:t>
      </w:r>
      <w:r w:rsidR="00457CCC">
        <w:t xml:space="preserve"> of the waiver standard</w:t>
      </w:r>
      <w:r w:rsidR="00221682">
        <w:t>, we find that it meets neither</w:t>
      </w:r>
      <w:r w:rsidR="00457CCC">
        <w:t>.</w:t>
      </w:r>
      <w:r>
        <w:rPr>
          <w:rStyle w:val="FootnoteReference"/>
        </w:rPr>
        <w:footnoteReference w:id="21"/>
      </w:r>
    </w:p>
    <w:p w:rsidR="00F06521" w:rsidP="00A222E1" w14:paraId="796931A2" w14:textId="148421C2">
      <w:pPr>
        <w:pStyle w:val="ParaNum"/>
      </w:pPr>
      <w:r>
        <w:t xml:space="preserve">We conclude that the circumstances presented by LCRA do not warrant a waiver of the 900 MHz freeze.  The </w:t>
      </w:r>
      <w:r w:rsidR="00B94612">
        <w:t xml:space="preserve">requested </w:t>
      </w:r>
      <w:r>
        <w:t>new sites are</w:t>
      </w:r>
      <w:r w:rsidR="00221682">
        <w:t>, respectively,</w:t>
      </w:r>
      <w:r>
        <w:t xml:space="preserve"> 75, 102, and 110 miles</w:t>
      </w:r>
      <w:r w:rsidR="00221682">
        <w:t xml:space="preserve"> </w:t>
      </w:r>
      <w:r>
        <w:t xml:space="preserve">from the nearest existing LCRA site in its 900 MHz network.  </w:t>
      </w:r>
      <w:r w:rsidR="00B94612">
        <w:t>I</w:t>
      </w:r>
      <w:r>
        <w:t xml:space="preserve">n </w:t>
      </w:r>
      <w:r w:rsidRPr="004C5884">
        <w:rPr>
          <w:i/>
          <w:iCs/>
        </w:rPr>
        <w:t>Rohm and Haas Texas Inc.</w:t>
      </w:r>
      <w:r>
        <w:t xml:space="preserve">, </w:t>
      </w:r>
      <w:r w:rsidR="00B94612">
        <w:t xml:space="preserve">we denied a 900 MHz freeze waiver request seeking </w:t>
      </w:r>
      <w:r>
        <w:t>to expand use of 900 MHz frequencies by adding capacity and relocating operations</w:t>
      </w:r>
      <w:r w:rsidR="00B94612">
        <w:t xml:space="preserve"> </w:t>
      </w:r>
      <w:r w:rsidR="009C3166">
        <w:t>by</w:t>
      </w:r>
      <w:r w:rsidR="00B94612">
        <w:t xml:space="preserve"> 26 miles.</w:t>
      </w:r>
      <w:r>
        <w:rPr>
          <w:rStyle w:val="FootnoteReference"/>
        </w:rPr>
        <w:footnoteReference w:id="22"/>
      </w:r>
      <w:r w:rsidR="004C5884">
        <w:t xml:space="preserve"> </w:t>
      </w:r>
      <w:r w:rsidR="00F60524">
        <w:t xml:space="preserve"> </w:t>
      </w:r>
      <w:r w:rsidR="00B94612">
        <w:t xml:space="preserve">Here, </w:t>
      </w:r>
      <w:r w:rsidR="004C5884">
        <w:t>LCRA request</w:t>
      </w:r>
      <w:r w:rsidR="00B94612">
        <w:t>s</w:t>
      </w:r>
      <w:r w:rsidR="004C5884">
        <w:t xml:space="preserve"> </w:t>
      </w:r>
      <w:r w:rsidR="00B94612">
        <w:t xml:space="preserve">a significantly larger </w:t>
      </w:r>
      <w:r w:rsidR="004C5884">
        <w:t xml:space="preserve">geographic expansion.  </w:t>
      </w:r>
      <w:r w:rsidR="00AB5870">
        <w:t>W</w:t>
      </w:r>
      <w:r w:rsidR="004C5884">
        <w:t xml:space="preserve">e </w:t>
      </w:r>
      <w:r w:rsidR="00AB5870">
        <w:t>also f</w:t>
      </w:r>
      <w:r w:rsidR="004C5884">
        <w:t xml:space="preserve">ind LCRA’s request distinguishable from our </w:t>
      </w:r>
      <w:r w:rsidR="00B94612">
        <w:t xml:space="preserve">recent </w:t>
      </w:r>
      <w:r w:rsidR="004C5884">
        <w:t xml:space="preserve">grant of a 900 MHz freeze waiver in </w:t>
      </w:r>
      <w:r w:rsidRPr="004C5884" w:rsidR="004C5884">
        <w:rPr>
          <w:i/>
          <w:iCs/>
        </w:rPr>
        <w:t>Long Island Power Authority</w:t>
      </w:r>
      <w:r w:rsidR="004C5884">
        <w:t xml:space="preserve">, where we determined </w:t>
      </w:r>
      <w:r w:rsidR="00221682">
        <w:t xml:space="preserve">that </w:t>
      </w:r>
      <w:r w:rsidR="00B94612">
        <w:t xml:space="preserve">grant of </w:t>
      </w:r>
      <w:r w:rsidR="00D87C76">
        <w:t xml:space="preserve">the </w:t>
      </w:r>
      <w:r w:rsidR="004C5884">
        <w:t xml:space="preserve">request would result in a </w:t>
      </w:r>
      <w:r w:rsidR="004C5884">
        <w:rPr>
          <w:i/>
          <w:iCs/>
        </w:rPr>
        <w:t>de minim</w:t>
      </w:r>
      <w:r w:rsidR="00B94612">
        <w:rPr>
          <w:i/>
          <w:iCs/>
        </w:rPr>
        <w:t>i</w:t>
      </w:r>
      <w:r w:rsidR="004C5884">
        <w:rPr>
          <w:i/>
          <w:iCs/>
        </w:rPr>
        <w:t>s</w:t>
      </w:r>
      <w:r w:rsidR="004C5884">
        <w:t xml:space="preserve"> net change to the geographic coverage</w:t>
      </w:r>
      <w:r w:rsidR="00B94612">
        <w:t xml:space="preserve"> area and a net loss of population coverage</w:t>
      </w:r>
      <w:r w:rsidR="004C5884">
        <w:t>.</w:t>
      </w:r>
      <w:r>
        <w:rPr>
          <w:rStyle w:val="FootnoteReference"/>
        </w:rPr>
        <w:footnoteReference w:id="23"/>
      </w:r>
    </w:p>
    <w:p w:rsidR="00A0104B" w:rsidP="00BD5E42" w14:paraId="3AE78429" w14:textId="6E56C5C6">
      <w:pPr>
        <w:pStyle w:val="ParaNum"/>
      </w:pPr>
      <w:r>
        <w:t xml:space="preserve">LCRA argues that </w:t>
      </w:r>
      <w:r w:rsidR="00EA1C2F">
        <w:t xml:space="preserve">grant of </w:t>
      </w:r>
      <w:r w:rsidR="007C7B61">
        <w:t>its</w:t>
      </w:r>
      <w:r w:rsidRPr="007C7B61" w:rsidR="007C7B61">
        <w:t xml:space="preserve"> </w:t>
      </w:r>
      <w:r w:rsidR="007C7B61">
        <w:t xml:space="preserve">applications would not encumber use of the 900 MHz spectrum in any major markets, and </w:t>
      </w:r>
      <w:r w:rsidR="0079610A">
        <w:t>therefore</w:t>
      </w:r>
      <w:r>
        <w:t xml:space="preserve"> is </w:t>
      </w:r>
      <w:r w:rsidR="00427335">
        <w:t>supported by</w:t>
      </w:r>
      <w:r w:rsidR="0079610A">
        <w:t xml:space="preserve"> </w:t>
      </w:r>
      <w:r w:rsidR="007C7B61">
        <w:t>the</w:t>
      </w:r>
      <w:r w:rsidR="003E3821">
        <w:t xml:space="preserve"> Division</w:t>
      </w:r>
      <w:r w:rsidR="00427335">
        <w:t>’s reasoning in</w:t>
      </w:r>
      <w:r w:rsidR="003E3821">
        <w:t xml:space="preserve"> distinguish</w:t>
      </w:r>
      <w:r w:rsidR="00427335">
        <w:t>ing</w:t>
      </w:r>
      <w:r w:rsidR="003E3821">
        <w:t xml:space="preserve"> </w:t>
      </w:r>
      <w:r w:rsidRPr="001C61B4" w:rsidR="003E3821">
        <w:rPr>
          <w:i/>
          <w:iCs/>
        </w:rPr>
        <w:t>Rohm and Haas Inc</w:t>
      </w:r>
      <w:r w:rsidR="003E3821">
        <w:t>.</w:t>
      </w:r>
      <w:r w:rsidR="003E3821">
        <w:t xml:space="preserve"> </w:t>
      </w:r>
      <w:r w:rsidR="003E3821">
        <w:t xml:space="preserve">in </w:t>
      </w:r>
      <w:r w:rsidR="00C911A0">
        <w:t>its</w:t>
      </w:r>
      <w:r w:rsidR="007C7B61">
        <w:t xml:space="preserve"> recent </w:t>
      </w:r>
      <w:r w:rsidRPr="001C61B4">
        <w:rPr>
          <w:i/>
          <w:iCs/>
        </w:rPr>
        <w:t>Long Island Power Authority</w:t>
      </w:r>
      <w:r w:rsidR="009F6566">
        <w:t xml:space="preserve"> </w:t>
      </w:r>
      <w:r w:rsidR="007C7B61">
        <w:t>decision</w:t>
      </w:r>
      <w:r w:rsidR="003E3821">
        <w:t>.</w:t>
      </w:r>
      <w:r w:rsidR="007C7B61">
        <w:t xml:space="preserve"> </w:t>
      </w:r>
      <w:r w:rsidR="003E3821">
        <w:t xml:space="preserve"> </w:t>
      </w:r>
      <w:r w:rsidR="0079610A">
        <w:t xml:space="preserve">LCRA </w:t>
      </w:r>
      <w:r w:rsidR="00C911A0">
        <w:t xml:space="preserve">notes that it “supplies wholesale electricity,” and </w:t>
      </w:r>
      <w:r w:rsidR="00221682">
        <w:t xml:space="preserve">it </w:t>
      </w:r>
      <w:r w:rsidR="00C911A0">
        <w:t>highlights that</w:t>
      </w:r>
      <w:r w:rsidR="00EA1C2F">
        <w:t xml:space="preserve"> the Division</w:t>
      </w:r>
      <w:r w:rsidR="0079610A">
        <w:t xml:space="preserve">, in </w:t>
      </w:r>
      <w:r w:rsidRPr="001C61B4" w:rsidR="00F06521">
        <w:rPr>
          <w:i/>
          <w:iCs/>
        </w:rPr>
        <w:t>Long Island Power Authority</w:t>
      </w:r>
      <w:r w:rsidR="00EA1C2F">
        <w:t>,</w:t>
      </w:r>
      <w:r w:rsidR="0079610A">
        <w:t xml:space="preserve"> granted relief to “</w:t>
      </w:r>
      <w:r w:rsidR="00F06521">
        <w:t>the sole provider of electric utility service</w:t>
      </w:r>
      <w:r w:rsidR="008E5B32">
        <w:t xml:space="preserve"> in three markets</w:t>
      </w:r>
      <w:r w:rsidR="00C911A0">
        <w:t>.</w:t>
      </w:r>
      <w:r w:rsidR="0079610A">
        <w:t>”</w:t>
      </w:r>
      <w:r>
        <w:rPr>
          <w:rStyle w:val="FootnoteReference"/>
        </w:rPr>
        <w:footnoteReference w:id="24"/>
      </w:r>
      <w:r w:rsidR="00427335">
        <w:t xml:space="preserve">  </w:t>
      </w:r>
      <w:r w:rsidR="003803C8">
        <w:t xml:space="preserve">We </w:t>
      </w:r>
      <w:r w:rsidR="009A5BA5">
        <w:t xml:space="preserve">find these arguments unpersuasive. </w:t>
      </w:r>
      <w:r w:rsidR="002B3969">
        <w:t xml:space="preserve"> </w:t>
      </w:r>
      <w:r w:rsidR="009A5BA5">
        <w:t>In its recent 900 MHz Report and Order,</w:t>
      </w:r>
      <w:r w:rsidR="00323EDF">
        <w:t xml:space="preserve"> </w:t>
      </w:r>
      <w:r w:rsidR="009A5BA5">
        <w:t xml:space="preserve">the </w:t>
      </w:r>
      <w:r w:rsidR="00323EDF">
        <w:t xml:space="preserve">Commission </w:t>
      </w:r>
      <w:r w:rsidR="009A5BA5">
        <w:t>indicated that it anticipated that</w:t>
      </w:r>
      <w:r w:rsidR="00323EDF">
        <w:t xml:space="preserve"> rural counties may be the first to transition to broadband</w:t>
      </w:r>
      <w:r w:rsidR="009A5BA5">
        <w:t>.</w:t>
      </w:r>
      <w:r>
        <w:rPr>
          <w:rStyle w:val="FootnoteReference"/>
        </w:rPr>
        <w:footnoteReference w:id="25"/>
      </w:r>
      <w:r w:rsidR="00F06521">
        <w:t xml:space="preserve"> </w:t>
      </w:r>
      <w:r w:rsidR="00D961F1">
        <w:t xml:space="preserve"> </w:t>
      </w:r>
      <w:r w:rsidR="00EA1C2F">
        <w:t>W</w:t>
      </w:r>
      <w:r w:rsidR="009A5BA5">
        <w:t xml:space="preserve">e reject the argument that a freeze waiver </w:t>
      </w:r>
      <w:r w:rsidR="001C61B4">
        <w:t xml:space="preserve">generally </w:t>
      </w:r>
      <w:r w:rsidR="009A5BA5">
        <w:t xml:space="preserve">is warranted </w:t>
      </w:r>
      <w:r w:rsidR="00271310">
        <w:t>where</w:t>
      </w:r>
      <w:r w:rsidR="00733520">
        <w:t xml:space="preserve"> the</w:t>
      </w:r>
      <w:r w:rsidR="009A5BA5">
        <w:t xml:space="preserve"> </w:t>
      </w:r>
      <w:r w:rsidR="0028787B">
        <w:t xml:space="preserve">applications </w:t>
      </w:r>
      <w:r w:rsidR="00221682">
        <w:t xml:space="preserve">seeking to expand </w:t>
      </w:r>
      <w:r w:rsidR="009A5BA5">
        <w:t>geographic</w:t>
      </w:r>
      <w:r w:rsidR="00221682">
        <w:t>ally</w:t>
      </w:r>
      <w:r w:rsidR="009A5BA5">
        <w:t xml:space="preserve"> </w:t>
      </w:r>
      <w:r w:rsidR="002B3969">
        <w:t>seek</w:t>
      </w:r>
      <w:r w:rsidR="00733520">
        <w:t>s</w:t>
      </w:r>
      <w:r w:rsidR="002B3969">
        <w:t xml:space="preserve"> new capacity</w:t>
      </w:r>
      <w:r w:rsidR="00EA1C2F">
        <w:t xml:space="preserve"> in rural areas,</w:t>
      </w:r>
      <w:r>
        <w:rPr>
          <w:rStyle w:val="FootnoteReference"/>
        </w:rPr>
        <w:footnoteReference w:id="26"/>
      </w:r>
      <w:r w:rsidR="00EA1C2F">
        <w:t xml:space="preserve"> </w:t>
      </w:r>
      <w:r w:rsidR="00C911A0">
        <w:t>particularly where the expansion is substantial and</w:t>
      </w:r>
      <w:r w:rsidR="00EA1C2F">
        <w:t xml:space="preserve"> will </w:t>
      </w:r>
      <w:r w:rsidR="009A5BA5">
        <w:t>result in further encumbrances</w:t>
      </w:r>
      <w:r w:rsidR="00733520">
        <w:t>, potentially delaying or preventing a transition to broadband</w:t>
      </w:r>
      <w:r w:rsidR="00EB4855">
        <w:t xml:space="preserve"> in those markets</w:t>
      </w:r>
      <w:r w:rsidR="0023048C">
        <w:t xml:space="preserve">.  </w:t>
      </w:r>
      <w:r w:rsidR="002B3969">
        <w:t xml:space="preserve">Further, although Long Island Power </w:t>
      </w:r>
      <w:r w:rsidR="00733520">
        <w:t xml:space="preserve">Authority </w:t>
      </w:r>
      <w:r w:rsidR="002B3969">
        <w:t xml:space="preserve">was granted relief as a utility, </w:t>
      </w:r>
      <w:r w:rsidR="00D961F1">
        <w:t>that relief</w:t>
      </w:r>
      <w:r w:rsidR="003E3821">
        <w:t xml:space="preserve"> </w:t>
      </w:r>
      <w:r w:rsidR="003D70F8">
        <w:t>primarily</w:t>
      </w:r>
      <w:r w:rsidR="00D961F1">
        <w:t xml:space="preserve"> </w:t>
      </w:r>
      <w:r w:rsidR="002B3969">
        <w:t>was</w:t>
      </w:r>
      <w:r w:rsidR="00733520">
        <w:t xml:space="preserve"> </w:t>
      </w:r>
      <w:r w:rsidR="00D961F1">
        <w:t xml:space="preserve">based on </w:t>
      </w:r>
      <w:r w:rsidR="00733520">
        <w:t>the limited scope of the geographic expansion</w:t>
      </w:r>
      <w:r w:rsidR="003E3821">
        <w:t xml:space="preserve">, </w:t>
      </w:r>
      <w:r w:rsidR="00D961F1">
        <w:t xml:space="preserve">which distinguishes that case from the circumstances of </w:t>
      </w:r>
      <w:r w:rsidR="003E3821">
        <w:t>LCRA</w:t>
      </w:r>
      <w:r w:rsidR="00733520">
        <w:t>’s</w:t>
      </w:r>
      <w:r w:rsidR="00CB7835">
        <w:t xml:space="preserve"> </w:t>
      </w:r>
      <w:r w:rsidR="00043CDA">
        <w:t xml:space="preserve">instant </w:t>
      </w:r>
      <w:r w:rsidR="00CB7835">
        <w:t>request</w:t>
      </w:r>
      <w:r w:rsidR="00EA1C2F">
        <w:t>.</w:t>
      </w:r>
      <w:r>
        <w:rPr>
          <w:rStyle w:val="FootnoteReference"/>
        </w:rPr>
        <w:footnoteReference w:id="27"/>
      </w:r>
    </w:p>
    <w:p w:rsidR="00F3683D" w:rsidP="009C3166" w14:paraId="053A7C90" w14:textId="0E4D53F0">
      <w:pPr>
        <w:pStyle w:val="ParaNum"/>
      </w:pPr>
      <w:r>
        <w:t xml:space="preserve">We </w:t>
      </w:r>
      <w:r w:rsidR="00C911A0">
        <w:t xml:space="preserve">also </w:t>
      </w:r>
      <w:r>
        <w:t xml:space="preserve">find that LCRA’s request is distinguishable from our grant of a 900 MHz waiver request in </w:t>
      </w:r>
      <w:r>
        <w:rPr>
          <w:i/>
          <w:iCs/>
        </w:rPr>
        <w:t>Flint Hills</w:t>
      </w:r>
      <w:r w:rsidR="000438B5">
        <w:rPr>
          <w:i/>
          <w:iCs/>
        </w:rPr>
        <w:t xml:space="preserve"> Resources</w:t>
      </w:r>
      <w:r>
        <w:t xml:space="preserve">, where we concluded </w:t>
      </w:r>
      <w:r w:rsidR="00083FF7">
        <w:t xml:space="preserve">that </w:t>
      </w:r>
      <w:r>
        <w:t>the</w:t>
      </w:r>
      <w:r w:rsidR="000438B5">
        <w:t xml:space="preserve"> replacement of </w:t>
      </w:r>
      <w:r w:rsidR="00C83F29">
        <w:t xml:space="preserve">the applicant’s </w:t>
      </w:r>
      <w:r w:rsidR="000438B5">
        <w:t>system at the same locations and</w:t>
      </w:r>
      <w:r>
        <w:t xml:space="preserve"> cancel</w:t>
      </w:r>
      <w:r w:rsidR="000438B5">
        <w:t>lation of its</w:t>
      </w:r>
      <w:r>
        <w:t xml:space="preserve"> existing 900 MHz licenses would </w:t>
      </w:r>
      <w:r w:rsidR="000438B5">
        <w:t xml:space="preserve">preserve the current landscape of </w:t>
      </w:r>
      <w:r w:rsidR="000438B5">
        <w:t>authorized 900 MHz operations.</w:t>
      </w:r>
      <w:r>
        <w:rPr>
          <w:rStyle w:val="FootnoteReference"/>
        </w:rPr>
        <w:footnoteReference w:id="28"/>
      </w:r>
      <w:r w:rsidR="000438B5">
        <w:t xml:space="preserve">  Unlike </w:t>
      </w:r>
      <w:r w:rsidR="000438B5">
        <w:rPr>
          <w:i/>
          <w:iCs/>
        </w:rPr>
        <w:t>Flint Hills Resources</w:t>
      </w:r>
      <w:r w:rsidR="000438B5">
        <w:t xml:space="preserve">, LCRA requests </w:t>
      </w:r>
      <w:r w:rsidR="00CF524D">
        <w:t xml:space="preserve">authority </w:t>
      </w:r>
      <w:r w:rsidR="000438B5">
        <w:t xml:space="preserve">to </w:t>
      </w:r>
      <w:r w:rsidR="00DF528F">
        <w:t xml:space="preserve">expand its </w:t>
      </w:r>
      <w:r w:rsidR="000438B5">
        <w:t>operat</w:t>
      </w:r>
      <w:r w:rsidR="00DF528F">
        <w:t>ions</w:t>
      </w:r>
      <w:r w:rsidR="000438B5">
        <w:t xml:space="preserve"> </w:t>
      </w:r>
      <w:r w:rsidR="00DF528F">
        <w:t xml:space="preserve">to </w:t>
      </w:r>
      <w:r w:rsidR="000438B5">
        <w:t xml:space="preserve">new locations </w:t>
      </w:r>
      <w:r w:rsidR="00CA181B">
        <w:t>rather than replac</w:t>
      </w:r>
      <w:r w:rsidR="00DF528F">
        <w:t>e</w:t>
      </w:r>
      <w:r w:rsidR="00CA181B">
        <w:t xml:space="preserve"> </w:t>
      </w:r>
      <w:r w:rsidR="00DF528F">
        <w:t xml:space="preserve">frequencies in its </w:t>
      </w:r>
      <w:r w:rsidR="00CA181B">
        <w:t>network at existing locations</w:t>
      </w:r>
      <w:r w:rsidR="000438B5">
        <w:t xml:space="preserve">.  Although LCRA </w:t>
      </w:r>
      <w:r w:rsidR="007A2CC4">
        <w:t>emphasizes</w:t>
      </w:r>
      <w:r w:rsidR="00CF524D">
        <w:t xml:space="preserve"> that it </w:t>
      </w:r>
      <w:r w:rsidR="00B559CA">
        <w:t>currently</w:t>
      </w:r>
      <w:r w:rsidR="00CF524D">
        <w:t xml:space="preserve"> </w:t>
      </w:r>
      <w:r w:rsidR="00BD50F0">
        <w:t xml:space="preserve">is </w:t>
      </w:r>
      <w:r w:rsidR="00CF524D">
        <w:t>licensed</w:t>
      </w:r>
      <w:r w:rsidR="000438B5">
        <w:t xml:space="preserve"> to operate on </w:t>
      </w:r>
      <w:r w:rsidR="00CF524D">
        <w:t>each requested frequency</w:t>
      </w:r>
      <w:r w:rsidR="000438B5">
        <w:t xml:space="preserve"> </w:t>
      </w:r>
      <w:r w:rsidR="00BB4B22">
        <w:t xml:space="preserve">at some location </w:t>
      </w:r>
      <w:r w:rsidR="00CF524D">
        <w:t>within</w:t>
      </w:r>
      <w:r w:rsidR="000438B5">
        <w:t xml:space="preserve"> </w:t>
      </w:r>
      <w:r w:rsidR="00D5565E">
        <w:t>its</w:t>
      </w:r>
      <w:r w:rsidR="000438B5">
        <w:t xml:space="preserve"> existing 900 MHz system, the </w:t>
      </w:r>
      <w:r w:rsidR="00083FF7">
        <w:t xml:space="preserve">new </w:t>
      </w:r>
      <w:r w:rsidR="00BB4B22">
        <w:t xml:space="preserve">locations </w:t>
      </w:r>
      <w:r w:rsidR="00083FF7">
        <w:t xml:space="preserve">that it </w:t>
      </w:r>
      <w:r w:rsidR="00BB4B22">
        <w:t>request</w:t>
      </w:r>
      <w:r w:rsidR="00083FF7">
        <w:t>s</w:t>
      </w:r>
      <w:r w:rsidR="00BB4B22">
        <w:t xml:space="preserve"> </w:t>
      </w:r>
      <w:r w:rsidR="000438B5">
        <w:t xml:space="preserve">are </w:t>
      </w:r>
      <w:r w:rsidR="00BB4B22">
        <w:t xml:space="preserve">so </w:t>
      </w:r>
      <w:r w:rsidR="000438B5">
        <w:t>distant from LCRA’s existing sites that</w:t>
      </w:r>
      <w:r w:rsidR="00D62930">
        <w:t xml:space="preserve">, </w:t>
      </w:r>
      <w:r w:rsidR="0079610A">
        <w:t xml:space="preserve">under the Commission’s </w:t>
      </w:r>
      <w:r w:rsidR="009A5489">
        <w:t>c</w:t>
      </w:r>
      <w:r w:rsidR="0079610A">
        <w:t xml:space="preserve">o-channel base station separation </w:t>
      </w:r>
      <w:r w:rsidR="00013773">
        <w:t>rules</w:t>
      </w:r>
      <w:r>
        <w:rPr>
          <w:rStyle w:val="FootnoteReference"/>
        </w:rPr>
        <w:footnoteReference w:id="29"/>
      </w:r>
      <w:r w:rsidR="00013773">
        <w:t xml:space="preserve"> </w:t>
      </w:r>
      <w:r w:rsidR="009C7467">
        <w:t>and</w:t>
      </w:r>
      <w:r w:rsidR="0079610A">
        <w:t xml:space="preserve"> </w:t>
      </w:r>
      <w:r w:rsidR="00D62930">
        <w:t>absent the freeze,</w:t>
      </w:r>
      <w:r w:rsidR="000438B5">
        <w:t xml:space="preserve"> any </w:t>
      </w:r>
      <w:r w:rsidR="00CF524D">
        <w:t xml:space="preserve">eligible </w:t>
      </w:r>
      <w:r w:rsidR="000438B5">
        <w:t xml:space="preserve">entity could have filed </w:t>
      </w:r>
      <w:r w:rsidR="00CA181B">
        <w:t xml:space="preserve">an application </w:t>
      </w:r>
      <w:r w:rsidR="000438B5">
        <w:t xml:space="preserve">to operate on the </w:t>
      </w:r>
      <w:r w:rsidR="00AB5870">
        <w:t xml:space="preserve">same </w:t>
      </w:r>
      <w:r w:rsidR="00CF524D">
        <w:t>frequencies</w:t>
      </w:r>
      <w:r w:rsidR="00CA181B">
        <w:t>.</w:t>
      </w:r>
      <w:r w:rsidR="00F60524">
        <w:t xml:space="preserve">  Further, as the freeze applies to the entire 900 MHz band</w:t>
      </w:r>
      <w:r w:rsidR="009C3166">
        <w:t>—</w:t>
      </w:r>
      <w:r w:rsidR="00F60524">
        <w:t>including narrowband channels suitable for relocation of incumbents in any transition to broadband</w:t>
      </w:r>
      <w:r w:rsidR="009C3166">
        <w:t>—</w:t>
      </w:r>
      <w:r w:rsidR="00F60524">
        <w:t xml:space="preserve">LCRA’s request to operate on frequencies outside of the broadband segment </w:t>
      </w:r>
      <w:r w:rsidR="006C7717">
        <w:t xml:space="preserve">is </w:t>
      </w:r>
      <w:r w:rsidR="00F60524">
        <w:t xml:space="preserve">not </w:t>
      </w:r>
      <w:r w:rsidR="006C7717">
        <w:t>sufficient</w:t>
      </w:r>
      <w:r w:rsidR="006C7717">
        <w:t xml:space="preserve"> to </w:t>
      </w:r>
      <w:r w:rsidR="00F60524">
        <w:t xml:space="preserve">support a waiver grant.   </w:t>
      </w:r>
    </w:p>
    <w:p w:rsidR="000438B5" w:rsidP="00A222E1" w14:paraId="3991A5E8" w14:textId="6FA84974">
      <w:pPr>
        <w:pStyle w:val="ParaNum"/>
      </w:pPr>
      <w:r>
        <w:t xml:space="preserve">We </w:t>
      </w:r>
      <w:r w:rsidR="00F12F25">
        <w:t xml:space="preserve">also </w:t>
      </w:r>
      <w:r>
        <w:t xml:space="preserve">are not persuaded by </w:t>
      </w:r>
      <w:r w:rsidR="00D5565E">
        <w:t>LCRA</w:t>
      </w:r>
      <w:r>
        <w:t>’s argument</w:t>
      </w:r>
      <w:r w:rsidR="00BB4B22">
        <w:t>s</w:t>
      </w:r>
      <w:r>
        <w:t xml:space="preserve"> that </w:t>
      </w:r>
      <w:r w:rsidR="00B559CA">
        <w:t xml:space="preserve">a waiver of the freeze is warranted </w:t>
      </w:r>
      <w:r w:rsidR="00D15ABB">
        <w:t xml:space="preserve">because </w:t>
      </w:r>
      <w:r w:rsidR="002B54D4">
        <w:t xml:space="preserve">LCRA </w:t>
      </w:r>
      <w:r w:rsidR="00D15ABB">
        <w:t xml:space="preserve">was unaware of </w:t>
      </w:r>
      <w:r w:rsidR="009C3166">
        <w:t xml:space="preserve">the </w:t>
      </w:r>
      <w:r w:rsidR="00D15ABB">
        <w:t>expansion plans at the time the freeze was imposed</w:t>
      </w:r>
      <w:r w:rsidR="00BB4B22">
        <w:t xml:space="preserve">, or that </w:t>
      </w:r>
      <w:r w:rsidR="00D15ABB">
        <w:t>expansion of transmission services and the resulting need for additional 900 MHz facilities is beyond its control</w:t>
      </w:r>
      <w:r w:rsidR="00D5565E">
        <w:t>.</w:t>
      </w:r>
      <w:r>
        <w:rPr>
          <w:rStyle w:val="FootnoteReference"/>
        </w:rPr>
        <w:footnoteReference w:id="30"/>
      </w:r>
      <w:r w:rsidR="00D5565E">
        <w:t xml:space="preserve">   </w:t>
      </w:r>
      <w:r w:rsidR="00F701A2">
        <w:t>The timing of expansion of transmission services is a business decision and, u</w:t>
      </w:r>
      <w:r w:rsidR="001F4356">
        <w:t>nder the facts presented, we find that t</w:t>
      </w:r>
      <w:r w:rsidR="00D5565E">
        <w:t>he underlying purpose of the freeze would be frustrated</w:t>
      </w:r>
      <w:r w:rsidR="001E4193">
        <w:t xml:space="preserve"> </w:t>
      </w:r>
      <w:r w:rsidR="00D5565E">
        <w:t xml:space="preserve">if we were to allow LCRA to </w:t>
      </w:r>
      <w:r w:rsidR="001F4356">
        <w:t xml:space="preserve">significantly </w:t>
      </w:r>
      <w:r w:rsidR="00D5565E">
        <w:t xml:space="preserve">expand </w:t>
      </w:r>
      <w:r w:rsidR="00CA181B">
        <w:t xml:space="preserve">its network </w:t>
      </w:r>
      <w:r w:rsidR="00D5565E">
        <w:t>geographically</w:t>
      </w:r>
      <w:r w:rsidR="00F766DB">
        <w:t xml:space="preserve">, particularly given the </w:t>
      </w:r>
      <w:r w:rsidR="00DB4C9D">
        <w:t>Commission’s recent action to facilitate a transition of the 900 MHz band to broadband</w:t>
      </w:r>
      <w:r w:rsidR="00D5565E">
        <w:t xml:space="preserve">. </w:t>
      </w:r>
    </w:p>
    <w:p w:rsidR="00ED3BDA" w:rsidP="00A222E1" w14:paraId="193A787E" w14:textId="5F12924A">
      <w:pPr>
        <w:pStyle w:val="ParaNum"/>
      </w:pPr>
      <w:r>
        <w:t>Accordingly, IT IS ORDERED, pursuant to section 4(</w:t>
      </w:r>
      <w:r>
        <w:t>i</w:t>
      </w:r>
      <w:r>
        <w:t>) of the Communications Act of 1934, as amended, 47 U.S.C. § 154(</w:t>
      </w:r>
      <w:r w:rsidR="00C2407B">
        <w:t>i</w:t>
      </w:r>
      <w:r>
        <w:t xml:space="preserve">), and section 1.925 of the Commission’s rules, 47 CFR § 1.925, that the Waiver Request filed on February 22, 2019, in association with application </w:t>
      </w:r>
      <w:r w:rsidRPr="000C440C">
        <w:t>FCC File No. 0008537944</w:t>
      </w:r>
      <w:r w:rsidR="00F12F25">
        <w:t>,</w:t>
      </w:r>
      <w:r w:rsidRPr="000C440C">
        <w:t xml:space="preserve"> </w:t>
      </w:r>
      <w:r>
        <w:t xml:space="preserve">and Supplement filed on December 11, 2019, </w:t>
      </w:r>
      <w:r w:rsidR="00C2407B">
        <w:t>in association with applications FCC File No. 0008537944</w:t>
      </w:r>
      <w:r w:rsidRPr="00C2407B" w:rsidR="00C2407B">
        <w:t xml:space="preserve"> </w:t>
      </w:r>
      <w:r w:rsidR="00C2407B">
        <w:t xml:space="preserve">and </w:t>
      </w:r>
      <w:r w:rsidRPr="00C2407B" w:rsidR="00C2407B">
        <w:t>FCC File No. 0008910862</w:t>
      </w:r>
      <w:r w:rsidR="00F12F25">
        <w:t>,</w:t>
      </w:r>
      <w:r w:rsidR="00C2407B">
        <w:t xml:space="preserve"> </w:t>
      </w:r>
      <w:r>
        <w:t>IS DENIED</w:t>
      </w:r>
      <w:r w:rsidR="00C2407B">
        <w:t>, and applications FCC File No. 0008537944</w:t>
      </w:r>
      <w:r w:rsidRPr="00C2407B" w:rsidR="00C2407B">
        <w:t xml:space="preserve"> </w:t>
      </w:r>
      <w:r w:rsidR="00C2407B">
        <w:t xml:space="preserve">and </w:t>
      </w:r>
      <w:r w:rsidRPr="00C2407B" w:rsidR="00C2407B">
        <w:t>FCC File No. 0008910862</w:t>
      </w:r>
      <w:r w:rsidR="00C2407B">
        <w:t xml:space="preserve"> </w:t>
      </w:r>
      <w:r w:rsidR="005B1A88">
        <w:t>ARE</w:t>
      </w:r>
      <w:r w:rsidR="00C2407B">
        <w:t xml:space="preserve"> DISMISSED.</w:t>
      </w:r>
    </w:p>
    <w:p w:rsidR="00C2407B" w:rsidP="00A222E1" w14:paraId="3F9A65B1" w14:textId="4314D160">
      <w:pPr>
        <w:pStyle w:val="ParaNum"/>
      </w:pPr>
      <w:r>
        <w:t>This action is taken under delegated authority pursuant to sections 0.131 and 0.331 of the Commission’s rules, 47 CFR §§ 0.131, 0.331.</w:t>
      </w:r>
    </w:p>
    <w:p w:rsidR="00373D22" w:rsidP="008C3EEC" w14:paraId="4DED2CA0" w14:textId="77777777">
      <w:pPr>
        <w:pStyle w:val="ParaNum"/>
        <w:numPr>
          <w:ilvl w:val="0"/>
          <w:numId w:val="0"/>
        </w:numPr>
        <w:spacing w:after="0"/>
        <w:ind w:left="4320"/>
      </w:pPr>
    </w:p>
    <w:p w:rsidR="00ED3BDA" w:rsidP="008C3EEC" w14:paraId="00A529F6" w14:textId="1A266493">
      <w:pPr>
        <w:pStyle w:val="ParaNum"/>
        <w:numPr>
          <w:ilvl w:val="0"/>
          <w:numId w:val="0"/>
        </w:numPr>
        <w:spacing w:after="0"/>
        <w:ind w:left="4320"/>
      </w:pPr>
      <w:r>
        <w:t>FEDERAL COMMUNICATIONS COMMISSION</w:t>
      </w:r>
    </w:p>
    <w:p w:rsidR="00ED3BDA" w:rsidP="008C3EEC" w14:paraId="554D6CC8" w14:textId="165314F1">
      <w:pPr>
        <w:pStyle w:val="ParaNum"/>
        <w:numPr>
          <w:ilvl w:val="0"/>
          <w:numId w:val="0"/>
        </w:numPr>
        <w:spacing w:after="0"/>
        <w:ind w:left="4320"/>
      </w:pPr>
    </w:p>
    <w:p w:rsidR="00ED3BDA" w:rsidP="008C3EEC" w14:paraId="0C5724B1" w14:textId="06274431">
      <w:pPr>
        <w:pStyle w:val="ParaNum"/>
        <w:numPr>
          <w:ilvl w:val="0"/>
          <w:numId w:val="0"/>
        </w:numPr>
        <w:spacing w:after="0"/>
        <w:ind w:left="4320"/>
      </w:pPr>
    </w:p>
    <w:p w:rsidR="00ED3BDA" w:rsidP="008C3EEC" w14:paraId="2B6FAD85" w14:textId="5A8343FB">
      <w:pPr>
        <w:pStyle w:val="ParaNum"/>
        <w:numPr>
          <w:ilvl w:val="0"/>
          <w:numId w:val="0"/>
        </w:numPr>
        <w:spacing w:after="0"/>
        <w:ind w:left="4320"/>
      </w:pPr>
    </w:p>
    <w:p w:rsidR="00ED3BDA" w:rsidP="008C3EEC" w14:paraId="72921E88" w14:textId="3FEADC61">
      <w:pPr>
        <w:pStyle w:val="ParaNum"/>
        <w:numPr>
          <w:ilvl w:val="0"/>
          <w:numId w:val="0"/>
        </w:numPr>
        <w:spacing w:after="0"/>
        <w:ind w:left="4320"/>
      </w:pPr>
      <w:r>
        <w:t>Roger S. Noel</w:t>
      </w:r>
    </w:p>
    <w:p w:rsidR="008C3EEC" w:rsidP="008C3EEC" w14:paraId="683F50A3" w14:textId="0B1EDA47">
      <w:pPr>
        <w:pStyle w:val="ParaNum"/>
        <w:numPr>
          <w:ilvl w:val="0"/>
          <w:numId w:val="0"/>
        </w:numPr>
        <w:spacing w:after="0"/>
        <w:ind w:left="4320"/>
      </w:pPr>
      <w:r>
        <w:t>Chief, Mobility Division</w:t>
      </w:r>
    </w:p>
    <w:p w:rsidR="002C2DCB" w:rsidP="002C2DCB" w14:paraId="6CD1FF71" w14:textId="6444B9AB">
      <w:pPr>
        <w:widowControl/>
        <w:autoSpaceDE w:val="0"/>
        <w:autoSpaceDN w:val="0"/>
        <w:adjustRightInd w:val="0"/>
        <w:ind w:left="3600" w:firstLine="720"/>
        <w:rPr>
          <w:snapToGrid/>
          <w:kern w:val="0"/>
          <w:sz w:val="24"/>
          <w:szCs w:val="24"/>
        </w:rPr>
      </w:pPr>
      <w:r>
        <w:t>Wireless Telecommunications Bureau</w:t>
      </w:r>
      <w:r>
        <w:t xml:space="preserve"> </w:t>
      </w:r>
    </w:p>
    <w:p w:rsidR="008C3EEC" w:rsidRPr="00EB61CF" w:rsidP="002C2DCB" w14:paraId="0E7E3288" w14:textId="5E4B3E20">
      <w:pPr>
        <w:pStyle w:val="ParaNum"/>
        <w:numPr>
          <w:ilvl w:val="0"/>
          <w:numId w:val="0"/>
        </w:numPr>
        <w:spacing w:after="0"/>
        <w:ind w:left="43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152A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1560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6070B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7617DF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448C05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6EE9" w14:paraId="31F2A7C6" w14:textId="77777777">
      <w:r>
        <w:separator/>
      </w:r>
    </w:p>
  </w:footnote>
  <w:footnote w:type="continuationSeparator" w:id="1">
    <w:p w:rsidR="002A6EE9" w:rsidP="00C721AC" w14:paraId="3E33925C" w14:textId="77777777">
      <w:pPr>
        <w:spacing w:before="120"/>
        <w:rPr>
          <w:sz w:val="20"/>
        </w:rPr>
      </w:pPr>
      <w:r>
        <w:rPr>
          <w:sz w:val="20"/>
        </w:rPr>
        <w:t xml:space="preserve">(Continued from previous page)  </w:t>
      </w:r>
      <w:r>
        <w:rPr>
          <w:sz w:val="20"/>
        </w:rPr>
        <w:separator/>
      </w:r>
    </w:p>
  </w:footnote>
  <w:footnote w:type="continuationNotice" w:id="2">
    <w:p w:rsidR="002A6EE9" w:rsidP="00C721AC" w14:paraId="408B2603" w14:textId="77777777">
      <w:pPr>
        <w:jc w:val="right"/>
        <w:rPr>
          <w:sz w:val="20"/>
        </w:rPr>
      </w:pPr>
      <w:r>
        <w:rPr>
          <w:sz w:val="20"/>
        </w:rPr>
        <w:t>(continued….)</w:t>
      </w:r>
    </w:p>
  </w:footnote>
  <w:footnote w:id="3">
    <w:p w:rsidR="002B4BE4" w:rsidRPr="002B4BE4" w14:paraId="002E9831" w14:textId="088AEC67">
      <w:pPr>
        <w:pStyle w:val="FootnoteText"/>
      </w:pPr>
      <w:r>
        <w:rPr>
          <w:rStyle w:val="FootnoteReference"/>
        </w:rPr>
        <w:footnoteRef/>
      </w:r>
      <w:r>
        <w:t xml:space="preserve"> </w:t>
      </w:r>
      <w:r>
        <w:rPr>
          <w:i/>
          <w:iCs/>
        </w:rPr>
        <w:t xml:space="preserve">See </w:t>
      </w:r>
      <w:r w:rsidR="00ED3BDA">
        <w:t xml:space="preserve">Request for Waiver of the 900 MHz Application Freeze, </w:t>
      </w:r>
      <w:bookmarkStart w:id="1" w:name="_Hlk41572615"/>
      <w:r>
        <w:t xml:space="preserve">FCC File No. 0008537944 </w:t>
      </w:r>
      <w:bookmarkEnd w:id="1"/>
      <w:r>
        <w:t>(filed Feb. 22, 2019</w:t>
      </w:r>
      <w:r w:rsidR="00ED3BDA">
        <w:t xml:space="preserve">, with a supplement filed Dec. 11, 2019), </w:t>
      </w:r>
      <w:hyperlink r:id="rId1" w:history="1">
        <w:r w:rsidRPr="005970C0" w:rsidR="00ED3BDA">
          <w:rPr>
            <w:rStyle w:val="Hyperlink"/>
          </w:rPr>
          <w:t>https://wireless2.fcc.gov/UlsApp/ApplicationSearch/applMain.jsp?applID=11867014</w:t>
        </w:r>
      </w:hyperlink>
      <w:r w:rsidR="00136314">
        <w:t xml:space="preserve"> (Waiver Request),</w:t>
      </w:r>
      <w:r w:rsidR="007B7F0E">
        <w:t xml:space="preserve"> </w:t>
      </w:r>
      <w:r>
        <w:t xml:space="preserve">and </w:t>
      </w:r>
      <w:r w:rsidR="007B7F0E">
        <w:t xml:space="preserve">FCC File No. 0008910862 (filed Dec. 11, 2019), </w:t>
      </w:r>
      <w:hyperlink r:id="rId2" w:history="1">
        <w:r w:rsidR="00ED3BDA">
          <w:rPr>
            <w:rStyle w:val="Hyperlink"/>
          </w:rPr>
          <w:t>https://wireless2.fcc.gov/UlsApp/ApplicationSearch/applMain.jsp?applID=11866829</w:t>
        </w:r>
      </w:hyperlink>
      <w:r w:rsidR="00136314">
        <w:t xml:space="preserve"> (Supplement).</w:t>
      </w:r>
    </w:p>
  </w:footnote>
  <w:footnote w:id="4">
    <w:p w:rsidR="007B7F0E" w:rsidRPr="007B7F0E" w14:paraId="0C112CFD" w14:textId="628AFCCB">
      <w:pPr>
        <w:pStyle w:val="FootnoteText"/>
      </w:pPr>
      <w:r>
        <w:rPr>
          <w:rStyle w:val="FootnoteReference"/>
        </w:rPr>
        <w:footnoteRef/>
      </w:r>
      <w:r>
        <w:t xml:space="preserve"> </w:t>
      </w:r>
      <w:r>
        <w:rPr>
          <w:i/>
          <w:iCs/>
        </w:rPr>
        <w:t>See Wireless Telecommunications Bureau Announces Temporary Filing Freeze on the Acceptance of Certain Part 90 Applications for 896-901/935-940 MHz (900 MHz Band) Spectrum</w:t>
      </w:r>
      <w:r>
        <w:t xml:space="preserve">, WT Docket No. 17-200, Public Notice, 33 FCC </w:t>
      </w:r>
      <w:r>
        <w:t>Rcd</w:t>
      </w:r>
      <w:r>
        <w:t xml:space="preserve"> 8735 (</w:t>
      </w:r>
      <w:r w:rsidR="003C287A">
        <w:t xml:space="preserve">WTB </w:t>
      </w:r>
      <w:r>
        <w:t>2018) (</w:t>
      </w:r>
      <w:r>
        <w:rPr>
          <w:i/>
          <w:iCs/>
        </w:rPr>
        <w:t>900 MHz Freeze</w:t>
      </w:r>
      <w:r w:rsidR="003C287A">
        <w:rPr>
          <w:i/>
          <w:iCs/>
        </w:rPr>
        <w:t xml:space="preserve"> Public Notice</w:t>
      </w:r>
      <w:r>
        <w:t>).</w:t>
      </w:r>
    </w:p>
  </w:footnote>
  <w:footnote w:id="5">
    <w:p w:rsidR="00727775" w14:paraId="71106F42" w14:textId="2CD3C333">
      <w:pPr>
        <w:pStyle w:val="FootnoteText"/>
      </w:pPr>
      <w:r>
        <w:rPr>
          <w:rStyle w:val="FootnoteReference"/>
        </w:rPr>
        <w:footnoteRef/>
      </w:r>
      <w:r>
        <w:t xml:space="preserve"> Waiver Request at 2.</w:t>
      </w:r>
    </w:p>
  </w:footnote>
  <w:footnote w:id="6">
    <w:p w:rsidR="002C2DCB" w14:paraId="41C59FDF" w14:textId="5BD59930">
      <w:pPr>
        <w:pStyle w:val="FootnoteText"/>
      </w:pPr>
      <w:r>
        <w:rPr>
          <w:rStyle w:val="FootnoteReference"/>
        </w:rPr>
        <w:footnoteRef/>
      </w:r>
      <w:r>
        <w:t xml:space="preserve"> </w:t>
      </w:r>
      <w:r w:rsidR="00EB77CC">
        <w:rPr>
          <w:i/>
          <w:iCs/>
        </w:rPr>
        <w:t>Id</w:t>
      </w:r>
      <w:r w:rsidR="00EB77CC">
        <w:t>.</w:t>
      </w:r>
    </w:p>
  </w:footnote>
  <w:footnote w:id="7">
    <w:p w:rsidR="00727775" w:rsidRPr="00727775" w14:paraId="5EC28159" w14:textId="594CD58C">
      <w:pPr>
        <w:pStyle w:val="FootnoteText"/>
      </w:pPr>
      <w:r>
        <w:rPr>
          <w:rStyle w:val="FootnoteReference"/>
        </w:rPr>
        <w:footnoteRef/>
      </w:r>
      <w:r>
        <w:t xml:space="preserve"> </w:t>
      </w:r>
      <w:r>
        <w:rPr>
          <w:i/>
          <w:iCs/>
        </w:rPr>
        <w:t>Id</w:t>
      </w:r>
      <w:r>
        <w:t>.</w:t>
      </w:r>
    </w:p>
  </w:footnote>
  <w:footnote w:id="8">
    <w:p w:rsidR="003C287A" w:rsidRPr="003C287A" w:rsidP="008C73A6" w14:paraId="3641EEE2" w14:textId="03935E9E">
      <w:pPr>
        <w:pStyle w:val="FootnoteText"/>
      </w:pPr>
      <w:r>
        <w:rPr>
          <w:rStyle w:val="FootnoteReference"/>
        </w:rPr>
        <w:footnoteRef/>
      </w:r>
      <w:r>
        <w:t xml:space="preserve"> </w:t>
      </w:r>
      <w:r>
        <w:rPr>
          <w:i/>
          <w:iCs/>
        </w:rPr>
        <w:t>900 MHz Freeze Public Notice</w:t>
      </w:r>
      <w:r>
        <w:t xml:space="preserve">.  In October 2019, the Wireless Telecommunications Bureau modified the freeze to provide greater flexibility for 900 MHz band incumbents to relocate out of the broadband segment.  Specifically, the modification permits incumbents to exchange frequencies in a manner that does not increase that incumbent’s net number of licensed frequencies and is consistent with the Commission’s band realignment.  </w:t>
      </w:r>
      <w:r>
        <w:rPr>
          <w:i/>
          <w:iCs/>
        </w:rPr>
        <w:t xml:space="preserve">Review of the Commission’s Rules Governing the 896-901/935-940 MHz Band; </w:t>
      </w:r>
      <w:r>
        <w:rPr>
          <w:i/>
          <w:iCs/>
        </w:rPr>
        <w:t>pdv</w:t>
      </w:r>
      <w:r>
        <w:rPr>
          <w:i/>
          <w:iCs/>
        </w:rPr>
        <w:t xml:space="preserve"> Wireless, Inc. d/b/a </w:t>
      </w:r>
      <w:r>
        <w:rPr>
          <w:i/>
          <w:iCs/>
        </w:rPr>
        <w:t>Anterix</w:t>
      </w:r>
      <w:r>
        <w:rPr>
          <w:i/>
          <w:iCs/>
        </w:rPr>
        <w:t>, Request for Modification of 900 MHz Temporary Filing Freeze</w:t>
      </w:r>
      <w:r>
        <w:t xml:space="preserve">, WT Docket No. 17-200, Order, 34 FCC </w:t>
      </w:r>
      <w:r>
        <w:t>Rcd</w:t>
      </w:r>
      <w:r>
        <w:t xml:space="preserve"> 9369 (WTB 2019) (</w:t>
      </w:r>
      <w:r>
        <w:rPr>
          <w:i/>
          <w:iCs/>
        </w:rPr>
        <w:t>900 MHz Freeze Modification</w:t>
      </w:r>
      <w:r>
        <w:t>).</w:t>
      </w:r>
    </w:p>
  </w:footnote>
  <w:footnote w:id="9">
    <w:p w:rsidR="003C287A" w:rsidRPr="003C287A" w14:paraId="687A8ED6" w14:textId="69867644">
      <w:pPr>
        <w:pStyle w:val="FootnoteText"/>
      </w:pPr>
      <w:r>
        <w:rPr>
          <w:rStyle w:val="FootnoteReference"/>
        </w:rPr>
        <w:footnoteRef/>
      </w:r>
      <w:r>
        <w:t xml:space="preserve"> </w:t>
      </w:r>
      <w:r>
        <w:rPr>
          <w:i/>
          <w:iCs/>
        </w:rPr>
        <w:t>900 MHz Freeze Public Notice</w:t>
      </w:r>
      <w:r>
        <w:t xml:space="preserve">, 33 FCC </w:t>
      </w:r>
      <w:r>
        <w:t>Rcd</w:t>
      </w:r>
      <w:r>
        <w:t xml:space="preserve"> at 8736, n. 4.</w:t>
      </w:r>
    </w:p>
  </w:footnote>
  <w:footnote w:id="10">
    <w:p w:rsidR="003C287A" w:rsidRPr="003C287A" w14:paraId="660351BF" w14:textId="4FAB7E5F">
      <w:pPr>
        <w:pStyle w:val="FootnoteText"/>
      </w:pPr>
      <w:r>
        <w:rPr>
          <w:rStyle w:val="FootnoteReference"/>
        </w:rPr>
        <w:footnoteRef/>
      </w:r>
      <w:r>
        <w:t xml:space="preserve"> </w:t>
      </w:r>
      <w:r>
        <w:rPr>
          <w:i/>
          <w:iCs/>
        </w:rPr>
        <w:t>Review of the Commission’s Rules Governing the 896-901/935-940 MHz Band</w:t>
      </w:r>
      <w:r>
        <w:t xml:space="preserve">, </w:t>
      </w:r>
      <w:r w:rsidR="00CE0798">
        <w:t xml:space="preserve">WT Docket No. 17-200, </w:t>
      </w:r>
      <w:r>
        <w:t xml:space="preserve">Notice of Proposed Rulemaking, 34 FCC </w:t>
      </w:r>
      <w:r>
        <w:t>Rcd</w:t>
      </w:r>
      <w:r>
        <w:t xml:space="preserve"> 1550, 1555, para. 15 (2019) (</w:t>
      </w:r>
      <w:r>
        <w:rPr>
          <w:i/>
          <w:iCs/>
        </w:rPr>
        <w:t>900 MHz NPRM</w:t>
      </w:r>
      <w:r>
        <w:t>).</w:t>
      </w:r>
    </w:p>
  </w:footnote>
  <w:footnote w:id="11">
    <w:p w:rsidR="00CE0798" w:rsidRPr="00C70028" w14:paraId="2A59962D" w14:textId="5FFF6002">
      <w:pPr>
        <w:pStyle w:val="FootnoteText"/>
      </w:pPr>
      <w:r>
        <w:rPr>
          <w:rStyle w:val="FootnoteReference"/>
        </w:rPr>
        <w:footnoteRef/>
      </w:r>
      <w:r>
        <w:t xml:space="preserve"> </w:t>
      </w:r>
      <w:r>
        <w:rPr>
          <w:i/>
          <w:iCs/>
        </w:rPr>
        <w:t>Review of the Commission’s Rules Governing the 896-901/935-940 MHz Band</w:t>
      </w:r>
      <w:r>
        <w:t xml:space="preserve">, WT Docket No. 17-200, Report and Order, Order of Proposed Modification, and Orders, FCC 20-67, pages </w:t>
      </w:r>
      <w:r w:rsidR="00C70028">
        <w:t>12</w:t>
      </w:r>
      <w:r>
        <w:t>-</w:t>
      </w:r>
      <w:r w:rsidR="00C70028">
        <w:t>41</w:t>
      </w:r>
      <w:r>
        <w:t>, paras. 27-95 (2020) (</w:t>
      </w:r>
      <w:r>
        <w:rPr>
          <w:i/>
          <w:iCs/>
        </w:rPr>
        <w:t>900 MHz R&amp;O</w:t>
      </w:r>
      <w:r w:rsidR="00C70028">
        <w:rPr>
          <w:i/>
          <w:iCs/>
        </w:rPr>
        <w:t xml:space="preserve"> and Orders</w:t>
      </w:r>
      <w:r w:rsidR="00C70028">
        <w:t>).</w:t>
      </w:r>
    </w:p>
  </w:footnote>
  <w:footnote w:id="12">
    <w:p w:rsidR="00C70028" w:rsidRPr="00C70028" w14:paraId="4DAC6815" w14:textId="684EA606">
      <w:pPr>
        <w:pStyle w:val="FootnoteText"/>
      </w:pPr>
      <w:r>
        <w:rPr>
          <w:rStyle w:val="FootnoteReference"/>
        </w:rPr>
        <w:footnoteRef/>
      </w:r>
      <w:r>
        <w:t xml:space="preserve"> </w:t>
      </w:r>
      <w:r>
        <w:rPr>
          <w:i/>
          <w:iCs/>
        </w:rPr>
        <w:t>Id</w:t>
      </w:r>
      <w:r>
        <w:t>. at 69, paras. 175-76.</w:t>
      </w:r>
    </w:p>
  </w:footnote>
  <w:footnote w:id="13">
    <w:p w:rsidR="00EA6256" w:rsidRPr="00EA6256" w14:paraId="6D63F8EB" w14:textId="31D2E1FC">
      <w:pPr>
        <w:pStyle w:val="FootnoteText"/>
      </w:pPr>
      <w:r>
        <w:rPr>
          <w:rStyle w:val="FootnoteReference"/>
        </w:rPr>
        <w:footnoteRef/>
      </w:r>
      <w:r>
        <w:t xml:space="preserve"> </w:t>
      </w:r>
      <w:r>
        <w:rPr>
          <w:i/>
          <w:iCs/>
        </w:rPr>
        <w:t xml:space="preserve">See </w:t>
      </w:r>
      <w:r w:rsidR="00276B4F">
        <w:t xml:space="preserve">Waiver Request; </w:t>
      </w:r>
      <w:r>
        <w:t>Supplement.</w:t>
      </w:r>
    </w:p>
  </w:footnote>
  <w:footnote w:id="14">
    <w:p w:rsidR="00EA6256" w:rsidRPr="00EA6256" w14:paraId="10B29BE9" w14:textId="0AF7B569">
      <w:pPr>
        <w:pStyle w:val="FootnoteText"/>
      </w:pPr>
      <w:r>
        <w:rPr>
          <w:rStyle w:val="FootnoteReference"/>
        </w:rPr>
        <w:footnoteRef/>
      </w:r>
      <w:r>
        <w:t xml:space="preserve"> </w:t>
      </w:r>
      <w:r w:rsidR="004D2694">
        <w:t>Supplement</w:t>
      </w:r>
      <w:r>
        <w:t xml:space="preserve"> at 1, 3.</w:t>
      </w:r>
    </w:p>
  </w:footnote>
  <w:footnote w:id="15">
    <w:p w:rsidR="00C91A76" w:rsidRPr="00C91A76" w14:paraId="448DDAE1" w14:textId="59A868AC">
      <w:pPr>
        <w:pStyle w:val="FootnoteText"/>
      </w:pPr>
      <w:r>
        <w:rPr>
          <w:rStyle w:val="FootnoteReference"/>
        </w:rPr>
        <w:footnoteRef/>
      </w:r>
      <w:r>
        <w:t xml:space="preserve"> </w:t>
      </w:r>
      <w:r>
        <w:rPr>
          <w:i/>
          <w:iCs/>
        </w:rPr>
        <w:t>See id.</w:t>
      </w:r>
      <w:r>
        <w:t xml:space="preserve"> at 2-4; Waiver Request at 3-5.</w:t>
      </w:r>
    </w:p>
  </w:footnote>
  <w:footnote w:id="16">
    <w:p w:rsidR="00A5404E" w14:paraId="3B047951" w14:textId="12AB8143">
      <w:pPr>
        <w:pStyle w:val="FootnoteText"/>
      </w:pPr>
      <w:r>
        <w:rPr>
          <w:rStyle w:val="FootnoteReference"/>
        </w:rPr>
        <w:footnoteRef/>
      </w:r>
      <w:r>
        <w:t xml:space="preserve"> Waiver Request at 3-4.</w:t>
      </w:r>
    </w:p>
  </w:footnote>
  <w:footnote w:id="17">
    <w:p w:rsidR="00155764" w14:paraId="7A556402" w14:textId="7711D4E5">
      <w:pPr>
        <w:pStyle w:val="FootnoteText"/>
      </w:pPr>
      <w:r>
        <w:rPr>
          <w:rStyle w:val="FootnoteReference"/>
        </w:rPr>
        <w:footnoteRef/>
      </w:r>
      <w:r>
        <w:t xml:space="preserve"> </w:t>
      </w:r>
      <w:r w:rsidR="0055247E">
        <w:rPr>
          <w:i/>
          <w:iCs/>
        </w:rPr>
        <w:t>Id.</w:t>
      </w:r>
      <w:r>
        <w:t xml:space="preserve"> at 5; Supplement at 2.</w:t>
      </w:r>
    </w:p>
  </w:footnote>
  <w:footnote w:id="18">
    <w:p w:rsidR="00682347" w14:paraId="3704D997" w14:textId="6122095B">
      <w:pPr>
        <w:pStyle w:val="FootnoteText"/>
      </w:pPr>
      <w:r>
        <w:rPr>
          <w:rStyle w:val="FootnoteReference"/>
        </w:rPr>
        <w:footnoteRef/>
      </w:r>
      <w:r>
        <w:t xml:space="preserve"> Waiver Request at 4; Supplement at 2.</w:t>
      </w:r>
    </w:p>
  </w:footnote>
  <w:footnote w:id="19">
    <w:p w:rsidR="008C50A4" w:rsidP="008C50A4" w14:paraId="4F98EE37" w14:textId="4BBF4B19">
      <w:pPr>
        <w:pStyle w:val="FootnoteText"/>
      </w:pPr>
      <w:r>
        <w:rPr>
          <w:rStyle w:val="FootnoteReference"/>
        </w:rPr>
        <w:footnoteRef/>
      </w:r>
      <w:r>
        <w:t xml:space="preserve"> </w:t>
      </w:r>
      <w:r>
        <w:rPr>
          <w:i/>
          <w:iCs/>
        </w:rPr>
        <w:t xml:space="preserve">See </w:t>
      </w:r>
      <w:r>
        <w:t xml:space="preserve">Letter from Kevin M. </w:t>
      </w:r>
      <w:r>
        <w:t>Cookler</w:t>
      </w:r>
      <w:r>
        <w:t>, Counsel to Lower Colorado River Authority, to Marlene H. Dortch, Secretary, FCC, WT Docket No. 17-200 (filed June 2, 2020) (</w:t>
      </w:r>
      <w:r>
        <w:rPr>
          <w:i/>
          <w:iCs/>
        </w:rPr>
        <w:t xml:space="preserve">June 2 Ex </w:t>
      </w:r>
      <w:r>
        <w:rPr>
          <w:i/>
          <w:iCs/>
        </w:rPr>
        <w:t>Parte</w:t>
      </w:r>
      <w:r>
        <w:t xml:space="preserve">).  In the letter, LCRA also urged the Commission to grant its pending requests for an extension of time regarding construction deadlines, which are not part of LCRA’s waiver request </w:t>
      </w:r>
      <w:r w:rsidRPr="0055247E">
        <w:t>and will be considered separately.</w:t>
      </w:r>
    </w:p>
  </w:footnote>
  <w:footnote w:id="20">
    <w:p w:rsidR="00457CCC" w14:paraId="41215821" w14:textId="6BC6EC12">
      <w:pPr>
        <w:pStyle w:val="FootnoteText"/>
      </w:pPr>
      <w:r>
        <w:rPr>
          <w:rStyle w:val="FootnoteReference"/>
        </w:rPr>
        <w:footnoteRef/>
      </w:r>
      <w:r>
        <w:t xml:space="preserve"> 47 CFR § 1.925(b)(3).</w:t>
      </w:r>
    </w:p>
  </w:footnote>
  <w:footnote w:id="21">
    <w:p w:rsidR="0055247E" w14:paraId="698C8BBE" w14:textId="2114E7FF">
      <w:pPr>
        <w:pStyle w:val="FootnoteText"/>
      </w:pPr>
      <w:r>
        <w:rPr>
          <w:rStyle w:val="FootnoteReference"/>
        </w:rPr>
        <w:footnoteRef/>
      </w:r>
      <w:r>
        <w:t xml:space="preserve"> Waiver Request at 4, 5.</w:t>
      </w:r>
    </w:p>
  </w:footnote>
  <w:footnote w:id="22">
    <w:p w:rsidR="00A0104B" w:rsidRPr="00A0104B" w14:paraId="1CEE40A3" w14:textId="74805460">
      <w:pPr>
        <w:pStyle w:val="FootnoteText"/>
      </w:pPr>
      <w:r>
        <w:rPr>
          <w:rStyle w:val="FootnoteReference"/>
        </w:rPr>
        <w:footnoteRef/>
      </w:r>
      <w:r>
        <w:t xml:space="preserve"> </w:t>
      </w:r>
      <w:r>
        <w:rPr>
          <w:i/>
          <w:iCs/>
        </w:rPr>
        <w:t>R</w:t>
      </w:r>
      <w:r w:rsidR="00373D22">
        <w:rPr>
          <w:i/>
          <w:iCs/>
        </w:rPr>
        <w:t>ohm</w:t>
      </w:r>
      <w:r>
        <w:rPr>
          <w:i/>
          <w:iCs/>
        </w:rPr>
        <w:t xml:space="preserve"> </w:t>
      </w:r>
      <w:r w:rsidR="00373D22">
        <w:rPr>
          <w:i/>
          <w:iCs/>
        </w:rPr>
        <w:t>and Haas Texas, Inc.,</w:t>
      </w:r>
      <w:r>
        <w:rPr>
          <w:i/>
          <w:iCs/>
        </w:rPr>
        <w:t xml:space="preserve"> Review for Waiver of 900 MHz Application Freeze</w:t>
      </w:r>
      <w:r>
        <w:t xml:space="preserve">, Order, 34 FCC </w:t>
      </w:r>
      <w:r>
        <w:t>Rcd</w:t>
      </w:r>
      <w:r>
        <w:t xml:space="preserve"> 10436 (WTB 2019).</w:t>
      </w:r>
      <w:r w:rsidR="00514115">
        <w:t xml:space="preserve">         </w:t>
      </w:r>
    </w:p>
  </w:footnote>
  <w:footnote w:id="23">
    <w:p w:rsidR="004C5884" w:rsidRPr="004C5884" w14:paraId="01610834" w14:textId="302C088A">
      <w:pPr>
        <w:pStyle w:val="FootnoteText"/>
      </w:pPr>
      <w:r>
        <w:rPr>
          <w:rStyle w:val="FootnoteReference"/>
        </w:rPr>
        <w:footnoteRef/>
      </w:r>
      <w:r>
        <w:t xml:space="preserve"> </w:t>
      </w:r>
      <w:r>
        <w:rPr>
          <w:i/>
          <w:iCs/>
        </w:rPr>
        <w:t>Long Island Power Authority – Request for Waiver</w:t>
      </w:r>
      <w:r>
        <w:t>, Letter Order, DA</w:t>
      </w:r>
      <w:r w:rsidR="00DF6870">
        <w:t xml:space="preserve"> 20-552 (WTB May 22, 2020).</w:t>
      </w:r>
    </w:p>
  </w:footnote>
  <w:footnote w:id="24">
    <w:p w:rsidR="003803C8" w:rsidRPr="003803C8" w14:paraId="3B9BFAB1" w14:textId="27E07E0F">
      <w:pPr>
        <w:pStyle w:val="FootnoteText"/>
      </w:pPr>
      <w:r>
        <w:rPr>
          <w:rStyle w:val="FootnoteReference"/>
        </w:rPr>
        <w:footnoteRef/>
      </w:r>
      <w:r>
        <w:t xml:space="preserve"> </w:t>
      </w:r>
      <w:r w:rsidR="008C50A4">
        <w:rPr>
          <w:i/>
          <w:iCs/>
        </w:rPr>
        <w:t xml:space="preserve">June 2 Ex </w:t>
      </w:r>
      <w:r w:rsidR="008C50A4">
        <w:rPr>
          <w:i/>
          <w:iCs/>
        </w:rPr>
        <w:t>Parte</w:t>
      </w:r>
      <w:r>
        <w:rPr>
          <w:i/>
          <w:iCs/>
        </w:rPr>
        <w:t xml:space="preserve"> </w:t>
      </w:r>
      <w:r>
        <w:t>at 3.</w:t>
      </w:r>
    </w:p>
  </w:footnote>
  <w:footnote w:id="25">
    <w:p w:rsidR="00323EDF" w:rsidRPr="00323EDF" w14:paraId="0B08213F" w14:textId="1B305DE3">
      <w:pPr>
        <w:pStyle w:val="FootnoteText"/>
      </w:pPr>
      <w:r>
        <w:rPr>
          <w:rStyle w:val="FootnoteReference"/>
        </w:rPr>
        <w:footnoteRef/>
      </w:r>
      <w:r>
        <w:t xml:space="preserve"> </w:t>
      </w:r>
      <w:r w:rsidRPr="00EA1C2F">
        <w:rPr>
          <w:i/>
          <w:iCs/>
        </w:rPr>
        <w:t>900 MHz R&amp;O and Orders</w:t>
      </w:r>
      <w:r>
        <w:t>, at 20, para. 41.</w:t>
      </w:r>
    </w:p>
  </w:footnote>
  <w:footnote w:id="26">
    <w:p w:rsidR="00271310" w14:paraId="5C0EA4CD" w14:textId="32248F94">
      <w:pPr>
        <w:pStyle w:val="FootnoteText"/>
      </w:pPr>
      <w:r>
        <w:rPr>
          <w:rStyle w:val="FootnoteReference"/>
        </w:rPr>
        <w:footnoteRef/>
      </w:r>
      <w:r>
        <w:t xml:space="preserve"> We note that only two of the three locations LCRA requests </w:t>
      </w:r>
      <w:r w:rsidR="00C911A0">
        <w:t>are</w:t>
      </w:r>
      <w:r>
        <w:t xml:space="preserve"> in a rural area, as the initial location requested is near San Angelo, TX., which</w:t>
      </w:r>
      <w:r w:rsidRPr="00271310">
        <w:t xml:space="preserve"> </w:t>
      </w:r>
      <w:r>
        <w:t>has</w:t>
      </w:r>
      <w:r w:rsidRPr="00271310">
        <w:t xml:space="preserve"> approximately 101,004 residents.  U.S. Census Bureau, </w:t>
      </w:r>
      <w:r w:rsidRPr="00D6124A">
        <w:rPr>
          <w:i/>
          <w:iCs/>
        </w:rPr>
        <w:t>QuickFacts San Angelo city, Texas</w:t>
      </w:r>
      <w:r w:rsidRPr="00271310">
        <w:t xml:space="preserve">, </w:t>
      </w:r>
      <w:hyperlink r:id="rId3" w:history="1">
        <w:r w:rsidRPr="00F86775" w:rsidR="00D6124A">
          <w:rPr>
            <w:rStyle w:val="Hyperlink"/>
          </w:rPr>
          <w:t>https://www.census.gov/quickfacts/sanangelocitytexas</w:t>
        </w:r>
      </w:hyperlink>
      <w:r w:rsidR="00D6124A">
        <w:t xml:space="preserve"> </w:t>
      </w:r>
      <w:r w:rsidRPr="00271310">
        <w:t>(last visited June 8, 2020).</w:t>
      </w:r>
    </w:p>
  </w:footnote>
  <w:footnote w:id="27">
    <w:p w:rsidR="0023048C" w:rsidRPr="0023048C" w14:paraId="2D062FBE" w14:textId="0A673C76">
      <w:pPr>
        <w:pStyle w:val="FootnoteText"/>
      </w:pPr>
      <w:r>
        <w:rPr>
          <w:rStyle w:val="FootnoteReference"/>
        </w:rPr>
        <w:footnoteRef/>
      </w:r>
      <w:r>
        <w:t xml:space="preserve"> </w:t>
      </w:r>
      <w:r w:rsidR="009A5489">
        <w:t>In fact</w:t>
      </w:r>
      <w:r>
        <w:t xml:space="preserve">, LCRA states that the requested geographic area covers “approximately 3,824 square miles.”  </w:t>
      </w:r>
      <w:r>
        <w:rPr>
          <w:i/>
          <w:iCs/>
        </w:rPr>
        <w:t xml:space="preserve">See June 2 Ex </w:t>
      </w:r>
      <w:r>
        <w:rPr>
          <w:i/>
          <w:iCs/>
        </w:rPr>
        <w:t>Parte</w:t>
      </w:r>
      <w:r>
        <w:rPr>
          <w:i/>
          <w:iCs/>
        </w:rPr>
        <w:t xml:space="preserve"> </w:t>
      </w:r>
      <w:r>
        <w:t>at 3.</w:t>
      </w:r>
    </w:p>
  </w:footnote>
  <w:footnote w:id="28">
    <w:p w:rsidR="000438B5" w:rsidRPr="000438B5" w14:paraId="58B4A4CC" w14:textId="4BA0261F">
      <w:pPr>
        <w:pStyle w:val="FootnoteText"/>
      </w:pPr>
      <w:r>
        <w:rPr>
          <w:rStyle w:val="FootnoteReference"/>
        </w:rPr>
        <w:footnoteRef/>
      </w:r>
      <w:r>
        <w:t xml:space="preserve"> </w:t>
      </w:r>
      <w:r>
        <w:rPr>
          <w:i/>
          <w:iCs/>
        </w:rPr>
        <w:t>F</w:t>
      </w:r>
      <w:r w:rsidR="00373D22">
        <w:rPr>
          <w:i/>
          <w:iCs/>
        </w:rPr>
        <w:t>lint Hills Resources Corpus Christi</w:t>
      </w:r>
      <w:r>
        <w:rPr>
          <w:i/>
          <w:iCs/>
        </w:rPr>
        <w:t>, LLC; Requests for Waiver of 900 MHz Application Freeze</w:t>
      </w:r>
      <w:r>
        <w:t xml:space="preserve">, Order, 34 FCC </w:t>
      </w:r>
      <w:r>
        <w:t>Rcd</w:t>
      </w:r>
      <w:r>
        <w:t xml:space="preserve"> 8071 (WTB 2019); </w:t>
      </w:r>
      <w:r>
        <w:rPr>
          <w:i/>
          <w:iCs/>
        </w:rPr>
        <w:t>Flint Hills Resources</w:t>
      </w:r>
      <w:r>
        <w:t xml:space="preserve">, Letter Order, 35 FCC </w:t>
      </w:r>
      <w:r>
        <w:t>Rcd</w:t>
      </w:r>
      <w:r>
        <w:t xml:space="preserve"> 606 (WTB 2020).</w:t>
      </w:r>
    </w:p>
  </w:footnote>
  <w:footnote w:id="29">
    <w:p w:rsidR="00013773" w14:paraId="0CCA5B74" w14:textId="0317482B">
      <w:pPr>
        <w:pStyle w:val="FootnoteText"/>
      </w:pPr>
      <w:r>
        <w:rPr>
          <w:rStyle w:val="FootnoteReference"/>
        </w:rPr>
        <w:footnoteRef/>
      </w:r>
      <w:r>
        <w:t xml:space="preserve"> 47 CFR § 90.621(b).</w:t>
      </w:r>
    </w:p>
  </w:footnote>
  <w:footnote w:id="30">
    <w:p w:rsidR="000C440C" w:rsidRPr="000C440C" w:rsidP="00D66AF9" w14:paraId="60B85453" w14:textId="63E515B7">
      <w:pPr>
        <w:pStyle w:val="FootnoteText"/>
      </w:pPr>
      <w:r>
        <w:rPr>
          <w:rStyle w:val="FootnoteReference"/>
        </w:rPr>
        <w:footnoteRef/>
      </w:r>
      <w:r>
        <w:t xml:space="preserve"> </w:t>
      </w:r>
      <w:r>
        <w:rPr>
          <w:i/>
          <w:iCs/>
        </w:rPr>
        <w:t>Cf. E</w:t>
      </w:r>
      <w:r w:rsidR="00373D22">
        <w:rPr>
          <w:i/>
          <w:iCs/>
        </w:rPr>
        <w:t>versource Energy Service Company,</w:t>
      </w:r>
      <w:r>
        <w:rPr>
          <w:i/>
          <w:iCs/>
        </w:rPr>
        <w:t xml:space="preserve"> Requests for Waiver of 900 MHz Application Freeze</w:t>
      </w:r>
      <w:r>
        <w:t xml:space="preserve">, Order, 34 FCC </w:t>
      </w:r>
      <w:r>
        <w:t>Rcd</w:t>
      </w:r>
      <w:r>
        <w:t xml:space="preserve"> 8074 (WTB 2019)</w:t>
      </w:r>
      <w:r w:rsidR="00CA181B">
        <w:t xml:space="preserve"> (the proximity of WTB’s imposition of the freeze to Eversource’s anticipated filing was insufficient to justify a waiver).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356" w14:paraId="2E6F98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5DA4B3" w14:textId="087BEAAF">
    <w:pPr>
      <w:pStyle w:val="Header"/>
      <w:rPr>
        <w:b w:val="0"/>
      </w:rPr>
    </w:pPr>
    <w:r>
      <w:tab/>
      <w:t>Federal Communications Commission</w:t>
    </w:r>
    <w:r>
      <w:tab/>
    </w:r>
    <w:r w:rsidR="00BC08F0">
      <w:t>DA 20-636</w:t>
    </w:r>
  </w:p>
  <w:p w:rsidR="00D25FB5" w14:paraId="73842763" w14:textId="4881ED2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FE8024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401F19" w14:textId="74C73DB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91356">
      <w:rPr>
        <w:spacing w:val="-2"/>
      </w:rPr>
      <w:t xml:space="preserve">DA </w:t>
    </w:r>
    <w:r w:rsidR="00BC08F0">
      <w:rPr>
        <w:spacing w:val="-2"/>
      </w:rPr>
      <w:t>20-636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4215F6"/>
    <w:multiLevelType w:val="hybridMultilevel"/>
    <w:tmpl w:val="59906E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56"/>
    <w:rsid w:val="000062D7"/>
    <w:rsid w:val="00013773"/>
    <w:rsid w:val="00036039"/>
    <w:rsid w:val="00037F90"/>
    <w:rsid w:val="000438B5"/>
    <w:rsid w:val="00043CDA"/>
    <w:rsid w:val="00061DC0"/>
    <w:rsid w:val="00083FF7"/>
    <w:rsid w:val="000875BF"/>
    <w:rsid w:val="00096D8C"/>
    <w:rsid w:val="000C0B65"/>
    <w:rsid w:val="000C440C"/>
    <w:rsid w:val="000E05FE"/>
    <w:rsid w:val="000E3D42"/>
    <w:rsid w:val="0010692F"/>
    <w:rsid w:val="00122BD5"/>
    <w:rsid w:val="00133F79"/>
    <w:rsid w:val="00136314"/>
    <w:rsid w:val="00155764"/>
    <w:rsid w:val="00176D1F"/>
    <w:rsid w:val="00194A66"/>
    <w:rsid w:val="001C61B4"/>
    <w:rsid w:val="001D0221"/>
    <w:rsid w:val="001D6BCF"/>
    <w:rsid w:val="001D7A5C"/>
    <w:rsid w:val="001E01CA"/>
    <w:rsid w:val="001E4193"/>
    <w:rsid w:val="001F4356"/>
    <w:rsid w:val="0020393D"/>
    <w:rsid w:val="00221682"/>
    <w:rsid w:val="0023048C"/>
    <w:rsid w:val="00271310"/>
    <w:rsid w:val="00275CF5"/>
    <w:rsid w:val="00276B4F"/>
    <w:rsid w:val="0028301F"/>
    <w:rsid w:val="00285017"/>
    <w:rsid w:val="0028787B"/>
    <w:rsid w:val="002A2D2E"/>
    <w:rsid w:val="002A6EE9"/>
    <w:rsid w:val="002B3969"/>
    <w:rsid w:val="002B4BE4"/>
    <w:rsid w:val="002B54D4"/>
    <w:rsid w:val="002C00E8"/>
    <w:rsid w:val="002C2DCB"/>
    <w:rsid w:val="00311AFA"/>
    <w:rsid w:val="00323EDF"/>
    <w:rsid w:val="00343749"/>
    <w:rsid w:val="003660ED"/>
    <w:rsid w:val="00373D22"/>
    <w:rsid w:val="003803C8"/>
    <w:rsid w:val="0039132C"/>
    <w:rsid w:val="003B0550"/>
    <w:rsid w:val="003B694F"/>
    <w:rsid w:val="003C1D4A"/>
    <w:rsid w:val="003C287A"/>
    <w:rsid w:val="003D70F8"/>
    <w:rsid w:val="003E3821"/>
    <w:rsid w:val="003F171C"/>
    <w:rsid w:val="00412FC5"/>
    <w:rsid w:val="00422276"/>
    <w:rsid w:val="004242F1"/>
    <w:rsid w:val="00427335"/>
    <w:rsid w:val="00445A00"/>
    <w:rsid w:val="00451B0F"/>
    <w:rsid w:val="00457CCC"/>
    <w:rsid w:val="004C2EE3"/>
    <w:rsid w:val="004C5884"/>
    <w:rsid w:val="004D2694"/>
    <w:rsid w:val="004E4A22"/>
    <w:rsid w:val="00511968"/>
    <w:rsid w:val="00514115"/>
    <w:rsid w:val="00526AAE"/>
    <w:rsid w:val="0054442B"/>
    <w:rsid w:val="0055205C"/>
    <w:rsid w:val="0055247E"/>
    <w:rsid w:val="0055614C"/>
    <w:rsid w:val="005616A5"/>
    <w:rsid w:val="00566D06"/>
    <w:rsid w:val="005965F7"/>
    <w:rsid w:val="005970C0"/>
    <w:rsid w:val="005B0343"/>
    <w:rsid w:val="005B1A88"/>
    <w:rsid w:val="005E14C2"/>
    <w:rsid w:val="005F04C1"/>
    <w:rsid w:val="00607BA5"/>
    <w:rsid w:val="0061180A"/>
    <w:rsid w:val="00626EB6"/>
    <w:rsid w:val="0063631E"/>
    <w:rsid w:val="00655476"/>
    <w:rsid w:val="00655D03"/>
    <w:rsid w:val="006707C8"/>
    <w:rsid w:val="00682347"/>
    <w:rsid w:val="00683388"/>
    <w:rsid w:val="00683F84"/>
    <w:rsid w:val="006921CA"/>
    <w:rsid w:val="006A6A81"/>
    <w:rsid w:val="006C7717"/>
    <w:rsid w:val="006C7891"/>
    <w:rsid w:val="006E1416"/>
    <w:rsid w:val="006E1B99"/>
    <w:rsid w:val="006F7393"/>
    <w:rsid w:val="0070224F"/>
    <w:rsid w:val="007115F7"/>
    <w:rsid w:val="00727035"/>
    <w:rsid w:val="00727775"/>
    <w:rsid w:val="00733520"/>
    <w:rsid w:val="00785689"/>
    <w:rsid w:val="0079610A"/>
    <w:rsid w:val="0079754B"/>
    <w:rsid w:val="007A1E6D"/>
    <w:rsid w:val="007A2CC4"/>
    <w:rsid w:val="007B0EB2"/>
    <w:rsid w:val="007B7F0E"/>
    <w:rsid w:val="007C7B61"/>
    <w:rsid w:val="00810B6F"/>
    <w:rsid w:val="00822CE0"/>
    <w:rsid w:val="00841AB1"/>
    <w:rsid w:val="00842079"/>
    <w:rsid w:val="008C3EEC"/>
    <w:rsid w:val="008C50A4"/>
    <w:rsid w:val="008C68F1"/>
    <w:rsid w:val="008C73A6"/>
    <w:rsid w:val="008E5B32"/>
    <w:rsid w:val="00902590"/>
    <w:rsid w:val="00921803"/>
    <w:rsid w:val="00926503"/>
    <w:rsid w:val="00935565"/>
    <w:rsid w:val="009726D8"/>
    <w:rsid w:val="009A5489"/>
    <w:rsid w:val="009A5BA5"/>
    <w:rsid w:val="009C0E01"/>
    <w:rsid w:val="009C3166"/>
    <w:rsid w:val="009C7467"/>
    <w:rsid w:val="009D7308"/>
    <w:rsid w:val="009F6566"/>
    <w:rsid w:val="009F76DB"/>
    <w:rsid w:val="00A0104B"/>
    <w:rsid w:val="00A222E1"/>
    <w:rsid w:val="00A32C3B"/>
    <w:rsid w:val="00A373EF"/>
    <w:rsid w:val="00A45F4F"/>
    <w:rsid w:val="00A5404E"/>
    <w:rsid w:val="00A600A9"/>
    <w:rsid w:val="00AA55B7"/>
    <w:rsid w:val="00AA5B9E"/>
    <w:rsid w:val="00AB2407"/>
    <w:rsid w:val="00AB53DF"/>
    <w:rsid w:val="00AB5870"/>
    <w:rsid w:val="00AB5C1E"/>
    <w:rsid w:val="00B066AE"/>
    <w:rsid w:val="00B07E5C"/>
    <w:rsid w:val="00B33B6D"/>
    <w:rsid w:val="00B559CA"/>
    <w:rsid w:val="00B811F7"/>
    <w:rsid w:val="00B9124C"/>
    <w:rsid w:val="00B94612"/>
    <w:rsid w:val="00BA5DC6"/>
    <w:rsid w:val="00BA6196"/>
    <w:rsid w:val="00BB4B22"/>
    <w:rsid w:val="00BC08F0"/>
    <w:rsid w:val="00BC6D8C"/>
    <w:rsid w:val="00BD50F0"/>
    <w:rsid w:val="00BD5E42"/>
    <w:rsid w:val="00BE7D5D"/>
    <w:rsid w:val="00C10980"/>
    <w:rsid w:val="00C2407B"/>
    <w:rsid w:val="00C34006"/>
    <w:rsid w:val="00C36B4C"/>
    <w:rsid w:val="00C426B1"/>
    <w:rsid w:val="00C438A8"/>
    <w:rsid w:val="00C66160"/>
    <w:rsid w:val="00C70028"/>
    <w:rsid w:val="00C721AC"/>
    <w:rsid w:val="00C83F29"/>
    <w:rsid w:val="00C90D6A"/>
    <w:rsid w:val="00C911A0"/>
    <w:rsid w:val="00C91A76"/>
    <w:rsid w:val="00CA181B"/>
    <w:rsid w:val="00CA247E"/>
    <w:rsid w:val="00CA6D21"/>
    <w:rsid w:val="00CB7835"/>
    <w:rsid w:val="00CC72B6"/>
    <w:rsid w:val="00CE0798"/>
    <w:rsid w:val="00CF524D"/>
    <w:rsid w:val="00D0218D"/>
    <w:rsid w:val="00D15ABB"/>
    <w:rsid w:val="00D25FB5"/>
    <w:rsid w:val="00D44223"/>
    <w:rsid w:val="00D5565E"/>
    <w:rsid w:val="00D6124A"/>
    <w:rsid w:val="00D62930"/>
    <w:rsid w:val="00D66AF9"/>
    <w:rsid w:val="00D87C76"/>
    <w:rsid w:val="00D905E6"/>
    <w:rsid w:val="00D91356"/>
    <w:rsid w:val="00D961F1"/>
    <w:rsid w:val="00DA2529"/>
    <w:rsid w:val="00DB130A"/>
    <w:rsid w:val="00DB2EBB"/>
    <w:rsid w:val="00DB4C9D"/>
    <w:rsid w:val="00DC10A1"/>
    <w:rsid w:val="00DC655F"/>
    <w:rsid w:val="00DD0B59"/>
    <w:rsid w:val="00DD7EBD"/>
    <w:rsid w:val="00DE2877"/>
    <w:rsid w:val="00DF528F"/>
    <w:rsid w:val="00DF62B6"/>
    <w:rsid w:val="00DF6870"/>
    <w:rsid w:val="00E07225"/>
    <w:rsid w:val="00E446D2"/>
    <w:rsid w:val="00E5409F"/>
    <w:rsid w:val="00E61BA7"/>
    <w:rsid w:val="00EA1C2F"/>
    <w:rsid w:val="00EA6256"/>
    <w:rsid w:val="00EB1052"/>
    <w:rsid w:val="00EB4855"/>
    <w:rsid w:val="00EB61CF"/>
    <w:rsid w:val="00EB77CC"/>
    <w:rsid w:val="00ED3BDA"/>
    <w:rsid w:val="00EE6488"/>
    <w:rsid w:val="00F021FA"/>
    <w:rsid w:val="00F06521"/>
    <w:rsid w:val="00F12F25"/>
    <w:rsid w:val="00F26238"/>
    <w:rsid w:val="00F3683D"/>
    <w:rsid w:val="00F60524"/>
    <w:rsid w:val="00F62E97"/>
    <w:rsid w:val="00F64209"/>
    <w:rsid w:val="00F701A2"/>
    <w:rsid w:val="00F766DB"/>
    <w:rsid w:val="00F86775"/>
    <w:rsid w:val="00F878C4"/>
    <w:rsid w:val="00F93BF5"/>
    <w:rsid w:val="00FD3B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1D4F5C-4BF7-44BC-BE0F-39D8B050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ED3BDA"/>
    <w:rPr>
      <w:color w:val="605E5C"/>
      <w:shd w:val="clear" w:color="auto" w:fill="E1DFDD"/>
    </w:rPr>
  </w:style>
  <w:style w:type="paragraph" w:styleId="BalloonText">
    <w:name w:val="Balloon Text"/>
    <w:basedOn w:val="Normal"/>
    <w:link w:val="BalloonTextChar"/>
    <w:rsid w:val="006E1416"/>
    <w:rPr>
      <w:rFonts w:ascii="Segoe UI" w:hAnsi="Segoe UI" w:cs="Segoe UI"/>
      <w:sz w:val="18"/>
      <w:szCs w:val="18"/>
    </w:rPr>
  </w:style>
  <w:style w:type="character" w:customStyle="1" w:styleId="BalloonTextChar">
    <w:name w:val="Balloon Text Char"/>
    <w:link w:val="BalloonText"/>
    <w:rsid w:val="006E1416"/>
    <w:rPr>
      <w:rFonts w:ascii="Segoe UI" w:hAnsi="Segoe UI" w:cs="Segoe UI"/>
      <w:snapToGrid w:val="0"/>
      <w:kern w:val="28"/>
      <w:sz w:val="18"/>
      <w:szCs w:val="18"/>
    </w:rPr>
  </w:style>
  <w:style w:type="character" w:styleId="FollowedHyperlink">
    <w:name w:val="FollowedHyperlink"/>
    <w:rsid w:val="00902590"/>
    <w:rPr>
      <w:color w:val="954F72"/>
      <w:u w:val="single"/>
    </w:rPr>
  </w:style>
  <w:style w:type="character" w:styleId="CommentReference">
    <w:name w:val="annotation reference"/>
    <w:rsid w:val="00902590"/>
    <w:rPr>
      <w:sz w:val="16"/>
      <w:szCs w:val="16"/>
    </w:rPr>
  </w:style>
  <w:style w:type="paragraph" w:styleId="CommentText">
    <w:name w:val="annotation text"/>
    <w:basedOn w:val="Normal"/>
    <w:link w:val="CommentTextChar"/>
    <w:rsid w:val="00902590"/>
    <w:rPr>
      <w:sz w:val="20"/>
    </w:rPr>
  </w:style>
  <w:style w:type="character" w:customStyle="1" w:styleId="CommentTextChar">
    <w:name w:val="Comment Text Char"/>
    <w:link w:val="CommentText"/>
    <w:rsid w:val="00902590"/>
    <w:rPr>
      <w:snapToGrid w:val="0"/>
      <w:kern w:val="28"/>
    </w:rPr>
  </w:style>
  <w:style w:type="paragraph" w:styleId="CommentSubject">
    <w:name w:val="annotation subject"/>
    <w:basedOn w:val="CommentText"/>
    <w:next w:val="CommentText"/>
    <w:link w:val="CommentSubjectChar"/>
    <w:rsid w:val="00902590"/>
    <w:rPr>
      <w:b/>
      <w:bCs/>
    </w:rPr>
  </w:style>
  <w:style w:type="character" w:customStyle="1" w:styleId="CommentSubjectChar">
    <w:name w:val="Comment Subject Char"/>
    <w:link w:val="CommentSubject"/>
    <w:rsid w:val="00902590"/>
    <w:rPr>
      <w:b/>
      <w:bCs/>
      <w:snapToGrid w:val="0"/>
      <w:kern w:val="28"/>
    </w:rPr>
  </w:style>
  <w:style w:type="paragraph" w:styleId="Revision">
    <w:name w:val="Revision"/>
    <w:hidden/>
    <w:uiPriority w:val="99"/>
    <w:semiHidden/>
    <w:rsid w:val="00083FF7"/>
    <w:rPr>
      <w:snapToGrid w:val="0"/>
      <w:kern w:val="28"/>
      <w:sz w:val="22"/>
    </w:rPr>
  </w:style>
  <w:style w:type="paragraph" w:styleId="ListParagraph">
    <w:name w:val="List Paragraph"/>
    <w:basedOn w:val="Normal"/>
    <w:uiPriority w:val="34"/>
    <w:qFormat/>
    <w:rsid w:val="0028787B"/>
    <w:pPr>
      <w:widowControl/>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ireless2.fcc.gov/UlsApp/ApplicationSearch/applMain.jsp?applID=11867014" TargetMode="External" /><Relationship Id="rId2" Type="http://schemas.openxmlformats.org/officeDocument/2006/relationships/hyperlink" Target="https://wireless2.fcc.gov/UlsApp/ApplicationSearch/applMain.jsp?applID=11866829" TargetMode="External" /><Relationship Id="rId3" Type="http://schemas.openxmlformats.org/officeDocument/2006/relationships/hyperlink" Target="https://www.census.gov/quickfacts/sanangelocitytexa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