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67653" w:rsidRPr="006D73F2" w:rsidP="00716841" w14:paraId="194F46A0" w14:textId="77777777">
      <w:pPr>
        <w:pStyle w:val="Title"/>
        <w:widowControl/>
        <w:rPr>
          <w:szCs w:val="22"/>
        </w:rPr>
      </w:pPr>
      <w:r w:rsidRPr="006D73F2">
        <w:rPr>
          <w:szCs w:val="22"/>
        </w:rPr>
        <w:t>Before the</w:t>
      </w:r>
    </w:p>
    <w:p w:rsidR="00467653" w:rsidRPr="006D73F2" w:rsidP="00716841" w14:paraId="11552771" w14:textId="77777777">
      <w:pPr>
        <w:widowControl/>
        <w:tabs>
          <w:tab w:val="center" w:pos="4680"/>
        </w:tabs>
        <w:spacing w:line="226" w:lineRule="auto"/>
        <w:jc w:val="center"/>
        <w:rPr>
          <w:b/>
          <w:szCs w:val="22"/>
        </w:rPr>
      </w:pPr>
      <w:r w:rsidRPr="006D73F2">
        <w:rPr>
          <w:b/>
          <w:szCs w:val="22"/>
        </w:rPr>
        <w:t>Federal Communications Commission</w:t>
      </w:r>
    </w:p>
    <w:p w:rsidR="00467653" w:rsidRPr="006D73F2" w:rsidP="00716841" w14:paraId="0AD6E030" w14:textId="77777777">
      <w:pPr>
        <w:widowControl/>
        <w:tabs>
          <w:tab w:val="center" w:pos="4680"/>
        </w:tabs>
        <w:spacing w:line="226" w:lineRule="auto"/>
        <w:jc w:val="center"/>
        <w:rPr>
          <w:szCs w:val="22"/>
        </w:rPr>
      </w:pPr>
      <w:r w:rsidRPr="006D73F2">
        <w:rPr>
          <w:b/>
          <w:szCs w:val="22"/>
        </w:rPr>
        <w:t>Washington, DC 20554</w:t>
      </w:r>
    </w:p>
    <w:p w:rsidR="00467653" w:rsidRPr="00B27008" w:rsidP="00716841" w14:paraId="70634583" w14:textId="77777777">
      <w:pPr>
        <w:widowControl/>
        <w:tabs>
          <w:tab w:val="left" w:pos="-720"/>
        </w:tabs>
        <w:suppressAutoHyphens/>
        <w:spacing w:line="227" w:lineRule="auto"/>
        <w:rPr>
          <w:spacing w:val="-2"/>
        </w:rPr>
      </w:pPr>
    </w:p>
    <w:tbl>
      <w:tblPr>
        <w:tblW w:w="9540" w:type="dxa"/>
        <w:tblInd w:w="108" w:type="dxa"/>
        <w:tblLayout w:type="fixed"/>
        <w:tblLook w:val="0000"/>
      </w:tblPr>
      <w:tblGrid>
        <w:gridCol w:w="4590"/>
        <w:gridCol w:w="270"/>
        <w:gridCol w:w="4680"/>
      </w:tblGrid>
      <w:tr w14:paraId="100C13C2" w14:textId="77777777" w:rsidTr="00677CC4">
        <w:tblPrEx>
          <w:tblW w:w="9540" w:type="dxa"/>
          <w:tblInd w:w="108" w:type="dxa"/>
          <w:tblLayout w:type="fixed"/>
          <w:tblLook w:val="0000"/>
        </w:tblPrEx>
        <w:tc>
          <w:tcPr>
            <w:tcW w:w="4590" w:type="dxa"/>
          </w:tcPr>
          <w:p w:rsidR="003264EC" w:rsidRPr="006D73F2" w:rsidP="00716841" w14:paraId="2B6E95A6" w14:textId="77777777">
            <w:pPr>
              <w:widowControl/>
              <w:rPr>
                <w:szCs w:val="22"/>
              </w:rPr>
            </w:pPr>
            <w:r w:rsidRPr="006D73F2">
              <w:rPr>
                <w:spacing w:val="-2"/>
                <w:szCs w:val="22"/>
              </w:rPr>
              <w:t>In the Matter of</w:t>
            </w:r>
            <w:r w:rsidRPr="006D73F2">
              <w:rPr>
                <w:szCs w:val="22"/>
              </w:rPr>
              <w:t xml:space="preserve"> </w:t>
            </w:r>
          </w:p>
          <w:p w:rsidR="003264EC" w:rsidRPr="006D73F2" w:rsidP="00716841" w14:paraId="4C6FB9E0" w14:textId="77777777">
            <w:pPr>
              <w:widowControl/>
              <w:rPr>
                <w:szCs w:val="22"/>
              </w:rPr>
            </w:pPr>
          </w:p>
          <w:p w:rsidR="00E51AEB" w:rsidRPr="00D037CF" w:rsidP="00716841" w14:paraId="432AD3D7" w14:textId="77777777">
            <w:pPr>
              <w:widowControl/>
              <w:tabs>
                <w:tab w:val="center" w:pos="4680"/>
              </w:tabs>
              <w:suppressAutoHyphens/>
              <w:rPr>
                <w:spacing w:val="-2"/>
                <w:szCs w:val="22"/>
              </w:rPr>
            </w:pPr>
            <w:r w:rsidRPr="00D037CF">
              <w:rPr>
                <w:spacing w:val="-2"/>
                <w:szCs w:val="22"/>
              </w:rPr>
              <w:t>Gerald Sutton,</w:t>
            </w:r>
          </w:p>
          <w:p w:rsidR="003264EC" w:rsidRPr="006D73F2" w:rsidP="00716841" w14:paraId="753AA588" w14:textId="5D0DA4DD">
            <w:pPr>
              <w:widowControl/>
              <w:rPr>
                <w:spacing w:val="-2"/>
                <w:szCs w:val="22"/>
              </w:rPr>
            </w:pPr>
            <w:r w:rsidRPr="00D037CF">
              <w:rPr>
                <w:szCs w:val="22"/>
              </w:rPr>
              <w:t>Alma, Arkansas</w:t>
            </w:r>
          </w:p>
        </w:tc>
        <w:tc>
          <w:tcPr>
            <w:tcW w:w="270" w:type="dxa"/>
          </w:tcPr>
          <w:p w:rsidR="003264EC" w:rsidRPr="006D73F2" w:rsidP="00716841" w14:paraId="65ED4678" w14:textId="77777777">
            <w:pPr>
              <w:widowControl/>
              <w:tabs>
                <w:tab w:val="center" w:pos="4680"/>
              </w:tabs>
              <w:suppressAutoHyphens/>
              <w:spacing w:line="240" w:lineRule="atLeast"/>
              <w:jc w:val="both"/>
              <w:outlineLvl w:val="0"/>
              <w:rPr>
                <w:szCs w:val="22"/>
              </w:rPr>
            </w:pPr>
            <w:r w:rsidRPr="006D73F2">
              <w:rPr>
                <w:szCs w:val="22"/>
              </w:rPr>
              <w:t>)</w:t>
            </w:r>
          </w:p>
          <w:p w:rsidR="003264EC" w:rsidRPr="006D73F2" w:rsidP="00716841" w14:paraId="5AB5515E" w14:textId="77777777">
            <w:pPr>
              <w:widowControl/>
              <w:tabs>
                <w:tab w:val="center" w:pos="4680"/>
              </w:tabs>
              <w:suppressAutoHyphens/>
              <w:spacing w:line="240" w:lineRule="atLeast"/>
              <w:jc w:val="both"/>
              <w:outlineLvl w:val="0"/>
              <w:rPr>
                <w:szCs w:val="22"/>
              </w:rPr>
            </w:pPr>
            <w:r w:rsidRPr="006D73F2">
              <w:rPr>
                <w:szCs w:val="22"/>
              </w:rPr>
              <w:t>)</w:t>
            </w:r>
          </w:p>
          <w:p w:rsidR="003264EC" w:rsidRPr="006D73F2" w:rsidP="00716841" w14:paraId="78FF72F0" w14:textId="77777777">
            <w:pPr>
              <w:widowControl/>
              <w:tabs>
                <w:tab w:val="center" w:pos="4680"/>
              </w:tabs>
              <w:suppressAutoHyphens/>
              <w:spacing w:line="240" w:lineRule="atLeast"/>
              <w:jc w:val="both"/>
              <w:outlineLvl w:val="0"/>
              <w:rPr>
                <w:szCs w:val="22"/>
              </w:rPr>
            </w:pPr>
            <w:r w:rsidRPr="006D73F2">
              <w:rPr>
                <w:szCs w:val="22"/>
              </w:rPr>
              <w:t>)</w:t>
            </w:r>
          </w:p>
          <w:p w:rsidR="003264EC" w:rsidRPr="006D73F2" w:rsidP="00716841" w14:paraId="7AE961B0" w14:textId="77777777">
            <w:pPr>
              <w:widowControl/>
              <w:tabs>
                <w:tab w:val="center" w:pos="4680"/>
              </w:tabs>
              <w:suppressAutoHyphens/>
              <w:spacing w:line="240" w:lineRule="atLeast"/>
              <w:jc w:val="both"/>
              <w:outlineLvl w:val="0"/>
              <w:rPr>
                <w:szCs w:val="22"/>
              </w:rPr>
            </w:pPr>
            <w:r w:rsidRPr="006D73F2">
              <w:rPr>
                <w:szCs w:val="22"/>
              </w:rPr>
              <w:t>)</w:t>
            </w:r>
          </w:p>
          <w:p w:rsidR="003264EC" w:rsidRPr="006D73F2" w:rsidP="00716841" w14:paraId="66558A8E" w14:textId="77777777">
            <w:pPr>
              <w:widowControl/>
              <w:tabs>
                <w:tab w:val="center" w:pos="4680"/>
              </w:tabs>
              <w:suppressAutoHyphens/>
              <w:spacing w:line="240" w:lineRule="atLeast"/>
              <w:jc w:val="both"/>
              <w:outlineLvl w:val="0"/>
              <w:rPr>
                <w:szCs w:val="22"/>
              </w:rPr>
            </w:pPr>
            <w:r w:rsidRPr="006D73F2">
              <w:rPr>
                <w:szCs w:val="22"/>
              </w:rPr>
              <w:t>)</w:t>
            </w:r>
          </w:p>
          <w:p w:rsidR="003264EC" w:rsidRPr="006D73F2" w:rsidP="00716841" w14:paraId="7AB15FE5" w14:textId="77777777">
            <w:pPr>
              <w:widowControl/>
              <w:tabs>
                <w:tab w:val="center" w:pos="4680"/>
              </w:tabs>
              <w:suppressAutoHyphens/>
              <w:spacing w:line="240" w:lineRule="atLeast"/>
              <w:jc w:val="both"/>
              <w:outlineLvl w:val="0"/>
              <w:rPr>
                <w:szCs w:val="22"/>
              </w:rPr>
            </w:pPr>
          </w:p>
        </w:tc>
        <w:tc>
          <w:tcPr>
            <w:tcW w:w="4680" w:type="dxa"/>
          </w:tcPr>
          <w:p w:rsidR="003264EC" w:rsidRPr="006D73F2" w:rsidP="00716841" w14:paraId="01B8CD21" w14:textId="77777777">
            <w:pPr>
              <w:widowControl/>
              <w:rPr>
                <w:spacing w:val="-2"/>
                <w:szCs w:val="22"/>
              </w:rPr>
            </w:pPr>
          </w:p>
          <w:p w:rsidR="003264EC" w:rsidRPr="006D73F2" w:rsidP="00716841" w14:paraId="29A2250F" w14:textId="77777777">
            <w:pPr>
              <w:widowControl/>
              <w:ind w:left="702"/>
              <w:rPr>
                <w:spacing w:val="-2"/>
                <w:szCs w:val="22"/>
              </w:rPr>
            </w:pPr>
          </w:p>
          <w:p w:rsidR="003264EC" w:rsidRPr="006D73F2" w:rsidP="00716841" w14:paraId="4C748186" w14:textId="41BDA754">
            <w:pPr>
              <w:widowControl/>
              <w:ind w:left="702"/>
              <w:rPr>
                <w:szCs w:val="22"/>
              </w:rPr>
            </w:pPr>
            <w:r w:rsidRPr="006D73F2">
              <w:rPr>
                <w:szCs w:val="22"/>
              </w:rPr>
              <w:t xml:space="preserve">File No.:  </w:t>
            </w:r>
            <w:r w:rsidRPr="00D037CF" w:rsidR="00FD4E1F">
              <w:rPr>
                <w:szCs w:val="22"/>
              </w:rPr>
              <w:t>EB-FIELDSCR-18-00027605</w:t>
            </w:r>
          </w:p>
          <w:p w:rsidR="003264EC" w:rsidRPr="006D73F2" w:rsidP="00716841" w14:paraId="2C99D0B1" w14:textId="7BBEDBE9">
            <w:pPr>
              <w:widowControl/>
              <w:ind w:left="702"/>
              <w:rPr>
                <w:szCs w:val="22"/>
              </w:rPr>
            </w:pPr>
            <w:r w:rsidRPr="006D73F2">
              <w:rPr>
                <w:szCs w:val="22"/>
              </w:rPr>
              <w:t xml:space="preserve">NAL/Acct. No.: </w:t>
            </w:r>
            <w:r w:rsidRPr="00D037CF" w:rsidR="00E51AEB">
              <w:rPr>
                <w:color w:val="222222"/>
                <w:szCs w:val="22"/>
                <w:shd w:val="clear" w:color="auto" w:fill="FFFFFF"/>
              </w:rPr>
              <w:t>201932020005</w:t>
            </w:r>
          </w:p>
          <w:p w:rsidR="003264EC" w:rsidRPr="006D73F2" w:rsidP="00716841" w14:paraId="23E7D611" w14:textId="133C7EDD">
            <w:pPr>
              <w:widowControl/>
              <w:ind w:left="702"/>
              <w:rPr>
                <w:szCs w:val="22"/>
              </w:rPr>
            </w:pPr>
            <w:r>
              <w:rPr>
                <w:spacing w:val="-2"/>
                <w:szCs w:val="22"/>
              </w:rPr>
              <w:t xml:space="preserve">FRN: </w:t>
            </w:r>
            <w:r w:rsidRPr="00D037CF" w:rsidR="00E51AEB">
              <w:rPr>
                <w:spacing w:val="-2"/>
                <w:szCs w:val="22"/>
              </w:rPr>
              <w:t>0028746782</w:t>
            </w:r>
          </w:p>
        </w:tc>
      </w:tr>
    </w:tbl>
    <w:p w:rsidR="00467653" w:rsidRPr="005514FC" w:rsidP="00716841" w14:paraId="3A5EBB30" w14:textId="77777777">
      <w:pPr>
        <w:widowControl/>
        <w:jc w:val="center"/>
        <w:rPr>
          <w:b/>
        </w:rPr>
      </w:pPr>
      <w:bookmarkStart w:id="0" w:name="_GoBack"/>
      <w:bookmarkEnd w:id="0"/>
      <w:r w:rsidRPr="005514FC">
        <w:rPr>
          <w:b/>
        </w:rPr>
        <w:t>FORFEITURE ORDER</w:t>
      </w:r>
    </w:p>
    <w:p w:rsidR="00EE33F3" w:rsidRPr="006D73F2" w:rsidP="00716841" w14:paraId="5F4005BD" w14:textId="77777777">
      <w:pPr>
        <w:widowControl/>
        <w:spacing w:line="226" w:lineRule="auto"/>
        <w:jc w:val="both"/>
        <w:rPr>
          <w:b/>
          <w:szCs w:val="22"/>
        </w:rPr>
      </w:pPr>
    </w:p>
    <w:p w:rsidR="00467653" w:rsidRPr="00B27008" w:rsidP="00716841" w14:paraId="362913AE" w14:textId="42AA7F1B">
      <w:pPr>
        <w:widowControl/>
        <w:tabs>
          <w:tab w:val="right" w:pos="9360"/>
        </w:tabs>
        <w:spacing w:line="226" w:lineRule="auto"/>
        <w:jc w:val="both"/>
        <w:rPr>
          <w:b/>
        </w:rPr>
      </w:pPr>
      <w:r w:rsidRPr="00816F70">
        <w:rPr>
          <w:b/>
          <w:szCs w:val="22"/>
        </w:rPr>
        <w:t xml:space="preserve">Adopted: </w:t>
      </w:r>
      <w:r w:rsidRPr="00816F70" w:rsidR="00EE68E4">
        <w:rPr>
          <w:b/>
          <w:szCs w:val="22"/>
        </w:rPr>
        <w:t xml:space="preserve"> </w:t>
      </w:r>
      <w:r w:rsidR="00285B97">
        <w:rPr>
          <w:b/>
          <w:szCs w:val="22"/>
        </w:rPr>
        <w:t xml:space="preserve">June </w:t>
      </w:r>
      <w:r w:rsidR="00F104C3">
        <w:rPr>
          <w:b/>
          <w:szCs w:val="22"/>
        </w:rPr>
        <w:t>17</w:t>
      </w:r>
      <w:r w:rsidR="008519CE">
        <w:rPr>
          <w:b/>
          <w:szCs w:val="22"/>
        </w:rPr>
        <w:t>,</w:t>
      </w:r>
      <w:r w:rsidR="00796CF4">
        <w:rPr>
          <w:b/>
          <w:szCs w:val="22"/>
        </w:rPr>
        <w:t xml:space="preserve"> 2020</w:t>
      </w:r>
      <w:r w:rsidRPr="00B27008">
        <w:rPr>
          <w:b/>
        </w:rPr>
        <w:tab/>
      </w:r>
      <w:r w:rsidRPr="00816F70">
        <w:rPr>
          <w:b/>
          <w:szCs w:val="22"/>
        </w:rPr>
        <w:t>Released:</w:t>
      </w:r>
      <w:r w:rsidRPr="00B27008">
        <w:rPr>
          <w:b/>
        </w:rPr>
        <w:t xml:space="preserve"> </w:t>
      </w:r>
      <w:r w:rsidR="008519CE">
        <w:rPr>
          <w:b/>
        </w:rPr>
        <w:t xml:space="preserve"> </w:t>
      </w:r>
      <w:r w:rsidR="00285B97">
        <w:rPr>
          <w:b/>
        </w:rPr>
        <w:t>June</w:t>
      </w:r>
      <w:r w:rsidR="00796CF4">
        <w:rPr>
          <w:b/>
        </w:rPr>
        <w:t xml:space="preserve"> </w:t>
      </w:r>
      <w:r w:rsidR="00F104C3">
        <w:rPr>
          <w:b/>
        </w:rPr>
        <w:t>18</w:t>
      </w:r>
      <w:r w:rsidR="00796CF4">
        <w:rPr>
          <w:b/>
        </w:rPr>
        <w:t>, 2020</w:t>
      </w:r>
      <w:r w:rsidRPr="00B27008">
        <w:rPr>
          <w:b/>
        </w:rPr>
        <w:t xml:space="preserve"> </w:t>
      </w:r>
    </w:p>
    <w:p w:rsidR="00467653" w:rsidRPr="006D73F2" w:rsidP="00716841" w14:paraId="60E4C2E4" w14:textId="77777777">
      <w:pPr>
        <w:widowControl/>
        <w:spacing w:line="226" w:lineRule="auto"/>
        <w:jc w:val="both"/>
        <w:rPr>
          <w:b/>
          <w:szCs w:val="22"/>
        </w:rPr>
      </w:pPr>
    </w:p>
    <w:p w:rsidR="00E51AEB" w:rsidRPr="00D037CF" w:rsidP="00716841" w14:paraId="7FBBDEC2" w14:textId="77777777">
      <w:pPr>
        <w:widowControl/>
        <w:rPr>
          <w:spacing w:val="-2"/>
          <w:szCs w:val="22"/>
        </w:rPr>
      </w:pPr>
      <w:r w:rsidRPr="006D73F2">
        <w:rPr>
          <w:spacing w:val="-2"/>
          <w:szCs w:val="22"/>
        </w:rPr>
        <w:t xml:space="preserve">By the </w:t>
      </w:r>
      <w:r>
        <w:rPr>
          <w:spacing w:val="-2"/>
          <w:szCs w:val="22"/>
        </w:rPr>
        <w:t>Acting Field Director</w:t>
      </w:r>
      <w:r w:rsidRPr="00D037CF">
        <w:rPr>
          <w:spacing w:val="-2"/>
          <w:szCs w:val="22"/>
        </w:rPr>
        <w:t>, Enforcement Bureau:</w:t>
      </w:r>
    </w:p>
    <w:p w:rsidR="00467653" w:rsidP="00716841" w14:paraId="2BC2EB1F" w14:textId="4E6BBF1F">
      <w:pPr>
        <w:widowControl/>
        <w:tabs>
          <w:tab w:val="left" w:pos="720"/>
          <w:tab w:val="left" w:pos="5760"/>
        </w:tabs>
        <w:suppressAutoHyphens/>
        <w:spacing w:line="227" w:lineRule="auto"/>
        <w:jc w:val="both"/>
        <w:rPr>
          <w:spacing w:val="-2"/>
          <w:szCs w:val="22"/>
        </w:rPr>
      </w:pPr>
    </w:p>
    <w:p w:rsidR="00CE2FA2" w:rsidP="00716841" w14:paraId="3180B570" w14:textId="49ECEF9B">
      <w:pPr>
        <w:pStyle w:val="ParaNum"/>
        <w:widowControl/>
      </w:pPr>
      <w:r w:rsidRPr="00D037CF">
        <w:t xml:space="preserve">Operating </w:t>
      </w:r>
      <w:r w:rsidR="009115B1">
        <w:t xml:space="preserve">an unlicensed </w:t>
      </w:r>
      <w:r w:rsidRPr="00D037CF">
        <w:t xml:space="preserve">station is illegal under the Communications Act of 1934, as amended (Act).  Pirate radio stations undermine the Commission’s primary mission to manage radio spectrum.  Such illegal operations can interfere with licensed communications, including authorized broadcasts and communications by public safety entities.  Moreover, such illegal operations pose a danger to the public because they interfere with licensed stations that inform their listeners of important public safety messages, including Emergency Alert System transmissions that provide vital information regarding weather and other dangers to the public.  </w:t>
      </w:r>
    </w:p>
    <w:p w:rsidR="008E0506" w:rsidP="00716841" w14:paraId="6FC2C96B" w14:textId="3287E3A3">
      <w:pPr>
        <w:pStyle w:val="ParaNum"/>
        <w:widowControl/>
      </w:pPr>
      <w:r w:rsidRPr="00285B97">
        <w:rPr>
          <w:szCs w:val="22"/>
        </w:rPr>
        <w:t xml:space="preserve">The Enforcement Bureau previously </w:t>
      </w:r>
      <w:r w:rsidR="00DE6AA0">
        <w:rPr>
          <w:szCs w:val="22"/>
        </w:rPr>
        <w:t>issued a Notice of Apparent Liability for Forfeiture (</w:t>
      </w:r>
      <w:r w:rsidRPr="00DE6AA0" w:rsidR="00DE6AA0">
        <w:rPr>
          <w:i/>
          <w:iCs/>
          <w:szCs w:val="22"/>
        </w:rPr>
        <w:t>Notice</w:t>
      </w:r>
      <w:r w:rsidR="00DE6AA0">
        <w:rPr>
          <w:szCs w:val="22"/>
        </w:rPr>
        <w:t xml:space="preserve">) against </w:t>
      </w:r>
      <w:r>
        <w:rPr>
          <w:szCs w:val="22"/>
        </w:rPr>
        <w:t xml:space="preserve">Gerald Sutton </w:t>
      </w:r>
      <w:r w:rsidR="00DE6AA0">
        <w:rPr>
          <w:szCs w:val="22"/>
        </w:rPr>
        <w:t>(Sutton)</w:t>
      </w:r>
      <w:r>
        <w:rPr>
          <w:rStyle w:val="FootnoteReference"/>
        </w:rPr>
        <w:footnoteReference w:id="3"/>
      </w:r>
      <w:r w:rsidR="00DE6AA0">
        <w:rPr>
          <w:szCs w:val="22"/>
        </w:rPr>
        <w:t xml:space="preserve"> for </w:t>
      </w:r>
      <w:r>
        <w:rPr>
          <w:szCs w:val="22"/>
        </w:rPr>
        <w:t>apparently operat</w:t>
      </w:r>
      <w:r w:rsidR="00DE6AA0">
        <w:rPr>
          <w:szCs w:val="22"/>
        </w:rPr>
        <w:t>ing</w:t>
      </w:r>
      <w:r>
        <w:rPr>
          <w:szCs w:val="22"/>
        </w:rPr>
        <w:t xml:space="preserve"> an unlicensed pirate radio station</w:t>
      </w:r>
      <w:r w:rsidR="00E91AD7">
        <w:rPr>
          <w:szCs w:val="22"/>
        </w:rPr>
        <w:t xml:space="preserve"> </w:t>
      </w:r>
      <w:r w:rsidR="009172DF">
        <w:rPr>
          <w:szCs w:val="22"/>
        </w:rPr>
        <w:t>in violation of section 301 of the Act</w:t>
      </w:r>
      <w:r>
        <w:rPr>
          <w:rStyle w:val="FootnoteReference"/>
          <w:spacing w:val="-2"/>
          <w:sz w:val="22"/>
        </w:rPr>
        <w:footnoteReference w:id="4"/>
      </w:r>
      <w:r w:rsidR="009172DF">
        <w:rPr>
          <w:szCs w:val="22"/>
        </w:rPr>
        <w:t xml:space="preserve"> </w:t>
      </w:r>
      <w:r w:rsidR="00E91AD7">
        <w:rPr>
          <w:szCs w:val="22"/>
        </w:rPr>
        <w:t>and proposed a $10,000 fine for apparent</w:t>
      </w:r>
      <w:r w:rsidR="009172DF">
        <w:rPr>
          <w:szCs w:val="22"/>
        </w:rPr>
        <w:t xml:space="preserve">ly </w:t>
      </w:r>
      <w:r w:rsidR="00E91AD7">
        <w:rPr>
          <w:szCs w:val="22"/>
        </w:rPr>
        <w:t>statutory violations.</w:t>
      </w:r>
      <w:r>
        <w:rPr>
          <w:rStyle w:val="FootnoteReference"/>
          <w:szCs w:val="22"/>
        </w:rPr>
        <w:footnoteReference w:id="5"/>
      </w:r>
      <w:r w:rsidR="00E91AD7">
        <w:rPr>
          <w:szCs w:val="22"/>
        </w:rPr>
        <w:t xml:space="preserve">  </w:t>
      </w:r>
      <w:r w:rsidR="00DE6AA0">
        <w:rPr>
          <w:color w:val="000000"/>
        </w:rPr>
        <w:t>Sutton</w:t>
      </w:r>
      <w:r w:rsidRPr="006D73F2" w:rsidR="00DE6AA0">
        <w:t xml:space="preserve"> </w:t>
      </w:r>
      <w:r w:rsidR="001F520E">
        <w:t xml:space="preserve">did not respond </w:t>
      </w:r>
      <w:r w:rsidRPr="006D73F2" w:rsidR="00DE6AA0">
        <w:t xml:space="preserve">to the </w:t>
      </w:r>
      <w:r w:rsidRPr="00DE6AA0" w:rsidR="00DE6AA0">
        <w:rPr>
          <w:i/>
          <w:iCs/>
        </w:rPr>
        <w:t>Notice</w:t>
      </w:r>
      <w:r w:rsidRPr="006D73F2" w:rsidR="00DE6AA0">
        <w:t>.</w:t>
      </w:r>
      <w:r w:rsidR="00DE6AA0">
        <w:t xml:space="preserve">  Therefore, w</w:t>
      </w:r>
      <w:r w:rsidRPr="006D73F2">
        <w:t xml:space="preserve">e </w:t>
      </w:r>
      <w:r w:rsidR="00DE6AA0">
        <w:t xml:space="preserve">affirm the </w:t>
      </w:r>
      <w:r w:rsidRPr="00DE6AA0" w:rsidR="00DE6AA0">
        <w:rPr>
          <w:i/>
          <w:iCs/>
        </w:rPr>
        <w:t>Notice</w:t>
      </w:r>
      <w:r w:rsidR="00DE6AA0">
        <w:t xml:space="preserve"> and </w:t>
      </w:r>
      <w:r w:rsidRPr="006D73F2">
        <w:t>impose a penalty of $</w:t>
      </w:r>
      <w:r>
        <w:t>10,000</w:t>
      </w:r>
      <w:r w:rsidRPr="006D73F2">
        <w:t xml:space="preserve"> against </w:t>
      </w:r>
      <w:r>
        <w:t>Sutton</w:t>
      </w:r>
      <w:r w:rsidRPr="006D73F2">
        <w:t xml:space="preserve"> for </w:t>
      </w:r>
      <w:r w:rsidRPr="00D037CF">
        <w:t>willfully operat</w:t>
      </w:r>
      <w:r>
        <w:t>ing</w:t>
      </w:r>
      <w:r w:rsidRPr="00D037CF">
        <w:t xml:space="preserve"> an unlicensed, or pirate</w:t>
      </w:r>
      <w:r>
        <w:t>,</w:t>
      </w:r>
      <w:r w:rsidRPr="00D037CF">
        <w:t xml:space="preserve"> radio station.</w:t>
      </w:r>
      <w:r w:rsidRPr="00E51AEB">
        <w:t xml:space="preserve"> </w:t>
      </w:r>
      <w:r>
        <w:t xml:space="preserve"> </w:t>
      </w:r>
    </w:p>
    <w:p w:rsidR="006D73F2" w:rsidRPr="006D73F2" w:rsidP="00716841" w14:paraId="7BAD29E2" w14:textId="1791C6DF">
      <w:pPr>
        <w:pStyle w:val="ParaNum"/>
        <w:widowControl/>
        <w:rPr>
          <w:spacing w:val="-2"/>
        </w:rPr>
      </w:pPr>
      <w:r w:rsidRPr="00D74257">
        <w:rPr>
          <w:color w:val="000000"/>
          <w:spacing w:val="-2"/>
        </w:rPr>
        <w:t>Accordingly</w:t>
      </w:r>
      <w:r w:rsidRPr="006D73F2">
        <w:t xml:space="preserve">, </w:t>
      </w:r>
      <w:r w:rsidRPr="006D73F2">
        <w:rPr>
          <w:b/>
        </w:rPr>
        <w:t>IT IS ORDERED</w:t>
      </w:r>
      <w:r w:rsidRPr="006D73F2">
        <w:t xml:space="preserve"> </w:t>
      </w:r>
      <w:r w:rsidR="00077577">
        <w:t>that</w:t>
      </w:r>
      <w:r w:rsidRPr="006D73F2">
        <w:t xml:space="preserve">, </w:t>
      </w:r>
      <w:r w:rsidRPr="00D74257">
        <w:t>pursuant</w:t>
      </w:r>
      <w:r w:rsidRPr="006D73F2">
        <w:t xml:space="preserve"> to </w:t>
      </w:r>
      <w:r w:rsidR="00087BA5">
        <w:t>s</w:t>
      </w:r>
      <w:r w:rsidRPr="006D73F2">
        <w:t>ection 503(b) of the Act</w:t>
      </w:r>
      <w:r w:rsidR="00276C98">
        <w:t>,</w:t>
      </w:r>
      <w:r>
        <w:rPr>
          <w:rStyle w:val="FootnoteReference"/>
          <w:sz w:val="22"/>
          <w:szCs w:val="22"/>
        </w:rPr>
        <w:footnoteReference w:id="6"/>
      </w:r>
      <w:r w:rsidRPr="006D73F2">
        <w:t xml:space="preserve"> and </w:t>
      </w:r>
      <w:r w:rsidR="00087BA5">
        <w:t>s</w:t>
      </w:r>
      <w:r w:rsidRPr="006D73F2">
        <w:t xml:space="preserve">ection 1.80 of the Commission’s </w:t>
      </w:r>
      <w:r w:rsidR="00C63243">
        <w:t>r</w:t>
      </w:r>
      <w:r w:rsidRPr="006D73F2">
        <w:t>ules,</w:t>
      </w:r>
      <w:r>
        <w:rPr>
          <w:rStyle w:val="FootnoteReference"/>
          <w:sz w:val="22"/>
          <w:szCs w:val="22"/>
        </w:rPr>
        <w:footnoteReference w:id="7"/>
      </w:r>
      <w:r w:rsidRPr="006D73F2">
        <w:t xml:space="preserve"> and </w:t>
      </w:r>
      <w:r w:rsidR="00087BA5">
        <w:t>s</w:t>
      </w:r>
      <w:r w:rsidRPr="006D73F2">
        <w:t xml:space="preserve">ections 0.111, 0.204, and 0.311 of the </w:t>
      </w:r>
      <w:r w:rsidRPr="006D73F2" w:rsidR="00087BA5">
        <w:t xml:space="preserve">Commission’s </w:t>
      </w:r>
      <w:r w:rsidR="00087BA5">
        <w:t>r</w:t>
      </w:r>
      <w:r w:rsidRPr="006D73F2">
        <w:t>ules</w:t>
      </w:r>
      <w:r w:rsidR="00EF66B4">
        <w:t>,</w:t>
      </w:r>
      <w:r>
        <w:rPr>
          <w:rStyle w:val="FootnoteReference"/>
          <w:sz w:val="22"/>
          <w:szCs w:val="22"/>
        </w:rPr>
        <w:footnoteReference w:id="8"/>
      </w:r>
      <w:r w:rsidR="00EF66B4">
        <w:t xml:space="preserve"> Gerald Sutton</w:t>
      </w:r>
      <w:r w:rsidRPr="006D73F2">
        <w:t xml:space="preserve"> </w:t>
      </w:r>
      <w:r w:rsidRPr="006D73F2">
        <w:rPr>
          <w:b/>
        </w:rPr>
        <w:t>IS LIABLE FOR A MONETARY FORFEITURE</w:t>
      </w:r>
      <w:r w:rsidRPr="006D73F2">
        <w:t xml:space="preserve"> in the amount of </w:t>
      </w:r>
      <w:r w:rsidR="00EF66B4">
        <w:t>Ten Thousand D</w:t>
      </w:r>
      <w:r w:rsidRPr="006D73F2">
        <w:t>ollars ($</w:t>
      </w:r>
      <w:r w:rsidR="00EF66B4">
        <w:t>10,000</w:t>
      </w:r>
      <w:r w:rsidRPr="006D73F2">
        <w:t xml:space="preserve">) for willfully violating </w:t>
      </w:r>
      <w:r w:rsidR="00276C98">
        <w:t>s</w:t>
      </w:r>
      <w:r w:rsidR="00EF66B4">
        <w:t xml:space="preserve">ection 301 </w:t>
      </w:r>
      <w:r w:rsidRPr="006D73F2">
        <w:t>of the Act</w:t>
      </w:r>
      <w:r w:rsidR="00EF66B4">
        <w:t>.</w:t>
      </w:r>
      <w:r>
        <w:rPr>
          <w:rStyle w:val="FootnoteReference"/>
          <w:sz w:val="22"/>
          <w:szCs w:val="22"/>
        </w:rPr>
        <w:footnoteReference w:id="9"/>
      </w:r>
      <w:r w:rsidRPr="006D73F2">
        <w:t xml:space="preserve"> </w:t>
      </w:r>
    </w:p>
    <w:p w:rsidR="006D73F2" w:rsidRPr="006D73F2" w:rsidP="00716841" w14:paraId="3D2CB9DD" w14:textId="77C7C6BD">
      <w:pPr>
        <w:pStyle w:val="ParaNum"/>
        <w:widowControl/>
        <w:rPr>
          <w:spacing w:val="-2"/>
        </w:rPr>
      </w:pPr>
      <w:r w:rsidRPr="00D74257">
        <w:rPr>
          <w:color w:val="000000"/>
          <w:spacing w:val="-2"/>
        </w:rPr>
        <w:t>Payment</w:t>
      </w:r>
      <w:r w:rsidRPr="006D73F2">
        <w:t xml:space="preserve"> of the forfeiture shall be made in the manner provided for in </w:t>
      </w:r>
      <w:r w:rsidR="00087BA5">
        <w:t>s</w:t>
      </w:r>
      <w:r w:rsidRPr="006D73F2">
        <w:t xml:space="preserve">ection 1.80 of the </w:t>
      </w:r>
      <w:r w:rsidRPr="006D73F2" w:rsidR="00087BA5">
        <w:t xml:space="preserve">Commission’s </w:t>
      </w:r>
      <w:r w:rsidR="00087BA5">
        <w:t>r</w:t>
      </w:r>
      <w:r w:rsidRPr="006D73F2">
        <w:t xml:space="preserve">ules within </w:t>
      </w:r>
      <w:r w:rsidRPr="006D73F2" w:rsidR="00CB3197">
        <w:t>thirty</w:t>
      </w:r>
      <w:r w:rsidRPr="006D73F2">
        <w:t xml:space="preserve"> (</w:t>
      </w:r>
      <w:r w:rsidRPr="006D73F2" w:rsidR="00CB3197">
        <w:t>30</w:t>
      </w:r>
      <w:r w:rsidRPr="006D73F2">
        <w:t>)</w:t>
      </w:r>
      <w:r w:rsidRPr="006D73F2" w:rsidR="00CB3197">
        <w:t xml:space="preserve"> </w:t>
      </w:r>
      <w:r w:rsidRPr="006D73F2">
        <w:t>calendar days after the release date of this Forfeiture Order.</w:t>
      </w:r>
      <w:r>
        <w:rPr>
          <w:rStyle w:val="FootnoteReference"/>
          <w:sz w:val="22"/>
          <w:szCs w:val="22"/>
        </w:rPr>
        <w:footnoteReference w:id="10"/>
      </w:r>
      <w:r w:rsidRPr="006D73F2">
        <w:t xml:space="preserve">  If the forfeiture is not paid within the period specified, the case may be referred to the U.S. Department of Justice for enforcement of the forfeiture pursuant to </w:t>
      </w:r>
      <w:r w:rsidR="00087BA5">
        <w:t>s</w:t>
      </w:r>
      <w:r w:rsidRPr="006D73F2">
        <w:t>ection 504(a) of the Act.</w:t>
      </w:r>
      <w:r>
        <w:rPr>
          <w:rStyle w:val="FootnoteReference"/>
          <w:sz w:val="22"/>
          <w:szCs w:val="22"/>
        </w:rPr>
        <w:footnoteReference w:id="11"/>
      </w:r>
      <w:r w:rsidRPr="006D73F2">
        <w:t xml:space="preserve">  </w:t>
      </w:r>
    </w:p>
    <w:p w:rsidR="008F7F2E" w:rsidRPr="006D73F2" w:rsidP="00716841" w14:paraId="77E32960" w14:textId="3E089E94">
      <w:pPr>
        <w:pStyle w:val="ParaNum"/>
        <w:widowControl/>
        <w:rPr>
          <w:spacing w:val="-2"/>
        </w:rPr>
      </w:pPr>
      <w:bookmarkStart w:id="1" w:name="_Hlk39654463"/>
      <w:r w:rsidRPr="00AD0726">
        <w:t xml:space="preserve">Payment of the Civil Penalty must be made by credit card, ACH (Automated Clearing House) debit from a bank account using </w:t>
      </w:r>
      <w:r>
        <w:t xml:space="preserve">the Commission’s </w:t>
      </w:r>
      <w:r w:rsidRPr="00AD0726">
        <w:t>Fee Filer (</w:t>
      </w:r>
      <w:r>
        <w:t>the Commission’s</w:t>
      </w:r>
      <w:r w:rsidRPr="00AD0726">
        <w:t xml:space="preserve"> online payment system),</w:t>
      </w:r>
      <w:r>
        <w:rPr>
          <w:rStyle w:val="FootnoteReference"/>
        </w:rPr>
        <w:footnoteReference w:id="12"/>
      </w:r>
      <w:r w:rsidRPr="00AD0726">
        <w:t xml:space="preserve"> or by wire transfer.</w:t>
      </w:r>
      <w:bookmarkEnd w:id="1"/>
      <w:r w:rsidRPr="00AD0726">
        <w:t xml:space="preserve">  </w:t>
      </w:r>
      <w:r>
        <w:t xml:space="preserve">The Commission no longer accepts Civil Penalty payments by check or money order.  </w:t>
      </w:r>
      <w:r w:rsidRPr="00AD0726">
        <w:t xml:space="preserve">Below are instructions that </w:t>
      </w:r>
      <w:r>
        <w:t>p</w:t>
      </w:r>
      <w:r w:rsidRPr="00AD0726">
        <w:t>ayor</w:t>
      </w:r>
      <w:r>
        <w:t>s</w:t>
      </w:r>
      <w:r w:rsidRPr="00AD0726">
        <w:t xml:space="preserve"> should follow based on the form of payment select</w:t>
      </w:r>
      <w:r>
        <w:t>ed</w:t>
      </w:r>
      <w:r w:rsidRPr="00AD0726">
        <w:t>:</w:t>
      </w:r>
      <w:r>
        <w:rPr>
          <w:vertAlign w:val="superscript"/>
        </w:rPr>
        <w:footnoteReference w:id="13"/>
      </w:r>
    </w:p>
    <w:p w:rsidR="0052375F" w:rsidRPr="00AD0726" w:rsidP="00716841" w14:paraId="60B73CC3" w14:textId="6F129D72">
      <w:pPr>
        <w:widowControl/>
        <w:numPr>
          <w:ilvl w:val="0"/>
          <w:numId w:val="29"/>
        </w:numPr>
        <w:spacing w:after="120"/>
      </w:pPr>
      <w:r w:rsidRPr="00AD0726">
        <w:t>Payment by wire transfer must be made to ABA Number 021030004, receiving bank TREAS/NYC, and Account Number 27000001.  A completed Form 159 must be faxed to the Federal Communications Commission at 202-418-2843 or e-mailed to RROGWireFaxes@fcc.gov on the same business day the wire transfer is initiated.  Failure to provide all required information</w:t>
      </w:r>
      <w:r>
        <w:t xml:space="preserve"> in Form 159</w:t>
      </w:r>
      <w:r w:rsidRPr="00AD0726">
        <w:t xml:space="preserve"> may result in payment not being recognized as having been received. </w:t>
      </w:r>
      <w:r>
        <w:t xml:space="preserve"> When</w:t>
      </w:r>
      <w:r w:rsidRPr="00AD0726">
        <w:t xml:space="preserve"> completing FCC Form 159, enter the Account Number in block number 23A (call sign/other ID), enter the letters “FORF” in block number 24A (payment type code), and </w:t>
      </w:r>
      <w:r>
        <w:t>enter</w:t>
      </w:r>
      <w:r w:rsidRPr="00AD0726">
        <w:t xml:space="preserve"> </w:t>
      </w:r>
      <w:r>
        <w:t xml:space="preserve">in block number 11 </w:t>
      </w:r>
      <w:r w:rsidRPr="00AD0726">
        <w:t>the FRN(s) captioned abov</w:t>
      </w:r>
      <w:r>
        <w:t>e (Payor FRN)</w:t>
      </w:r>
      <w:r w:rsidRPr="00AD0726">
        <w:t>.</w:t>
      </w:r>
      <w:r>
        <w:rPr>
          <w:rStyle w:val="FootnoteReference"/>
        </w:rPr>
        <w:footnoteReference w:id="14"/>
      </w:r>
      <w:r w:rsidRPr="00AD0726">
        <w:t xml:space="preserve">  For additional detail and wire transfer instructions</w:t>
      </w:r>
      <w:r>
        <w:t>,</w:t>
      </w:r>
      <w:r w:rsidRPr="00AD0726">
        <w:t xml:space="preserve"> go to </w:t>
      </w:r>
      <w:hyperlink r:id="rId5" w:history="1">
        <w:r w:rsidRPr="0088797D">
          <w:rPr>
            <w:rStyle w:val="Hyperlink"/>
            <w:rFonts w:eastAsiaTheme="minorHAnsi"/>
            <w:kern w:val="0"/>
          </w:rPr>
          <w:t>https://www.fcc.gov/licensing-databases/fees/wire-transfer</w:t>
        </w:r>
      </w:hyperlink>
      <w:r w:rsidRPr="00AD0726">
        <w:t xml:space="preserve">.  </w:t>
      </w:r>
    </w:p>
    <w:p w:rsidR="0052375F" w:rsidRPr="00AD0726" w:rsidP="00716841" w14:paraId="70A2EC77" w14:textId="2CA70482">
      <w:pPr>
        <w:widowControl/>
        <w:numPr>
          <w:ilvl w:val="0"/>
          <w:numId w:val="29"/>
        </w:numPr>
        <w:spacing w:after="120"/>
      </w:pPr>
      <w:r w:rsidRPr="00AD0726">
        <w:t xml:space="preserve">Payment by credit card must be made by using the </w:t>
      </w:r>
      <w:r>
        <w:t xml:space="preserve">Commission’s </w:t>
      </w:r>
      <w:r w:rsidRPr="00AD0726">
        <w:t xml:space="preserve">Fee Filer website at </w:t>
      </w:r>
      <w:hyperlink r:id="rId6" w:history="1">
        <w:r w:rsidRPr="0088797D">
          <w:rPr>
            <w:rStyle w:val="Hyperlink"/>
          </w:rPr>
          <w:t>https://apps.fcc.gov/FeeFiler/login.cfm</w:t>
        </w:r>
      </w:hyperlink>
      <w:r w:rsidRPr="00AD0726">
        <w:t xml:space="preserve">.  </w:t>
      </w:r>
      <w:r>
        <w:t xml:space="preserve">To pay by credit card, </w:t>
      </w:r>
      <w:r w:rsidRPr="00AD0726">
        <w:t>log-in using the FRN captioned above.  If payment must be split across FRNs</w:t>
      </w:r>
      <w:r>
        <w:t>,</w:t>
      </w:r>
      <w:r w:rsidRPr="00AD0726">
        <w:t xml:space="preserve"> complete this process for each FRN. </w:t>
      </w:r>
      <w:r>
        <w:t xml:space="preserve"> Next, </w:t>
      </w:r>
      <w:r w:rsidRPr="00AD0726">
        <w:t>select “Pay bills” on the Fee Filer Menu</w:t>
      </w:r>
      <w:r>
        <w:t xml:space="preserve">, </w:t>
      </w:r>
      <w:r w:rsidRPr="00AD0726">
        <w:t xml:space="preserve">and select the bill number associated </w:t>
      </w:r>
      <w:r>
        <w:t>with</w:t>
      </w:r>
      <w:r w:rsidRPr="00AD0726">
        <w:t xml:space="preserve"> the NAL Account – the bill number is the NAL Account number with the first two digits excluded</w:t>
      </w:r>
      <w:r>
        <w:t xml:space="preserve"> – and then choose </w:t>
      </w:r>
      <w:r w:rsidRPr="00AD0726">
        <w:t>the “Pay by Credit Card” option.  Please note</w:t>
      </w:r>
      <w:r>
        <w:t xml:space="preserve"> that</w:t>
      </w:r>
      <w:r w:rsidRPr="00AD0726">
        <w:t xml:space="preserve"> there is a $24,999.99</w:t>
      </w:r>
      <w:r>
        <w:t xml:space="preserve"> </w:t>
      </w:r>
      <w:r w:rsidRPr="00AD0726">
        <w:t>limit on credit card transactions.</w:t>
      </w:r>
    </w:p>
    <w:p w:rsidR="006D73F2" w:rsidRPr="00B27008" w:rsidP="00716841" w14:paraId="35567316" w14:textId="34CD5C35">
      <w:pPr>
        <w:widowControl/>
        <w:numPr>
          <w:ilvl w:val="0"/>
          <w:numId w:val="29"/>
        </w:numPr>
        <w:spacing w:after="120"/>
      </w:pPr>
      <w:r w:rsidRPr="00AD0726">
        <w:t>Payment by ACH</w:t>
      </w:r>
      <w:r>
        <w:t xml:space="preserve"> </w:t>
      </w:r>
      <w:r w:rsidRPr="00AD0726">
        <w:t xml:space="preserve">must be made by using the Commission’s Fee Filer website at </w:t>
      </w:r>
      <w:hyperlink r:id="rId6" w:history="1">
        <w:r w:rsidRPr="0088797D">
          <w:rPr>
            <w:rStyle w:val="Hyperlink"/>
            <w:rFonts w:eastAsiaTheme="minorHAnsi"/>
            <w:kern w:val="0"/>
          </w:rPr>
          <w:t>https://apps.fcc.gov/FeeFiler/login.cfm</w:t>
        </w:r>
      </w:hyperlink>
      <w:r w:rsidRPr="00AD0726">
        <w:t xml:space="preserve">.  </w:t>
      </w:r>
      <w:r>
        <w:t>To pay by ACH,</w:t>
      </w:r>
      <w:r w:rsidRPr="00AD0726">
        <w:t xml:space="preserve"> log</w:t>
      </w:r>
      <w:r>
        <w:t xml:space="preserve"> </w:t>
      </w:r>
      <w:r w:rsidRPr="00AD0726">
        <w:t>in using the FRN captioned above.   If payment must be split across FRNs</w:t>
      </w:r>
      <w:r>
        <w:t>,</w:t>
      </w:r>
      <w:r w:rsidRPr="00AD0726">
        <w:t xml:space="preserve"> complete this process for each FRN. </w:t>
      </w:r>
      <w:r>
        <w:t xml:space="preserve"> Next, </w:t>
      </w:r>
      <w:r w:rsidRPr="00AD0726">
        <w:t>select “Pay bills” on the Fee Filer Menu and then select the bill number associated to the NAL Account – the bill number is the NAL Account number with the first two digits excluded</w:t>
      </w:r>
      <w:r>
        <w:t xml:space="preserve"> </w:t>
      </w:r>
      <w:r w:rsidRPr="00AD0726">
        <w:t xml:space="preserve">– </w:t>
      </w:r>
      <w:r>
        <w:t xml:space="preserve">and choose </w:t>
      </w:r>
      <w:r w:rsidRPr="00AD0726">
        <w:t xml:space="preserve">the “Pay from Bank Account” option.  </w:t>
      </w:r>
      <w:r>
        <w:t>Please</w:t>
      </w:r>
      <w:r w:rsidRPr="00AD0726">
        <w:t xml:space="preserve"> contact the</w:t>
      </w:r>
      <w:r>
        <w:t xml:space="preserve"> appropriate</w:t>
      </w:r>
      <w:r w:rsidRPr="00AD0726">
        <w:t xml:space="preserve"> financial institution to confirm the correct Routing Number </w:t>
      </w:r>
      <w:r>
        <w:t xml:space="preserve">and the correct account number from which payment will be made and </w:t>
      </w:r>
      <w:r w:rsidRPr="00AD0726">
        <w:t xml:space="preserve">verify with </w:t>
      </w:r>
      <w:r>
        <w:t>that financial institution</w:t>
      </w:r>
      <w:r w:rsidRPr="00AD0726">
        <w:t xml:space="preserve"> that the</w:t>
      </w:r>
      <w:r>
        <w:t xml:space="preserve"> designated</w:t>
      </w:r>
      <w:r w:rsidRPr="00AD0726">
        <w:t xml:space="preserve"> account has authorization to accept </w:t>
      </w:r>
      <w:r>
        <w:t xml:space="preserve">ACH </w:t>
      </w:r>
      <w:r w:rsidRPr="00AD0726">
        <w:t>transactions.</w:t>
      </w:r>
    </w:p>
    <w:p w:rsidR="00EE68D3" w:rsidP="00716841" w14:paraId="5089F586" w14:textId="7FBF2F93">
      <w:pPr>
        <w:pStyle w:val="ParaNum"/>
        <w:widowControl/>
      </w:pPr>
      <w:r w:rsidRPr="006D73F2">
        <w:t xml:space="preserve">Any </w:t>
      </w:r>
      <w:r w:rsidRPr="00EE68D3">
        <w:rPr>
          <w:color w:val="000000"/>
          <w:spacing w:val="-2"/>
        </w:rPr>
        <w:t>request</w:t>
      </w:r>
      <w:r w:rsidRPr="006D73F2">
        <w:t xml:space="preserve"> for </w:t>
      </w:r>
      <w:r w:rsidR="00077577">
        <w:t xml:space="preserve">making </w:t>
      </w:r>
      <w:r w:rsidRPr="006D73F2">
        <w:t xml:space="preserve">full payment </w:t>
      </w:r>
      <w:r w:rsidR="00C63243">
        <w:t xml:space="preserve">over time </w:t>
      </w:r>
      <w:r w:rsidRPr="006D73F2">
        <w:t>under an installment plan should be sent to</w:t>
      </w:r>
      <w:r w:rsidR="00C63243">
        <w:t xml:space="preserve">: </w:t>
      </w:r>
      <w:r w:rsidRPr="006D73F2">
        <w:t xml:space="preserve"> Chief Financial Officer – Financial Operations, Federal Communications Commission, 445 12th Street, SW, Room 1</w:t>
      </w:r>
      <w:r w:rsidRPr="006D73F2">
        <w:noBreakHyphen/>
        <w:t>A625, Washington, DC 20554.</w:t>
      </w:r>
      <w:r>
        <w:rPr>
          <w:rStyle w:val="FootnoteReference"/>
          <w:sz w:val="22"/>
          <w:szCs w:val="22"/>
        </w:rPr>
        <w:footnoteReference w:id="15"/>
      </w:r>
      <w:r w:rsidRPr="006D73F2">
        <w:t xml:space="preserve">  </w:t>
      </w:r>
      <w:r w:rsidR="00573CFE">
        <w:t>Q</w:t>
      </w:r>
      <w:r w:rsidRPr="006D73F2">
        <w:t>uestions regarding payment procedures</w:t>
      </w:r>
      <w:r w:rsidR="00573CFE">
        <w:t xml:space="preserve"> </w:t>
      </w:r>
      <w:r w:rsidRPr="006D73F2">
        <w:t xml:space="preserve">should </w:t>
      </w:r>
      <w:r w:rsidR="00573CFE">
        <w:t xml:space="preserve">be directed to </w:t>
      </w:r>
      <w:r w:rsidRPr="006D73F2">
        <w:t xml:space="preserve">the Financial Operations Group Help Desk by telephone, 1-877-480-3201, or by e-mail, </w:t>
      </w:r>
      <w:hyperlink r:id="rId7" w:history="1">
        <w:r w:rsidRPr="00216D1C">
          <w:rPr>
            <w:rStyle w:val="Hyperlink"/>
          </w:rPr>
          <w:t>ARINQUIRIES@fcc.gov</w:t>
        </w:r>
      </w:hyperlink>
      <w:r w:rsidRPr="00373669">
        <w:t>.</w:t>
      </w:r>
    </w:p>
    <w:p w:rsidR="008F7F2E" w:rsidRPr="006D73F2" w:rsidP="00716841" w14:paraId="579CEA0C" w14:textId="3824E61F">
      <w:pPr>
        <w:pStyle w:val="ParaNum"/>
        <w:keepNext/>
        <w:widowControl/>
      </w:pPr>
      <w:r w:rsidRPr="00EE68D3">
        <w:rPr>
          <w:b/>
        </w:rPr>
        <w:t>IT IS FURTHER ORDERED</w:t>
      </w:r>
      <w:r w:rsidRPr="006D73F2">
        <w:t xml:space="preserve"> </w:t>
      </w:r>
      <w:r w:rsidRPr="005109E0">
        <w:t xml:space="preserve">that a copy of this Forfeiture Order </w:t>
      </w:r>
      <w:r w:rsidRPr="00BD5A2B" w:rsidR="005109E0">
        <w:t xml:space="preserve">shall be sent by first class mail and certified </w:t>
      </w:r>
      <w:r w:rsidRPr="00EE68D3" w:rsidR="005109E0">
        <w:rPr>
          <w:color w:val="000000"/>
          <w:spacing w:val="-2"/>
        </w:rPr>
        <w:t>mail</w:t>
      </w:r>
      <w:r w:rsidRPr="00BD5A2B" w:rsidR="005109E0">
        <w:t xml:space="preserve">, return receipt requested, to </w:t>
      </w:r>
      <w:r w:rsidR="00EF66B4">
        <w:t>Gerald Sutton at his address of record</w:t>
      </w:r>
      <w:r w:rsidR="00276C98">
        <w:t>.</w:t>
      </w:r>
    </w:p>
    <w:p w:rsidR="008F7F2E" w:rsidRPr="006D73F2" w:rsidP="00716841" w14:paraId="39CBBC6E" w14:textId="77777777">
      <w:pPr>
        <w:keepNext/>
        <w:widowControl/>
        <w:rPr>
          <w:szCs w:val="22"/>
        </w:rPr>
      </w:pPr>
    </w:p>
    <w:p w:rsidR="008F7F2E" w:rsidRPr="006D73F2" w:rsidP="00716841" w14:paraId="58089B48" w14:textId="77777777">
      <w:pPr>
        <w:keepNext/>
        <w:widowControl/>
        <w:rPr>
          <w:szCs w:val="22"/>
        </w:rPr>
      </w:pPr>
    </w:p>
    <w:p w:rsidR="008F7F2E" w:rsidRPr="00BD5A2B" w:rsidP="00716841" w14:paraId="5D39F265" w14:textId="77777777">
      <w:pPr>
        <w:keepNext/>
        <w:widowControl/>
        <w:ind w:left="4410"/>
      </w:pPr>
      <w:r w:rsidRPr="00BD5A2B">
        <w:t>FEDERAL COMMUNICATIONS COMMISSION</w:t>
      </w:r>
    </w:p>
    <w:p w:rsidR="008F7F2E" w:rsidRPr="006D73F2" w:rsidP="00716841" w14:paraId="1314F359" w14:textId="77777777">
      <w:pPr>
        <w:keepNext/>
        <w:widowControl/>
        <w:ind w:left="4410"/>
        <w:rPr>
          <w:szCs w:val="22"/>
        </w:rPr>
      </w:pPr>
    </w:p>
    <w:p w:rsidR="008F7F2E" w:rsidRPr="006D73F2" w:rsidP="00716841" w14:paraId="25C84AF7" w14:textId="77777777">
      <w:pPr>
        <w:keepNext/>
        <w:widowControl/>
        <w:ind w:left="4410"/>
        <w:rPr>
          <w:szCs w:val="22"/>
        </w:rPr>
      </w:pPr>
    </w:p>
    <w:p w:rsidR="008F7F2E" w:rsidRPr="006D73F2" w:rsidP="00716841" w14:paraId="0FF0B0F6" w14:textId="77777777">
      <w:pPr>
        <w:keepNext/>
        <w:widowControl/>
        <w:ind w:left="4410"/>
        <w:rPr>
          <w:szCs w:val="22"/>
        </w:rPr>
      </w:pPr>
    </w:p>
    <w:p w:rsidR="008F7F2E" w:rsidRPr="006D73F2" w:rsidP="00716841" w14:paraId="1FC18EEF" w14:textId="77777777">
      <w:pPr>
        <w:keepNext/>
        <w:widowControl/>
        <w:ind w:left="4410"/>
        <w:rPr>
          <w:szCs w:val="22"/>
        </w:rPr>
      </w:pPr>
    </w:p>
    <w:p w:rsidR="00EF66B4" w:rsidRPr="00D037CF" w:rsidP="00716841" w14:paraId="3B837EFF" w14:textId="00EE6548">
      <w:pPr>
        <w:widowControl/>
        <w:tabs>
          <w:tab w:val="left" w:pos="8400"/>
        </w:tabs>
        <w:ind w:left="4410"/>
        <w:rPr>
          <w:szCs w:val="22"/>
        </w:rPr>
      </w:pPr>
      <w:r w:rsidRPr="00D037CF">
        <w:rPr>
          <w:szCs w:val="22"/>
        </w:rPr>
        <w:t>Ronald Ramage</w:t>
      </w:r>
      <w:r w:rsidR="00C71E34">
        <w:rPr>
          <w:szCs w:val="22"/>
        </w:rPr>
        <w:tab/>
      </w:r>
    </w:p>
    <w:p w:rsidR="00EF66B4" w:rsidRPr="00D037CF" w:rsidP="00716841" w14:paraId="3EABCF6F" w14:textId="72575F81">
      <w:pPr>
        <w:widowControl/>
        <w:ind w:left="4410"/>
        <w:rPr>
          <w:szCs w:val="22"/>
        </w:rPr>
      </w:pPr>
      <w:r>
        <w:rPr>
          <w:szCs w:val="22"/>
        </w:rPr>
        <w:t>Acting Field Director</w:t>
      </w:r>
    </w:p>
    <w:p w:rsidR="00EF66B4" w:rsidRPr="00D037CF" w:rsidP="00716841" w14:paraId="6041A426" w14:textId="350899B5">
      <w:pPr>
        <w:widowControl/>
        <w:ind w:left="4410"/>
        <w:rPr>
          <w:szCs w:val="22"/>
        </w:rPr>
      </w:pPr>
      <w:r w:rsidRPr="00D037CF">
        <w:rPr>
          <w:szCs w:val="22"/>
        </w:rPr>
        <w:t>Enforcement Bureau</w:t>
      </w:r>
    </w:p>
    <w:p w:rsidR="00467653" w:rsidRPr="006D73F2" w:rsidP="00716841" w14:paraId="35CB61E1" w14:textId="2DBCB549">
      <w:pPr>
        <w:keepNext/>
        <w:widowControl/>
        <w:ind w:left="4410"/>
        <w:rPr>
          <w:szCs w:val="22"/>
        </w:rPr>
      </w:pPr>
    </w:p>
    <w:sectPr>
      <w:headerReference w:type="default" r:id="rId8"/>
      <w:footerReference w:type="even" r:id="rId9"/>
      <w:footerReference w:type="default" r:id="rId10"/>
      <w:headerReference w:type="first" r:id="rId11"/>
      <w:pgSz w:w="12240" w:h="15840" w:code="1"/>
      <w:pgMar w:top="90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3553" w14:paraId="2371587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03553" w14:paraId="4E5AC52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3553" w14:paraId="4747E7A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7A7B">
      <w:rPr>
        <w:rStyle w:val="PageNumber"/>
        <w:noProof/>
      </w:rPr>
      <w:t>3</w:t>
    </w:r>
    <w:r>
      <w:rPr>
        <w:rStyle w:val="PageNumber"/>
      </w:rPr>
      <w:fldChar w:fldCharType="end"/>
    </w:r>
  </w:p>
  <w:p w:rsidR="00303553" w14:paraId="2C8EFB9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5EF2" w14:paraId="241EF889" w14:textId="77777777">
      <w:r>
        <w:separator/>
      </w:r>
    </w:p>
  </w:footnote>
  <w:footnote w:type="continuationSeparator" w:id="1">
    <w:p w:rsidR="007A5EF2" w14:paraId="29F0FFEB" w14:textId="77777777">
      <w:r>
        <w:continuationSeparator/>
      </w:r>
    </w:p>
  </w:footnote>
  <w:footnote w:type="continuationNotice" w:id="2">
    <w:p w:rsidR="007A5EF2" w14:paraId="3616F51F" w14:textId="77777777"/>
  </w:footnote>
  <w:footnote w:id="3">
    <w:p w:rsidR="00754083" w:rsidP="00754083" w14:paraId="412DCA1C" w14:textId="77777777">
      <w:pPr>
        <w:pStyle w:val="FootnoteText"/>
      </w:pPr>
      <w:r>
        <w:rPr>
          <w:rStyle w:val="FootnoteReference"/>
        </w:rPr>
        <w:footnoteRef/>
      </w:r>
      <w:r>
        <w:t xml:space="preserve"> A</w:t>
      </w:r>
      <w:r w:rsidRPr="00D87E6F">
        <w:t xml:space="preserve">ny entity that is a “Small Business Concern” as defined in the Small Business Act (Pub. L. 85-536, as amended) may avail itself of rights set forth in that Act, including rights set forth in 15 U.S.C. </w:t>
      </w:r>
      <w:r w:rsidRPr="00F14821">
        <w:t>§</w:t>
      </w:r>
      <w:r w:rsidRPr="00D87E6F">
        <w:t xml:space="preserve"> 657, “Oversight of Regulatory Enforcement,” in addition to other rights set forth herein.</w:t>
      </w:r>
    </w:p>
  </w:footnote>
  <w:footnote w:id="4">
    <w:p w:rsidR="009172DF" w:rsidP="009172DF" w14:paraId="78E0BCC4" w14:textId="77777777">
      <w:pPr>
        <w:pStyle w:val="FootnoteText"/>
      </w:pPr>
      <w:r>
        <w:rPr>
          <w:rStyle w:val="FootnoteReference"/>
        </w:rPr>
        <w:footnoteRef/>
      </w:r>
      <w:r>
        <w:t xml:space="preserve"> 47 U.S.C. § 301.</w:t>
      </w:r>
    </w:p>
  </w:footnote>
  <w:footnote w:id="5">
    <w:p w:rsidR="00832E39" w14:paraId="4744E669" w14:textId="5EF9DF44">
      <w:pPr>
        <w:pStyle w:val="FootnoteText"/>
      </w:pPr>
      <w:r>
        <w:rPr>
          <w:rStyle w:val="FootnoteReference"/>
        </w:rPr>
        <w:footnoteRef/>
      </w:r>
      <w:r>
        <w:t xml:space="preserve"> </w:t>
      </w:r>
      <w:r>
        <w:rPr>
          <w:i/>
        </w:rPr>
        <w:t>Gerald Sutton</w:t>
      </w:r>
      <w:r>
        <w:rPr>
          <w:iCs/>
        </w:rPr>
        <w:t>,</w:t>
      </w:r>
      <w:r>
        <w:rPr>
          <w:i/>
        </w:rPr>
        <w:t xml:space="preserve"> </w:t>
      </w:r>
      <w:r>
        <w:t xml:space="preserve">Notice of Apparent Liability for Forfeiture, </w:t>
      </w:r>
      <w:r w:rsidRPr="00622519">
        <w:t xml:space="preserve">34 FCC </w:t>
      </w:r>
      <w:r w:rsidRPr="00622519">
        <w:t>Rcd</w:t>
      </w:r>
      <w:r w:rsidRPr="00622519">
        <w:t xml:space="preserve"> 7226</w:t>
      </w:r>
      <w:r>
        <w:t xml:space="preserve"> (EB 2019).</w:t>
      </w:r>
      <w:r w:rsidR="001F520E">
        <w:t xml:space="preserve">  </w:t>
      </w:r>
      <w:r w:rsidRPr="00140ABB" w:rsidR="001F520E">
        <w:rPr>
          <w:iCs/>
          <w:color w:val="000000"/>
        </w:rPr>
        <w:t xml:space="preserve">The </w:t>
      </w:r>
      <w:r w:rsidR="001F520E">
        <w:rPr>
          <w:i/>
          <w:iCs/>
          <w:color w:val="000000"/>
        </w:rPr>
        <w:t>Notice</w:t>
      </w:r>
      <w:r w:rsidRPr="00140ABB" w:rsidR="001F520E">
        <w:rPr>
          <w:iCs/>
          <w:color w:val="000000"/>
        </w:rPr>
        <w:t xml:space="preserve"> includes a more complete discussion of the facts and history of this case and is incorporated herein by reference.</w:t>
      </w:r>
      <w:r w:rsidRPr="00140ABB" w:rsidR="001F520E">
        <w:t xml:space="preserve">  </w:t>
      </w:r>
    </w:p>
  </w:footnote>
  <w:footnote w:id="6">
    <w:p w:rsidR="008F7F2E" w:rsidRPr="00344C0B" w:rsidP="00607AA0" w14:paraId="30C2868F" w14:textId="77777777">
      <w:pPr>
        <w:pStyle w:val="FootnoteText"/>
      </w:pPr>
      <w:r w:rsidRPr="00344C0B">
        <w:rPr>
          <w:rStyle w:val="FootnoteReference"/>
        </w:rPr>
        <w:footnoteRef/>
      </w:r>
      <w:r w:rsidRPr="00344C0B">
        <w:t xml:space="preserve"> 47 U.S.C. § 503(b).</w:t>
      </w:r>
    </w:p>
  </w:footnote>
  <w:footnote w:id="7">
    <w:p w:rsidR="008F7F2E" w:rsidRPr="00344C0B" w:rsidP="00607AA0" w14:paraId="31B0DFFC" w14:textId="77777777">
      <w:pPr>
        <w:pStyle w:val="FootnoteText"/>
      </w:pPr>
      <w:r w:rsidRPr="00344C0B">
        <w:rPr>
          <w:rStyle w:val="FootnoteReference"/>
        </w:rPr>
        <w:footnoteRef/>
      </w:r>
      <w:r w:rsidRPr="00344C0B">
        <w:t xml:space="preserve"> 47 CFR § 1.80.</w:t>
      </w:r>
    </w:p>
  </w:footnote>
  <w:footnote w:id="8">
    <w:p w:rsidR="008F7F2E" w:rsidP="00607AA0" w14:paraId="698D9DB0" w14:textId="5CCD7116">
      <w:pPr>
        <w:pStyle w:val="FootnoteText"/>
      </w:pPr>
      <w:r>
        <w:rPr>
          <w:rStyle w:val="FootnoteReference"/>
        </w:rPr>
        <w:footnoteRef/>
      </w:r>
      <w:r>
        <w:t xml:space="preserve"> 47 </w:t>
      </w:r>
      <w:r w:rsidR="00017A7B">
        <w:t>CFR</w:t>
      </w:r>
      <w:r>
        <w:t xml:space="preserve"> </w:t>
      </w:r>
      <w:r w:rsidRPr="00344C0B">
        <w:t>§§</w:t>
      </w:r>
      <w:r w:rsidR="00816F70">
        <w:t xml:space="preserve"> </w:t>
      </w:r>
      <w:r>
        <w:t>0.111, 0.204, 0.311.</w:t>
      </w:r>
    </w:p>
  </w:footnote>
  <w:footnote w:id="9">
    <w:p w:rsidR="00816F70" w:rsidP="00816F70" w14:paraId="78E74C4A" w14:textId="5174EF95">
      <w:pPr>
        <w:pStyle w:val="FootnoteText"/>
      </w:pPr>
      <w:r>
        <w:rPr>
          <w:rStyle w:val="FootnoteReference"/>
        </w:rPr>
        <w:footnoteRef/>
      </w:r>
      <w:r>
        <w:t xml:space="preserve"> </w:t>
      </w:r>
      <w:r w:rsidR="007B3294">
        <w:t>47 U.S.C. § 301.</w:t>
      </w:r>
    </w:p>
  </w:footnote>
  <w:footnote w:id="10">
    <w:p w:rsidR="008F7F2E" w:rsidRPr="007D40D2" w:rsidP="00607AA0" w14:paraId="6A1C6E4F" w14:textId="77777777">
      <w:pPr>
        <w:pStyle w:val="FootnoteText"/>
      </w:pPr>
      <w:r w:rsidRPr="00344C0B">
        <w:rPr>
          <w:rStyle w:val="FootnoteReference"/>
        </w:rPr>
        <w:footnoteRef/>
      </w:r>
      <w:r w:rsidRPr="00344C0B">
        <w:t xml:space="preserve"> 47 CFR § 1.80.</w:t>
      </w:r>
    </w:p>
  </w:footnote>
  <w:footnote w:id="11">
    <w:p w:rsidR="008F7F2E" w:rsidRPr="00344C0B" w:rsidP="00607AA0" w14:paraId="5FC0AB1B" w14:textId="77777777">
      <w:pPr>
        <w:pStyle w:val="FootnoteText"/>
      </w:pPr>
      <w:r w:rsidRPr="00344C0B">
        <w:rPr>
          <w:rStyle w:val="FootnoteReference"/>
        </w:rPr>
        <w:footnoteRef/>
      </w:r>
      <w:r w:rsidRPr="00344C0B">
        <w:t xml:space="preserve"> 47 U.S.C. § 504(a).</w:t>
      </w:r>
    </w:p>
  </w:footnote>
  <w:footnote w:id="12">
    <w:p w:rsidR="0052375F" w:rsidRPr="005476AB" w:rsidP="0052375F" w14:paraId="7D7125EA" w14:textId="77777777">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13">
    <w:p w:rsidR="0052375F" w:rsidRPr="005476AB" w:rsidP="0052375F" w14:paraId="78C86C8D" w14:textId="5045E693">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 xml:space="preserve">mail at </w:t>
      </w:r>
      <w:hyperlink r:id="rId1" w:history="1">
        <w:r w:rsidRPr="005476AB">
          <w:rPr>
            <w:rStyle w:val="Hyperlink"/>
          </w:rPr>
          <w:t>ARINQUIRIES@fcc.gov</w:t>
        </w:r>
      </w:hyperlink>
      <w:r w:rsidRPr="005476AB">
        <w:t>.</w:t>
      </w:r>
    </w:p>
  </w:footnote>
  <w:footnote w:id="14">
    <w:p w:rsidR="0052375F" w:rsidP="0052375F" w14:paraId="3BF968D1" w14:textId="0251EA97">
      <w:pPr>
        <w:pStyle w:val="FootnoteText"/>
      </w:pPr>
      <w:r w:rsidRPr="005476AB">
        <w:rPr>
          <w:rStyle w:val="FootnoteReference"/>
        </w:rPr>
        <w:footnoteRef/>
      </w:r>
      <w:r w:rsidRPr="005476AB">
        <w:t xml:space="preserve"> Instructions for completing the form may be obtained at </w:t>
      </w:r>
      <w:hyperlink r:id="rId2" w:history="1">
        <w:r w:rsidRPr="008A2184">
          <w:rPr>
            <w:rStyle w:val="Hyperlink"/>
          </w:rPr>
          <w:t>http://www.fcc.gov/Forms/Form159/159.pdf</w:t>
        </w:r>
      </w:hyperlink>
      <w:r w:rsidRPr="005476AB">
        <w:t>.</w:t>
      </w:r>
      <w:r>
        <w:t xml:space="preserve"> </w:t>
      </w:r>
    </w:p>
  </w:footnote>
  <w:footnote w:id="15">
    <w:p w:rsidR="008F7F2E" w:rsidRPr="0030738C" w:rsidP="00607AA0" w14:paraId="6A36DCAF" w14:textId="77777777">
      <w:pPr>
        <w:pStyle w:val="FootnoteText"/>
      </w:pPr>
      <w:r w:rsidRPr="00344C0B">
        <w:rPr>
          <w:rStyle w:val="FootnoteReference"/>
        </w:rPr>
        <w:footnoteRef/>
      </w:r>
      <w:r w:rsidRPr="00344C0B">
        <w:t xml:space="preserve"> </w:t>
      </w:r>
      <w:r w:rsidRPr="00344C0B">
        <w:rPr>
          <w:i/>
        </w:rPr>
        <w:t>See</w:t>
      </w:r>
      <w:r w:rsidRPr="00344C0B">
        <w:t xml:space="preserve"> 47 </w:t>
      </w:r>
      <w:r w:rsidR="00017A7B">
        <w:t>CFR</w:t>
      </w:r>
      <w:r w:rsidRPr="00344C0B">
        <w:t xml:space="preserve">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3553" w:rsidP="00810B3F" w14:paraId="35588CBE" w14:textId="777823A9">
    <w:pPr>
      <w:tabs>
        <w:tab w:val="center" w:pos="4680"/>
        <w:tab w:val="right" w:pos="9360"/>
      </w:tabs>
      <w:suppressAutoHyphens/>
      <w:spacing w:line="227" w:lineRule="auto"/>
      <w:jc w:val="both"/>
      <w:rPr>
        <w:spacing w:val="-2"/>
      </w:rPr>
    </w:pPr>
    <w:r>
      <w:rPr>
        <w:b/>
        <w:spacing w:val="-2"/>
      </w:rPr>
      <w:tab/>
      <w:t>Federal Communications Commission</w:t>
    </w:r>
    <w:r>
      <w:rPr>
        <w:b/>
        <w:spacing w:val="-2"/>
      </w:rPr>
      <w:tab/>
    </w:r>
    <w:r w:rsidR="00816F70">
      <w:rPr>
        <w:b/>
        <w:spacing w:val="-2"/>
      </w:rPr>
      <w:t>DA</w:t>
    </w:r>
    <w:r w:rsidR="00F104C3">
      <w:rPr>
        <w:b/>
        <w:spacing w:val="-2"/>
      </w:rPr>
      <w:t xml:space="preserve"> </w:t>
    </w:r>
    <w:r w:rsidRPr="00F104C3" w:rsidR="00F104C3">
      <w:rPr>
        <w:b/>
        <w:spacing w:val="-2"/>
      </w:rPr>
      <w:t>20-638</w:t>
    </w:r>
  </w:p>
  <w:p w:rsidR="00303553" w:rsidP="00810B3F" w14:paraId="211C2CD7" w14:textId="77777777">
    <w:pPr>
      <w:tabs>
        <w:tab w:val="left" w:pos="-1440"/>
        <w:tab w:val="left" w:pos="-720"/>
      </w:tabs>
      <w:suppressAutoHyphens/>
      <w:spacing w:line="19" w:lineRule="exact"/>
      <w:jc w:val="both"/>
      <w:rPr>
        <w:spacing w:val="-2"/>
      </w:rPr>
    </w:pPr>
    <w:r>
      <w:rPr>
        <w:noProof/>
      </w:rPr>
      <w:pict>
        <v:rect id="_x0000_s2049" style="width:468pt;height:0.95pt;margin-top:0;margin-left:0;mso-position-horizontal-relative:margin;position:absolute;z-index:-251657216" o:allowincell="f" fillcolor="black" stroked="f" strokeweight="0.05pt">
          <v:fill color2="black"/>
          <v:textbox>
            <w:txbxContent>
              <w:p w:rsidR="00303553" w:rsidP="00810B3F" w14:paraId="53763F70" w14:textId="77777777"/>
            </w:txbxContent>
          </v:textbox>
          <w10:wrap anchorx="margin"/>
        </v:rect>
      </w:pict>
    </w:r>
  </w:p>
  <w:p w:rsidR="00303553" w:rsidP="00810B3F" w14:paraId="50F10973" w14:textId="6F185C1F">
    <w:pPr>
      <w:pStyle w:val="Header"/>
      <w:pBdr>
        <w:between w:val="single" w:sz="4" w:space="1" w:color="auto"/>
      </w:pBdr>
      <w:tabs>
        <w:tab w:val="left" w:pos="8434"/>
      </w:tabs>
      <w:rPr>
        <w:b w:val="0"/>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3553" w14:paraId="7565DCB9" w14:textId="7C7B6E1A">
    <w:pPr>
      <w:tabs>
        <w:tab w:val="center" w:pos="4680"/>
        <w:tab w:val="right" w:pos="9360"/>
      </w:tabs>
      <w:suppressAutoHyphens/>
      <w:spacing w:line="227" w:lineRule="auto"/>
      <w:jc w:val="both"/>
      <w:rPr>
        <w:spacing w:val="-2"/>
      </w:rPr>
    </w:pPr>
    <w:r>
      <w:rPr>
        <w:b/>
        <w:spacing w:val="-2"/>
      </w:rPr>
      <w:tab/>
      <w:t>Federal Communications Commission</w:t>
    </w:r>
    <w:r>
      <w:rPr>
        <w:b/>
        <w:spacing w:val="-2"/>
      </w:rPr>
      <w:tab/>
      <w:t xml:space="preserve">DA </w:t>
    </w:r>
    <w:r w:rsidRPr="00F104C3" w:rsidR="00F104C3">
      <w:rPr>
        <w:b/>
        <w:spacing w:val="-2"/>
      </w:rPr>
      <w:t>20-638</w:t>
    </w:r>
  </w:p>
  <w:p w:rsidR="00303553" w14:paraId="5FD19E4A" w14:textId="77777777">
    <w:pPr>
      <w:tabs>
        <w:tab w:val="left" w:pos="-1440"/>
        <w:tab w:val="left" w:pos="-720"/>
      </w:tabs>
      <w:suppressAutoHyphens/>
      <w:spacing w:line="19" w:lineRule="exact"/>
      <w:jc w:val="both"/>
      <w:rPr>
        <w:spacing w:val="-2"/>
      </w:rPr>
    </w:pPr>
    <w:r>
      <w:rPr>
        <w:noProof/>
      </w:rPr>
      <w:pict>
        <v:rect id="_x0000_s2050" style="width:468pt;height:0.95pt;margin-top:0;margin-left:0;mso-position-horizontal-relative:margin;position:absolute;z-index:-251658240" o:allowincell="f" fillcolor="black" stroked="f" strokeweight="0.05pt">
          <v:fill color2="black"/>
          <v:textbox>
            <w:txbxContent>
              <w:p w:rsidR="00303553" w14:paraId="34421010" w14:textId="77777777"/>
            </w:txbxContent>
          </v:textbox>
          <w10:wrap anchorx="margin"/>
        </v:rect>
      </w:pict>
    </w:r>
  </w:p>
  <w:p w:rsidR="00303553" w14:paraId="07B26B1B" w14:textId="14930661">
    <w:pPr>
      <w:pStyle w:val="Header"/>
      <w:pBdr>
        <w:between w:val="single" w:sz="4" w:space="1" w:color="auto"/>
      </w:pBdr>
      <w:tabs>
        <w:tab w:val="left" w:pos="8434"/>
      </w:tabs>
      <w:rPr>
        <w:b w:val="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7070BBF"/>
    <w:multiLevelType w:val="singleLevel"/>
    <w:tmpl w:val="8DE2A35E"/>
    <w:lvl w:ilvl="0">
      <w:start w:val="1"/>
      <w:numFmt w:val="decimal"/>
      <w:lvlText w:val="%1."/>
      <w:lvlJc w:val="left"/>
      <w:pPr>
        <w:tabs>
          <w:tab w:val="num" w:pos="1515"/>
        </w:tabs>
        <w:ind w:left="1515" w:hanging="795"/>
      </w:pPr>
      <w:rPr>
        <w:rFonts w:hint="default"/>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1127E7E"/>
    <w:multiLevelType w:val="hybridMultilevel"/>
    <w:tmpl w:val="EDD0E9C6"/>
    <w:lvl w:ilvl="0">
      <w:start w:val="1"/>
      <w:numFmt w:val="bullet"/>
      <w:lvlText w:val=""/>
      <w:lvlJc w:val="left"/>
      <w:pPr>
        <w:tabs>
          <w:tab w:val="num" w:pos="1080"/>
        </w:tabs>
        <w:ind w:left="1080" w:hanging="360"/>
      </w:pPr>
      <w:rPr>
        <w:rFonts w:ascii="Wingdings" w:hAnsi="Wingdings" w:hint="default"/>
        <w:color w:val="auto"/>
        <w:sz w:val="16"/>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8">
    <w:nsid w:val="432817C4"/>
    <w:multiLevelType w:val="multilevel"/>
    <w:tmpl w:val="3C50564A"/>
    <w:lvl w:ilvl="0">
      <w:start w:val="1"/>
      <w:numFmt w:val="decimal"/>
      <w:lvlText w:val="%1."/>
      <w:lvlJc w:val="left"/>
      <w:pPr>
        <w:tabs>
          <w:tab w:val="num" w:pos="1080"/>
        </w:tabs>
        <w:ind w:left="0" w:firstLine="720"/>
      </w:pPr>
      <w:rPr>
        <w:rFonts w:ascii="Times New Roman" w:hAnsi="Times New Roman" w:hint="default"/>
        <w:b w:val="0"/>
        <w:i w:val="0"/>
        <w:sz w:val="24"/>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0A21FC2"/>
    <w:multiLevelType w:val="hybridMultilevel"/>
    <w:tmpl w:val="DBBAF81E"/>
    <w:lvl w:ilvl="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start w:val="1"/>
      <w:numFmt w:val="bullet"/>
      <w:lvlText w:val=""/>
      <w:lvlJc w:val="left"/>
      <w:pPr>
        <w:tabs>
          <w:tab w:val="num" w:pos="1440"/>
        </w:tabs>
        <w:ind w:left="1440" w:hanging="360"/>
      </w:pPr>
      <w:rPr>
        <w:rFonts w:ascii="Wingdings" w:hAnsi="Wingdings" w:hint="default"/>
        <w:b w:val="0"/>
        <w:color w:val="auto"/>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1E163B5"/>
    <w:multiLevelType w:val="hybridMultilevel"/>
    <w:tmpl w:val="E2325D3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12">
    <w:nsid w:val="560256BB"/>
    <w:multiLevelType w:val="hybridMultilevel"/>
    <w:tmpl w:val="232E04A8"/>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3">
    <w:nsid w:val="575C2E3D"/>
    <w:multiLevelType w:val="singleLevel"/>
    <w:tmpl w:val="9D8455C4"/>
    <w:lvl w:ilvl="0">
      <w:start w:val="1"/>
      <w:numFmt w:val="upperRoman"/>
      <w:lvlText w:val="%1."/>
      <w:lvlJc w:val="left"/>
      <w:pPr>
        <w:tabs>
          <w:tab w:val="num" w:pos="720"/>
        </w:tabs>
        <w:ind w:left="720" w:hanging="720"/>
      </w:pPr>
      <w:rPr>
        <w:rFonts w:hint="default"/>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AE342B4"/>
    <w:multiLevelType w:val="singleLevel"/>
    <w:tmpl w:val="A8B6F512"/>
    <w:lvl w:ilvl="0">
      <w:start w:val="1"/>
      <w:numFmt w:val="decimal"/>
      <w:lvlText w:val="%1."/>
      <w:lvlJc w:val="left"/>
      <w:pPr>
        <w:tabs>
          <w:tab w:val="num" w:pos="1080"/>
        </w:tabs>
        <w:ind w:left="0" w:firstLine="720"/>
      </w:pPr>
      <w:rPr>
        <w:rFonts w:ascii="Times New Roman" w:hAnsi="Times New Roman" w:hint="default"/>
        <w:b w:val="0"/>
        <w:i w:val="0"/>
        <w:sz w:val="24"/>
      </w:rPr>
    </w:lvl>
  </w:abstractNum>
  <w:num w:numId="1">
    <w:abstractNumId w:val="8"/>
  </w:num>
  <w:num w:numId="2">
    <w:abstractNumId w:val="13"/>
  </w:num>
  <w:num w:numId="3">
    <w:abstractNumId w:val="2"/>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2"/>
  </w:num>
  <w:num w:numId="9">
    <w:abstractNumId w:val="14"/>
  </w:num>
  <w:num w:numId="10">
    <w:abstractNumId w:val="0"/>
    <w:lvlOverride w:ilvl="0">
      <w:lvl w:ilvl="0">
        <w:start w:val="0"/>
        <w:numFmt w:val="bullet"/>
        <w:pStyle w:val="par1"/>
        <w:lvlText w:val=""/>
        <w:legacy w:legacy="1" w:legacySpace="0" w:legacyIndent="360"/>
        <w:lvlJc w:val="left"/>
        <w:rPr>
          <w:rFonts w:ascii="Symbol" w:hAnsi="Symbol" w:hint="default"/>
        </w:rPr>
      </w:lvl>
    </w:lvlOverride>
  </w:num>
  <w:num w:numId="11">
    <w:abstractNumId w:val="11"/>
  </w:num>
  <w:num w:numId="12">
    <w:abstractNumId w:val="4"/>
  </w:num>
  <w:num w:numId="13">
    <w:abstractNumId w:val="6"/>
  </w:num>
  <w:num w:numId="14">
    <w:abstractNumId w:val="9"/>
  </w:num>
  <w:num w:numId="15">
    <w:abstractNumId w:val="5"/>
  </w:num>
  <w:num w:numId="16">
    <w:abstractNumId w:val="1"/>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0"/>
    <w:lvlOverride w:ilvl="0">
      <w:lvl w:ilvl="0">
        <w:start w:val="0"/>
        <w:numFmt w:val="bullet"/>
        <w:pStyle w:val="par1"/>
        <w:lvlText w:val=""/>
        <w:legacy w:legacy="1" w:legacySpace="0" w:legacyIndent="360"/>
        <w:lvlJc w:val="left"/>
        <w:rPr>
          <w:rFonts w:ascii="Symbol" w:hAnsi="Symbol" w:hint="default"/>
        </w:rPr>
      </w:lvl>
    </w:lvlOverride>
  </w:num>
  <w:num w:numId="28">
    <w:abstractNumId w:val="0"/>
    <w:lvlOverride w:ilvl="0">
      <w:lvl w:ilvl="0">
        <w:start w:val="0"/>
        <w:numFmt w:val="bullet"/>
        <w:pStyle w:val="par1"/>
        <w:lvlText w:val=""/>
        <w:legacy w:legacy="1" w:legacySpace="0" w:legacyIndent="360"/>
        <w:lvlJc w:val="left"/>
        <w:rPr>
          <w:rFonts w:ascii="Symbol" w:hAnsi="Symbol" w:hint="default"/>
        </w:rPr>
      </w:lvl>
    </w:lvlOverride>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A1"/>
    <w:rsid w:val="00003B2D"/>
    <w:rsid w:val="00006E99"/>
    <w:rsid w:val="00007CB1"/>
    <w:rsid w:val="00016EE8"/>
    <w:rsid w:val="00017A7B"/>
    <w:rsid w:val="0002016C"/>
    <w:rsid w:val="000214B8"/>
    <w:rsid w:val="0002156B"/>
    <w:rsid w:val="0002375C"/>
    <w:rsid w:val="000426B5"/>
    <w:rsid w:val="00042D3A"/>
    <w:rsid w:val="00053111"/>
    <w:rsid w:val="00065988"/>
    <w:rsid w:val="000732A2"/>
    <w:rsid w:val="00077577"/>
    <w:rsid w:val="00087BA5"/>
    <w:rsid w:val="00096FC3"/>
    <w:rsid w:val="000A6B4F"/>
    <w:rsid w:val="000C4BF8"/>
    <w:rsid w:val="000D0910"/>
    <w:rsid w:val="000D532F"/>
    <w:rsid w:val="0010276E"/>
    <w:rsid w:val="00122015"/>
    <w:rsid w:val="00140ABB"/>
    <w:rsid w:val="001536C5"/>
    <w:rsid w:val="00155F36"/>
    <w:rsid w:val="0016387C"/>
    <w:rsid w:val="0017294B"/>
    <w:rsid w:val="001729D4"/>
    <w:rsid w:val="00172FB7"/>
    <w:rsid w:val="00175DE5"/>
    <w:rsid w:val="00175E75"/>
    <w:rsid w:val="001946C5"/>
    <w:rsid w:val="00197375"/>
    <w:rsid w:val="001A312E"/>
    <w:rsid w:val="001A697A"/>
    <w:rsid w:val="001B17F8"/>
    <w:rsid w:val="001B51E3"/>
    <w:rsid w:val="001D52C9"/>
    <w:rsid w:val="001D56D9"/>
    <w:rsid w:val="001F520E"/>
    <w:rsid w:val="00203B93"/>
    <w:rsid w:val="00211BC2"/>
    <w:rsid w:val="00213BBA"/>
    <w:rsid w:val="00216794"/>
    <w:rsid w:val="00216D1C"/>
    <w:rsid w:val="002459A8"/>
    <w:rsid w:val="0026652A"/>
    <w:rsid w:val="0027200E"/>
    <w:rsid w:val="002735F3"/>
    <w:rsid w:val="00276C98"/>
    <w:rsid w:val="0028281D"/>
    <w:rsid w:val="00282F70"/>
    <w:rsid w:val="00285B97"/>
    <w:rsid w:val="00286DE4"/>
    <w:rsid w:val="00287E26"/>
    <w:rsid w:val="002A111B"/>
    <w:rsid w:val="002A3DCD"/>
    <w:rsid w:val="002A71F5"/>
    <w:rsid w:val="002A7519"/>
    <w:rsid w:val="002D0551"/>
    <w:rsid w:val="002D2A0F"/>
    <w:rsid w:val="002D5913"/>
    <w:rsid w:val="002E5A87"/>
    <w:rsid w:val="002E6043"/>
    <w:rsid w:val="00303553"/>
    <w:rsid w:val="00305CD3"/>
    <w:rsid w:val="00305EB5"/>
    <w:rsid w:val="0030738C"/>
    <w:rsid w:val="003158B8"/>
    <w:rsid w:val="00325767"/>
    <w:rsid w:val="003264EC"/>
    <w:rsid w:val="00331129"/>
    <w:rsid w:val="0034003D"/>
    <w:rsid w:val="00340B78"/>
    <w:rsid w:val="00340BC7"/>
    <w:rsid w:val="00344C0B"/>
    <w:rsid w:val="00357476"/>
    <w:rsid w:val="003633C4"/>
    <w:rsid w:val="003648A8"/>
    <w:rsid w:val="00373669"/>
    <w:rsid w:val="003742F2"/>
    <w:rsid w:val="00380820"/>
    <w:rsid w:val="00381CBF"/>
    <w:rsid w:val="00382187"/>
    <w:rsid w:val="00383A7B"/>
    <w:rsid w:val="003843C0"/>
    <w:rsid w:val="00387F61"/>
    <w:rsid w:val="0039064F"/>
    <w:rsid w:val="00392744"/>
    <w:rsid w:val="00395A4E"/>
    <w:rsid w:val="003A00ED"/>
    <w:rsid w:val="003A34C6"/>
    <w:rsid w:val="003B51DD"/>
    <w:rsid w:val="003C312D"/>
    <w:rsid w:val="003D24EF"/>
    <w:rsid w:val="003D4241"/>
    <w:rsid w:val="003D6417"/>
    <w:rsid w:val="003E21FC"/>
    <w:rsid w:val="003E4382"/>
    <w:rsid w:val="003F4A61"/>
    <w:rsid w:val="003F601F"/>
    <w:rsid w:val="00413AC3"/>
    <w:rsid w:val="00427171"/>
    <w:rsid w:val="00427309"/>
    <w:rsid w:val="00430E52"/>
    <w:rsid w:val="00436905"/>
    <w:rsid w:val="004415E4"/>
    <w:rsid w:val="00455B41"/>
    <w:rsid w:val="0045741B"/>
    <w:rsid w:val="00467653"/>
    <w:rsid w:val="0047375C"/>
    <w:rsid w:val="00475662"/>
    <w:rsid w:val="0047761D"/>
    <w:rsid w:val="00480E7D"/>
    <w:rsid w:val="004851CD"/>
    <w:rsid w:val="004867FB"/>
    <w:rsid w:val="00487356"/>
    <w:rsid w:val="0049372F"/>
    <w:rsid w:val="004A563B"/>
    <w:rsid w:val="004A6274"/>
    <w:rsid w:val="004B2792"/>
    <w:rsid w:val="004B45A7"/>
    <w:rsid w:val="004B6E19"/>
    <w:rsid w:val="004C19E6"/>
    <w:rsid w:val="004C4397"/>
    <w:rsid w:val="004D36B5"/>
    <w:rsid w:val="004D7B4E"/>
    <w:rsid w:val="004E129A"/>
    <w:rsid w:val="004E493B"/>
    <w:rsid w:val="004F36E0"/>
    <w:rsid w:val="005109E0"/>
    <w:rsid w:val="005219C0"/>
    <w:rsid w:val="00523047"/>
    <w:rsid w:val="005233A6"/>
    <w:rsid w:val="0052375F"/>
    <w:rsid w:val="005362D6"/>
    <w:rsid w:val="005411F4"/>
    <w:rsid w:val="005444E7"/>
    <w:rsid w:val="005476AB"/>
    <w:rsid w:val="005514FC"/>
    <w:rsid w:val="005557F9"/>
    <w:rsid w:val="005619FD"/>
    <w:rsid w:val="00564984"/>
    <w:rsid w:val="00573CFE"/>
    <w:rsid w:val="00573E9F"/>
    <w:rsid w:val="00584872"/>
    <w:rsid w:val="005915CD"/>
    <w:rsid w:val="005A2B10"/>
    <w:rsid w:val="005A7F89"/>
    <w:rsid w:val="005B4427"/>
    <w:rsid w:val="005C20E6"/>
    <w:rsid w:val="005E3445"/>
    <w:rsid w:val="005E4B5E"/>
    <w:rsid w:val="005F5DAD"/>
    <w:rsid w:val="005F761E"/>
    <w:rsid w:val="0060275B"/>
    <w:rsid w:val="00607AA0"/>
    <w:rsid w:val="00610838"/>
    <w:rsid w:val="006126ED"/>
    <w:rsid w:val="00620146"/>
    <w:rsid w:val="00622519"/>
    <w:rsid w:val="00624E00"/>
    <w:rsid w:val="00625BA0"/>
    <w:rsid w:val="0065394E"/>
    <w:rsid w:val="006608B7"/>
    <w:rsid w:val="00671093"/>
    <w:rsid w:val="00674E3A"/>
    <w:rsid w:val="00677CC4"/>
    <w:rsid w:val="00681CCD"/>
    <w:rsid w:val="006A0C23"/>
    <w:rsid w:val="006A38F5"/>
    <w:rsid w:val="006A4F92"/>
    <w:rsid w:val="006B7326"/>
    <w:rsid w:val="006C306F"/>
    <w:rsid w:val="006D0F92"/>
    <w:rsid w:val="006D1783"/>
    <w:rsid w:val="006D73F2"/>
    <w:rsid w:val="006E33E0"/>
    <w:rsid w:val="006E45C3"/>
    <w:rsid w:val="006F6EEC"/>
    <w:rsid w:val="00704D2A"/>
    <w:rsid w:val="00712B90"/>
    <w:rsid w:val="007143C9"/>
    <w:rsid w:val="00716841"/>
    <w:rsid w:val="00716D74"/>
    <w:rsid w:val="00722452"/>
    <w:rsid w:val="00726175"/>
    <w:rsid w:val="00727819"/>
    <w:rsid w:val="00754083"/>
    <w:rsid w:val="00754DE8"/>
    <w:rsid w:val="00754F52"/>
    <w:rsid w:val="007550AD"/>
    <w:rsid w:val="0075606F"/>
    <w:rsid w:val="00772DDD"/>
    <w:rsid w:val="00774F5A"/>
    <w:rsid w:val="00796CF4"/>
    <w:rsid w:val="007A5EF2"/>
    <w:rsid w:val="007B1E9A"/>
    <w:rsid w:val="007B3224"/>
    <w:rsid w:val="007B3294"/>
    <w:rsid w:val="007C0C63"/>
    <w:rsid w:val="007C568D"/>
    <w:rsid w:val="007D3897"/>
    <w:rsid w:val="007D40D2"/>
    <w:rsid w:val="007D5402"/>
    <w:rsid w:val="007E52F2"/>
    <w:rsid w:val="007E53B8"/>
    <w:rsid w:val="00804BF5"/>
    <w:rsid w:val="00810B3F"/>
    <w:rsid w:val="00816F70"/>
    <w:rsid w:val="008274F6"/>
    <w:rsid w:val="00831B8F"/>
    <w:rsid w:val="00832E39"/>
    <w:rsid w:val="00835A57"/>
    <w:rsid w:val="00843138"/>
    <w:rsid w:val="00844A7B"/>
    <w:rsid w:val="00846BC0"/>
    <w:rsid w:val="00846FBF"/>
    <w:rsid w:val="00850748"/>
    <w:rsid w:val="008519CE"/>
    <w:rsid w:val="00875640"/>
    <w:rsid w:val="00880472"/>
    <w:rsid w:val="00882921"/>
    <w:rsid w:val="0088797D"/>
    <w:rsid w:val="008A2184"/>
    <w:rsid w:val="008A7EE3"/>
    <w:rsid w:val="008B1CAC"/>
    <w:rsid w:val="008B6EE7"/>
    <w:rsid w:val="008B7C9E"/>
    <w:rsid w:val="008D2207"/>
    <w:rsid w:val="008E0506"/>
    <w:rsid w:val="008E69E9"/>
    <w:rsid w:val="008E727A"/>
    <w:rsid w:val="008F05BB"/>
    <w:rsid w:val="008F3246"/>
    <w:rsid w:val="008F7F2E"/>
    <w:rsid w:val="00906393"/>
    <w:rsid w:val="009115B1"/>
    <w:rsid w:val="00914587"/>
    <w:rsid w:val="00915E6A"/>
    <w:rsid w:val="009172DF"/>
    <w:rsid w:val="00923FEC"/>
    <w:rsid w:val="009246B1"/>
    <w:rsid w:val="00926DC8"/>
    <w:rsid w:val="00926DFA"/>
    <w:rsid w:val="00943DCE"/>
    <w:rsid w:val="00954880"/>
    <w:rsid w:val="00954E26"/>
    <w:rsid w:val="009574C7"/>
    <w:rsid w:val="00960613"/>
    <w:rsid w:val="0096278A"/>
    <w:rsid w:val="00963499"/>
    <w:rsid w:val="009752DF"/>
    <w:rsid w:val="00976954"/>
    <w:rsid w:val="0098215F"/>
    <w:rsid w:val="00984CAB"/>
    <w:rsid w:val="00985A4C"/>
    <w:rsid w:val="009A37E6"/>
    <w:rsid w:val="009A79A8"/>
    <w:rsid w:val="009C5D7E"/>
    <w:rsid w:val="009D0541"/>
    <w:rsid w:val="009D2ABC"/>
    <w:rsid w:val="009E2F52"/>
    <w:rsid w:val="009F084F"/>
    <w:rsid w:val="009F0926"/>
    <w:rsid w:val="009F11A1"/>
    <w:rsid w:val="009F1AB1"/>
    <w:rsid w:val="00A007F6"/>
    <w:rsid w:val="00A03C76"/>
    <w:rsid w:val="00A07DA6"/>
    <w:rsid w:val="00A14A2D"/>
    <w:rsid w:val="00A16299"/>
    <w:rsid w:val="00A304A9"/>
    <w:rsid w:val="00A369C1"/>
    <w:rsid w:val="00A46613"/>
    <w:rsid w:val="00A538FA"/>
    <w:rsid w:val="00A57778"/>
    <w:rsid w:val="00A640B0"/>
    <w:rsid w:val="00A72EB1"/>
    <w:rsid w:val="00A75FA7"/>
    <w:rsid w:val="00A772FC"/>
    <w:rsid w:val="00A82D00"/>
    <w:rsid w:val="00AA5E72"/>
    <w:rsid w:val="00AB7264"/>
    <w:rsid w:val="00AC0692"/>
    <w:rsid w:val="00AD0726"/>
    <w:rsid w:val="00AD60FE"/>
    <w:rsid w:val="00AD7848"/>
    <w:rsid w:val="00AE3A9C"/>
    <w:rsid w:val="00AE6BB8"/>
    <w:rsid w:val="00AF1995"/>
    <w:rsid w:val="00AF3C28"/>
    <w:rsid w:val="00B0066E"/>
    <w:rsid w:val="00B064BC"/>
    <w:rsid w:val="00B13F06"/>
    <w:rsid w:val="00B14681"/>
    <w:rsid w:val="00B27008"/>
    <w:rsid w:val="00B27060"/>
    <w:rsid w:val="00B339ED"/>
    <w:rsid w:val="00B41F9C"/>
    <w:rsid w:val="00B45389"/>
    <w:rsid w:val="00B540F5"/>
    <w:rsid w:val="00B63F46"/>
    <w:rsid w:val="00B6524D"/>
    <w:rsid w:val="00B74A41"/>
    <w:rsid w:val="00B76704"/>
    <w:rsid w:val="00B925E3"/>
    <w:rsid w:val="00B93820"/>
    <w:rsid w:val="00B95829"/>
    <w:rsid w:val="00B95DCD"/>
    <w:rsid w:val="00BC1C93"/>
    <w:rsid w:val="00BC5B64"/>
    <w:rsid w:val="00BD4CCB"/>
    <w:rsid w:val="00BD5A2B"/>
    <w:rsid w:val="00BF3B58"/>
    <w:rsid w:val="00BF4014"/>
    <w:rsid w:val="00BF4987"/>
    <w:rsid w:val="00C03DA5"/>
    <w:rsid w:val="00C1625F"/>
    <w:rsid w:val="00C244DF"/>
    <w:rsid w:val="00C27532"/>
    <w:rsid w:val="00C32931"/>
    <w:rsid w:val="00C32F47"/>
    <w:rsid w:val="00C63243"/>
    <w:rsid w:val="00C644D4"/>
    <w:rsid w:val="00C67E07"/>
    <w:rsid w:val="00C71E34"/>
    <w:rsid w:val="00C873E3"/>
    <w:rsid w:val="00C916D0"/>
    <w:rsid w:val="00C97A34"/>
    <w:rsid w:val="00CA6AD7"/>
    <w:rsid w:val="00CA796D"/>
    <w:rsid w:val="00CB0C3B"/>
    <w:rsid w:val="00CB3197"/>
    <w:rsid w:val="00CC1731"/>
    <w:rsid w:val="00CD3527"/>
    <w:rsid w:val="00CE2FA2"/>
    <w:rsid w:val="00CE6436"/>
    <w:rsid w:val="00CF29F3"/>
    <w:rsid w:val="00CF5414"/>
    <w:rsid w:val="00CF5ECA"/>
    <w:rsid w:val="00D015F1"/>
    <w:rsid w:val="00D037CF"/>
    <w:rsid w:val="00D05FDD"/>
    <w:rsid w:val="00D06C43"/>
    <w:rsid w:val="00D12C53"/>
    <w:rsid w:val="00D14185"/>
    <w:rsid w:val="00D16BAA"/>
    <w:rsid w:val="00D17D9A"/>
    <w:rsid w:val="00D2320D"/>
    <w:rsid w:val="00D321F7"/>
    <w:rsid w:val="00D43111"/>
    <w:rsid w:val="00D4584B"/>
    <w:rsid w:val="00D61146"/>
    <w:rsid w:val="00D65042"/>
    <w:rsid w:val="00D66787"/>
    <w:rsid w:val="00D74257"/>
    <w:rsid w:val="00D85612"/>
    <w:rsid w:val="00D87306"/>
    <w:rsid w:val="00D87E6F"/>
    <w:rsid w:val="00D9530F"/>
    <w:rsid w:val="00DA17CB"/>
    <w:rsid w:val="00DB0BD4"/>
    <w:rsid w:val="00DB27A2"/>
    <w:rsid w:val="00DE6AA0"/>
    <w:rsid w:val="00DF5146"/>
    <w:rsid w:val="00E043F8"/>
    <w:rsid w:val="00E055F0"/>
    <w:rsid w:val="00E16B06"/>
    <w:rsid w:val="00E2064A"/>
    <w:rsid w:val="00E2138B"/>
    <w:rsid w:val="00E51AEB"/>
    <w:rsid w:val="00E6565D"/>
    <w:rsid w:val="00E677B4"/>
    <w:rsid w:val="00E76BB4"/>
    <w:rsid w:val="00E9036A"/>
    <w:rsid w:val="00E91AD7"/>
    <w:rsid w:val="00EA1CB0"/>
    <w:rsid w:val="00EA3D71"/>
    <w:rsid w:val="00EA671C"/>
    <w:rsid w:val="00EB1E35"/>
    <w:rsid w:val="00EB2B7A"/>
    <w:rsid w:val="00EB3C8B"/>
    <w:rsid w:val="00EC393B"/>
    <w:rsid w:val="00EC3F96"/>
    <w:rsid w:val="00EC412C"/>
    <w:rsid w:val="00ED2A01"/>
    <w:rsid w:val="00ED6ECA"/>
    <w:rsid w:val="00EE33F3"/>
    <w:rsid w:val="00EE68D3"/>
    <w:rsid w:val="00EE68E4"/>
    <w:rsid w:val="00EE7AA5"/>
    <w:rsid w:val="00EF4E46"/>
    <w:rsid w:val="00EF5F55"/>
    <w:rsid w:val="00EF66B4"/>
    <w:rsid w:val="00F012A0"/>
    <w:rsid w:val="00F0180A"/>
    <w:rsid w:val="00F06E41"/>
    <w:rsid w:val="00F104C3"/>
    <w:rsid w:val="00F14821"/>
    <w:rsid w:val="00F165FC"/>
    <w:rsid w:val="00F25F0C"/>
    <w:rsid w:val="00F31408"/>
    <w:rsid w:val="00F53E7E"/>
    <w:rsid w:val="00F65D94"/>
    <w:rsid w:val="00F812C5"/>
    <w:rsid w:val="00F8325E"/>
    <w:rsid w:val="00F8618A"/>
    <w:rsid w:val="00FB332B"/>
    <w:rsid w:val="00FC4ABC"/>
    <w:rsid w:val="00FD4E1F"/>
    <w:rsid w:val="00FD7AFC"/>
    <w:rsid w:val="00FE1DF9"/>
    <w:rsid w:val="00FF21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C2B3A2F7-58EF-4452-A652-94A875DF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C9E"/>
    <w:pPr>
      <w:widowControl w:val="0"/>
    </w:pPr>
    <w:rPr>
      <w:snapToGrid w:val="0"/>
      <w:kern w:val="28"/>
      <w:sz w:val="22"/>
    </w:rPr>
  </w:style>
  <w:style w:type="paragraph" w:styleId="Heading1">
    <w:name w:val="heading 1"/>
    <w:basedOn w:val="Normal"/>
    <w:next w:val="ParaNum"/>
    <w:qFormat/>
    <w:rsid w:val="008B7C9E"/>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B7C9E"/>
    <w:pPr>
      <w:keepNext/>
      <w:numPr>
        <w:ilvl w:val="1"/>
        <w:numId w:val="13"/>
      </w:numPr>
      <w:spacing w:after="120"/>
      <w:outlineLvl w:val="1"/>
    </w:pPr>
    <w:rPr>
      <w:b/>
    </w:rPr>
  </w:style>
  <w:style w:type="paragraph" w:styleId="Heading3">
    <w:name w:val="heading 3"/>
    <w:basedOn w:val="Normal"/>
    <w:next w:val="ParaNum"/>
    <w:link w:val="Heading3Char"/>
    <w:qFormat/>
    <w:rsid w:val="008B7C9E"/>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8B7C9E"/>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8B7C9E"/>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8B7C9E"/>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8B7C9E"/>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8B7C9E"/>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B7C9E"/>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B7C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7C9E"/>
  </w:style>
  <w:style w:type="paragraph" w:styleId="Header">
    <w:name w:val="header"/>
    <w:basedOn w:val="Normal"/>
    <w:link w:val="HeaderChar"/>
    <w:autoRedefine/>
    <w:rsid w:val="008B7C9E"/>
    <w:pPr>
      <w:tabs>
        <w:tab w:val="center" w:pos="4680"/>
        <w:tab w:val="right" w:pos="9360"/>
      </w:tabs>
    </w:pPr>
    <w:rPr>
      <w:b/>
    </w:rPr>
  </w:style>
  <w:style w:type="paragraph" w:styleId="Footer">
    <w:name w:val="footer"/>
    <w:basedOn w:val="Normal"/>
    <w:link w:val="FooterChar"/>
    <w:uiPriority w:val="99"/>
    <w:rsid w:val="008B7C9E"/>
    <w:pPr>
      <w:tabs>
        <w:tab w:val="center" w:pos="4320"/>
        <w:tab w:val="right" w:pos="8640"/>
      </w:tabs>
    </w:pPr>
  </w:style>
  <w:style w:type="character" w:styleId="PageNumber">
    <w:name w:val="page number"/>
    <w:basedOn w:val="DefaultParagraphFont"/>
    <w:rsid w:val="008B7C9E"/>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8B7C9E"/>
    <w:rPr>
      <w:rFonts w:ascii="Times New Roman" w:hAnsi="Times New Roman"/>
      <w:dstrike w:val="0"/>
      <w:color w:val="auto"/>
      <w:sz w:val="20"/>
      <w:vertAlign w:val="superscript"/>
    </w:rPr>
  </w:style>
  <w:style w:type="paragraph" w:styleId="FootnoteText">
    <w:name w:val="footnote text"/>
    <w:aliases w:val="Footnote Text Char,Footnote Text Char Char,Footnote Text Char Char Char,Footnote Text Char1,Footnote Text Char1 Char,Footnote Text Char1 Char Char Char,Styl,f,rrfootnote,rrfootnote Char Char,rrfootnote Char Char Char Char,rrfootnote Char1"/>
    <w:link w:val="FootnoteTextChar2"/>
    <w:rsid w:val="008B7C9E"/>
    <w:pPr>
      <w:spacing w:after="120"/>
    </w:pPr>
  </w:style>
  <w:style w:type="paragraph" w:styleId="BodyText">
    <w:name w:val="Body Text"/>
    <w:basedOn w:val="Normal"/>
    <w:rPr>
      <w:snapToGrid/>
    </w:rPr>
  </w:style>
  <w:style w:type="paragraph" w:styleId="Title">
    <w:name w:val="Title"/>
    <w:basedOn w:val="Normal"/>
    <w:qFormat/>
    <w:pPr>
      <w:tabs>
        <w:tab w:val="center" w:pos="4770"/>
      </w:tabs>
      <w:spacing w:line="226" w:lineRule="auto"/>
      <w:jc w:val="center"/>
    </w:pPr>
    <w:rPr>
      <w:b/>
    </w:rPr>
  </w:style>
  <w:style w:type="paragraph" w:styleId="EndnoteText">
    <w:name w:val="endnote text"/>
    <w:basedOn w:val="Normal"/>
    <w:semiHidden/>
    <w:rsid w:val="008B7C9E"/>
    <w:rPr>
      <w:sz w:val="20"/>
    </w:rPr>
  </w:style>
  <w:style w:type="character" w:styleId="EndnoteReference">
    <w:name w:val="endnote reference"/>
    <w:semiHidden/>
    <w:rsid w:val="008B7C9E"/>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6">
    <w:name w:val="toc 6"/>
    <w:basedOn w:val="Normal"/>
    <w:next w:val="Normal"/>
    <w:autoRedefine/>
    <w:semiHidden/>
    <w:rsid w:val="008B7C9E"/>
    <w:pPr>
      <w:tabs>
        <w:tab w:val="left" w:pos="2160"/>
        <w:tab w:val="right" w:leader="dot" w:pos="9360"/>
      </w:tabs>
      <w:suppressAutoHyphens/>
      <w:ind w:left="2160" w:hanging="360"/>
    </w:pPr>
    <w:rPr>
      <w:noProof/>
    </w:rPr>
  </w:style>
  <w:style w:type="paragraph" w:customStyle="1" w:styleId="Style0">
    <w:name w:val="Style0"/>
    <w:rPr>
      <w:rFonts w:ascii="Arial" w:hAnsi="Arial"/>
      <w:snapToGrid w:val="0"/>
      <w:sz w:val="24"/>
    </w:rPr>
  </w:style>
  <w:style w:type="paragraph" w:styleId="BodyText2">
    <w:name w:val="Body Text 2"/>
    <w:basedOn w:val="Normal"/>
    <w:rsid w:val="009F11A1"/>
    <w:pPr>
      <w:spacing w:after="120" w:line="480" w:lineRule="auto"/>
    </w:pPr>
  </w:style>
  <w:style w:type="character" w:customStyle="1" w:styleId="FootnoteTextChar2">
    <w:name w:val="Footnote Text Char2"/>
    <w:aliases w:val="Footnote Text Char Char Char Char,Footnote Text Char Char Char1,Footnote Text Char Char1,Footnote Text Char1 Char Char,Footnote Text Char1 Char1,Styl Char,f Char,rrfootnote Char Char Char,rrfootnote Char1 Char,rrfootnote Char2"/>
    <w:link w:val="FootnoteText"/>
    <w:rsid w:val="002D2A0F"/>
  </w:style>
  <w:style w:type="character" w:customStyle="1" w:styleId="FootnoteTextCharCharCharCharChar">
    <w:name w:val="Footnote Text Char Char Char Char Char"/>
    <w:aliases w:val="Footnote Text Char1 Char Char Char Char Char,rrfootnote Char1 Char Char Char Char Char"/>
    <w:rsid w:val="00211BC2"/>
    <w:rPr>
      <w:snapToGrid w:val="0"/>
      <w:sz w:val="22"/>
      <w:szCs w:val="22"/>
      <w:lang w:val="en-US" w:eastAsia="en-US" w:bidi="ar-SA"/>
    </w:rPr>
  </w:style>
  <w:style w:type="character" w:styleId="Hyperlink">
    <w:name w:val="Hyperlink"/>
    <w:rsid w:val="008B7C9E"/>
    <w:rPr>
      <w:color w:val="0000FF"/>
      <w:u w:val="single"/>
    </w:rPr>
  </w:style>
  <w:style w:type="character" w:customStyle="1" w:styleId="documentbody">
    <w:name w:val="documentbody"/>
    <w:basedOn w:val="DefaultParagraphFont"/>
    <w:rsid w:val="00963499"/>
  </w:style>
  <w:style w:type="character" w:customStyle="1" w:styleId="searchterm">
    <w:name w:val="searchterm"/>
    <w:basedOn w:val="DefaultParagraphFont"/>
    <w:rsid w:val="00963499"/>
  </w:style>
  <w:style w:type="character" w:customStyle="1" w:styleId="rrfootnoteChar">
    <w:name w:val="rrfootnote Char"/>
    <w:aliases w:val="Footnote Text Char Char Char Char1,Footnote Text Char1 Char Char Char Char1,Footnote Text Char1 Char Char1,rrfootnote Char Char Char1"/>
    <w:rsid w:val="00380820"/>
    <w:rPr>
      <w:lang w:val="en-US" w:eastAsia="en-US" w:bidi="ar-SA"/>
    </w:rPr>
  </w:style>
  <w:style w:type="character" w:customStyle="1" w:styleId="FootnoteCharacters">
    <w:name w:val="Footnote Characters"/>
    <w:uiPriority w:val="99"/>
    <w:rsid w:val="00B6524D"/>
    <w:rPr>
      <w:rFonts w:ascii="Times New Roman" w:hAnsi="Times New Roman"/>
      <w:color w:val="auto"/>
      <w:sz w:val="20"/>
      <w:vertAlign w:val="superscript"/>
    </w:rPr>
  </w:style>
  <w:style w:type="character" w:customStyle="1" w:styleId="ParaNumChar">
    <w:name w:val="ParaNum Char"/>
    <w:link w:val="ParaNum"/>
    <w:locked/>
    <w:rsid w:val="009A79A8"/>
    <w:rPr>
      <w:snapToGrid w:val="0"/>
      <w:kern w:val="28"/>
      <w:sz w:val="22"/>
    </w:rPr>
  </w:style>
  <w:style w:type="paragraph" w:customStyle="1" w:styleId="ParaNum">
    <w:name w:val="ParaNum"/>
    <w:basedOn w:val="Normal"/>
    <w:link w:val="ParaNumChar"/>
    <w:rsid w:val="008B7C9E"/>
    <w:pPr>
      <w:numPr>
        <w:numId w:val="9"/>
      </w:numPr>
      <w:tabs>
        <w:tab w:val="clear" w:pos="1080"/>
        <w:tab w:val="num" w:pos="1440"/>
      </w:tabs>
      <w:spacing w:after="120"/>
    </w:pPr>
  </w:style>
  <w:style w:type="paragraph" w:styleId="ListParagraph">
    <w:name w:val="List Paragraph"/>
    <w:basedOn w:val="Normal"/>
    <w:uiPriority w:val="99"/>
    <w:qFormat/>
    <w:rsid w:val="008F7F2E"/>
    <w:pPr>
      <w:ind w:left="720"/>
      <w:contextualSpacing/>
    </w:pPr>
    <w:rPr>
      <w:snapToGrid/>
    </w:rPr>
  </w:style>
  <w:style w:type="paragraph" w:customStyle="1" w:styleId="par1">
    <w:name w:val="par1"/>
    <w:basedOn w:val="Normal"/>
    <w:link w:val="par1Char"/>
    <w:uiPriority w:val="99"/>
    <w:rsid w:val="008F7F2E"/>
    <w:pPr>
      <w:numPr>
        <w:numId w:val="10"/>
      </w:numPr>
      <w:tabs>
        <w:tab w:val="left" w:pos="1440"/>
      </w:tabs>
    </w:pPr>
    <w:rPr>
      <w:snapToGrid/>
    </w:rPr>
  </w:style>
  <w:style w:type="character" w:customStyle="1" w:styleId="par1Char">
    <w:name w:val="par1 Char"/>
    <w:link w:val="par1"/>
    <w:uiPriority w:val="99"/>
    <w:locked/>
    <w:rsid w:val="008F7F2E"/>
    <w:rPr>
      <w:snapToGrid w:val="0"/>
      <w:kern w:val="28"/>
    </w:rPr>
  </w:style>
  <w:style w:type="character" w:customStyle="1" w:styleId="Heading3Char">
    <w:name w:val="Heading 3 Char"/>
    <w:basedOn w:val="DefaultParagraphFont"/>
    <w:link w:val="Heading3"/>
    <w:rsid w:val="00CF5ECA"/>
    <w:rPr>
      <w:b/>
      <w:snapToGrid w:val="0"/>
      <w:kern w:val="28"/>
      <w:sz w:val="22"/>
    </w:rPr>
  </w:style>
  <w:style w:type="character" w:customStyle="1" w:styleId="Heading4Char">
    <w:name w:val="Heading 4 Char"/>
    <w:basedOn w:val="DefaultParagraphFont"/>
    <w:link w:val="Heading4"/>
    <w:rsid w:val="00CF5ECA"/>
    <w:rPr>
      <w:b/>
      <w:snapToGrid w:val="0"/>
      <w:kern w:val="28"/>
      <w:sz w:val="22"/>
    </w:rPr>
  </w:style>
  <w:style w:type="character" w:customStyle="1" w:styleId="Heading5Char">
    <w:name w:val="Heading 5 Char"/>
    <w:basedOn w:val="DefaultParagraphFont"/>
    <w:link w:val="Heading5"/>
    <w:rsid w:val="00CF5ECA"/>
    <w:rPr>
      <w:b/>
      <w:snapToGrid w:val="0"/>
      <w:kern w:val="28"/>
      <w:sz w:val="22"/>
    </w:rPr>
  </w:style>
  <w:style w:type="character" w:customStyle="1" w:styleId="Heading6Char">
    <w:name w:val="Heading 6 Char"/>
    <w:basedOn w:val="DefaultParagraphFont"/>
    <w:link w:val="Heading6"/>
    <w:rsid w:val="00CF5ECA"/>
    <w:rPr>
      <w:b/>
      <w:snapToGrid w:val="0"/>
      <w:kern w:val="28"/>
      <w:sz w:val="22"/>
    </w:rPr>
  </w:style>
  <w:style w:type="character" w:customStyle="1" w:styleId="Heading7Char">
    <w:name w:val="Heading 7 Char"/>
    <w:basedOn w:val="DefaultParagraphFont"/>
    <w:link w:val="Heading7"/>
    <w:rsid w:val="00CF5ECA"/>
    <w:rPr>
      <w:b/>
      <w:snapToGrid w:val="0"/>
      <w:kern w:val="28"/>
      <w:sz w:val="22"/>
    </w:rPr>
  </w:style>
  <w:style w:type="character" w:customStyle="1" w:styleId="Heading8Char">
    <w:name w:val="Heading 8 Char"/>
    <w:basedOn w:val="DefaultParagraphFont"/>
    <w:link w:val="Heading8"/>
    <w:rsid w:val="00CF5ECA"/>
    <w:rPr>
      <w:b/>
      <w:snapToGrid w:val="0"/>
      <w:kern w:val="28"/>
      <w:sz w:val="22"/>
    </w:rPr>
  </w:style>
  <w:style w:type="character" w:customStyle="1" w:styleId="Heading9Char">
    <w:name w:val="Heading 9 Char"/>
    <w:basedOn w:val="DefaultParagraphFont"/>
    <w:link w:val="Heading9"/>
    <w:rsid w:val="00CF5ECA"/>
    <w:rPr>
      <w:b/>
      <w:snapToGrid w:val="0"/>
      <w:kern w:val="28"/>
      <w:sz w:val="22"/>
    </w:rPr>
  </w:style>
  <w:style w:type="paragraph" w:styleId="TOC1">
    <w:name w:val="toc 1"/>
    <w:basedOn w:val="Normal"/>
    <w:next w:val="Normal"/>
    <w:rsid w:val="008B7C9E"/>
    <w:pPr>
      <w:tabs>
        <w:tab w:val="left" w:pos="360"/>
        <w:tab w:val="right" w:leader="dot" w:pos="9360"/>
      </w:tabs>
      <w:suppressAutoHyphens/>
      <w:ind w:left="360" w:right="720" w:hanging="360"/>
    </w:pPr>
    <w:rPr>
      <w:caps/>
      <w:noProof/>
    </w:rPr>
  </w:style>
  <w:style w:type="paragraph" w:styleId="TOC2">
    <w:name w:val="toc 2"/>
    <w:basedOn w:val="Normal"/>
    <w:next w:val="Normal"/>
    <w:rsid w:val="008B7C9E"/>
    <w:pPr>
      <w:tabs>
        <w:tab w:val="left" w:pos="720"/>
        <w:tab w:val="right" w:leader="dot" w:pos="9360"/>
      </w:tabs>
      <w:suppressAutoHyphens/>
      <w:ind w:left="720" w:right="720" w:hanging="360"/>
    </w:pPr>
    <w:rPr>
      <w:noProof/>
    </w:rPr>
  </w:style>
  <w:style w:type="paragraph" w:styleId="TOC3">
    <w:name w:val="toc 3"/>
    <w:basedOn w:val="Normal"/>
    <w:next w:val="Normal"/>
    <w:rsid w:val="008B7C9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B7C9E"/>
    <w:pPr>
      <w:tabs>
        <w:tab w:val="left" w:pos="1440"/>
        <w:tab w:val="right" w:leader="dot" w:pos="9360"/>
      </w:tabs>
      <w:suppressAutoHyphens/>
      <w:ind w:left="1440" w:right="720" w:hanging="360"/>
    </w:pPr>
    <w:rPr>
      <w:noProof/>
    </w:rPr>
  </w:style>
  <w:style w:type="paragraph" w:styleId="TOC5">
    <w:name w:val="toc 5"/>
    <w:basedOn w:val="Normal"/>
    <w:next w:val="Normal"/>
    <w:autoRedefine/>
    <w:rsid w:val="008B7C9E"/>
    <w:pPr>
      <w:tabs>
        <w:tab w:val="left" w:pos="1800"/>
        <w:tab w:val="right" w:leader="dot" w:pos="9360"/>
      </w:tabs>
      <w:suppressAutoHyphens/>
      <w:ind w:left="1800" w:right="720" w:hanging="360"/>
    </w:pPr>
    <w:rPr>
      <w:noProof/>
    </w:rPr>
  </w:style>
  <w:style w:type="paragraph" w:styleId="TOC7">
    <w:name w:val="toc 7"/>
    <w:basedOn w:val="Normal"/>
    <w:next w:val="Normal"/>
    <w:autoRedefine/>
    <w:rsid w:val="008B7C9E"/>
    <w:pPr>
      <w:tabs>
        <w:tab w:val="left" w:pos="2520"/>
        <w:tab w:val="right" w:leader="dot" w:pos="9360"/>
      </w:tabs>
      <w:suppressAutoHyphens/>
      <w:ind w:left="2520" w:hanging="360"/>
    </w:pPr>
    <w:rPr>
      <w:noProof/>
    </w:rPr>
  </w:style>
  <w:style w:type="paragraph" w:styleId="TOC8">
    <w:name w:val="toc 8"/>
    <w:basedOn w:val="Normal"/>
    <w:next w:val="Normal"/>
    <w:autoRedefine/>
    <w:rsid w:val="008B7C9E"/>
    <w:pPr>
      <w:tabs>
        <w:tab w:val="left" w:pos="2880"/>
        <w:tab w:val="right" w:leader="dot" w:pos="9360"/>
      </w:tabs>
      <w:suppressAutoHyphens/>
      <w:ind w:left="2880" w:hanging="360"/>
    </w:pPr>
    <w:rPr>
      <w:noProof/>
    </w:rPr>
  </w:style>
  <w:style w:type="paragraph" w:styleId="TOC9">
    <w:name w:val="toc 9"/>
    <w:basedOn w:val="Normal"/>
    <w:next w:val="Normal"/>
    <w:autoRedefine/>
    <w:rsid w:val="008B7C9E"/>
    <w:pPr>
      <w:tabs>
        <w:tab w:val="left" w:pos="3240"/>
        <w:tab w:val="right" w:leader="dot" w:pos="9360"/>
      </w:tabs>
      <w:suppressAutoHyphens/>
      <w:ind w:left="3240" w:hanging="360"/>
    </w:pPr>
    <w:rPr>
      <w:noProof/>
    </w:rPr>
  </w:style>
  <w:style w:type="paragraph" w:styleId="TOAHeading">
    <w:name w:val="toa heading"/>
    <w:basedOn w:val="Normal"/>
    <w:next w:val="Normal"/>
    <w:rsid w:val="008B7C9E"/>
    <w:pPr>
      <w:tabs>
        <w:tab w:val="right" w:pos="9360"/>
      </w:tabs>
      <w:suppressAutoHyphens/>
    </w:pPr>
  </w:style>
  <w:style w:type="character" w:customStyle="1" w:styleId="EquationCaption">
    <w:name w:val="_Equation Caption"/>
    <w:rsid w:val="008B7C9E"/>
  </w:style>
  <w:style w:type="paragraph" w:styleId="BlockText">
    <w:name w:val="Block Text"/>
    <w:basedOn w:val="Normal"/>
    <w:rsid w:val="008B7C9E"/>
    <w:pPr>
      <w:spacing w:after="240"/>
      <w:ind w:left="1440" w:right="1440"/>
    </w:pPr>
  </w:style>
  <w:style w:type="paragraph" w:customStyle="1" w:styleId="Paratitle">
    <w:name w:val="Para title"/>
    <w:basedOn w:val="Normal"/>
    <w:rsid w:val="008B7C9E"/>
    <w:pPr>
      <w:tabs>
        <w:tab w:val="center" w:pos="9270"/>
      </w:tabs>
      <w:spacing w:after="240"/>
    </w:pPr>
    <w:rPr>
      <w:spacing w:val="-2"/>
    </w:rPr>
  </w:style>
  <w:style w:type="paragraph" w:customStyle="1" w:styleId="Bullet">
    <w:name w:val="Bullet"/>
    <w:basedOn w:val="Normal"/>
    <w:rsid w:val="008B7C9E"/>
    <w:pPr>
      <w:tabs>
        <w:tab w:val="left" w:pos="2160"/>
      </w:tabs>
      <w:spacing w:after="220"/>
      <w:ind w:left="2160" w:hanging="720"/>
    </w:pPr>
  </w:style>
  <w:style w:type="paragraph" w:customStyle="1" w:styleId="TableFormat">
    <w:name w:val="TableFormat"/>
    <w:basedOn w:val="Bullet"/>
    <w:rsid w:val="008B7C9E"/>
    <w:pPr>
      <w:tabs>
        <w:tab w:val="clear" w:pos="2160"/>
        <w:tab w:val="left" w:pos="5040"/>
      </w:tabs>
      <w:ind w:left="5040" w:hanging="3600"/>
    </w:pPr>
  </w:style>
  <w:style w:type="paragraph" w:customStyle="1" w:styleId="TOCTitle">
    <w:name w:val="TOC Title"/>
    <w:basedOn w:val="Normal"/>
    <w:rsid w:val="008B7C9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B7C9E"/>
    <w:pPr>
      <w:jc w:val="center"/>
    </w:pPr>
    <w:rPr>
      <w:rFonts w:ascii="Times New Roman Bold" w:hAnsi="Times New Roman Bold"/>
      <w:b/>
      <w:bCs/>
      <w:caps/>
      <w:szCs w:val="22"/>
    </w:rPr>
  </w:style>
  <w:style w:type="character" w:customStyle="1" w:styleId="HeaderChar">
    <w:name w:val="Header Char"/>
    <w:basedOn w:val="DefaultParagraphFont"/>
    <w:link w:val="Header"/>
    <w:rsid w:val="00C67E07"/>
    <w:rPr>
      <w:b/>
      <w:snapToGrid w:val="0"/>
      <w:kern w:val="28"/>
      <w:sz w:val="22"/>
    </w:rPr>
  </w:style>
  <w:style w:type="character" w:customStyle="1" w:styleId="FooterChar">
    <w:name w:val="Footer Char"/>
    <w:link w:val="Footer"/>
    <w:uiPriority w:val="99"/>
    <w:rsid w:val="008B7C9E"/>
    <w:rPr>
      <w:snapToGrid w:val="0"/>
      <w:kern w:val="28"/>
      <w:sz w:val="22"/>
    </w:rPr>
  </w:style>
  <w:style w:type="character" w:customStyle="1" w:styleId="UnresolvedMention">
    <w:name w:val="Unresolved Mention"/>
    <w:basedOn w:val="DefaultParagraphFont"/>
    <w:uiPriority w:val="99"/>
    <w:semiHidden/>
    <w:unhideWhenUsed/>
    <w:rsid w:val="00EE68D3"/>
    <w:rPr>
      <w:color w:val="605E5C"/>
      <w:shd w:val="clear" w:color="auto" w:fill="E1DFDD"/>
    </w:rPr>
  </w:style>
  <w:style w:type="character" w:styleId="CommentReference">
    <w:name w:val="annotation reference"/>
    <w:basedOn w:val="DefaultParagraphFont"/>
    <w:semiHidden/>
    <w:unhideWhenUsed/>
    <w:rsid w:val="00985A4C"/>
    <w:rPr>
      <w:sz w:val="16"/>
      <w:szCs w:val="16"/>
    </w:rPr>
  </w:style>
  <w:style w:type="paragraph" w:styleId="CommentText">
    <w:name w:val="annotation text"/>
    <w:basedOn w:val="Normal"/>
    <w:link w:val="CommentTextChar"/>
    <w:semiHidden/>
    <w:unhideWhenUsed/>
    <w:rsid w:val="00985A4C"/>
    <w:rPr>
      <w:sz w:val="20"/>
    </w:rPr>
  </w:style>
  <w:style w:type="character" w:customStyle="1" w:styleId="CommentTextChar">
    <w:name w:val="Comment Text Char"/>
    <w:basedOn w:val="DefaultParagraphFont"/>
    <w:link w:val="CommentText"/>
    <w:semiHidden/>
    <w:rsid w:val="00985A4C"/>
    <w:rPr>
      <w:snapToGrid w:val="0"/>
      <w:kern w:val="28"/>
    </w:rPr>
  </w:style>
  <w:style w:type="paragraph" w:styleId="CommentSubject">
    <w:name w:val="annotation subject"/>
    <w:basedOn w:val="CommentText"/>
    <w:next w:val="CommentText"/>
    <w:link w:val="CommentSubjectChar"/>
    <w:semiHidden/>
    <w:unhideWhenUsed/>
    <w:rsid w:val="00985A4C"/>
    <w:rPr>
      <w:b/>
      <w:bCs/>
    </w:rPr>
  </w:style>
  <w:style w:type="character" w:customStyle="1" w:styleId="CommentSubjectChar">
    <w:name w:val="Comment Subject Char"/>
    <w:basedOn w:val="CommentTextChar"/>
    <w:link w:val="CommentSubject"/>
    <w:semiHidden/>
    <w:rsid w:val="00985A4C"/>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licensing-databases/fees/wire-transfer" TargetMode="External" /><Relationship Id="rId6" Type="http://schemas.openxmlformats.org/officeDocument/2006/relationships/hyperlink" Target="https://apps.fcc.gov/FeeFiler/login.cfm" TargetMode="External" /><Relationship Id="rId7" Type="http://schemas.openxmlformats.org/officeDocument/2006/relationships/hyperlink" Target="mailto:ARINQUIRIES@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