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40D0D" w:rsidRPr="006D02B1" w:rsidP="001A6E33" w14:paraId="2842BC88" w14:textId="23677C7A">
      <w:pPr>
        <w:jc w:val="right"/>
        <w:rPr>
          <w:b/>
          <w:color w:val="000000"/>
          <w:szCs w:val="22"/>
        </w:rPr>
      </w:pPr>
      <w:r w:rsidRPr="00A60599">
        <w:rPr>
          <w:b/>
          <w:szCs w:val="22"/>
        </w:rPr>
        <w:t xml:space="preserve">DA </w:t>
      </w:r>
      <w:r w:rsidR="008F240A">
        <w:rPr>
          <w:b/>
          <w:szCs w:val="22"/>
        </w:rPr>
        <w:t>20-</w:t>
      </w:r>
      <w:r w:rsidR="0023689F">
        <w:rPr>
          <w:b/>
          <w:szCs w:val="22"/>
        </w:rPr>
        <w:t>641</w:t>
      </w:r>
    </w:p>
    <w:p w:rsidR="00340D0D" w:rsidRPr="006D02B1" w:rsidP="001A6E33" w14:paraId="23476A1A" w14:textId="0256AA41">
      <w:pPr>
        <w:jc w:val="right"/>
        <w:rPr>
          <w:b/>
          <w:szCs w:val="22"/>
        </w:rPr>
      </w:pPr>
      <w:r w:rsidRPr="006D02B1">
        <w:rPr>
          <w:b/>
          <w:szCs w:val="22"/>
        </w:rPr>
        <w:t xml:space="preserve">Released: </w:t>
      </w:r>
      <w:r w:rsidRPr="006D02B1" w:rsidR="008F240A">
        <w:rPr>
          <w:b/>
          <w:szCs w:val="22"/>
        </w:rPr>
        <w:t xml:space="preserve"> </w:t>
      </w:r>
      <w:r w:rsidRPr="006D02B1" w:rsidR="001723F3">
        <w:rPr>
          <w:b/>
          <w:szCs w:val="22"/>
        </w:rPr>
        <w:t>June 18</w:t>
      </w:r>
      <w:r w:rsidRPr="006D02B1" w:rsidR="005E4253">
        <w:rPr>
          <w:b/>
          <w:szCs w:val="22"/>
        </w:rPr>
        <w:t>, 20</w:t>
      </w:r>
      <w:r w:rsidRPr="006D02B1" w:rsidR="008F240A">
        <w:rPr>
          <w:b/>
          <w:szCs w:val="22"/>
        </w:rPr>
        <w:t>20</w:t>
      </w:r>
    </w:p>
    <w:p w:rsidR="00340D0D" w:rsidRPr="006D02B1" w:rsidP="006D64CF" w14:paraId="05BE1FDF" w14:textId="77777777">
      <w:pPr>
        <w:spacing w:after="120"/>
        <w:jc w:val="center"/>
        <w:rPr>
          <w:b/>
          <w:szCs w:val="22"/>
        </w:rPr>
      </w:pPr>
    </w:p>
    <w:p w:rsidR="0034759E" w:rsidRPr="006D02B1" w:rsidP="006D64CF" w14:paraId="69D958DE" w14:textId="365AD486">
      <w:pPr>
        <w:jc w:val="center"/>
        <w:rPr>
          <w:b/>
          <w:szCs w:val="22"/>
        </w:rPr>
      </w:pPr>
      <w:r w:rsidRPr="006D02B1">
        <w:rPr>
          <w:b/>
          <w:szCs w:val="22"/>
        </w:rPr>
        <w:t xml:space="preserve">ORDER </w:t>
      </w:r>
      <w:r w:rsidRPr="006D02B1" w:rsidR="00FE189E">
        <w:rPr>
          <w:b/>
          <w:szCs w:val="22"/>
        </w:rPr>
        <w:t xml:space="preserve">IMPLEMENTING NEW RETRANSMISSION CONSENT PROVISIONS IN TELEVISION VIEWER PROTECTION ACT </w:t>
      </w:r>
      <w:r w:rsidRPr="006D02B1">
        <w:rPr>
          <w:b/>
          <w:szCs w:val="22"/>
        </w:rPr>
        <w:t>BECOMES EFFECTIVE</w:t>
      </w:r>
      <w:r w:rsidRPr="006D02B1" w:rsidR="00FE189E">
        <w:rPr>
          <w:b/>
          <w:szCs w:val="22"/>
        </w:rPr>
        <w:t xml:space="preserve"> ON </w:t>
      </w:r>
      <w:r w:rsidRPr="006D02B1" w:rsidR="001723F3">
        <w:rPr>
          <w:b/>
          <w:szCs w:val="22"/>
        </w:rPr>
        <w:t>JULY 20, 2020</w:t>
      </w:r>
    </w:p>
    <w:p w:rsidR="006D64CF" w:rsidRPr="006D02B1" w:rsidP="006D64CF" w14:paraId="523338F4" w14:textId="77777777">
      <w:pPr>
        <w:jc w:val="center"/>
        <w:rPr>
          <w:b/>
          <w:szCs w:val="22"/>
        </w:rPr>
      </w:pPr>
    </w:p>
    <w:p w:rsidR="00340D0D" w:rsidRPr="006D02B1" w:rsidP="006D64CF" w14:paraId="121CCF98" w14:textId="4C93C080">
      <w:pPr>
        <w:jc w:val="center"/>
        <w:rPr>
          <w:b/>
          <w:szCs w:val="22"/>
        </w:rPr>
      </w:pPr>
      <w:r w:rsidRPr="006D02B1">
        <w:rPr>
          <w:b/>
          <w:szCs w:val="22"/>
        </w:rPr>
        <w:t xml:space="preserve">MB Docket No. </w:t>
      </w:r>
      <w:r w:rsidRPr="006D02B1" w:rsidR="00822934">
        <w:rPr>
          <w:b/>
          <w:szCs w:val="22"/>
        </w:rPr>
        <w:t>20-</w:t>
      </w:r>
      <w:r w:rsidRPr="006D02B1" w:rsidR="00FE189E">
        <w:rPr>
          <w:b/>
          <w:szCs w:val="22"/>
        </w:rPr>
        <w:t>3</w:t>
      </w:r>
      <w:r w:rsidRPr="006D02B1" w:rsidR="00822934">
        <w:rPr>
          <w:b/>
          <w:szCs w:val="22"/>
        </w:rPr>
        <w:t>1</w:t>
      </w:r>
    </w:p>
    <w:p w:rsidR="006D64CF" w:rsidRPr="006D02B1" w:rsidP="006D64CF" w14:paraId="7654C3B8" w14:textId="77777777">
      <w:pPr>
        <w:jc w:val="center"/>
        <w:rPr>
          <w:b/>
          <w:szCs w:val="22"/>
        </w:rPr>
      </w:pPr>
    </w:p>
    <w:p w:rsidR="00A7012E" w:rsidRPr="006D02B1" w:rsidP="001A0869" w14:paraId="560B056D" w14:textId="0D35DEB7">
      <w:pPr>
        <w:pStyle w:val="ParaNum"/>
        <w:numPr>
          <w:ilvl w:val="0"/>
          <w:numId w:val="0"/>
        </w:numPr>
        <w:ind w:firstLine="720"/>
      </w:pPr>
      <w:r w:rsidRPr="006D02B1">
        <w:t xml:space="preserve">On </w:t>
      </w:r>
      <w:r w:rsidRPr="006D02B1">
        <w:t>May</w:t>
      </w:r>
      <w:r w:rsidRPr="006D02B1">
        <w:t xml:space="preserve"> </w:t>
      </w:r>
      <w:r w:rsidRPr="006D02B1">
        <w:t>1</w:t>
      </w:r>
      <w:r w:rsidRPr="006D02B1" w:rsidR="00822934">
        <w:t>3</w:t>
      </w:r>
      <w:r w:rsidRPr="006D02B1" w:rsidR="00C340D4">
        <w:t>, 20</w:t>
      </w:r>
      <w:r w:rsidRPr="006D02B1" w:rsidR="00822934">
        <w:t>20</w:t>
      </w:r>
      <w:r w:rsidRPr="006D02B1">
        <w:t xml:space="preserve">, the </w:t>
      </w:r>
      <w:r w:rsidRPr="006D02B1">
        <w:t xml:space="preserve">Commission </w:t>
      </w:r>
      <w:r w:rsidRPr="006D02B1" w:rsidR="00822934">
        <w:t>issued</w:t>
      </w:r>
      <w:r w:rsidRPr="006D02B1">
        <w:t xml:space="preserve"> a </w:t>
      </w:r>
      <w:r w:rsidRPr="006D02B1">
        <w:rPr>
          <w:i/>
          <w:iCs/>
        </w:rPr>
        <w:t>Report and Order</w:t>
      </w:r>
      <w:r>
        <w:rPr>
          <w:rStyle w:val="FootnoteReference"/>
        </w:rPr>
        <w:footnoteReference w:id="2"/>
      </w:r>
      <w:r w:rsidRPr="006D02B1" w:rsidR="00822934">
        <w:t xml:space="preserve"> </w:t>
      </w:r>
      <w:r w:rsidRPr="006D02B1">
        <w:t>revising section 76.65 of its rules, which governs good faith negotiation of retransmission consent, to implement provisions in section 1003 of the Television Viewer Protection Act of 2019 (TVPA).</w:t>
      </w:r>
      <w:r>
        <w:rPr>
          <w:vertAlign w:val="superscript"/>
        </w:rPr>
        <w:footnoteReference w:id="3"/>
      </w:r>
      <w:r w:rsidRPr="006D02B1">
        <w:t xml:space="preserve">  </w:t>
      </w:r>
      <w:r w:rsidRPr="006D02B1" w:rsidR="00FE189E">
        <w:t>S</w:t>
      </w:r>
      <w:r w:rsidRPr="006D02B1">
        <w:t>ection 1003</w:t>
      </w:r>
      <w:r w:rsidRPr="006D02B1" w:rsidR="00FE189E">
        <w:t xml:space="preserve"> require</w:t>
      </w:r>
      <w:r w:rsidRPr="006D02B1" w:rsidR="002E5E4D">
        <w:t>s</w:t>
      </w:r>
      <w:r w:rsidRPr="006D02B1" w:rsidR="00FE189E">
        <w:t xml:space="preserve"> </w:t>
      </w:r>
      <w:r w:rsidRPr="006D02B1">
        <w:t>the Commission</w:t>
      </w:r>
      <w:r w:rsidRPr="006D02B1" w:rsidR="00FE189E">
        <w:t xml:space="preserve"> to</w:t>
      </w:r>
      <w:r w:rsidRPr="006D02B1">
        <w:t xml:space="preserve"> adopt rules that provide for negotiation of retransmission consent between “qualified multichannel video programming distributor [MVPD] buying group[s]” and “large [broadcast] station group[s]” as those terms are defined in the TVPA.</w:t>
      </w:r>
      <w:r>
        <w:rPr>
          <w:vertAlign w:val="superscript"/>
        </w:rPr>
        <w:footnoteReference w:id="4"/>
      </w:r>
      <w:r w:rsidRPr="006D02B1">
        <w:t xml:space="preserve">  </w:t>
      </w:r>
      <w:r w:rsidRPr="006D02B1" w:rsidR="00FE189E">
        <w:t xml:space="preserve">In the </w:t>
      </w:r>
      <w:r w:rsidRPr="006D02B1" w:rsidR="00FE189E">
        <w:rPr>
          <w:i/>
          <w:iCs/>
        </w:rPr>
        <w:t>Order</w:t>
      </w:r>
      <w:r w:rsidRPr="006D02B1" w:rsidR="00FE189E">
        <w:t>, the Commission</w:t>
      </w:r>
      <w:r w:rsidRPr="006D02B1" w:rsidR="00FE189E">
        <w:rPr>
          <w:i/>
          <w:iCs/>
        </w:rPr>
        <w:t xml:space="preserve"> </w:t>
      </w:r>
      <w:r w:rsidRPr="006D02B1" w:rsidR="00FE189E">
        <w:t>adopted rules that</w:t>
      </w:r>
      <w:r w:rsidRPr="006D02B1">
        <w:t xml:space="preserve">: </w:t>
      </w:r>
      <w:r w:rsidRPr="006D02B1" w:rsidR="002E5E4D">
        <w:t xml:space="preserve"> </w:t>
      </w:r>
      <w:r w:rsidRPr="006D02B1">
        <w:t xml:space="preserve">(i) define the term </w:t>
      </w:r>
      <w:bookmarkStart w:id="0" w:name="_GoBack"/>
      <w:bookmarkEnd w:id="0"/>
      <w:r w:rsidRPr="006D02B1">
        <w:t xml:space="preserve">“large station group” as used in section 1003 to mean, in relevant part, an entity whose individual television broadcast station members </w:t>
      </w:r>
      <w:r w:rsidRPr="006D02B1">
        <w:rPr>
          <w:i/>
        </w:rPr>
        <w:t>collectively</w:t>
      </w:r>
      <w:r w:rsidRPr="006D02B1">
        <w:t xml:space="preserve"> have a national audience reach of more than 20 percent;</w:t>
      </w:r>
      <w:r>
        <w:rPr>
          <w:vertAlign w:val="superscript"/>
        </w:rPr>
        <w:footnoteReference w:id="5"/>
      </w:r>
      <w:r w:rsidRPr="006D02B1">
        <w:t xml:space="preserve"> (ii) define the term “qualified MVPD buying group” as used in section 1003 to mean, in relevant part, an entity that negotiates on behalf of MVPDs that collectively serve no more than 25 percent of all households receiving service from </w:t>
      </w:r>
      <w:r w:rsidRPr="006D02B1">
        <w:rPr>
          <w:i/>
        </w:rPr>
        <w:t xml:space="preserve">any </w:t>
      </w:r>
      <w:r w:rsidRPr="006D02B1">
        <w:t>MVPD in a given local market;</w:t>
      </w:r>
      <w:r>
        <w:rPr>
          <w:vertAlign w:val="superscript"/>
        </w:rPr>
        <w:footnoteReference w:id="6"/>
      </w:r>
      <w:r w:rsidRPr="006D02B1">
        <w:t xml:space="preserve"> (iii) codify in section 76.65 of </w:t>
      </w:r>
      <w:r w:rsidRPr="006D02B1" w:rsidR="002E5E4D">
        <w:t>its</w:t>
      </w:r>
      <w:r w:rsidRPr="006D02B1">
        <w:t xml:space="preserve"> rules the provisions governing negotiation of retransmission consent between qualified MVPD buying groups and large station groups, as well as the definitions of “local market” and “multichannel video programming distributor” set forth in section 1003(b)(3)</w:t>
      </w:r>
      <w:r w:rsidRPr="006D02B1" w:rsidR="002E5E4D">
        <w:t>;</w:t>
      </w:r>
      <w:r>
        <w:rPr>
          <w:vertAlign w:val="superscript"/>
        </w:rPr>
        <w:footnoteReference w:id="7"/>
      </w:r>
      <w:r w:rsidRPr="006D02B1" w:rsidR="002E5E4D">
        <w:t xml:space="preserve"> and (iv) </w:t>
      </w:r>
      <w:r w:rsidRPr="006D02B1">
        <w:t>make minor conforming changes to section 76.65.</w:t>
      </w:r>
      <w:r>
        <w:rPr>
          <w:vertAlign w:val="superscript"/>
        </w:rPr>
        <w:footnoteReference w:id="8"/>
      </w:r>
      <w:r w:rsidRPr="006D02B1">
        <w:t xml:space="preserve">  </w:t>
      </w:r>
    </w:p>
    <w:p w:rsidR="00044C28" w:rsidRPr="00044C28" w:rsidP="00044C28" w14:paraId="17038F79" w14:textId="3E05F622">
      <w:pPr>
        <w:widowControl/>
        <w:ind w:firstLine="720"/>
        <w:rPr>
          <w:snapToGrid/>
          <w:kern w:val="0"/>
          <w:szCs w:val="22"/>
        </w:rPr>
      </w:pPr>
      <w:r w:rsidRPr="006D02B1">
        <w:rPr>
          <w:snapToGrid/>
          <w:kern w:val="0"/>
          <w:szCs w:val="22"/>
        </w:rPr>
        <w:t xml:space="preserve">The Commission stated that those rules would become effective thirty days after publication of the </w:t>
      </w:r>
      <w:r w:rsidRPr="006D02B1">
        <w:rPr>
          <w:i/>
          <w:snapToGrid/>
          <w:kern w:val="0"/>
          <w:szCs w:val="22"/>
        </w:rPr>
        <w:t>Order</w:t>
      </w:r>
      <w:r w:rsidRPr="006D02B1">
        <w:rPr>
          <w:snapToGrid/>
          <w:kern w:val="0"/>
          <w:szCs w:val="22"/>
        </w:rPr>
        <w:t xml:space="preserve"> in the Federal Register.</w:t>
      </w:r>
      <w:r>
        <w:rPr>
          <w:rStyle w:val="FootnoteReference"/>
          <w:snapToGrid/>
          <w:kern w:val="0"/>
          <w:szCs w:val="22"/>
        </w:rPr>
        <w:footnoteReference w:id="9"/>
      </w:r>
      <w:r w:rsidRPr="006D02B1">
        <w:rPr>
          <w:snapToGrid/>
          <w:kern w:val="0"/>
          <w:szCs w:val="22"/>
        </w:rPr>
        <w:t xml:space="preserve">  The Federal Register published a summary of the </w:t>
      </w:r>
      <w:r w:rsidRPr="006D02B1">
        <w:rPr>
          <w:i/>
          <w:snapToGrid/>
          <w:kern w:val="0"/>
          <w:szCs w:val="22"/>
        </w:rPr>
        <w:t xml:space="preserve">Order </w:t>
      </w:r>
      <w:r w:rsidRPr="006D02B1">
        <w:rPr>
          <w:snapToGrid/>
          <w:kern w:val="0"/>
          <w:szCs w:val="22"/>
        </w:rPr>
        <w:t xml:space="preserve">on </w:t>
      </w:r>
      <w:r w:rsidRPr="006D02B1" w:rsidR="001723F3">
        <w:rPr>
          <w:snapToGrid/>
          <w:kern w:val="0"/>
          <w:szCs w:val="22"/>
        </w:rPr>
        <w:t>June 18</w:t>
      </w:r>
      <w:r w:rsidRPr="006D02B1">
        <w:rPr>
          <w:snapToGrid/>
          <w:kern w:val="0"/>
          <w:szCs w:val="22"/>
        </w:rPr>
        <w:t>, 2020.</w:t>
      </w:r>
      <w:r>
        <w:rPr>
          <w:snapToGrid/>
          <w:kern w:val="0"/>
          <w:szCs w:val="22"/>
          <w:vertAlign w:val="superscript"/>
        </w:rPr>
        <w:footnoteReference w:id="10"/>
      </w:r>
      <w:r w:rsidRPr="006D02B1">
        <w:rPr>
          <w:snapToGrid/>
          <w:kern w:val="0"/>
          <w:szCs w:val="22"/>
        </w:rPr>
        <w:t xml:space="preserve">  Accordingly, the rules adopted in the </w:t>
      </w:r>
      <w:r w:rsidRPr="006D02B1">
        <w:rPr>
          <w:i/>
          <w:snapToGrid/>
          <w:kern w:val="0"/>
          <w:szCs w:val="22"/>
        </w:rPr>
        <w:t xml:space="preserve">Order </w:t>
      </w:r>
      <w:r w:rsidRPr="006D02B1">
        <w:rPr>
          <w:snapToGrid/>
          <w:kern w:val="0"/>
          <w:szCs w:val="22"/>
        </w:rPr>
        <w:t>will take effect on Ju</w:t>
      </w:r>
      <w:r w:rsidRPr="006D02B1" w:rsidR="001723F3">
        <w:rPr>
          <w:snapToGrid/>
          <w:kern w:val="0"/>
          <w:szCs w:val="22"/>
        </w:rPr>
        <w:t>ly</w:t>
      </w:r>
      <w:r w:rsidRPr="006D02B1">
        <w:rPr>
          <w:snapToGrid/>
          <w:kern w:val="0"/>
          <w:szCs w:val="22"/>
        </w:rPr>
        <w:t xml:space="preserve"> </w:t>
      </w:r>
      <w:r w:rsidRPr="006D02B1" w:rsidR="001723F3">
        <w:rPr>
          <w:snapToGrid/>
          <w:kern w:val="0"/>
          <w:szCs w:val="22"/>
        </w:rPr>
        <w:t>20</w:t>
      </w:r>
      <w:r w:rsidRPr="006D02B1">
        <w:rPr>
          <w:snapToGrid/>
          <w:kern w:val="0"/>
          <w:szCs w:val="22"/>
        </w:rPr>
        <w:t>, 2020.</w:t>
      </w:r>
    </w:p>
    <w:p w:rsidR="00A7012E" w:rsidP="001A0869" w14:paraId="3A3F89DD" w14:textId="77777777">
      <w:pPr>
        <w:pStyle w:val="ParaNum"/>
        <w:numPr>
          <w:ilvl w:val="0"/>
          <w:numId w:val="0"/>
        </w:numPr>
        <w:ind w:firstLine="720"/>
      </w:pPr>
    </w:p>
    <w:p w:rsidR="00A7012E" w:rsidP="001A0869" w14:paraId="26ED19B3" w14:textId="77777777">
      <w:pPr>
        <w:pStyle w:val="ParaNum"/>
        <w:numPr>
          <w:ilvl w:val="0"/>
          <w:numId w:val="0"/>
        </w:numPr>
        <w:ind w:firstLine="720"/>
      </w:pPr>
    </w:p>
    <w:p w:rsidR="000A6D05" w:rsidP="006D64CF" w14:paraId="7FC21106" w14:textId="53E5A160">
      <w:pPr>
        <w:pStyle w:val="ParaNum"/>
        <w:numPr>
          <w:ilvl w:val="0"/>
          <w:numId w:val="0"/>
        </w:numPr>
        <w:ind w:firstLine="720"/>
      </w:pPr>
      <w:r w:rsidRPr="000A6D05">
        <w:t xml:space="preserve">For additional information on this proceeding, contact Raelynn Remy of the Media Bureau, Policy Division, at </w:t>
      </w:r>
      <w:hyperlink r:id="rId5" w:history="1">
        <w:r w:rsidRPr="000A6D05">
          <w:rPr>
            <w:rStyle w:val="Hyperlink"/>
          </w:rPr>
          <w:t>Raelynn.Remy@fcc.gov</w:t>
        </w:r>
      </w:hyperlink>
      <w:r w:rsidRPr="000A6D05">
        <w:t xml:space="preserve"> or (202) 418-2120.</w:t>
      </w:r>
    </w:p>
    <w:p w:rsidR="00A7012E" w:rsidP="006D64CF" w14:paraId="2B6CC149" w14:textId="063FC618">
      <w:pPr>
        <w:pStyle w:val="ParaNum"/>
        <w:numPr>
          <w:ilvl w:val="0"/>
          <w:numId w:val="0"/>
        </w:numPr>
        <w:ind w:firstLine="720"/>
      </w:pPr>
    </w:p>
    <w:p w:rsidR="005E4253" w:rsidP="00D94B19" w14:paraId="53141FD2" w14:textId="77777777">
      <w:pPr>
        <w:jc w:val="center"/>
      </w:pPr>
      <w:r>
        <w:t xml:space="preserve">- </w:t>
      </w:r>
      <w:r w:rsidRPr="006D64CF">
        <w:rPr>
          <w:b/>
        </w:rPr>
        <w:t>FCC</w:t>
      </w:r>
      <w:r>
        <w:t xml:space="preserve"> -</w:t>
      </w:r>
    </w:p>
    <w:sectPr w:rsidSect="006D64CF">
      <w:headerReference w:type="first" r:id="rId6"/>
      <w:footerReference w:type="first" r:id="rId7"/>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33" w:rsidP="001A6E33" w14:paraId="698BF993" w14:textId="77777777">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19A2" w:rsidP="00887E69" w14:paraId="213A7077" w14:textId="77777777">
      <w:r>
        <w:separator/>
      </w:r>
    </w:p>
  </w:footnote>
  <w:footnote w:type="continuationSeparator" w:id="1">
    <w:p w:rsidR="00E919A2" w:rsidP="00887E69" w14:paraId="4CCCDDB7" w14:textId="77777777">
      <w:r>
        <w:continuationSeparator/>
      </w:r>
    </w:p>
  </w:footnote>
  <w:footnote w:id="2">
    <w:p w:rsidR="00822934" w:rsidRPr="00822934" w14:paraId="7D777E84" w14:textId="0016150E">
      <w:pPr>
        <w:pStyle w:val="FootnoteText"/>
      </w:pPr>
      <w:r>
        <w:rPr>
          <w:rStyle w:val="FootnoteReference"/>
        </w:rPr>
        <w:footnoteRef/>
      </w:r>
      <w:r>
        <w:t xml:space="preserve"> </w:t>
      </w:r>
      <w:r w:rsidRPr="00A7012E" w:rsidR="00A7012E">
        <w:rPr>
          <w:i/>
          <w:iCs/>
        </w:rPr>
        <w:t>Implementation of Section 1003 of the Television Viewer Protection Act of 2019</w:t>
      </w:r>
      <w:r w:rsidR="00A7012E">
        <w:t xml:space="preserve">, </w:t>
      </w:r>
      <w:r>
        <w:t>MB Docket No. 20-</w:t>
      </w:r>
      <w:r w:rsidR="00A7012E">
        <w:t>3</w:t>
      </w:r>
      <w:r>
        <w:t xml:space="preserve">1, </w:t>
      </w:r>
      <w:r w:rsidR="00A7012E">
        <w:t xml:space="preserve">Report and </w:t>
      </w:r>
      <w:r>
        <w:t xml:space="preserve">Order, </w:t>
      </w:r>
      <w:r w:rsidR="00FE189E">
        <w:t>FCC</w:t>
      </w:r>
      <w:r>
        <w:t xml:space="preserve"> 20-</w:t>
      </w:r>
      <w:r w:rsidR="00FE189E">
        <w:t>63</w:t>
      </w:r>
      <w:r>
        <w:t xml:space="preserve"> (</w:t>
      </w:r>
      <w:r w:rsidR="00FE189E">
        <w:t>rel. May</w:t>
      </w:r>
      <w:r>
        <w:t xml:space="preserve"> </w:t>
      </w:r>
      <w:r w:rsidR="00FE189E">
        <w:t>1</w:t>
      </w:r>
      <w:r>
        <w:t>3, 2020)</w:t>
      </w:r>
      <w:r w:rsidR="00781BB4">
        <w:t xml:space="preserve"> (</w:t>
      </w:r>
      <w:r w:rsidR="00781BB4">
        <w:rPr>
          <w:i/>
          <w:iCs/>
        </w:rPr>
        <w:t>Order</w:t>
      </w:r>
      <w:r w:rsidR="00781BB4">
        <w:t>)</w:t>
      </w:r>
      <w:r>
        <w:t>.</w:t>
      </w:r>
    </w:p>
  </w:footnote>
  <w:footnote w:id="3">
    <w:p w:rsidR="00A7012E" w:rsidRPr="00607629" w:rsidP="00A7012E" w14:paraId="7E36B0C6" w14:textId="6A32779A">
      <w:pPr>
        <w:pStyle w:val="ParaNum"/>
        <w:numPr>
          <w:ilvl w:val="0"/>
          <w:numId w:val="0"/>
        </w:numPr>
        <w:rPr>
          <w:sz w:val="20"/>
        </w:rPr>
      </w:pPr>
      <w:r w:rsidRPr="00607629">
        <w:rPr>
          <w:rStyle w:val="FootnoteReference"/>
        </w:rPr>
        <w:footnoteRef/>
      </w:r>
      <w:r w:rsidRPr="00607629">
        <w:rPr>
          <w:sz w:val="20"/>
        </w:rPr>
        <w:t xml:space="preserve"> The Television Viewer Protection Act of 2019, Pub. L. No. 116-94, 133 Stat. 2534, 3198 (2019) (amendments codified at 47 U.S.C. § 325).  </w:t>
      </w:r>
    </w:p>
  </w:footnote>
  <w:footnote w:id="4">
    <w:p w:rsidR="00A7012E" w:rsidRPr="00607629" w:rsidP="00A7012E" w14:paraId="1328A2E1" w14:textId="77777777">
      <w:pPr>
        <w:pStyle w:val="FootnoteText"/>
        <w:widowControl w:val="0"/>
      </w:pPr>
      <w:r w:rsidRPr="00607629">
        <w:rPr>
          <w:rStyle w:val="FootnoteReference"/>
        </w:rPr>
        <w:footnoteRef/>
      </w:r>
      <w:r w:rsidRPr="00607629">
        <w:t xml:space="preserve"> 47 U.S.C. § 325(b)(3)(C)(vi) (as added by</w:t>
      </w:r>
      <w:r w:rsidRPr="00607629">
        <w:rPr>
          <w:i/>
        </w:rPr>
        <w:t xml:space="preserve"> </w:t>
      </w:r>
      <w:r w:rsidRPr="00607629">
        <w:t>section 1003(a)(3) of the TVPA).</w:t>
      </w:r>
    </w:p>
  </w:footnote>
  <w:footnote w:id="5">
    <w:p w:rsidR="00A7012E" w:rsidRPr="00FE189E" w:rsidP="00A7012E" w14:paraId="18FD4A76" w14:textId="422FB7B0">
      <w:pPr>
        <w:pStyle w:val="FootnoteText"/>
        <w:widowControl w:val="0"/>
      </w:pPr>
      <w:r w:rsidRPr="00607629">
        <w:rPr>
          <w:rStyle w:val="FootnoteReference"/>
        </w:rPr>
        <w:footnoteRef/>
      </w:r>
      <w:r w:rsidRPr="00607629">
        <w:t xml:space="preserve"> </w:t>
      </w:r>
      <w:r w:rsidR="00FE189E">
        <w:rPr>
          <w:i/>
          <w:iCs/>
        </w:rPr>
        <w:t xml:space="preserve">Order </w:t>
      </w:r>
      <w:r w:rsidR="00FE189E">
        <w:t xml:space="preserve">at para. </w:t>
      </w:r>
      <w:r w:rsidR="00044C28">
        <w:t>6</w:t>
      </w:r>
      <w:r w:rsidR="00FE189E">
        <w:t>.</w:t>
      </w:r>
    </w:p>
  </w:footnote>
  <w:footnote w:id="6">
    <w:p w:rsidR="00A7012E" w:rsidRPr="00607629" w:rsidP="00A7012E" w14:paraId="481E5799" w14:textId="05834731">
      <w:pPr>
        <w:pStyle w:val="FootnoteText"/>
        <w:widowControl w:val="0"/>
      </w:pPr>
      <w:r w:rsidRPr="00607629">
        <w:rPr>
          <w:rStyle w:val="FootnoteReference"/>
        </w:rPr>
        <w:footnoteRef/>
      </w:r>
      <w:r w:rsidRPr="00607629">
        <w:t xml:space="preserve"> </w:t>
      </w:r>
      <w:r w:rsidR="00FE189E">
        <w:rPr>
          <w:i/>
          <w:iCs/>
        </w:rPr>
        <w:t>Id.</w:t>
      </w:r>
      <w:r w:rsidR="00FE189E">
        <w:t xml:space="preserve"> at </w:t>
      </w:r>
      <w:r w:rsidRPr="00607629">
        <w:t xml:space="preserve">para. </w:t>
      </w:r>
      <w:r w:rsidR="00044C28">
        <w:t>7</w:t>
      </w:r>
      <w:r w:rsidR="00FE189E">
        <w:t xml:space="preserve">.  </w:t>
      </w:r>
    </w:p>
  </w:footnote>
  <w:footnote w:id="7">
    <w:p w:rsidR="00A7012E" w:rsidRPr="00607629" w:rsidP="00A7012E" w14:paraId="38657BDE" w14:textId="3716B111">
      <w:pPr>
        <w:pStyle w:val="FootnoteText"/>
        <w:widowControl w:val="0"/>
      </w:pPr>
      <w:r w:rsidRPr="00607629">
        <w:rPr>
          <w:rStyle w:val="FootnoteReference"/>
        </w:rPr>
        <w:footnoteRef/>
      </w:r>
      <w:r w:rsidRPr="00607629">
        <w:t xml:space="preserve"> </w:t>
      </w:r>
      <w:r w:rsidR="002E5E4D">
        <w:rPr>
          <w:i/>
          <w:iCs/>
        </w:rPr>
        <w:t>Id.</w:t>
      </w:r>
      <w:r w:rsidR="002E5E4D">
        <w:t xml:space="preserve"> a</w:t>
      </w:r>
      <w:r w:rsidRPr="00607629" w:rsidR="002E5E4D">
        <w:t xml:space="preserve">t para. </w:t>
      </w:r>
      <w:r w:rsidR="008E59C1">
        <w:t>8</w:t>
      </w:r>
      <w:r w:rsidR="002E5E4D">
        <w:t>.</w:t>
      </w:r>
      <w:r w:rsidRPr="00607629" w:rsidR="002E5E4D">
        <w:t xml:space="preserve"> </w:t>
      </w:r>
    </w:p>
  </w:footnote>
  <w:footnote w:id="8">
    <w:p w:rsidR="00A7012E" w:rsidRPr="00607629" w:rsidP="00A7012E" w14:paraId="284DD56E" w14:textId="17778A55">
      <w:pPr>
        <w:pStyle w:val="FootnoteText"/>
        <w:widowControl w:val="0"/>
      </w:pPr>
      <w:r w:rsidRPr="00607629">
        <w:rPr>
          <w:rStyle w:val="FootnoteReference"/>
        </w:rPr>
        <w:footnoteRef/>
      </w:r>
      <w:r w:rsidRPr="00607629">
        <w:t xml:space="preserve"> </w:t>
      </w:r>
      <w:r w:rsidR="002E5E4D">
        <w:rPr>
          <w:i/>
          <w:iCs/>
        </w:rPr>
        <w:t>Id</w:t>
      </w:r>
      <w:r w:rsidR="008E59C1">
        <w:t>.</w:t>
      </w:r>
      <w:r w:rsidRPr="00607629" w:rsidR="002E5E4D">
        <w:t xml:space="preserve"> </w:t>
      </w:r>
    </w:p>
  </w:footnote>
  <w:footnote w:id="9">
    <w:p w:rsidR="00044C28" w14:paraId="5F57C9AB" w14:textId="1FAA7767">
      <w:pPr>
        <w:pStyle w:val="FootnoteText"/>
      </w:pPr>
      <w:r>
        <w:rPr>
          <w:rStyle w:val="FootnoteReference"/>
        </w:rPr>
        <w:footnoteRef/>
      </w:r>
      <w:r>
        <w:t xml:space="preserve"> </w:t>
      </w:r>
      <w:r>
        <w:rPr>
          <w:i/>
          <w:iCs/>
        </w:rPr>
        <w:t>Id.</w:t>
      </w:r>
      <w:r>
        <w:t xml:space="preserve"> a</w:t>
      </w:r>
      <w:r w:rsidRPr="00607629">
        <w:t xml:space="preserve">t para. </w:t>
      </w:r>
      <w:r w:rsidR="008E59C1">
        <w:t>13</w:t>
      </w:r>
      <w:r>
        <w:t>.</w:t>
      </w:r>
    </w:p>
  </w:footnote>
  <w:footnote w:id="10">
    <w:p w:rsidR="00044C28" w:rsidRPr="006D02B1" w:rsidP="00044C28" w14:paraId="6DF968B9" w14:textId="06432E14">
      <w:pPr>
        <w:pStyle w:val="FootnoteText"/>
      </w:pPr>
      <w:r>
        <w:rPr>
          <w:rStyle w:val="FootnoteReference"/>
        </w:rPr>
        <w:footnoteRef/>
      </w:r>
      <w:r>
        <w:t xml:space="preserve"> </w:t>
      </w:r>
      <w:r>
        <w:rPr>
          <w:i/>
        </w:rPr>
        <w:t xml:space="preserve">See </w:t>
      </w:r>
      <w:hyperlink r:id="rId1" w:history="1">
        <w:r w:rsidRPr="006D02B1" w:rsidR="006D02B1">
          <w:rPr>
            <w:snapToGrid w:val="0"/>
            <w:color w:val="0000FF"/>
            <w:kern w:val="28"/>
            <w:u w:val="single"/>
          </w:rPr>
          <w:t>https://www.federalregister.gov/documents/2020/06/18/2020-11130/implementation-of-provisions-of-the-television-viewer-protection-act-of-2019-governing-negotiation</w:t>
        </w:r>
      </w:hyperlink>
      <w:r w:rsidRPr="006D02B1">
        <w:rPr>
          <w:iCs/>
        </w:rPr>
        <w:t xml:space="preserve">.  </w:t>
      </w:r>
      <w:r w:rsidRPr="006D02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4CF" w:rsidP="006D64CF" w14:paraId="65773FA0" w14:textId="77777777">
    <w:pPr>
      <w:spacing w:before="40"/>
      <w:rPr>
        <w:rFonts w:ascii="News Gothic MT" w:hAnsi="News Gothic MT"/>
        <w:b/>
        <w:sz w:val="96"/>
      </w:rPr>
    </w:pPr>
    <w:r>
      <w:rPr>
        <w:noProof/>
      </w:rPr>
      <w:pict>
        <v:shapetype id="_x0000_t202" coordsize="21600,21600" o:spt="202" path="m,l,21600r21600,l21600,xe">
          <v:stroke joinstyle="miter"/>
          <v:path gradientshapeok="t" o:connecttype="rect"/>
        </v:shapetype>
        <v:shape id="Text Box 7" o:spid="_x0000_s2049" type="#_x0000_t202" style="width:244.8pt;height:50.4pt;margin-top:59.45pt;margin-left:-4.2pt;position:absolute;visibility:visible;z-index:251659264" stroked="f">
          <v:textbox>
            <w:txbxContent>
              <w:p w:rsidR="006D64CF" w:rsidP="006D64CF" w14:paraId="450CF3C2" w14:textId="77777777">
                <w:pPr>
                  <w:rPr>
                    <w:rFonts w:ascii="Arial" w:hAnsi="Arial"/>
                    <w:b/>
                  </w:rPr>
                </w:pPr>
                <w:r>
                  <w:rPr>
                    <w:rFonts w:ascii="Arial" w:hAnsi="Arial"/>
                    <w:b/>
                  </w:rPr>
                  <w:t>Federal Communications Commission</w:t>
                </w:r>
              </w:p>
              <w:p w:rsidR="006D64CF" w:rsidP="006D64CF" w14:paraId="1CF02B87"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6D64CF" w:rsidP="006D64CF" w14:paraId="44C2898C"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alt="fcc_logo" style="width:41.75pt;height:41.75pt;margin-top:10.5pt;margin-left:-51pt;mso-position-horizontal-relative:margin;position:absolute;visibility:visible;z-index:251661312" o:allowincell="f">
          <v:imagedata r:id="rId1" o:title="fcc_logo"/>
          <w10:wrap type="topAndBottom"/>
        </v:shape>
      </w:pict>
    </w:r>
    <w:r w:rsidRPr="00887E69" w:rsidR="00D93701">
      <w:rPr>
        <w:rFonts w:ascii="News Gothic MT" w:hAnsi="News Gothic MT"/>
        <w:b/>
        <w:sz w:val="96"/>
      </w:rPr>
      <w:t>PUBLIC NOTICE</w:t>
    </w:r>
  </w:p>
  <w:p w:rsidR="006D64CF" w:rsidRPr="00887E69" w:rsidP="006D64CF" w14:paraId="2AD0DB9B" w14:textId="77777777">
    <w:pPr>
      <w:spacing w:before="40"/>
      <w:rPr>
        <w:rFonts w:ascii="News Gothic MT" w:hAnsi="News Gothic MT"/>
        <w:b/>
        <w:sz w:val="96"/>
      </w:rPr>
    </w:pPr>
    <w:r>
      <w:rPr>
        <w:noProof/>
      </w:rPr>
      <w:pict>
        <v:shape id="Text Box 8" o:spid="_x0000_s2051" type="#_x0000_t202" style="width:196.5pt;height:45.15pt;margin-top:7.5pt;margin-left:276pt;position:absolute;visibility:visible;z-index:251660288" stroked="f">
          <v:textbox inset=",0,,0">
            <w:txbxContent>
              <w:p w:rsidR="006D64CF" w:rsidP="006D64CF" w14:paraId="4FB7EF18" w14:textId="77777777">
                <w:pPr>
                  <w:spacing w:before="40"/>
                  <w:jc w:val="right"/>
                  <w:rPr>
                    <w:rFonts w:ascii="Arial" w:hAnsi="Arial"/>
                    <w:b/>
                    <w:sz w:val="16"/>
                  </w:rPr>
                </w:pPr>
                <w:r>
                  <w:rPr>
                    <w:rFonts w:ascii="Arial" w:hAnsi="Arial"/>
                    <w:b/>
                    <w:sz w:val="16"/>
                  </w:rPr>
                  <w:t>News Media Information 202 / 418-0500</w:t>
                </w:r>
              </w:p>
              <w:p w:rsidR="006D64CF" w:rsidP="006D64CF" w14:paraId="5E5C4C73" w14:textId="77777777">
                <w:pPr>
                  <w:jc w:val="right"/>
                  <w:rPr>
                    <w:rFonts w:ascii="Arial" w:hAnsi="Arial"/>
                    <w:b/>
                    <w:sz w:val="16"/>
                  </w:rPr>
                </w:pPr>
                <w:r>
                  <w:rPr>
                    <w:rFonts w:ascii="Arial" w:hAnsi="Arial"/>
                    <w:b/>
                    <w:sz w:val="16"/>
                  </w:rPr>
                  <w:t>Internet: http://www.fcc.gov</w:t>
                </w:r>
              </w:p>
              <w:p w:rsidR="006D64CF" w:rsidP="006D64CF" w14:paraId="15EDC4BA" w14:textId="77777777">
                <w:pPr>
                  <w:jc w:val="right"/>
                  <w:rPr>
                    <w:rFonts w:ascii="Arial" w:hAnsi="Arial"/>
                    <w:b/>
                    <w:sz w:val="16"/>
                  </w:rPr>
                </w:pPr>
                <w:r>
                  <w:rPr>
                    <w:rFonts w:ascii="Arial" w:hAnsi="Arial"/>
                    <w:b/>
                    <w:sz w:val="16"/>
                  </w:rPr>
                  <w:t>TTY: 1-888-835-5322</w:t>
                </w:r>
              </w:p>
              <w:p w:rsidR="006D64CF" w:rsidP="006D64CF" w14:paraId="5DA0CB17" w14:textId="77777777">
                <w:pPr>
                  <w:jc w:val="right"/>
                </w:pPr>
              </w:p>
            </w:txbxContent>
          </v:textbox>
        </v:shape>
      </w:pict>
    </w:r>
  </w:p>
  <w:p w:rsidR="006D64CF" w:rsidRPr="006D64CF" w:rsidP="006D64CF" w14:paraId="2985942A" w14:textId="77777777">
    <w:pPr>
      <w:pStyle w:val="Header"/>
      <w:ind w:firstLine="0"/>
      <w:rPr>
        <w:sz w:val="22"/>
        <w:szCs w:val="22"/>
      </w:rPr>
    </w:pPr>
    <w:r>
      <w:rPr>
        <w:noProof/>
      </w:rPr>
      <w:pict>
        <v:line id="Straight Connector 9" o:spid="_x0000_s2052" style="position:absolute;visibility:visible;z-index:251658240" from="0.75pt,1.85pt" to="468.75pt,1.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69"/>
    <w:rsid w:val="00044C28"/>
    <w:rsid w:val="00051736"/>
    <w:rsid w:val="00090D93"/>
    <w:rsid w:val="000A6D05"/>
    <w:rsid w:val="000F6DB8"/>
    <w:rsid w:val="00133A6A"/>
    <w:rsid w:val="001353F5"/>
    <w:rsid w:val="001723F3"/>
    <w:rsid w:val="00177F6A"/>
    <w:rsid w:val="001A0869"/>
    <w:rsid w:val="001A6E33"/>
    <w:rsid w:val="001E3833"/>
    <w:rsid w:val="0021160C"/>
    <w:rsid w:val="002171A6"/>
    <w:rsid w:val="0023689F"/>
    <w:rsid w:val="0024048A"/>
    <w:rsid w:val="002B45DE"/>
    <w:rsid w:val="002E5E4D"/>
    <w:rsid w:val="002F575B"/>
    <w:rsid w:val="00340D0D"/>
    <w:rsid w:val="00345583"/>
    <w:rsid w:val="0034759E"/>
    <w:rsid w:val="00361DD4"/>
    <w:rsid w:val="003A293F"/>
    <w:rsid w:val="003A30AC"/>
    <w:rsid w:val="003A32AF"/>
    <w:rsid w:val="003D141B"/>
    <w:rsid w:val="003E24E0"/>
    <w:rsid w:val="004B3EFF"/>
    <w:rsid w:val="004E7EC0"/>
    <w:rsid w:val="00502B0B"/>
    <w:rsid w:val="00511B0D"/>
    <w:rsid w:val="00511F0B"/>
    <w:rsid w:val="005156A6"/>
    <w:rsid w:val="005A38EF"/>
    <w:rsid w:val="005E4253"/>
    <w:rsid w:val="00607629"/>
    <w:rsid w:val="006116F0"/>
    <w:rsid w:val="00650FEF"/>
    <w:rsid w:val="0069575F"/>
    <w:rsid w:val="006A5249"/>
    <w:rsid w:val="006D02B1"/>
    <w:rsid w:val="006D64CF"/>
    <w:rsid w:val="00723DC8"/>
    <w:rsid w:val="00760DD7"/>
    <w:rsid w:val="00764937"/>
    <w:rsid w:val="00774D0D"/>
    <w:rsid w:val="00781BB4"/>
    <w:rsid w:val="00794133"/>
    <w:rsid w:val="007D7F25"/>
    <w:rsid w:val="00822934"/>
    <w:rsid w:val="008444B5"/>
    <w:rsid w:val="008544E3"/>
    <w:rsid w:val="00880CE8"/>
    <w:rsid w:val="00887E69"/>
    <w:rsid w:val="00892138"/>
    <w:rsid w:val="008A1D2C"/>
    <w:rsid w:val="008A3273"/>
    <w:rsid w:val="008C5AF7"/>
    <w:rsid w:val="008E59C1"/>
    <w:rsid w:val="008F240A"/>
    <w:rsid w:val="009036E2"/>
    <w:rsid w:val="009429DC"/>
    <w:rsid w:val="009556DD"/>
    <w:rsid w:val="00960F53"/>
    <w:rsid w:val="00985FAD"/>
    <w:rsid w:val="00A05916"/>
    <w:rsid w:val="00A262BA"/>
    <w:rsid w:val="00A520CA"/>
    <w:rsid w:val="00A60599"/>
    <w:rsid w:val="00A62B59"/>
    <w:rsid w:val="00A7012E"/>
    <w:rsid w:val="00A941DD"/>
    <w:rsid w:val="00B267E7"/>
    <w:rsid w:val="00B53211"/>
    <w:rsid w:val="00C340D4"/>
    <w:rsid w:val="00C3539D"/>
    <w:rsid w:val="00C564C4"/>
    <w:rsid w:val="00C57FD8"/>
    <w:rsid w:val="00C74AF2"/>
    <w:rsid w:val="00C87A99"/>
    <w:rsid w:val="00CE34DD"/>
    <w:rsid w:val="00D113A2"/>
    <w:rsid w:val="00D42483"/>
    <w:rsid w:val="00D5088A"/>
    <w:rsid w:val="00D93701"/>
    <w:rsid w:val="00D94B19"/>
    <w:rsid w:val="00DB0024"/>
    <w:rsid w:val="00E30187"/>
    <w:rsid w:val="00E6356B"/>
    <w:rsid w:val="00E75AC8"/>
    <w:rsid w:val="00E84C41"/>
    <w:rsid w:val="00E919A2"/>
    <w:rsid w:val="00EA0556"/>
    <w:rsid w:val="00EB0613"/>
    <w:rsid w:val="00ED6C39"/>
    <w:rsid w:val="00F112AF"/>
    <w:rsid w:val="00F25B07"/>
    <w:rsid w:val="00F3120B"/>
    <w:rsid w:val="00F40A48"/>
    <w:rsid w:val="00F65456"/>
    <w:rsid w:val="00F65AB7"/>
    <w:rsid w:val="00FD7894"/>
    <w:rsid w:val="00FE189E"/>
    <w:rsid w:val="00FF7F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408E8D6-DED7-4194-BA95-67C45E7A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48"/>
    <w:pPr>
      <w:widowControl w:val="0"/>
    </w:pPr>
    <w:rPr>
      <w:rFonts w:ascii="Times New Roman" w:eastAsia="Times New Roman" w:hAnsi="Times New Roman"/>
      <w:snapToGrid w:val="0"/>
      <w:kern w:val="28"/>
      <w:sz w:val="22"/>
    </w:rPr>
  </w:style>
  <w:style w:type="paragraph" w:styleId="Heading1">
    <w:name w:val="heading 1"/>
    <w:basedOn w:val="Normal"/>
    <w:next w:val="ParaNum"/>
    <w:link w:val="Heading1Char"/>
    <w:qFormat/>
    <w:rsid w:val="00F40A4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40A48"/>
    <w:pPr>
      <w:keepNext/>
      <w:numPr>
        <w:ilvl w:val="1"/>
        <w:numId w:val="3"/>
      </w:numPr>
      <w:spacing w:after="120"/>
      <w:outlineLvl w:val="1"/>
    </w:pPr>
    <w:rPr>
      <w:b/>
    </w:rPr>
  </w:style>
  <w:style w:type="paragraph" w:styleId="Heading3">
    <w:name w:val="heading 3"/>
    <w:basedOn w:val="Normal"/>
    <w:next w:val="ParaNum"/>
    <w:link w:val="Heading3Char"/>
    <w:qFormat/>
    <w:rsid w:val="00F40A4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40A4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40A4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40A4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40A4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40A4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40A4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40A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40A48"/>
  </w:style>
  <w:style w:type="paragraph" w:styleId="Header">
    <w:name w:val="header"/>
    <w:basedOn w:val="Normal"/>
    <w:link w:val="HeaderChar"/>
    <w:autoRedefine/>
    <w:rsid w:val="00F40A48"/>
    <w:pPr>
      <w:tabs>
        <w:tab w:val="center" w:pos="4680"/>
        <w:tab w:val="right" w:pos="9360"/>
      </w:tabs>
      <w:ind w:firstLine="1080"/>
    </w:pPr>
    <w:rPr>
      <w:rFonts w:ascii="Arial" w:hAnsi="Arial" w:cs="Arial"/>
      <w:b/>
      <w:sz w:val="96"/>
      <w:szCs w:val="96"/>
    </w:rPr>
  </w:style>
  <w:style w:type="character" w:customStyle="1" w:styleId="HeaderChar">
    <w:name w:val="Header Char"/>
    <w:link w:val="Header"/>
    <w:rsid w:val="00887E69"/>
    <w:rPr>
      <w:rFonts w:ascii="Arial" w:eastAsia="Times New Roman" w:hAnsi="Arial" w:cs="Arial"/>
      <w:b/>
      <w:snapToGrid w:val="0"/>
      <w:kern w:val="28"/>
      <w:sz w:val="96"/>
      <w:szCs w:val="96"/>
    </w:rPr>
  </w:style>
  <w:style w:type="paragraph" w:styleId="Footer">
    <w:name w:val="footer"/>
    <w:basedOn w:val="Normal"/>
    <w:link w:val="FooterChar"/>
    <w:uiPriority w:val="99"/>
    <w:rsid w:val="00F40A48"/>
    <w:pPr>
      <w:tabs>
        <w:tab w:val="center" w:pos="4320"/>
        <w:tab w:val="right" w:pos="8640"/>
      </w:tabs>
    </w:pPr>
  </w:style>
  <w:style w:type="character" w:customStyle="1" w:styleId="FooterChar">
    <w:name w:val="Footer Char"/>
    <w:link w:val="Footer"/>
    <w:uiPriority w:val="99"/>
    <w:rsid w:val="00F40A48"/>
    <w:rPr>
      <w:rFonts w:ascii="Times New Roman" w:eastAsia="Times New Roman" w:hAnsi="Times New Roman"/>
      <w:snapToGrid w:val="0"/>
      <w:kern w:val="28"/>
      <w:sz w:val="22"/>
    </w:rPr>
  </w:style>
  <w:style w:type="paragraph" w:styleId="FootnoteText">
    <w:name w:val="footnote text"/>
    <w:link w:val="FootnoteTextChar"/>
    <w:semiHidden/>
    <w:rsid w:val="00F40A48"/>
    <w:pPr>
      <w:spacing w:after="120"/>
    </w:pPr>
    <w:rPr>
      <w:rFonts w:ascii="Times New Roman" w:eastAsia="Times New Roman" w:hAnsi="Times New Roman"/>
    </w:rPr>
  </w:style>
  <w:style w:type="character" w:customStyle="1" w:styleId="FootnoteTextChar">
    <w:name w:val="Footnote Text Char"/>
    <w:link w:val="FootnoteText"/>
    <w:semiHidden/>
    <w:rsid w:val="00774D0D"/>
    <w:rPr>
      <w:rFonts w:ascii="Times New Roman" w:eastAsia="Times New Roman" w:hAnsi="Times New Roman"/>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semiHidden/>
    <w:rsid w:val="00F40A48"/>
    <w:rPr>
      <w:rFonts w:ascii="Times New Roman" w:hAnsi="Times New Roman"/>
      <w:dstrike w:val="0"/>
      <w:color w:val="auto"/>
      <w:sz w:val="22"/>
      <w:vertAlign w:val="superscript"/>
    </w:rPr>
  </w:style>
  <w:style w:type="character" w:styleId="Hyperlink">
    <w:name w:val="Hyperlink"/>
    <w:rsid w:val="00F40A48"/>
    <w:rPr>
      <w:color w:val="0000FF"/>
      <w:u w:val="single"/>
    </w:rPr>
  </w:style>
  <w:style w:type="character" w:customStyle="1" w:styleId="UnresolvedMention1">
    <w:name w:val="Unresolved Mention1"/>
    <w:uiPriority w:val="99"/>
    <w:semiHidden/>
    <w:unhideWhenUsed/>
    <w:rsid w:val="00EB0613"/>
    <w:rPr>
      <w:color w:val="605E5C"/>
      <w:shd w:val="clear" w:color="auto" w:fill="E1DFDD"/>
    </w:rPr>
  </w:style>
  <w:style w:type="paragraph" w:styleId="ListParagraph">
    <w:name w:val="List Paragraph"/>
    <w:basedOn w:val="Normal"/>
    <w:uiPriority w:val="34"/>
    <w:qFormat/>
    <w:rsid w:val="005156A6"/>
    <w:pPr>
      <w:ind w:left="720"/>
      <w:contextualSpacing/>
    </w:pPr>
  </w:style>
  <w:style w:type="paragraph" w:styleId="BalloonText">
    <w:name w:val="Balloon Text"/>
    <w:basedOn w:val="Normal"/>
    <w:link w:val="BalloonTextChar"/>
    <w:uiPriority w:val="99"/>
    <w:semiHidden/>
    <w:unhideWhenUsed/>
    <w:rsid w:val="00985FAD"/>
    <w:rPr>
      <w:rFonts w:ascii="Segoe UI" w:hAnsi="Segoe UI" w:cs="Segoe UI"/>
      <w:sz w:val="18"/>
      <w:szCs w:val="18"/>
    </w:rPr>
  </w:style>
  <w:style w:type="character" w:customStyle="1" w:styleId="BalloonTextChar">
    <w:name w:val="Balloon Text Char"/>
    <w:link w:val="BalloonText"/>
    <w:uiPriority w:val="99"/>
    <w:semiHidden/>
    <w:rsid w:val="00985FAD"/>
    <w:rPr>
      <w:rFonts w:ascii="Segoe UI" w:eastAsia="Times New Roman" w:hAnsi="Segoe UI" w:cs="Segoe UI"/>
      <w:sz w:val="18"/>
      <w:szCs w:val="18"/>
    </w:rPr>
  </w:style>
  <w:style w:type="paragraph" w:customStyle="1" w:styleId="ParaNum">
    <w:name w:val="ParaNum"/>
    <w:basedOn w:val="Normal"/>
    <w:link w:val="ParaNumChar1"/>
    <w:rsid w:val="00F40A48"/>
    <w:pPr>
      <w:numPr>
        <w:numId w:val="1"/>
      </w:numPr>
      <w:tabs>
        <w:tab w:val="clear" w:pos="1080"/>
        <w:tab w:val="num" w:pos="1440"/>
      </w:tabs>
      <w:spacing w:after="120"/>
    </w:pPr>
  </w:style>
  <w:style w:type="character" w:customStyle="1" w:styleId="ParaNumChar1">
    <w:name w:val="ParaNum Char1"/>
    <w:link w:val="ParaNum"/>
    <w:locked/>
    <w:rsid w:val="005E4253"/>
    <w:rPr>
      <w:rFonts w:ascii="Times New Roman" w:eastAsia="Times New Roman" w:hAnsi="Times New Roman"/>
      <w:snapToGrid w:val="0"/>
      <w:kern w:val="28"/>
      <w:sz w:val="22"/>
    </w:rPr>
  </w:style>
  <w:style w:type="character" w:customStyle="1" w:styleId="UnresolvedMention2">
    <w:name w:val="Unresolved Mention2"/>
    <w:uiPriority w:val="99"/>
    <w:rsid w:val="000A6D05"/>
    <w:rPr>
      <w:color w:val="605E5C"/>
      <w:shd w:val="clear" w:color="auto" w:fill="E1DFDD"/>
    </w:rPr>
  </w:style>
  <w:style w:type="character" w:styleId="CommentReference">
    <w:name w:val="annotation reference"/>
    <w:uiPriority w:val="99"/>
    <w:semiHidden/>
    <w:unhideWhenUsed/>
    <w:rsid w:val="00345583"/>
    <w:rPr>
      <w:sz w:val="16"/>
      <w:szCs w:val="16"/>
    </w:rPr>
  </w:style>
  <w:style w:type="paragraph" w:styleId="CommentText">
    <w:name w:val="annotation text"/>
    <w:basedOn w:val="Normal"/>
    <w:link w:val="CommentTextChar"/>
    <w:uiPriority w:val="99"/>
    <w:semiHidden/>
    <w:unhideWhenUsed/>
    <w:rsid w:val="00345583"/>
    <w:rPr>
      <w:sz w:val="20"/>
    </w:rPr>
  </w:style>
  <w:style w:type="character" w:customStyle="1" w:styleId="CommentTextChar">
    <w:name w:val="Comment Text Char"/>
    <w:link w:val="CommentText"/>
    <w:uiPriority w:val="99"/>
    <w:semiHidden/>
    <w:rsid w:val="003455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5583"/>
    <w:rPr>
      <w:b/>
      <w:bCs/>
    </w:rPr>
  </w:style>
  <w:style w:type="character" w:customStyle="1" w:styleId="CommentSubjectChar">
    <w:name w:val="Comment Subject Char"/>
    <w:link w:val="CommentSubject"/>
    <w:uiPriority w:val="99"/>
    <w:semiHidden/>
    <w:rsid w:val="00345583"/>
    <w:rPr>
      <w:rFonts w:ascii="Times New Roman" w:eastAsia="Times New Roman" w:hAnsi="Times New Roman" w:cs="Times New Roman"/>
      <w:b/>
      <w:bCs/>
      <w:sz w:val="20"/>
      <w:szCs w:val="20"/>
    </w:rPr>
  </w:style>
  <w:style w:type="character" w:customStyle="1" w:styleId="Heading1Char">
    <w:name w:val="Heading 1 Char"/>
    <w:link w:val="Heading1"/>
    <w:rsid w:val="006D64CF"/>
    <w:rPr>
      <w:rFonts w:ascii="Times New Roman Bold" w:eastAsia="Times New Roman" w:hAnsi="Times New Roman Bold"/>
      <w:b/>
      <w:caps/>
      <w:snapToGrid w:val="0"/>
      <w:kern w:val="28"/>
      <w:sz w:val="22"/>
    </w:rPr>
  </w:style>
  <w:style w:type="character" w:customStyle="1" w:styleId="Heading2Char">
    <w:name w:val="Heading 2 Char"/>
    <w:link w:val="Heading2"/>
    <w:rsid w:val="006D64CF"/>
    <w:rPr>
      <w:rFonts w:ascii="Times New Roman" w:eastAsia="Times New Roman" w:hAnsi="Times New Roman"/>
      <w:b/>
      <w:snapToGrid w:val="0"/>
      <w:kern w:val="28"/>
      <w:sz w:val="22"/>
    </w:rPr>
  </w:style>
  <w:style w:type="character" w:customStyle="1" w:styleId="Heading3Char">
    <w:name w:val="Heading 3 Char"/>
    <w:link w:val="Heading3"/>
    <w:rsid w:val="006D64CF"/>
    <w:rPr>
      <w:rFonts w:ascii="Times New Roman" w:eastAsia="Times New Roman" w:hAnsi="Times New Roman"/>
      <w:b/>
      <w:snapToGrid w:val="0"/>
      <w:kern w:val="28"/>
      <w:sz w:val="22"/>
    </w:rPr>
  </w:style>
  <w:style w:type="character" w:customStyle="1" w:styleId="Heading4Char">
    <w:name w:val="Heading 4 Char"/>
    <w:link w:val="Heading4"/>
    <w:rsid w:val="006D64CF"/>
    <w:rPr>
      <w:rFonts w:ascii="Times New Roman" w:eastAsia="Times New Roman" w:hAnsi="Times New Roman"/>
      <w:b/>
      <w:snapToGrid w:val="0"/>
      <w:kern w:val="28"/>
      <w:sz w:val="22"/>
    </w:rPr>
  </w:style>
  <w:style w:type="character" w:customStyle="1" w:styleId="Heading5Char">
    <w:name w:val="Heading 5 Char"/>
    <w:link w:val="Heading5"/>
    <w:rsid w:val="006D64CF"/>
    <w:rPr>
      <w:rFonts w:ascii="Times New Roman" w:eastAsia="Times New Roman" w:hAnsi="Times New Roman"/>
      <w:b/>
      <w:snapToGrid w:val="0"/>
      <w:kern w:val="28"/>
      <w:sz w:val="22"/>
    </w:rPr>
  </w:style>
  <w:style w:type="character" w:customStyle="1" w:styleId="Heading6Char">
    <w:name w:val="Heading 6 Char"/>
    <w:link w:val="Heading6"/>
    <w:rsid w:val="006D64CF"/>
    <w:rPr>
      <w:rFonts w:ascii="Times New Roman" w:eastAsia="Times New Roman" w:hAnsi="Times New Roman"/>
      <w:b/>
      <w:snapToGrid w:val="0"/>
      <w:kern w:val="28"/>
      <w:sz w:val="22"/>
    </w:rPr>
  </w:style>
  <w:style w:type="character" w:customStyle="1" w:styleId="Heading7Char">
    <w:name w:val="Heading 7 Char"/>
    <w:link w:val="Heading7"/>
    <w:rsid w:val="006D64CF"/>
    <w:rPr>
      <w:rFonts w:ascii="Times New Roman" w:eastAsia="Times New Roman" w:hAnsi="Times New Roman"/>
      <w:b/>
      <w:snapToGrid w:val="0"/>
      <w:kern w:val="28"/>
      <w:sz w:val="22"/>
    </w:rPr>
  </w:style>
  <w:style w:type="character" w:customStyle="1" w:styleId="Heading8Char">
    <w:name w:val="Heading 8 Char"/>
    <w:link w:val="Heading8"/>
    <w:rsid w:val="006D64CF"/>
    <w:rPr>
      <w:rFonts w:ascii="Times New Roman" w:eastAsia="Times New Roman" w:hAnsi="Times New Roman"/>
      <w:b/>
      <w:snapToGrid w:val="0"/>
      <w:kern w:val="28"/>
      <w:sz w:val="22"/>
    </w:rPr>
  </w:style>
  <w:style w:type="character" w:customStyle="1" w:styleId="Heading9Char">
    <w:name w:val="Heading 9 Char"/>
    <w:link w:val="Heading9"/>
    <w:rsid w:val="006D64CF"/>
    <w:rPr>
      <w:rFonts w:ascii="Times New Roman" w:eastAsia="Times New Roman" w:hAnsi="Times New Roman"/>
      <w:b/>
      <w:snapToGrid w:val="0"/>
      <w:kern w:val="28"/>
      <w:sz w:val="22"/>
    </w:rPr>
  </w:style>
  <w:style w:type="paragraph" w:styleId="EndnoteText">
    <w:name w:val="endnote text"/>
    <w:basedOn w:val="Normal"/>
    <w:link w:val="EndnoteTextChar"/>
    <w:semiHidden/>
    <w:rsid w:val="00F40A48"/>
    <w:rPr>
      <w:sz w:val="20"/>
    </w:rPr>
  </w:style>
  <w:style w:type="character" w:customStyle="1" w:styleId="EndnoteTextChar">
    <w:name w:val="Endnote Text Char"/>
    <w:link w:val="EndnoteText"/>
    <w:semiHidden/>
    <w:rsid w:val="006D64CF"/>
    <w:rPr>
      <w:rFonts w:ascii="Times New Roman" w:eastAsia="Times New Roman" w:hAnsi="Times New Roman"/>
      <w:snapToGrid w:val="0"/>
      <w:kern w:val="28"/>
    </w:rPr>
  </w:style>
  <w:style w:type="character" w:styleId="EndnoteReference">
    <w:name w:val="endnote reference"/>
    <w:semiHidden/>
    <w:rsid w:val="00F40A48"/>
    <w:rPr>
      <w:vertAlign w:val="superscript"/>
    </w:rPr>
  </w:style>
  <w:style w:type="paragraph" w:styleId="TOC1">
    <w:name w:val="toc 1"/>
    <w:basedOn w:val="Normal"/>
    <w:next w:val="Normal"/>
    <w:uiPriority w:val="39"/>
    <w:rsid w:val="00F40A4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0A48"/>
    <w:pPr>
      <w:tabs>
        <w:tab w:val="left" w:pos="720"/>
        <w:tab w:val="right" w:leader="dot" w:pos="9360"/>
      </w:tabs>
      <w:suppressAutoHyphens/>
      <w:ind w:left="720" w:right="720" w:hanging="360"/>
    </w:pPr>
    <w:rPr>
      <w:noProof/>
    </w:rPr>
  </w:style>
  <w:style w:type="paragraph" w:styleId="TOC3">
    <w:name w:val="toc 3"/>
    <w:basedOn w:val="Normal"/>
    <w:next w:val="Normal"/>
    <w:semiHidden/>
    <w:rsid w:val="00F40A4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0A4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0A4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0A4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0A4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0A4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0A4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0A48"/>
    <w:pPr>
      <w:tabs>
        <w:tab w:val="right" w:pos="9360"/>
      </w:tabs>
      <w:suppressAutoHyphens/>
    </w:pPr>
  </w:style>
  <w:style w:type="character" w:customStyle="1" w:styleId="EquationCaption">
    <w:name w:val="_Equation Caption"/>
    <w:rsid w:val="00F40A48"/>
  </w:style>
  <w:style w:type="character" w:styleId="PageNumber">
    <w:name w:val="page number"/>
    <w:rsid w:val="00F40A48"/>
  </w:style>
  <w:style w:type="paragraph" w:styleId="BlockText">
    <w:name w:val="Block Text"/>
    <w:basedOn w:val="Normal"/>
    <w:rsid w:val="00F40A48"/>
    <w:pPr>
      <w:spacing w:after="240"/>
      <w:ind w:left="1440" w:right="1440"/>
    </w:pPr>
  </w:style>
  <w:style w:type="paragraph" w:customStyle="1" w:styleId="Paratitle">
    <w:name w:val="Para title"/>
    <w:basedOn w:val="Normal"/>
    <w:rsid w:val="00F40A48"/>
    <w:pPr>
      <w:tabs>
        <w:tab w:val="center" w:pos="9270"/>
      </w:tabs>
      <w:spacing w:after="240"/>
    </w:pPr>
    <w:rPr>
      <w:spacing w:val="-2"/>
    </w:rPr>
  </w:style>
  <w:style w:type="paragraph" w:customStyle="1" w:styleId="Bullet">
    <w:name w:val="Bullet"/>
    <w:basedOn w:val="Normal"/>
    <w:rsid w:val="00F40A48"/>
    <w:pPr>
      <w:numPr>
        <w:numId w:val="1"/>
      </w:numPr>
      <w:tabs>
        <w:tab w:val="left" w:pos="2160"/>
      </w:tabs>
      <w:spacing w:after="220"/>
      <w:ind w:left="2160" w:hanging="720"/>
    </w:pPr>
  </w:style>
  <w:style w:type="paragraph" w:customStyle="1" w:styleId="TableFormat">
    <w:name w:val="TableFormat"/>
    <w:basedOn w:val="Bullet"/>
    <w:rsid w:val="00F40A48"/>
    <w:pPr>
      <w:numPr>
        <w:numId w:val="0"/>
      </w:numPr>
      <w:tabs>
        <w:tab w:val="clear" w:pos="2160"/>
        <w:tab w:val="left" w:pos="5040"/>
      </w:tabs>
      <w:ind w:left="5040" w:hanging="3600"/>
    </w:pPr>
  </w:style>
  <w:style w:type="paragraph" w:customStyle="1" w:styleId="TOCTitle">
    <w:name w:val="TOC Title"/>
    <w:basedOn w:val="Normal"/>
    <w:rsid w:val="00F40A4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0A48"/>
    <w:pPr>
      <w:jc w:val="center"/>
    </w:pPr>
    <w:rPr>
      <w:rFonts w:ascii="Times New Roman Bold" w:hAnsi="Times New Roman Bold"/>
      <w:b/>
      <w:bCs/>
      <w:caps/>
      <w:szCs w:val="22"/>
    </w:rPr>
  </w:style>
  <w:style w:type="character" w:customStyle="1" w:styleId="UnresolvedMention">
    <w:name w:val="Unresolved Mention"/>
    <w:uiPriority w:val="99"/>
    <w:rsid w:val="0004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elynn.Rem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deralregister.gov/documents/2020/06/18/2020-11130/implementation-of-provisions-of-the-television-viewer-protection-act-of-2019-governing-negotiation"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