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C82B6B" w14:paraId="00290BA1" w14:textId="77777777">
      <w:pPr>
        <w:jc w:val="right"/>
        <w:rPr>
          <w:sz w:val="24"/>
        </w:rPr>
      </w:pPr>
    </w:p>
    <w:p w:rsidR="00013A8B" w:rsidRPr="00B20363" w:rsidP="00013A8B" w14:paraId="11683D78" w14:textId="0C9449B5">
      <w:pPr>
        <w:jc w:val="right"/>
        <w:rPr>
          <w:b/>
          <w:sz w:val="24"/>
        </w:rPr>
      </w:pPr>
      <w:r>
        <w:rPr>
          <w:b/>
          <w:sz w:val="24"/>
        </w:rPr>
        <w:t>DA 20-</w:t>
      </w:r>
      <w:r w:rsidR="00697E1F">
        <w:rPr>
          <w:b/>
          <w:sz w:val="24"/>
        </w:rPr>
        <w:t>642</w:t>
      </w:r>
    </w:p>
    <w:p w:rsidR="00013A8B" w:rsidRPr="00B20363" w:rsidP="00013A8B" w14:paraId="670ACE8D" w14:textId="38BDF1BC">
      <w:pPr>
        <w:spacing w:before="60"/>
        <w:jc w:val="right"/>
        <w:rPr>
          <w:b/>
          <w:sz w:val="24"/>
        </w:rPr>
      </w:pPr>
      <w:r>
        <w:rPr>
          <w:b/>
          <w:sz w:val="24"/>
        </w:rPr>
        <w:t xml:space="preserve">Released:  </w:t>
      </w:r>
      <w:r w:rsidR="00FF5F91">
        <w:rPr>
          <w:b/>
          <w:sz w:val="24"/>
        </w:rPr>
        <w:t xml:space="preserve">June </w:t>
      </w:r>
      <w:r w:rsidR="00ED6725">
        <w:rPr>
          <w:b/>
          <w:sz w:val="24"/>
        </w:rPr>
        <w:t>18</w:t>
      </w:r>
      <w:r w:rsidR="00FF5F91">
        <w:rPr>
          <w:b/>
          <w:sz w:val="24"/>
        </w:rPr>
        <w:t>, 2020</w:t>
      </w:r>
    </w:p>
    <w:p w:rsidR="00013A8B" w:rsidP="00013A8B" w14:paraId="24A2ECA3" w14:textId="77777777">
      <w:pPr>
        <w:jc w:val="right"/>
        <w:rPr>
          <w:sz w:val="24"/>
        </w:rPr>
      </w:pPr>
    </w:p>
    <w:p w:rsidR="00013A8B" w:rsidRPr="00B20363" w:rsidP="00013A8B" w14:paraId="195CF4E5" w14:textId="394ACDA1">
      <w:pPr>
        <w:spacing w:after="240"/>
        <w:jc w:val="center"/>
        <w:rPr>
          <w:rFonts w:ascii="Times New Roman Bold" w:hAnsi="Times New Roman Bold"/>
          <w:b/>
          <w:caps/>
          <w:sz w:val="24"/>
        </w:rPr>
      </w:pPr>
      <w:r>
        <w:rPr>
          <w:rFonts w:ascii="Times New Roman Bold" w:hAnsi="Times New Roman Bold"/>
          <w:b/>
          <w:caps/>
          <w:sz w:val="24"/>
        </w:rPr>
        <w:t xml:space="preserve">The wireless telecommunications bureau </w:t>
      </w:r>
      <w:r w:rsidR="007058E0">
        <w:rPr>
          <w:rFonts w:ascii="Times New Roman Bold" w:hAnsi="Times New Roman Bold"/>
          <w:b/>
          <w:caps/>
          <w:sz w:val="24"/>
        </w:rPr>
        <w:t xml:space="preserve">Establishes a new Docket and </w:t>
      </w:r>
      <w:r>
        <w:rPr>
          <w:rFonts w:ascii="Times New Roman Bold" w:hAnsi="Times New Roman Bold"/>
          <w:b/>
          <w:caps/>
          <w:sz w:val="24"/>
        </w:rPr>
        <w:t xml:space="preserve">describes the process for comment on </w:t>
      </w:r>
      <w:r w:rsidR="007058E0">
        <w:rPr>
          <w:rFonts w:ascii="Times New Roman Bold" w:hAnsi="Times New Roman Bold"/>
          <w:b/>
          <w:caps/>
          <w:sz w:val="24"/>
        </w:rPr>
        <w:t xml:space="preserve">space station operator </w:t>
      </w:r>
      <w:r>
        <w:rPr>
          <w:rFonts w:ascii="Times New Roman Bold" w:hAnsi="Times New Roman Bold"/>
          <w:b/>
          <w:caps/>
          <w:sz w:val="24"/>
        </w:rPr>
        <w:t>transition plans</w:t>
      </w:r>
    </w:p>
    <w:p w:rsidR="00013A8B" w:rsidP="00013A8B" w14:paraId="0E931B89" w14:textId="6307E37D">
      <w:pPr>
        <w:jc w:val="center"/>
        <w:rPr>
          <w:b/>
          <w:sz w:val="24"/>
        </w:rPr>
      </w:pPr>
      <w:r>
        <w:rPr>
          <w:b/>
          <w:sz w:val="24"/>
        </w:rPr>
        <w:t>GN Docket No. 18-122</w:t>
      </w:r>
      <w:r w:rsidR="0007037F">
        <w:rPr>
          <w:b/>
          <w:sz w:val="24"/>
        </w:rPr>
        <w:t xml:space="preserve">; </w:t>
      </w:r>
      <w:r w:rsidRPr="00ED6725" w:rsidR="00461B7A">
        <w:rPr>
          <w:b/>
          <w:sz w:val="24"/>
        </w:rPr>
        <w:t>GN</w:t>
      </w:r>
      <w:r w:rsidRPr="00ED6725" w:rsidR="0007037F">
        <w:rPr>
          <w:b/>
          <w:sz w:val="24"/>
        </w:rPr>
        <w:t xml:space="preserve"> Docket No. </w:t>
      </w:r>
      <w:r w:rsidRPr="00ED6725" w:rsidR="00461B7A">
        <w:rPr>
          <w:b/>
          <w:sz w:val="24"/>
        </w:rPr>
        <w:t>20</w:t>
      </w:r>
      <w:r w:rsidRPr="00ED6725" w:rsidR="0007037F">
        <w:rPr>
          <w:b/>
          <w:sz w:val="24"/>
        </w:rPr>
        <w:t>-</w:t>
      </w:r>
      <w:r w:rsidR="00ED6725">
        <w:rPr>
          <w:b/>
          <w:sz w:val="24"/>
        </w:rPr>
        <w:t>173</w:t>
      </w:r>
    </w:p>
    <w:p w:rsidR="0007037F" w:rsidP="00013A8B" w14:paraId="454EED3A" w14:textId="77777777">
      <w:pPr>
        <w:jc w:val="center"/>
        <w:rPr>
          <w:b/>
          <w:sz w:val="24"/>
        </w:rPr>
      </w:pPr>
    </w:p>
    <w:p w:rsidR="0071055D" w:rsidRPr="00D33283" w:rsidP="0071055D" w14:paraId="2BC206E7" w14:textId="412FAA95">
      <w:pPr>
        <w:rPr>
          <w:b/>
          <w:bCs/>
          <w:sz w:val="24"/>
        </w:rPr>
      </w:pPr>
      <w:bookmarkStart w:id="0" w:name="TOChere"/>
      <w:r w:rsidRPr="00D33283">
        <w:rPr>
          <w:b/>
          <w:bCs/>
          <w:sz w:val="24"/>
        </w:rPr>
        <w:t xml:space="preserve">Comments due: </w:t>
      </w:r>
      <w:r>
        <w:rPr>
          <w:b/>
          <w:bCs/>
          <w:sz w:val="24"/>
        </w:rPr>
        <w:t>July 13, 2020</w:t>
      </w:r>
    </w:p>
    <w:p w:rsidR="00F96F63" w:rsidRPr="00930ECF" w:rsidP="00F96F63" w14:paraId="3C94048D" w14:textId="57D5E96A">
      <w:pPr>
        <w:rPr>
          <w:sz w:val="24"/>
        </w:rPr>
      </w:pPr>
    </w:p>
    <w:bookmarkEnd w:id="0"/>
    <w:p w:rsidR="00F96F63" w:rsidP="00803F43" w14:paraId="157F6E64" w14:textId="49E89AC9">
      <w:pPr>
        <w:ind w:firstLine="720"/>
        <w:rPr>
          <w:sz w:val="24"/>
        </w:rPr>
      </w:pPr>
      <w:r w:rsidRPr="002E1558">
        <w:rPr>
          <w:szCs w:val="22"/>
        </w:rPr>
        <w:t xml:space="preserve">With this Public Notice, the Wireless Telecommunications Bureau (WTB) </w:t>
      </w:r>
      <w:r w:rsidRPr="00ED6725" w:rsidR="007058E0">
        <w:rPr>
          <w:szCs w:val="22"/>
        </w:rPr>
        <w:t>establish</w:t>
      </w:r>
      <w:r w:rsidRPr="00ED6725" w:rsidR="00747A59">
        <w:rPr>
          <w:szCs w:val="22"/>
        </w:rPr>
        <w:t>es</w:t>
      </w:r>
      <w:r w:rsidRPr="00ED6725" w:rsidR="007058E0">
        <w:rPr>
          <w:szCs w:val="22"/>
        </w:rPr>
        <w:t xml:space="preserve"> GN Docket No. 20-</w:t>
      </w:r>
      <w:r w:rsidR="00ED6725">
        <w:rPr>
          <w:szCs w:val="22"/>
        </w:rPr>
        <w:t>173</w:t>
      </w:r>
      <w:r w:rsidR="007058E0">
        <w:rPr>
          <w:szCs w:val="22"/>
        </w:rPr>
        <w:t>, which is captioned “</w:t>
      </w:r>
      <w:r w:rsidR="00FE65DB">
        <w:rPr>
          <w:szCs w:val="22"/>
        </w:rPr>
        <w:t>Eligible Satellite Operator Transition Plans for the 3.7-4.2 GHz Band.</w:t>
      </w:r>
      <w:r w:rsidR="007058E0">
        <w:rPr>
          <w:szCs w:val="22"/>
        </w:rPr>
        <w:t xml:space="preserve">”  This Public Notice also </w:t>
      </w:r>
      <w:r>
        <w:rPr>
          <w:szCs w:val="22"/>
        </w:rPr>
        <w:t xml:space="preserve">details the process for notice and comment on space station operators’ </w:t>
      </w:r>
      <w:r w:rsidR="008748AA">
        <w:rPr>
          <w:szCs w:val="22"/>
        </w:rPr>
        <w:t>Transition Plans</w:t>
      </w:r>
      <w:r w:rsidRPr="002E1558">
        <w:rPr>
          <w:szCs w:val="22"/>
        </w:rPr>
        <w:t>.</w:t>
      </w:r>
      <w:r>
        <w:rPr>
          <w:rStyle w:val="FootnoteReference"/>
          <w:szCs w:val="22"/>
        </w:rPr>
        <w:footnoteReference w:id="3"/>
      </w:r>
      <w:r w:rsidRPr="002E1558">
        <w:rPr>
          <w:szCs w:val="22"/>
        </w:rPr>
        <w:t xml:space="preserve">  On March 3, 2020, the Commission released the </w:t>
      </w:r>
      <w:r w:rsidRPr="002E1558">
        <w:rPr>
          <w:i/>
          <w:iCs/>
          <w:szCs w:val="22"/>
        </w:rPr>
        <w:t>Expanding Flexible Use of the 3.7 to 4.2 GHz Band</w:t>
      </w:r>
      <w:r w:rsidRPr="002E1558">
        <w:rPr>
          <w:szCs w:val="22"/>
        </w:rPr>
        <w:t xml:space="preserve"> </w:t>
      </w:r>
      <w:r w:rsidRPr="002E1558">
        <w:rPr>
          <w:i/>
          <w:iCs/>
          <w:szCs w:val="22"/>
        </w:rPr>
        <w:t>Report and Order</w:t>
      </w:r>
      <w:r w:rsidRPr="008E5CFF">
        <w:rPr>
          <w:szCs w:val="22"/>
        </w:rPr>
        <w:t>,</w:t>
      </w:r>
      <w:r>
        <w:rPr>
          <w:i/>
          <w:iCs/>
          <w:szCs w:val="22"/>
        </w:rPr>
        <w:t xml:space="preserve"> </w:t>
      </w:r>
      <w:r>
        <w:rPr>
          <w:szCs w:val="22"/>
        </w:rPr>
        <w:t>which</w:t>
      </w:r>
      <w:r w:rsidRPr="002E1558">
        <w:rPr>
          <w:i/>
          <w:iCs/>
          <w:szCs w:val="22"/>
        </w:rPr>
        <w:t xml:space="preserve"> </w:t>
      </w:r>
      <w:r w:rsidRPr="002E1558">
        <w:rPr>
          <w:szCs w:val="22"/>
        </w:rPr>
        <w:t>adopt</w:t>
      </w:r>
      <w:r>
        <w:rPr>
          <w:szCs w:val="22"/>
        </w:rPr>
        <w:t>ed</w:t>
      </w:r>
      <w:r w:rsidRPr="002E1558">
        <w:rPr>
          <w:szCs w:val="22"/>
        </w:rPr>
        <w:t xml:space="preserve"> new rules to make 280 megahertz of mid-band spectrum available for flexible use</w:t>
      </w:r>
      <w:r>
        <w:rPr>
          <w:szCs w:val="22"/>
        </w:rPr>
        <w:t xml:space="preserve"> </w:t>
      </w:r>
      <w:r w:rsidRPr="00EC7C26">
        <w:rPr>
          <w:szCs w:val="22"/>
        </w:rPr>
        <w:t>through a Commission-administered public auction of overlay licenses</w:t>
      </w:r>
      <w:r w:rsidRPr="002E1558">
        <w:rPr>
          <w:szCs w:val="22"/>
        </w:rPr>
        <w:t>, plus a 20 megahertz guard band, throughout the contiguous United States by transitioning existing services out of the lower portion and into the upper 200 megahertz of the 3.7-4.2 GHz band (C-</w:t>
      </w:r>
      <w:r>
        <w:rPr>
          <w:szCs w:val="22"/>
        </w:rPr>
        <w:t>b</w:t>
      </w:r>
      <w:r w:rsidRPr="002E1558">
        <w:rPr>
          <w:szCs w:val="22"/>
        </w:rPr>
        <w:t>and).</w:t>
      </w:r>
      <w:r>
        <w:rPr>
          <w:rStyle w:val="FootnoteReference"/>
          <w:szCs w:val="22"/>
        </w:rPr>
        <w:footnoteReference w:id="4"/>
      </w:r>
      <w:r w:rsidRPr="002E1558">
        <w:rPr>
          <w:szCs w:val="22"/>
        </w:rPr>
        <w:t xml:space="preserve">  </w:t>
      </w:r>
    </w:p>
    <w:p w:rsidR="00930ECF" w:rsidP="00F96F63" w14:paraId="54BAABA6" w14:textId="761664E9">
      <w:pPr>
        <w:rPr>
          <w:sz w:val="24"/>
        </w:rPr>
      </w:pPr>
    </w:p>
    <w:p w:rsidR="008E519F" w:rsidP="00F96F63" w14:paraId="542A2359" w14:textId="3E0C7F64">
      <w:r>
        <w:rPr>
          <w:sz w:val="24"/>
        </w:rPr>
        <w:tab/>
      </w:r>
      <w:r>
        <w:rPr>
          <w:szCs w:val="18"/>
        </w:rPr>
        <w:t xml:space="preserve">The </w:t>
      </w:r>
      <w:r w:rsidR="008748AA">
        <w:rPr>
          <w:i/>
          <w:iCs/>
          <w:szCs w:val="18"/>
        </w:rPr>
        <w:t xml:space="preserve">3.7 GHz </w:t>
      </w:r>
      <w:r>
        <w:rPr>
          <w:i/>
          <w:iCs/>
          <w:szCs w:val="18"/>
        </w:rPr>
        <w:t>Report and Order</w:t>
      </w:r>
      <w:r>
        <w:rPr>
          <w:szCs w:val="18"/>
        </w:rPr>
        <w:t xml:space="preserve"> required that each eligible space station operator submit to the Commission</w:t>
      </w:r>
      <w:r w:rsidR="00807799">
        <w:rPr>
          <w:szCs w:val="18"/>
        </w:rPr>
        <w:t>,</w:t>
      </w:r>
      <w:r>
        <w:rPr>
          <w:szCs w:val="18"/>
        </w:rPr>
        <w:t xml:space="preserve"> and make available for public review </w:t>
      </w:r>
      <w:r w:rsidR="009A6592">
        <w:rPr>
          <w:szCs w:val="18"/>
        </w:rPr>
        <w:t>in GN Docket No. 18-122</w:t>
      </w:r>
      <w:r w:rsidR="00807799">
        <w:rPr>
          <w:szCs w:val="18"/>
        </w:rPr>
        <w:t>,</w:t>
      </w:r>
      <w:r w:rsidR="009A6592">
        <w:rPr>
          <w:szCs w:val="18"/>
        </w:rPr>
        <w:t xml:space="preserve"> </w:t>
      </w:r>
      <w:r>
        <w:rPr>
          <w:szCs w:val="18"/>
        </w:rPr>
        <w:t>a Transition Plan describing the necessary steps and estimated costs to transition all existing services out of the lower 300 megahertz of the C-band.</w:t>
      </w:r>
      <w:r>
        <w:rPr>
          <w:rStyle w:val="FootnoteReference"/>
          <w:szCs w:val="18"/>
        </w:rPr>
        <w:footnoteReference w:id="5"/>
      </w:r>
      <w:r>
        <w:rPr>
          <w:szCs w:val="18"/>
        </w:rPr>
        <w:t xml:space="preserve">  The </w:t>
      </w:r>
      <w:r w:rsidR="008748AA">
        <w:rPr>
          <w:i/>
          <w:iCs/>
          <w:szCs w:val="18"/>
        </w:rPr>
        <w:t xml:space="preserve">3.7 GHz </w:t>
      </w:r>
      <w:r>
        <w:rPr>
          <w:i/>
          <w:iCs/>
          <w:szCs w:val="18"/>
        </w:rPr>
        <w:t xml:space="preserve">Report and Order </w:t>
      </w:r>
      <w:r>
        <w:t>directed WTB to issue a Public Notice detailing the process for incumbent earth station operators, programmers, and other C-band stakeholders to file comments on each Transition Plan.</w:t>
      </w:r>
      <w:r>
        <w:rPr>
          <w:rStyle w:val="FootnoteReference"/>
        </w:rPr>
        <w:footnoteReference w:id="6"/>
      </w:r>
      <w:r>
        <w:t xml:space="preserve">  Stakeholder comments</w:t>
      </w:r>
      <w:r w:rsidR="00747A59">
        <w:t xml:space="preserve"> on the Transition Plans</w:t>
      </w:r>
      <w:r>
        <w:t xml:space="preserve"> are due on July 13, 2020.</w:t>
      </w:r>
      <w:r>
        <w:rPr>
          <w:rStyle w:val="FootnoteReference"/>
        </w:rPr>
        <w:footnoteReference w:id="7"/>
      </w:r>
      <w:r>
        <w:t xml:space="preserve"> </w:t>
      </w:r>
      <w:r w:rsidR="001632E7">
        <w:t xml:space="preserve"> Filers </w:t>
      </w:r>
      <w:r w:rsidR="009A6592">
        <w:t xml:space="preserve">responding to the Transition Plans </w:t>
      </w:r>
      <w:r w:rsidR="001632E7">
        <w:t>should submit comments</w:t>
      </w:r>
      <w:r w:rsidR="009A6592">
        <w:t xml:space="preserve"> in</w:t>
      </w:r>
      <w:r w:rsidR="001632E7">
        <w:t xml:space="preserve"> </w:t>
      </w:r>
      <w:r w:rsidRPr="00ED6725" w:rsidR="001632E7">
        <w:t xml:space="preserve">GN </w:t>
      </w:r>
      <w:r w:rsidRPr="00ED6725" w:rsidR="007058E0">
        <w:t>Docket No. 20</w:t>
      </w:r>
      <w:r w:rsidRPr="00ED6725" w:rsidR="001632E7">
        <w:t>-</w:t>
      </w:r>
      <w:r w:rsidRPr="00ED6725" w:rsidR="00ED6725">
        <w:t>173</w:t>
      </w:r>
      <w:r w:rsidR="001632E7">
        <w:t>.</w:t>
      </w:r>
      <w:r>
        <w:rPr>
          <w:rStyle w:val="FootnoteReference"/>
        </w:rPr>
        <w:footnoteReference w:id="8"/>
      </w:r>
    </w:p>
    <w:p w:rsidR="0071055D" w:rsidP="00F96F63" w14:paraId="251346E7" w14:textId="1A281B5A">
      <w:r>
        <w:t xml:space="preserve"> </w:t>
      </w:r>
    </w:p>
    <w:p w:rsidR="00737934" w:rsidP="00BC6C15" w14:paraId="176D120E" w14:textId="2E4A032C">
      <w:pPr>
        <w:jc w:val="center"/>
      </w:pPr>
      <w:r w:rsidRPr="00E44867">
        <w:t>***</w:t>
      </w:r>
    </w:p>
    <w:p w:rsidR="00E44867" w:rsidP="00F96F63" w14:paraId="355DD611" w14:textId="77777777"/>
    <w:p w:rsidR="008E519F" w:rsidRPr="008E519F" w:rsidP="008E519F" w14:paraId="49F96350" w14:textId="6FE27944">
      <w:pPr>
        <w:spacing w:after="120"/>
        <w:ind w:firstLine="720"/>
        <w:rPr>
          <w:szCs w:val="22"/>
        </w:rPr>
      </w:pPr>
      <w:r w:rsidRPr="008E519F">
        <w:rPr>
          <w:i/>
          <w:szCs w:val="22"/>
        </w:rPr>
        <w:t xml:space="preserve">Filing Requirements.  </w:t>
      </w:r>
      <w:r w:rsidRPr="008E519F">
        <w:rPr>
          <w:szCs w:val="22"/>
        </w:rPr>
        <w:t xml:space="preserve">Interested parties are invited to file comments on or before the date indicated on the first page of this document.  </w:t>
      </w:r>
      <w:r w:rsidRPr="008E519F">
        <w:rPr>
          <w:iCs/>
          <w:szCs w:val="22"/>
        </w:rPr>
        <w:t xml:space="preserve">All filings must reference </w:t>
      </w:r>
      <w:r w:rsidRPr="00ED6725" w:rsidR="00461B7A">
        <w:rPr>
          <w:iCs/>
          <w:szCs w:val="22"/>
        </w:rPr>
        <w:t>GN Docket No. 20-</w:t>
      </w:r>
      <w:r w:rsidR="00ED6725">
        <w:rPr>
          <w:iCs/>
          <w:szCs w:val="22"/>
        </w:rPr>
        <w:t>173</w:t>
      </w:r>
      <w:r w:rsidRPr="008E519F">
        <w:rPr>
          <w:iCs/>
          <w:szCs w:val="22"/>
        </w:rPr>
        <w:t xml:space="preserve">.  </w:t>
      </w:r>
      <w:r w:rsidRPr="008E519F">
        <w:rPr>
          <w:szCs w:val="22"/>
        </w:rPr>
        <w:t xml:space="preserve">Comments may be filed using the Commission’s Electronic Comment Filing System (ECFS). </w:t>
      </w:r>
    </w:p>
    <w:p w:rsidR="008E519F" w:rsidRPr="008E519F" w:rsidP="008E519F" w14:paraId="7F63D398" w14:textId="77777777">
      <w:pPr>
        <w:numPr>
          <w:ilvl w:val="0"/>
          <w:numId w:val="7"/>
        </w:numPr>
        <w:spacing w:after="120"/>
        <w:ind w:left="720"/>
        <w:rPr>
          <w:szCs w:val="22"/>
        </w:rPr>
      </w:pPr>
      <w:r w:rsidRPr="008E519F">
        <w:rPr>
          <w:szCs w:val="22"/>
        </w:rPr>
        <w:t xml:space="preserve">Electronic Filers:  Comments may be filed electronically using the internet by accessing the ECFS: </w:t>
      </w:r>
      <w:hyperlink r:id="rId5" w:history="1">
        <w:r w:rsidRPr="008E519F">
          <w:rPr>
            <w:rStyle w:val="Hyperlink"/>
            <w:szCs w:val="22"/>
          </w:rPr>
          <w:t>https://www.fcc.gov/ecfs/</w:t>
        </w:r>
      </w:hyperlink>
      <w:r w:rsidRPr="008E519F">
        <w:rPr>
          <w:szCs w:val="22"/>
        </w:rPr>
        <w:t xml:space="preserve">. </w:t>
      </w:r>
    </w:p>
    <w:p w:rsidR="008E519F" w:rsidRPr="008E519F" w:rsidP="008E519F" w14:paraId="33B95EC3" w14:textId="77777777">
      <w:pPr>
        <w:numPr>
          <w:ilvl w:val="0"/>
          <w:numId w:val="7"/>
        </w:numPr>
        <w:spacing w:after="120"/>
        <w:ind w:left="720"/>
        <w:rPr>
          <w:szCs w:val="22"/>
        </w:rPr>
      </w:pPr>
      <w:r w:rsidRPr="008E519F">
        <w:rPr>
          <w:szCs w:val="22"/>
        </w:rPr>
        <w:t xml:space="preserve">Paper Filers:  Parties who choose to file by paper must file an original and one copy of each filing.  </w:t>
      </w:r>
    </w:p>
    <w:p w:rsidR="008E519F" w:rsidRPr="008E519F" w:rsidP="008E519F" w14:paraId="69753215" w14:textId="77777777">
      <w:pPr>
        <w:spacing w:after="120"/>
        <w:ind w:left="720"/>
        <w:rPr>
          <w:szCs w:val="22"/>
        </w:rPr>
      </w:pPr>
      <w:r w:rsidRPr="008E519F">
        <w:rPr>
          <w:szCs w:val="22"/>
        </w:rPr>
        <w:t>Filings can be sent by commercial courier or by the U.S. Postal Service.  All filings must be addressed to the Commission’s Secretary, Office of the Secretary, Federal Communications Commission.</w:t>
      </w:r>
    </w:p>
    <w:p w:rsidR="008E519F" w:rsidRPr="008E519F" w:rsidP="008E519F" w14:paraId="500F4843" w14:textId="77777777">
      <w:pPr>
        <w:numPr>
          <w:ilvl w:val="0"/>
          <w:numId w:val="7"/>
        </w:numPr>
        <w:spacing w:after="120"/>
        <w:rPr>
          <w:szCs w:val="22"/>
        </w:rPr>
      </w:pPr>
      <w:r w:rsidRPr="008E519F">
        <w:rPr>
          <w:szCs w:val="22"/>
        </w:rPr>
        <w:t xml:space="preserve">Commercial deliveries (other than U.S. Postal Service Express Mail and Priority Mail) must be sent to 9050 Junction Drive, Annapolis Junction, MD 20701. </w:t>
      </w:r>
    </w:p>
    <w:p w:rsidR="008E519F" w:rsidRPr="008E519F" w:rsidP="008E519F" w14:paraId="75541D1C" w14:textId="77777777">
      <w:pPr>
        <w:numPr>
          <w:ilvl w:val="0"/>
          <w:numId w:val="7"/>
        </w:numPr>
        <w:spacing w:after="120"/>
        <w:rPr>
          <w:szCs w:val="22"/>
        </w:rPr>
      </w:pPr>
      <w:r w:rsidRPr="008E519F">
        <w:rPr>
          <w:szCs w:val="22"/>
        </w:rPr>
        <w:t>U.S. Postal Service First-Class, Express, and Priority mail must be addressed to 445 12</w:t>
      </w:r>
      <w:r w:rsidRPr="008E519F">
        <w:rPr>
          <w:szCs w:val="22"/>
          <w:vertAlign w:val="superscript"/>
        </w:rPr>
        <w:t>th</w:t>
      </w:r>
      <w:r w:rsidRPr="008E519F">
        <w:rPr>
          <w:szCs w:val="22"/>
        </w:rPr>
        <w:t xml:space="preserve"> Street, SW, Washington, DC 20554. </w:t>
      </w:r>
    </w:p>
    <w:p w:rsidR="008E519F" w:rsidRPr="008E519F" w:rsidP="008E519F" w14:paraId="36EDB528" w14:textId="77777777">
      <w:pPr>
        <w:pStyle w:val="ListParagraph"/>
        <w:numPr>
          <w:ilvl w:val="0"/>
          <w:numId w:val="7"/>
        </w:numPr>
        <w:rPr>
          <w:rStyle w:val="Hyperlink"/>
          <w:rFonts w:ascii="Times New Roman" w:hAnsi="Times New Roman"/>
          <w:color w:val="auto"/>
        </w:rPr>
      </w:pPr>
      <w:r w:rsidRPr="008E519F">
        <w:rPr>
          <w:rFonts w:ascii="Times New Roman" w:hAnsi="Times New Roman"/>
          <w:b/>
          <w:bCs/>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w:t>
      </w:r>
      <w:r w:rsidRPr="008E519F">
        <w:rPr>
          <w:rFonts w:ascii="Times New Roman" w:hAnsi="Times New Roman"/>
          <w:b/>
          <w:bCs/>
          <w:i/>
          <w:iCs/>
        </w:rPr>
        <w:t>FCC Announces Closure of FCC Headquarters Open Window and Change in Hand-Delivery Policy</w:t>
      </w:r>
      <w:r w:rsidRPr="008E519F">
        <w:rPr>
          <w:rFonts w:ascii="Times New Roman" w:hAnsi="Times New Roman"/>
          <w:b/>
          <w:bCs/>
        </w:rPr>
        <w:t xml:space="preserve">, Public Notice, DA 20-304 (March 19, 2020).  </w:t>
      </w:r>
      <w:hyperlink r:id="rId6" w:history="1">
        <w:r w:rsidRPr="008E519F">
          <w:rPr>
            <w:rStyle w:val="Hyperlink"/>
            <w:rFonts w:ascii="Times New Roman" w:hAnsi="Times New Roman"/>
            <w:b/>
            <w:bCs/>
          </w:rPr>
          <w:t>https://www.fcc.gov/document/fcc-closes-headquarters-open-window-and-changes-hand-delivery-policy</w:t>
        </w:r>
      </w:hyperlink>
    </w:p>
    <w:p w:rsidR="008E519F" w:rsidRPr="008E519F" w:rsidP="008E519F" w14:paraId="584B8E48" w14:textId="77777777">
      <w:pPr>
        <w:numPr>
          <w:ilvl w:val="0"/>
          <w:numId w:val="7"/>
        </w:numPr>
        <w:spacing w:after="120"/>
        <w:rPr>
          <w:szCs w:val="22"/>
        </w:rPr>
      </w:pPr>
      <w:r w:rsidRPr="008E519F">
        <w:rPr>
          <w:b/>
          <w:bCs/>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8E519F" w:rsidRPr="008E519F" w:rsidP="008E519F" w14:paraId="659E3652" w14:textId="77777777">
      <w:pPr>
        <w:spacing w:after="120"/>
        <w:ind w:firstLine="720"/>
        <w:rPr>
          <w:szCs w:val="22"/>
        </w:rPr>
      </w:pPr>
      <w:r w:rsidRPr="008E519F">
        <w:rPr>
          <w:i/>
          <w:iCs/>
          <w:szCs w:val="22"/>
        </w:rPr>
        <w:t>People with Disabilities</w:t>
      </w:r>
      <w:r w:rsidRPr="008E519F">
        <w:rPr>
          <w:szCs w:val="22"/>
        </w:rPr>
        <w:t xml:space="preserve">:  To request materials in accessible formats for people with disabilities (braille, large print, electronic files, audio format), send an e-mail to </w:t>
      </w:r>
      <w:hyperlink r:id="rId7" w:history="1">
        <w:r w:rsidRPr="008E519F">
          <w:rPr>
            <w:rStyle w:val="Hyperlink"/>
            <w:szCs w:val="22"/>
          </w:rPr>
          <w:t>fcc504@fcc.gov</w:t>
        </w:r>
      </w:hyperlink>
      <w:r w:rsidRPr="008E519F">
        <w:rPr>
          <w:szCs w:val="22"/>
        </w:rPr>
        <w:t xml:space="preserve"> or call the Consumer &amp; Government Affairs Bureau at 202-418-0530 (voice, 202-418-0432 (</w:t>
      </w:r>
      <w:r w:rsidRPr="008E519F">
        <w:rPr>
          <w:szCs w:val="22"/>
        </w:rPr>
        <w:t>tty</w:t>
      </w:r>
      <w:r w:rsidRPr="008E519F">
        <w:rPr>
          <w:szCs w:val="22"/>
        </w:rPr>
        <w:t xml:space="preserve">). </w:t>
      </w:r>
    </w:p>
    <w:p w:rsidR="008E519F" w:rsidRPr="008E519F" w:rsidP="008E519F" w14:paraId="0196E3A6" w14:textId="77777777">
      <w:pPr>
        <w:spacing w:after="120"/>
        <w:ind w:firstLine="720"/>
        <w:rPr>
          <w:szCs w:val="22"/>
        </w:rPr>
      </w:pPr>
      <w:r w:rsidRPr="008E519F">
        <w:rPr>
          <w:i/>
          <w:iCs/>
          <w:szCs w:val="22"/>
        </w:rPr>
        <w:t xml:space="preserve">Ex </w:t>
      </w:r>
      <w:r w:rsidRPr="008E519F">
        <w:rPr>
          <w:i/>
          <w:iCs/>
          <w:szCs w:val="22"/>
        </w:rPr>
        <w:t>Parte</w:t>
      </w:r>
      <w:r w:rsidRPr="008E519F">
        <w:rPr>
          <w:i/>
          <w:iCs/>
          <w:szCs w:val="22"/>
        </w:rPr>
        <w:t xml:space="preserve"> Rules</w:t>
      </w:r>
      <w:r w:rsidRPr="008E519F">
        <w:rPr>
          <w:szCs w:val="22"/>
        </w:rPr>
        <w:t xml:space="preserve">.  This proceeding shall be treated as a “permit-but-disclose” proceeding in accordance with the Commission’s </w:t>
      </w:r>
      <w:r w:rsidRPr="008E519F">
        <w:rPr>
          <w:i/>
          <w:iCs/>
          <w:szCs w:val="22"/>
        </w:rPr>
        <w:t xml:space="preserve">ex </w:t>
      </w:r>
      <w:r w:rsidRPr="008E519F">
        <w:rPr>
          <w:i/>
          <w:iCs/>
          <w:szCs w:val="22"/>
        </w:rPr>
        <w:t>parte</w:t>
      </w:r>
      <w:r w:rsidRPr="008E519F">
        <w:rPr>
          <w:szCs w:val="22"/>
        </w:rPr>
        <w:t xml:space="preserve"> rules.</w:t>
      </w:r>
      <w:r>
        <w:rPr>
          <w:rStyle w:val="FootnoteReference"/>
          <w:szCs w:val="22"/>
        </w:rPr>
        <w:footnoteReference w:id="9"/>
      </w:r>
      <w:r w:rsidRPr="008E519F">
        <w:rPr>
          <w:szCs w:val="22"/>
        </w:rPr>
        <w:t xml:space="preserve">  Persons making </w:t>
      </w:r>
      <w:r w:rsidRPr="008E519F">
        <w:rPr>
          <w:i/>
          <w:iCs/>
          <w:szCs w:val="22"/>
        </w:rPr>
        <w:t xml:space="preserve">ex </w:t>
      </w:r>
      <w:r w:rsidRPr="008E519F">
        <w:rPr>
          <w:i/>
          <w:iCs/>
          <w:szCs w:val="22"/>
        </w:rPr>
        <w:t>parte</w:t>
      </w:r>
      <w:r w:rsidRPr="008E519F">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E519F">
        <w:rPr>
          <w:i/>
          <w:iCs/>
          <w:szCs w:val="22"/>
        </w:rPr>
        <w:t xml:space="preserve">ex </w:t>
      </w:r>
      <w:r w:rsidRPr="008E519F">
        <w:rPr>
          <w:i/>
          <w:iCs/>
          <w:szCs w:val="22"/>
        </w:rPr>
        <w:t>parte</w:t>
      </w:r>
      <w:r w:rsidRPr="008E519F">
        <w:rPr>
          <w:szCs w:val="22"/>
        </w:rPr>
        <w:t xml:space="preserve"> presentations are reminded that memoranda summarizing the presentation must: (1) list all persons attending or otherwise participating in the meeting at which the </w:t>
      </w:r>
      <w:r w:rsidRPr="008E519F">
        <w:rPr>
          <w:i/>
          <w:iCs/>
          <w:szCs w:val="22"/>
        </w:rPr>
        <w:t xml:space="preserve">ex </w:t>
      </w:r>
      <w:r w:rsidRPr="008E519F">
        <w:rPr>
          <w:i/>
          <w:iCs/>
          <w:szCs w:val="22"/>
        </w:rPr>
        <w:t>parte</w:t>
      </w:r>
      <w:r w:rsidRPr="008E519F">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E519F">
        <w:rPr>
          <w:i/>
          <w:iCs/>
          <w:szCs w:val="22"/>
        </w:rPr>
        <w:t xml:space="preserve">ex </w:t>
      </w:r>
      <w:r w:rsidRPr="008E519F">
        <w:rPr>
          <w:i/>
          <w:iCs/>
          <w:szCs w:val="22"/>
        </w:rPr>
        <w:t>parte</w:t>
      </w:r>
      <w:r w:rsidRPr="008E519F">
        <w:rPr>
          <w:szCs w:val="22"/>
        </w:rPr>
        <w:t xml:space="preserve"> meetings are deemed to be written </w:t>
      </w:r>
      <w:r w:rsidRPr="008E519F">
        <w:rPr>
          <w:i/>
          <w:iCs/>
          <w:szCs w:val="22"/>
        </w:rPr>
        <w:t xml:space="preserve">ex </w:t>
      </w:r>
      <w:r w:rsidRPr="008E519F">
        <w:rPr>
          <w:i/>
          <w:iCs/>
          <w:szCs w:val="22"/>
        </w:rPr>
        <w:t>parte</w:t>
      </w:r>
      <w:r w:rsidRPr="008E519F">
        <w:rPr>
          <w:szCs w:val="22"/>
        </w:rPr>
        <w:t xml:space="preserve"> presentations and must be filed consistent with section 1.1206(b) of the Commission’s rules.  In proceedings governed by section 1.49(f) of the rules or for which the Commission has made available a method of electronic filing, written </w:t>
      </w:r>
      <w:r w:rsidRPr="008E519F">
        <w:rPr>
          <w:i/>
          <w:iCs/>
          <w:szCs w:val="22"/>
        </w:rPr>
        <w:t xml:space="preserve">ex </w:t>
      </w:r>
      <w:r w:rsidRPr="008E519F">
        <w:rPr>
          <w:i/>
          <w:iCs/>
          <w:szCs w:val="22"/>
        </w:rPr>
        <w:t>parte</w:t>
      </w:r>
      <w:r w:rsidRPr="008E519F">
        <w:rPr>
          <w:szCs w:val="22"/>
        </w:rPr>
        <w:t xml:space="preserve"> presentations and memoranda summarizing oral </w:t>
      </w:r>
      <w:r w:rsidRPr="008E519F">
        <w:rPr>
          <w:i/>
          <w:iCs/>
          <w:szCs w:val="22"/>
        </w:rPr>
        <w:t xml:space="preserve">ex </w:t>
      </w:r>
      <w:r w:rsidRPr="008E519F">
        <w:rPr>
          <w:i/>
          <w:iCs/>
          <w:szCs w:val="22"/>
        </w:rPr>
        <w:t>parte</w:t>
      </w:r>
      <w:r w:rsidRPr="008E519F">
        <w:rPr>
          <w:i/>
          <w:iCs/>
          <w:szCs w:val="22"/>
        </w:rPr>
        <w:t xml:space="preserve"> </w:t>
      </w:r>
      <w:r w:rsidRPr="008E519F">
        <w:rPr>
          <w:szCs w:val="22"/>
        </w:rPr>
        <w:t xml:space="preserve">presentations, and all attachments thereto, </w:t>
      </w:r>
      <w:r w:rsidRPr="008E519F">
        <w:rPr>
          <w:szCs w:val="22"/>
        </w:rPr>
        <w:t>must be filed through the electronic comment filing system available for that proceeding, and must be filed in their native format (</w:t>
      </w:r>
      <w:r w:rsidRPr="008E519F">
        <w:rPr>
          <w:i/>
          <w:iCs/>
          <w:szCs w:val="22"/>
        </w:rPr>
        <w:t>e.g.</w:t>
      </w:r>
      <w:r w:rsidRPr="008E519F">
        <w:rPr>
          <w:szCs w:val="22"/>
        </w:rPr>
        <w:t>, .doc, .xml., .ppt, searchable .pdf).</w:t>
      </w:r>
      <w:r>
        <w:rPr>
          <w:rStyle w:val="FootnoteReference"/>
          <w:szCs w:val="22"/>
        </w:rPr>
        <w:footnoteReference w:id="10"/>
      </w:r>
      <w:r w:rsidRPr="008E519F">
        <w:rPr>
          <w:szCs w:val="22"/>
        </w:rPr>
        <w:t xml:space="preserve">  Participants in this proceeding should familiarize themselves with the Commission’s </w:t>
      </w:r>
      <w:r w:rsidRPr="008E519F">
        <w:rPr>
          <w:i/>
          <w:iCs/>
          <w:szCs w:val="22"/>
        </w:rPr>
        <w:t xml:space="preserve">ex </w:t>
      </w:r>
      <w:r w:rsidRPr="008E519F">
        <w:rPr>
          <w:i/>
          <w:iCs/>
          <w:szCs w:val="22"/>
        </w:rPr>
        <w:t>parte</w:t>
      </w:r>
      <w:r w:rsidRPr="008E519F">
        <w:rPr>
          <w:szCs w:val="22"/>
        </w:rPr>
        <w:t xml:space="preserve"> rules.</w:t>
      </w:r>
      <w:bookmarkStart w:id="1" w:name="_GoBack"/>
      <w:bookmarkEnd w:id="1"/>
    </w:p>
    <w:p w:rsidR="008E519F" w:rsidRPr="008E519F" w:rsidP="008E519F" w14:paraId="14A81473" w14:textId="49F11058">
      <w:pPr>
        <w:ind w:firstLine="720"/>
        <w:rPr>
          <w:szCs w:val="22"/>
        </w:rPr>
      </w:pPr>
      <w:r w:rsidRPr="008E519F">
        <w:rPr>
          <w:i/>
          <w:szCs w:val="22"/>
        </w:rPr>
        <w:t xml:space="preserve">Additional Information.  </w:t>
      </w:r>
      <w:r w:rsidRPr="008E519F">
        <w:rPr>
          <w:szCs w:val="22"/>
        </w:rPr>
        <w:t xml:space="preserve">For further information regarding this Public Notice, please contact </w:t>
      </w:r>
      <w:r w:rsidR="00744994">
        <w:rPr>
          <w:szCs w:val="22"/>
        </w:rPr>
        <w:t>Susan Mort</w:t>
      </w:r>
      <w:r w:rsidRPr="008E519F">
        <w:rPr>
          <w:szCs w:val="22"/>
        </w:rPr>
        <w:t xml:space="preserve">, Wireless Telecommunications Bureau, at </w:t>
      </w:r>
      <w:hyperlink r:id="rId8" w:history="1">
        <w:r w:rsidRPr="00C00EB0" w:rsidR="00744994">
          <w:rPr>
            <w:rStyle w:val="Hyperlink"/>
            <w:szCs w:val="22"/>
          </w:rPr>
          <w:t>Susan.Mort@fcc.gov</w:t>
        </w:r>
      </w:hyperlink>
      <w:r w:rsidRPr="008E519F">
        <w:rPr>
          <w:szCs w:val="22"/>
        </w:rPr>
        <w:t xml:space="preserve"> or 202-418</w:t>
      </w:r>
      <w:r>
        <w:rPr>
          <w:szCs w:val="22"/>
        </w:rPr>
        <w:t>-</w:t>
      </w:r>
      <w:r w:rsidR="00744994">
        <w:rPr>
          <w:szCs w:val="22"/>
        </w:rPr>
        <w:t>2429</w:t>
      </w:r>
      <w:r w:rsidRPr="008E519F">
        <w:rPr>
          <w:szCs w:val="22"/>
        </w:rPr>
        <w:t>.</w:t>
      </w:r>
    </w:p>
    <w:p w:rsidR="008E519F" w:rsidRPr="008E519F" w:rsidP="00F96F63" w14:paraId="6F8B3190" w14:textId="77777777">
      <w:pPr>
        <w:rPr>
          <w:szCs w:val="22"/>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455CA3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A3C16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374E87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8F6F5A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E260E" w14:paraId="204ABA19" w14:textId="77777777">
      <w:r>
        <w:separator/>
      </w:r>
    </w:p>
  </w:footnote>
  <w:footnote w:type="continuationSeparator" w:id="1">
    <w:p w:rsidR="009E260E" w14:paraId="2F09AC69" w14:textId="77777777">
      <w:pPr>
        <w:rPr>
          <w:sz w:val="20"/>
        </w:rPr>
      </w:pPr>
      <w:r>
        <w:rPr>
          <w:sz w:val="20"/>
        </w:rPr>
        <w:t xml:space="preserve">(Continued from previous page)  </w:t>
      </w:r>
      <w:r>
        <w:rPr>
          <w:sz w:val="20"/>
        </w:rPr>
        <w:separator/>
      </w:r>
    </w:p>
  </w:footnote>
  <w:footnote w:type="continuationNotice" w:id="2">
    <w:p w:rsidR="009E260E" w:rsidP="00910F12" w14:paraId="14B7B6BA" w14:textId="77777777">
      <w:pPr>
        <w:jc w:val="right"/>
        <w:rPr>
          <w:sz w:val="20"/>
        </w:rPr>
      </w:pPr>
      <w:r>
        <w:rPr>
          <w:sz w:val="20"/>
        </w:rPr>
        <w:t>(continued….)</w:t>
      </w:r>
    </w:p>
  </w:footnote>
  <w:footnote w:id="3">
    <w:p w:rsidR="00803F43" w:rsidP="00803F43" w14:paraId="7AF11419" w14:textId="6C56FB13">
      <w:pPr>
        <w:pStyle w:val="FootnoteText"/>
      </w:pPr>
      <w:r>
        <w:rPr>
          <w:rStyle w:val="FootnoteReference"/>
        </w:rPr>
        <w:footnoteRef/>
      </w:r>
      <w:r>
        <w:t xml:space="preserve"> </w:t>
      </w:r>
      <w:r w:rsidRPr="002E1558" w:rsidR="00B565F6">
        <w:rPr>
          <w:i/>
          <w:iCs/>
        </w:rPr>
        <w:t>Expanding Flexible Use of the 3.7 to 4.2 GHz Band</w:t>
      </w:r>
      <w:r w:rsidRPr="002E1558" w:rsidR="00B565F6">
        <w:t xml:space="preserve">, Report and Order and Proposed Modification, 35 FCC </w:t>
      </w:r>
      <w:r w:rsidRPr="002E1558" w:rsidR="00B565F6">
        <w:t>Rcd</w:t>
      </w:r>
      <w:r w:rsidRPr="002E1558" w:rsidR="00B565F6">
        <w:t xml:space="preserve"> 2343, 2</w:t>
      </w:r>
      <w:r w:rsidR="00B565F6">
        <w:t>459</w:t>
      </w:r>
      <w:r w:rsidRPr="002E1558" w:rsidR="00B565F6">
        <w:t xml:space="preserve">, para. </w:t>
      </w:r>
      <w:r w:rsidR="00B565F6">
        <w:t>305</w:t>
      </w:r>
      <w:r w:rsidRPr="002E1558" w:rsidR="00B565F6">
        <w:t xml:space="preserve"> (2020) (</w:t>
      </w:r>
      <w:r w:rsidR="008748AA">
        <w:rPr>
          <w:i/>
          <w:iCs/>
        </w:rPr>
        <w:t xml:space="preserve">3.7 GHz </w:t>
      </w:r>
      <w:r w:rsidR="00B565F6">
        <w:rPr>
          <w:i/>
          <w:iCs/>
        </w:rPr>
        <w:t xml:space="preserve">Report and </w:t>
      </w:r>
      <w:r w:rsidRPr="002E1558" w:rsidR="00B565F6">
        <w:rPr>
          <w:i/>
          <w:iCs/>
        </w:rPr>
        <w:t>Order</w:t>
      </w:r>
      <w:r w:rsidRPr="002E1558" w:rsidR="00B565F6">
        <w:t xml:space="preserve">).  </w:t>
      </w:r>
    </w:p>
  </w:footnote>
  <w:footnote w:id="4">
    <w:p w:rsidR="00803F43" w:rsidRPr="00B565F6" w:rsidP="00803F43" w14:paraId="0D9CFAE5" w14:textId="230EF717">
      <w:pPr>
        <w:pStyle w:val="FootnoteText"/>
      </w:pPr>
      <w:r>
        <w:rPr>
          <w:rStyle w:val="FootnoteReference"/>
        </w:rPr>
        <w:footnoteRef/>
      </w:r>
      <w:r>
        <w:t xml:space="preserve"> </w:t>
      </w:r>
      <w:r w:rsidR="00B565F6">
        <w:rPr>
          <w:i/>
          <w:iCs/>
        </w:rPr>
        <w:t>Id</w:t>
      </w:r>
      <w:r w:rsidR="00B565F6">
        <w:t xml:space="preserve">. at 2345, para. 4. </w:t>
      </w:r>
    </w:p>
  </w:footnote>
  <w:footnote w:id="5">
    <w:p w:rsidR="008E519F" w:rsidRPr="008E519F" w14:paraId="1FBAC3CC" w14:textId="648280A3">
      <w:pPr>
        <w:pStyle w:val="FootnoteText"/>
      </w:pPr>
      <w:r>
        <w:rPr>
          <w:rStyle w:val="FootnoteReference"/>
        </w:rPr>
        <w:footnoteRef/>
      </w:r>
      <w:r>
        <w:t xml:space="preserve"> </w:t>
      </w:r>
      <w:r>
        <w:rPr>
          <w:i/>
          <w:iCs/>
        </w:rPr>
        <w:t>Id</w:t>
      </w:r>
      <w:r>
        <w:t xml:space="preserve">. at 2457, para. 302. </w:t>
      </w:r>
      <w:r w:rsidR="009A6592">
        <w:t xml:space="preserve"> While eligible space station operators are required to file </w:t>
      </w:r>
      <w:r w:rsidR="004E7D6A">
        <w:t xml:space="preserve">their Transition Plans </w:t>
      </w:r>
      <w:r w:rsidR="009A6592">
        <w:t xml:space="preserve">in GN Docket No. 18-122, they are encouraged to file in </w:t>
      </w:r>
      <w:r w:rsidRPr="00ED6725" w:rsidR="009A6592">
        <w:t>GN Docket No. 20-</w:t>
      </w:r>
      <w:r w:rsidRPr="00ED6725" w:rsidR="00ED6725">
        <w:t>173</w:t>
      </w:r>
      <w:r w:rsidRPr="00ED6725" w:rsidR="0024234B">
        <w:t xml:space="preserve"> as well</w:t>
      </w:r>
      <w:r w:rsidRPr="00ED6725" w:rsidR="009A6592">
        <w:t xml:space="preserve">.  See </w:t>
      </w:r>
      <w:r w:rsidRPr="00ED6725" w:rsidR="009A6592">
        <w:rPr>
          <w:i/>
          <w:iCs/>
        </w:rPr>
        <w:t>id</w:t>
      </w:r>
      <w:r w:rsidRPr="00ED6725" w:rsidR="009A6592">
        <w:t>. at</w:t>
      </w:r>
      <w:r w:rsidRPr="00ED6725" w:rsidR="00807799">
        <w:t xml:space="preserve"> 2458,</w:t>
      </w:r>
      <w:r w:rsidRPr="00ED6725" w:rsidR="009A6592">
        <w:t xml:space="preserve"> n.692.</w:t>
      </w:r>
      <w:r w:rsidRPr="00ED6725" w:rsidR="004E7D6A">
        <w:t xml:space="preserve">  Subsequent </w:t>
      </w:r>
      <w:r w:rsidRPr="00ED6725" w:rsidR="004E7D6A">
        <w:rPr>
          <w:i/>
          <w:iCs/>
        </w:rPr>
        <w:t xml:space="preserve">ex </w:t>
      </w:r>
      <w:r w:rsidRPr="00ED6725" w:rsidR="004E7D6A">
        <w:rPr>
          <w:i/>
          <w:iCs/>
        </w:rPr>
        <w:t>parte</w:t>
      </w:r>
      <w:r w:rsidRPr="00ED6725" w:rsidR="004E7D6A">
        <w:t xml:space="preserve"> filings on this topic need only be filed in GN Docket No. 20-</w:t>
      </w:r>
      <w:r w:rsidRPr="00ED6725" w:rsidR="00ED6725">
        <w:t>173</w:t>
      </w:r>
      <w:r w:rsidRPr="00ED6725" w:rsidR="004E7D6A">
        <w:t>.</w:t>
      </w:r>
    </w:p>
  </w:footnote>
  <w:footnote w:id="6">
    <w:p w:rsidR="008E519F" w:rsidRPr="008E519F" w14:paraId="48160C59" w14:textId="7CE41EB4">
      <w:pPr>
        <w:pStyle w:val="FootnoteText"/>
      </w:pPr>
      <w:r>
        <w:rPr>
          <w:rStyle w:val="FootnoteReference"/>
        </w:rPr>
        <w:footnoteRef/>
      </w:r>
      <w:r>
        <w:t xml:space="preserve"> </w:t>
      </w:r>
      <w:r>
        <w:rPr>
          <w:i/>
          <w:iCs/>
        </w:rPr>
        <w:t>Id.</w:t>
      </w:r>
      <w:r>
        <w:t xml:space="preserve"> at 2458-59, para. 305</w:t>
      </w:r>
    </w:p>
  </w:footnote>
  <w:footnote w:id="7">
    <w:p w:rsidR="008E519F" w:rsidRPr="008E519F" w14:paraId="79E6A21C" w14:textId="3A4398FF">
      <w:pPr>
        <w:pStyle w:val="FootnoteText"/>
      </w:pPr>
      <w:r>
        <w:rPr>
          <w:rStyle w:val="FootnoteReference"/>
        </w:rPr>
        <w:footnoteRef/>
      </w:r>
      <w:r>
        <w:t xml:space="preserve"> </w:t>
      </w:r>
      <w:r>
        <w:rPr>
          <w:i/>
          <w:iCs/>
        </w:rPr>
        <w:t>Id.</w:t>
      </w:r>
      <w:r>
        <w:t xml:space="preserve"> at 2459, para. 305. </w:t>
      </w:r>
    </w:p>
  </w:footnote>
  <w:footnote w:id="8">
    <w:p w:rsidR="009A6592" w14:paraId="6540D1E4" w14:textId="2FA85E56">
      <w:pPr>
        <w:pStyle w:val="FootnoteText"/>
      </w:pPr>
      <w:r>
        <w:rPr>
          <w:rStyle w:val="FootnoteReference"/>
        </w:rPr>
        <w:footnoteRef/>
      </w:r>
      <w:r>
        <w:t xml:space="preserve"> Responsive filings </w:t>
      </w:r>
      <w:r w:rsidR="004E7D6A">
        <w:t xml:space="preserve">and any subsequent </w:t>
      </w:r>
      <w:r w:rsidRPr="000A34DA" w:rsidR="004E7D6A">
        <w:rPr>
          <w:i/>
          <w:iCs/>
        </w:rPr>
        <w:t xml:space="preserve">ex </w:t>
      </w:r>
      <w:r w:rsidRPr="000A34DA" w:rsidR="004E7D6A">
        <w:rPr>
          <w:i/>
          <w:iCs/>
        </w:rPr>
        <w:t>parte</w:t>
      </w:r>
      <w:r w:rsidR="004E7D6A">
        <w:t xml:space="preserve"> filings on this topic need</w:t>
      </w:r>
      <w:r>
        <w:t xml:space="preserve"> only be </w:t>
      </w:r>
      <w:r w:rsidR="0024234B">
        <w:t xml:space="preserve">filed </w:t>
      </w:r>
      <w:r w:rsidRPr="00ED6725">
        <w:t>in GN Docket No. 20-</w:t>
      </w:r>
      <w:r w:rsidRPr="00ED6725" w:rsidR="00ED6725">
        <w:t>173</w:t>
      </w:r>
      <w:r>
        <w:t xml:space="preserve"> and not in GN Docket No. 18-122.</w:t>
      </w:r>
    </w:p>
  </w:footnote>
  <w:footnote w:id="9">
    <w:p w:rsidR="008E519F" w:rsidRPr="00526349" w:rsidP="008E519F" w14:paraId="0F253BA6" w14:textId="77777777">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10">
    <w:p w:rsidR="008E519F" w:rsidRPr="0014668A" w:rsidP="008E519F" w14:paraId="226E134E" w14:textId="77777777">
      <w:pPr>
        <w:pStyle w:val="FootnoteText"/>
      </w:pPr>
      <w:r>
        <w:rPr>
          <w:rStyle w:val="FootnoteReference"/>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B8514C0" w14:textId="7998AF50">
    <w:pPr>
      <w:tabs>
        <w:tab w:val="center" w:pos="4680"/>
        <w:tab w:val="right" w:pos="9360"/>
      </w:tabs>
    </w:pPr>
    <w:r w:rsidRPr="009838BC">
      <w:rPr>
        <w:b/>
      </w:rPr>
      <w:tab/>
      <w:t>Federal Communications Commission</w:t>
    </w:r>
    <w:r w:rsidRPr="009838BC">
      <w:rPr>
        <w:b/>
      </w:rPr>
      <w:tab/>
    </w:r>
    <w:r w:rsidR="00ED6725">
      <w:rPr>
        <w:b/>
      </w:rPr>
      <w:t>DA 20-</w:t>
    </w:r>
    <w:r w:rsidR="00697E1F">
      <w:rPr>
        <w:b/>
      </w:rPr>
      <w:t>642</w:t>
    </w:r>
  </w:p>
  <w:p w:rsidR="009838BC" w:rsidRPr="009838BC" w:rsidP="009838BC" w14:paraId="7B79D3A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0BB8A51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C05BB8E"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18BF2D93" w14:textId="77777777">
                    <w:pPr>
                      <w:rPr>
                        <w:rFonts w:ascii="Arial" w:hAnsi="Arial"/>
                        <w:b/>
                      </w:rPr>
                    </w:pPr>
                    <w:r>
                      <w:rPr>
                        <w:rFonts w:ascii="Arial" w:hAnsi="Arial"/>
                        <w:b/>
                      </w:rPr>
                      <w:t>Federal Communications Commission</w:t>
                    </w:r>
                  </w:p>
                  <w:p w:rsidR="009838BC" w:rsidP="009838BC" w14:paraId="7944223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5E077B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18271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2F8F2D4"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86F1D98" w14:textId="77777777">
                    <w:pPr>
                      <w:spacing w:before="40"/>
                      <w:jc w:val="right"/>
                      <w:rPr>
                        <w:rFonts w:ascii="Arial" w:hAnsi="Arial"/>
                        <w:b/>
                        <w:sz w:val="16"/>
                      </w:rPr>
                    </w:pPr>
                    <w:r>
                      <w:rPr>
                        <w:rFonts w:ascii="Arial" w:hAnsi="Arial"/>
                        <w:b/>
                        <w:sz w:val="16"/>
                      </w:rPr>
                      <w:t>News Media Information 202 / 418-0500</w:t>
                    </w:r>
                  </w:p>
                  <w:p w:rsidR="009838BC" w:rsidP="009838BC" w14:paraId="69CF29C1"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B81D3A3" w14:textId="77777777">
                    <w:pPr>
                      <w:jc w:val="right"/>
                    </w:pPr>
                    <w:r>
                      <w:rPr>
                        <w:rFonts w:ascii="Arial" w:hAnsi="Arial"/>
                        <w:b/>
                        <w:sz w:val="16"/>
                      </w:rPr>
                      <w:t>TTY: 1-888-835-5322</w:t>
                    </w:r>
                  </w:p>
                </w:txbxContent>
              </v:textbox>
            </v:shape>
          </w:pict>
        </mc:Fallback>
      </mc:AlternateContent>
    </w:r>
  </w:p>
  <w:p w:rsidR="006F7393" w:rsidRPr="009838BC" w:rsidP="009838BC" w14:paraId="33888A5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6757"/>
    <w:rsid w:val="000072CE"/>
    <w:rsid w:val="00013A8B"/>
    <w:rsid w:val="00021445"/>
    <w:rsid w:val="00036039"/>
    <w:rsid w:val="00037F90"/>
    <w:rsid w:val="00050C43"/>
    <w:rsid w:val="0007037F"/>
    <w:rsid w:val="000875BF"/>
    <w:rsid w:val="00096D8C"/>
    <w:rsid w:val="000A34DA"/>
    <w:rsid w:val="000C0B65"/>
    <w:rsid w:val="000E3D42"/>
    <w:rsid w:val="000E5884"/>
    <w:rsid w:val="00122BD5"/>
    <w:rsid w:val="0014668A"/>
    <w:rsid w:val="001632E7"/>
    <w:rsid w:val="001979D9"/>
    <w:rsid w:val="001B0C37"/>
    <w:rsid w:val="001D6BCF"/>
    <w:rsid w:val="001E01CA"/>
    <w:rsid w:val="002060D9"/>
    <w:rsid w:val="00226822"/>
    <w:rsid w:val="0024234B"/>
    <w:rsid w:val="00260594"/>
    <w:rsid w:val="00285017"/>
    <w:rsid w:val="002A2D2E"/>
    <w:rsid w:val="002E1558"/>
    <w:rsid w:val="00334804"/>
    <w:rsid w:val="00343749"/>
    <w:rsid w:val="00357D50"/>
    <w:rsid w:val="003925DC"/>
    <w:rsid w:val="003B0550"/>
    <w:rsid w:val="003B694F"/>
    <w:rsid w:val="003F171C"/>
    <w:rsid w:val="003F746C"/>
    <w:rsid w:val="00412FC5"/>
    <w:rsid w:val="00422276"/>
    <w:rsid w:val="004242F1"/>
    <w:rsid w:val="0044084D"/>
    <w:rsid w:val="00445A00"/>
    <w:rsid w:val="00451B0F"/>
    <w:rsid w:val="0046125F"/>
    <w:rsid w:val="00461B7A"/>
    <w:rsid w:val="0046417C"/>
    <w:rsid w:val="00487524"/>
    <w:rsid w:val="00496106"/>
    <w:rsid w:val="004C12D0"/>
    <w:rsid w:val="004C2EE3"/>
    <w:rsid w:val="004E4A22"/>
    <w:rsid w:val="004E7D6A"/>
    <w:rsid w:val="00511968"/>
    <w:rsid w:val="00526349"/>
    <w:rsid w:val="0055614C"/>
    <w:rsid w:val="005E4A82"/>
    <w:rsid w:val="00607BA5"/>
    <w:rsid w:val="00626EB6"/>
    <w:rsid w:val="006353A3"/>
    <w:rsid w:val="00645F48"/>
    <w:rsid w:val="00655D03"/>
    <w:rsid w:val="00683F84"/>
    <w:rsid w:val="00697E1F"/>
    <w:rsid w:val="006A6A81"/>
    <w:rsid w:val="006E26AF"/>
    <w:rsid w:val="006F7393"/>
    <w:rsid w:val="0070224F"/>
    <w:rsid w:val="007058E0"/>
    <w:rsid w:val="0071055D"/>
    <w:rsid w:val="007115F7"/>
    <w:rsid w:val="00711C9A"/>
    <w:rsid w:val="00737934"/>
    <w:rsid w:val="00744994"/>
    <w:rsid w:val="00747A59"/>
    <w:rsid w:val="00785689"/>
    <w:rsid w:val="0079754B"/>
    <w:rsid w:val="007A1E6D"/>
    <w:rsid w:val="007C4953"/>
    <w:rsid w:val="00803F43"/>
    <w:rsid w:val="00807799"/>
    <w:rsid w:val="00822CE0"/>
    <w:rsid w:val="00837C62"/>
    <w:rsid w:val="00841AB1"/>
    <w:rsid w:val="008748AA"/>
    <w:rsid w:val="008C22FD"/>
    <w:rsid w:val="008D002F"/>
    <w:rsid w:val="008E519F"/>
    <w:rsid w:val="008E5CFF"/>
    <w:rsid w:val="00910F12"/>
    <w:rsid w:val="00926503"/>
    <w:rsid w:val="00930ECF"/>
    <w:rsid w:val="009636F7"/>
    <w:rsid w:val="009838BC"/>
    <w:rsid w:val="009A6592"/>
    <w:rsid w:val="009E260E"/>
    <w:rsid w:val="00A172FA"/>
    <w:rsid w:val="00A45F4F"/>
    <w:rsid w:val="00A600A9"/>
    <w:rsid w:val="00A866AC"/>
    <w:rsid w:val="00AA55B7"/>
    <w:rsid w:val="00AA5B9E"/>
    <w:rsid w:val="00AB2407"/>
    <w:rsid w:val="00AB53DF"/>
    <w:rsid w:val="00AD3169"/>
    <w:rsid w:val="00B07E5C"/>
    <w:rsid w:val="00B20363"/>
    <w:rsid w:val="00B30510"/>
    <w:rsid w:val="00B326E3"/>
    <w:rsid w:val="00B5174C"/>
    <w:rsid w:val="00B565F6"/>
    <w:rsid w:val="00B65784"/>
    <w:rsid w:val="00B811F7"/>
    <w:rsid w:val="00BA5DC6"/>
    <w:rsid w:val="00BA6196"/>
    <w:rsid w:val="00BC6C15"/>
    <w:rsid w:val="00BC6D8C"/>
    <w:rsid w:val="00C00EB0"/>
    <w:rsid w:val="00C16AF2"/>
    <w:rsid w:val="00C34006"/>
    <w:rsid w:val="00C426B1"/>
    <w:rsid w:val="00C82B6B"/>
    <w:rsid w:val="00C90D6A"/>
    <w:rsid w:val="00CC72B6"/>
    <w:rsid w:val="00D0218D"/>
    <w:rsid w:val="00D216CD"/>
    <w:rsid w:val="00D33283"/>
    <w:rsid w:val="00D831A6"/>
    <w:rsid w:val="00DA2529"/>
    <w:rsid w:val="00DB130A"/>
    <w:rsid w:val="00DC10A1"/>
    <w:rsid w:val="00DC655F"/>
    <w:rsid w:val="00DD7EBD"/>
    <w:rsid w:val="00DF62B6"/>
    <w:rsid w:val="00E07225"/>
    <w:rsid w:val="00E155B7"/>
    <w:rsid w:val="00E44867"/>
    <w:rsid w:val="00E5409F"/>
    <w:rsid w:val="00EA7A9C"/>
    <w:rsid w:val="00EC0185"/>
    <w:rsid w:val="00EC7C26"/>
    <w:rsid w:val="00ED6725"/>
    <w:rsid w:val="00F021FA"/>
    <w:rsid w:val="00F57ACA"/>
    <w:rsid w:val="00F62E97"/>
    <w:rsid w:val="00F64209"/>
    <w:rsid w:val="00F93BF5"/>
    <w:rsid w:val="00F96F63"/>
    <w:rsid w:val="00FE65DB"/>
    <w:rsid w:val="00FF5F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15DB0B2-A06A-4B42-BFF5-D5B5D81B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B657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784"/>
    <w:rPr>
      <w:rFonts w:ascii="Segoe UI" w:hAnsi="Segoe UI" w:cs="Segoe UI"/>
      <w:snapToGrid w:val="0"/>
      <w:kern w:val="28"/>
      <w:sz w:val="18"/>
      <w:szCs w:val="18"/>
    </w:rPr>
  </w:style>
  <w:style w:type="character" w:customStyle="1" w:styleId="FootnoteTextChar">
    <w:name w:val="Footnote Text Char"/>
    <w:aliases w:val="Char Char Char Char,Footnote Text Char Char Char Char Char,Footnote Text Char1 Char Char Char,Footnote Text Char1 Char Char1,Footnote Text Char1 Char1 Char Char Char Char Char,Footnote Text Char2 Char Char,Footnote Text Char2 Char1"/>
    <w:basedOn w:val="DefaultParagraphFont"/>
    <w:link w:val="FootnoteText"/>
    <w:uiPriority w:val="99"/>
    <w:rsid w:val="00803F43"/>
  </w:style>
  <w:style w:type="character" w:customStyle="1" w:styleId="FootnoteTextChar1">
    <w:name w:val="Footnote Text Char1"/>
    <w:aliases w:val="Footnote Text Char Char,Footnote Text Char Char Char Char1 Char Char,Footnote Text Char1 Char Char Char Char,Footnote Text Char2 Char Char Char Char Char Char"/>
    <w:uiPriority w:val="99"/>
    <w:locked/>
    <w:rsid w:val="008E519F"/>
  </w:style>
  <w:style w:type="paragraph" w:styleId="ListParagraph">
    <w:name w:val="List Paragraph"/>
    <w:basedOn w:val="Normal"/>
    <w:uiPriority w:val="34"/>
    <w:qFormat/>
    <w:rsid w:val="008E519F"/>
    <w:pPr>
      <w:widowControl/>
      <w:spacing w:after="160" w:line="259" w:lineRule="auto"/>
      <w:ind w:left="720"/>
      <w:contextualSpacing/>
    </w:pPr>
    <w:rPr>
      <w:rFonts w:ascii="Calibri" w:eastAsia="Calibri" w:hAnsi="Calibri"/>
      <w:snapToGrid/>
      <w:kern w:val="0"/>
      <w:szCs w:val="22"/>
    </w:rPr>
  </w:style>
  <w:style w:type="character" w:customStyle="1" w:styleId="UnresolvedMention">
    <w:name w:val="Unresolved Mention"/>
    <w:basedOn w:val="DefaultParagraphFont"/>
    <w:uiPriority w:val="99"/>
    <w:semiHidden/>
    <w:unhideWhenUsed/>
    <w:rsid w:val="008E519F"/>
    <w:rPr>
      <w:color w:val="605E5C"/>
      <w:shd w:val="clear" w:color="auto" w:fill="E1DFDD"/>
    </w:rPr>
  </w:style>
  <w:style w:type="character" w:styleId="CommentReference">
    <w:name w:val="annotation reference"/>
    <w:basedOn w:val="DefaultParagraphFont"/>
    <w:uiPriority w:val="99"/>
    <w:semiHidden/>
    <w:unhideWhenUsed/>
    <w:rsid w:val="008748AA"/>
    <w:rPr>
      <w:sz w:val="16"/>
      <w:szCs w:val="16"/>
    </w:rPr>
  </w:style>
  <w:style w:type="paragraph" w:styleId="CommentText">
    <w:name w:val="annotation text"/>
    <w:basedOn w:val="Normal"/>
    <w:link w:val="CommentTextChar"/>
    <w:uiPriority w:val="99"/>
    <w:semiHidden/>
    <w:unhideWhenUsed/>
    <w:rsid w:val="008748AA"/>
    <w:rPr>
      <w:sz w:val="20"/>
    </w:rPr>
  </w:style>
  <w:style w:type="character" w:customStyle="1" w:styleId="CommentTextChar">
    <w:name w:val="Comment Text Char"/>
    <w:basedOn w:val="DefaultParagraphFont"/>
    <w:link w:val="CommentText"/>
    <w:uiPriority w:val="99"/>
    <w:semiHidden/>
    <w:rsid w:val="008748AA"/>
    <w:rPr>
      <w:snapToGrid w:val="0"/>
      <w:kern w:val="28"/>
    </w:rPr>
  </w:style>
  <w:style w:type="paragraph" w:styleId="CommentSubject">
    <w:name w:val="annotation subject"/>
    <w:basedOn w:val="CommentText"/>
    <w:next w:val="CommentText"/>
    <w:link w:val="CommentSubjectChar"/>
    <w:uiPriority w:val="99"/>
    <w:semiHidden/>
    <w:unhideWhenUsed/>
    <w:rsid w:val="008748AA"/>
    <w:rPr>
      <w:b/>
      <w:bCs/>
    </w:rPr>
  </w:style>
  <w:style w:type="character" w:customStyle="1" w:styleId="CommentSubjectChar">
    <w:name w:val="Comment Subject Char"/>
    <w:basedOn w:val="CommentTextChar"/>
    <w:link w:val="CommentSubject"/>
    <w:uiPriority w:val="99"/>
    <w:semiHidden/>
    <w:rsid w:val="008748A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microsoft.com/office/2006/relationships/keyMapCustomizations" Target="customizations.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Susan.Mort@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