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pPr>
        <w:jc w:val="right"/>
        <w:rPr>
          <w:b/>
          <w:sz w:val="24"/>
        </w:rPr>
      </w:pPr>
      <w:r>
        <w:rPr>
          <w:b/>
          <w:sz w:val="24"/>
        </w:rPr>
        <w:t xml:space="preserve">DA </w:t>
      </w:r>
      <w:r w:rsidR="00DD1A04">
        <w:rPr>
          <w:b/>
          <w:sz w:val="24"/>
        </w:rPr>
        <w:t>20-</w:t>
      </w:r>
      <w:r w:rsidR="009B18BF">
        <w:rPr>
          <w:b/>
          <w:sz w:val="24"/>
        </w:rPr>
        <w:t>654</w:t>
      </w:r>
    </w:p>
    <w:p w:rsidR="00013A8B" w:rsidRPr="00B20363" w:rsidP="00013A8B">
      <w:pPr>
        <w:spacing w:before="60"/>
        <w:jc w:val="right"/>
        <w:rPr>
          <w:b/>
          <w:sz w:val="24"/>
        </w:rPr>
      </w:pPr>
      <w:r>
        <w:rPr>
          <w:b/>
          <w:sz w:val="24"/>
        </w:rPr>
        <w:t xml:space="preserve">Released:  </w:t>
      </w:r>
      <w:r w:rsidR="00DD1A04">
        <w:rPr>
          <w:b/>
          <w:sz w:val="24"/>
        </w:rPr>
        <w:t xml:space="preserve">June </w:t>
      </w:r>
      <w:r w:rsidR="009B18BF">
        <w:rPr>
          <w:b/>
          <w:sz w:val="24"/>
        </w:rPr>
        <w:t>23</w:t>
      </w:r>
      <w:bookmarkStart w:id="0" w:name="_GoBack"/>
      <w:bookmarkEnd w:id="0"/>
      <w:r w:rsidR="00DD1A04">
        <w:rPr>
          <w:b/>
          <w:sz w:val="24"/>
        </w:rPr>
        <w:t>, 2020</w:t>
      </w:r>
    </w:p>
    <w:p w:rsidR="00013A8B" w:rsidP="00013A8B">
      <w:pPr>
        <w:jc w:val="right"/>
        <w:rPr>
          <w:sz w:val="24"/>
        </w:rPr>
      </w:pPr>
    </w:p>
    <w:p w:rsidR="00DD1A04" w:rsidRPr="005954B6" w:rsidP="005954B6">
      <w:pPr>
        <w:spacing w:after="240"/>
        <w:jc w:val="center"/>
        <w:rPr>
          <w:b/>
          <w:bCs/>
          <w:i/>
          <w:iCs/>
          <w:spacing w:val="-2"/>
          <w:sz w:val="24"/>
          <w:szCs w:val="24"/>
        </w:rPr>
      </w:pPr>
      <w:r>
        <w:rPr>
          <w:b/>
          <w:sz w:val="24"/>
          <w:szCs w:val="24"/>
        </w:rPr>
        <w:t xml:space="preserve">Media Bureau Announces </w:t>
      </w:r>
      <w:r w:rsidR="006F27FE">
        <w:rPr>
          <w:b/>
          <w:sz w:val="24"/>
          <w:szCs w:val="24"/>
        </w:rPr>
        <w:t xml:space="preserve">Federal Register Publication </w:t>
      </w:r>
      <w:r>
        <w:rPr>
          <w:b/>
          <w:sz w:val="24"/>
          <w:szCs w:val="24"/>
        </w:rPr>
        <w:t xml:space="preserve">of Report and Order in </w:t>
      </w:r>
      <w:r w:rsidRPr="005954B6" w:rsidR="005954B6">
        <w:rPr>
          <w:b/>
          <w:bCs/>
          <w:i/>
          <w:iCs/>
          <w:spacing w:val="-2"/>
          <w:sz w:val="24"/>
          <w:szCs w:val="24"/>
        </w:rPr>
        <w:t>Amendments of Parts 73 and 74 to Improve the Low Power FM Radio Service Technical Rules</w:t>
      </w:r>
    </w:p>
    <w:p w:rsidR="00975DA6" w:rsidRPr="00B20363" w:rsidP="00DD1A04">
      <w:pPr>
        <w:spacing w:after="240"/>
        <w:jc w:val="center"/>
        <w:rPr>
          <w:rFonts w:ascii="Times New Roman Bold" w:hAnsi="Times New Roman Bold"/>
          <w:b/>
          <w:caps/>
          <w:sz w:val="24"/>
        </w:rPr>
      </w:pPr>
      <w:r>
        <w:rPr>
          <w:b/>
          <w:sz w:val="24"/>
        </w:rPr>
        <w:t>MB Docket No</w:t>
      </w:r>
      <w:r w:rsidR="00435CB4">
        <w:rPr>
          <w:b/>
          <w:sz w:val="24"/>
        </w:rPr>
        <w:t>s</w:t>
      </w:r>
      <w:r>
        <w:rPr>
          <w:b/>
          <w:sz w:val="24"/>
        </w:rPr>
        <w:t xml:space="preserve">. </w:t>
      </w:r>
      <w:r w:rsidR="005954B6">
        <w:rPr>
          <w:b/>
          <w:sz w:val="24"/>
        </w:rPr>
        <w:t>19-193</w:t>
      </w:r>
      <w:r w:rsidR="00435CB4">
        <w:rPr>
          <w:b/>
          <w:sz w:val="24"/>
        </w:rPr>
        <w:t>, 17-105</w:t>
      </w:r>
    </w:p>
    <w:p w:rsidR="00013A8B" w:rsidP="00013A8B">
      <w:pPr>
        <w:jc w:val="center"/>
        <w:rPr>
          <w:b/>
          <w:sz w:val="24"/>
        </w:rPr>
      </w:pPr>
    </w:p>
    <w:p w:rsidR="00A4031E" w:rsidP="008830F7">
      <w:pPr>
        <w:ind w:firstLine="720"/>
      </w:pPr>
      <w:r>
        <w:t xml:space="preserve">On </w:t>
      </w:r>
      <w:r w:rsidRPr="00D16195" w:rsidR="00D16195">
        <w:t>April 23, 2020</w:t>
      </w:r>
      <w:r>
        <w:t xml:space="preserve">, the Commission released a </w:t>
      </w:r>
      <w:r w:rsidR="003B39FA">
        <w:t>Report and Order</w:t>
      </w:r>
      <w:r>
        <w:t xml:space="preserve"> </w:t>
      </w:r>
      <w:r w:rsidRPr="00160F06">
        <w:t>in</w:t>
      </w:r>
      <w:r>
        <w:rPr>
          <w:i/>
        </w:rPr>
        <w:t xml:space="preserve"> </w:t>
      </w:r>
      <w:r w:rsidR="00435CB4">
        <w:t>its</w:t>
      </w:r>
      <w:r>
        <w:rPr>
          <w:i/>
        </w:rPr>
        <w:t xml:space="preserve"> </w:t>
      </w:r>
      <w:r>
        <w:t>proceeding</w:t>
      </w:r>
      <w:r w:rsidR="00435CB4">
        <w:t xml:space="preserve"> to modernize and revise </w:t>
      </w:r>
      <w:r w:rsidR="006F27FE">
        <w:t>the</w:t>
      </w:r>
      <w:r w:rsidR="00435CB4">
        <w:t xml:space="preserve"> </w:t>
      </w:r>
      <w:r w:rsidR="00D16195">
        <w:t>technical rules for the Low Power FM (LPFM) service</w:t>
      </w:r>
      <w:r>
        <w:t>.</w:t>
      </w:r>
      <w:r>
        <w:rPr>
          <w:rStyle w:val="FootnoteReference"/>
        </w:rPr>
        <w:footnoteReference w:id="3"/>
      </w:r>
      <w:r>
        <w:t xml:space="preserve">  The </w:t>
      </w:r>
      <w:r w:rsidR="00EB53C2">
        <w:rPr>
          <w:i/>
          <w:iCs/>
        </w:rPr>
        <w:t xml:space="preserve">Order </w:t>
      </w:r>
      <w:r w:rsidRPr="00EB53C2" w:rsidR="00EB53C2">
        <w:t>revises the</w:t>
      </w:r>
      <w:r w:rsidR="005709D1">
        <w:t xml:space="preserve"> LPFM </w:t>
      </w:r>
      <w:r w:rsidRPr="00EB53C2" w:rsidR="00EB53C2">
        <w:t xml:space="preserve"> technical rules in order to improve LPFM reception and increase flexibility in transmitter siting while maintaining interference protection and the core LPFM goals of diversity and localism</w:t>
      </w:r>
      <w:r>
        <w:t xml:space="preserve">.  </w:t>
      </w:r>
    </w:p>
    <w:p w:rsidR="008830F7" w:rsidP="008830F7">
      <w:pPr>
        <w:ind w:firstLine="720"/>
      </w:pPr>
    </w:p>
    <w:p w:rsidR="008830F7" w:rsidRPr="008830F7" w:rsidP="008830F7">
      <w:pPr>
        <w:ind w:firstLine="720"/>
      </w:pPr>
      <w:r w:rsidRPr="008830F7">
        <w:t xml:space="preserve">By this </w:t>
      </w:r>
      <w:r w:rsidRPr="008830F7">
        <w:rPr>
          <w:i/>
        </w:rPr>
        <w:t>Public Notice</w:t>
      </w:r>
      <w:r w:rsidRPr="008830F7">
        <w:t xml:space="preserve">, the Media Bureau announces that the </w:t>
      </w:r>
      <w:r w:rsidRPr="008830F7">
        <w:rPr>
          <w:i/>
        </w:rPr>
        <w:t>Order</w:t>
      </w:r>
      <w:r w:rsidRPr="008830F7">
        <w:t xml:space="preserve"> was published in the Federal Register on June 11, 2020</w:t>
      </w:r>
      <w:r>
        <w:rPr>
          <w:vertAlign w:val="superscript"/>
        </w:rPr>
        <w:footnoteReference w:id="4"/>
      </w:r>
      <w:r w:rsidRPr="008830F7">
        <w:t xml:space="preserve"> and, as the thirtieth day thereafter falls on a weekend, becomes effective on July 13, 2020, the next business day.  The Bureau notes, however, that only the changes to sections</w:t>
      </w:r>
    </w:p>
    <w:p w:rsidR="009A06F8" w:rsidP="008830F7">
      <w:r w:rsidRPr="008830F7">
        <w:t>1.52, 73.807, 73.810, 73.825, 73.860, 73.871, 74.1201, 74.1263, 74.1283, and 74.1290 of</w:t>
      </w:r>
      <w:r w:rsidR="003B67D5">
        <w:t xml:space="preserve"> the</w:t>
      </w:r>
      <w:r w:rsidRPr="008830F7">
        <w:t xml:space="preserve"> </w:t>
      </w:r>
      <w:r w:rsidR="00656461">
        <w:t xml:space="preserve">Commission’s </w:t>
      </w:r>
      <w:r w:rsidR="003B67D5">
        <w:t>R</w:t>
      </w:r>
      <w:r w:rsidR="00656461">
        <w:t>ules</w:t>
      </w:r>
      <w:r w:rsidR="006F27FE">
        <w:t xml:space="preserve">, </w:t>
      </w:r>
      <w:r w:rsidR="00656461">
        <w:t xml:space="preserve">will become effective on July </w:t>
      </w:r>
      <w:r w:rsidR="00A4031E">
        <w:t>13</w:t>
      </w:r>
      <w:r w:rsidR="00656461">
        <w:t>, 2020.</w:t>
      </w:r>
      <w:r>
        <w:rPr>
          <w:rStyle w:val="FootnoteReference"/>
        </w:rPr>
        <w:footnoteReference w:id="5"/>
      </w:r>
      <w:r w:rsidR="00656461">
        <w:t xml:space="preserve">  Changes to the other rules adopted in the </w:t>
      </w:r>
      <w:r w:rsidRPr="00656461" w:rsidR="00656461">
        <w:rPr>
          <w:i/>
          <w:iCs/>
        </w:rPr>
        <w:t>O</w:t>
      </w:r>
      <w:r w:rsidR="00A4031E">
        <w:rPr>
          <w:i/>
          <w:iCs/>
        </w:rPr>
        <w:t>rder</w:t>
      </w:r>
      <w:r w:rsidR="00656461">
        <w:t>, specifically changes to sections</w:t>
      </w:r>
      <w:r w:rsidR="00A4031E">
        <w:t xml:space="preserve"> </w:t>
      </w:r>
      <w:r w:rsidRPr="00A4031E" w:rsidR="00A4031E">
        <w:t>73.816, 73.850, and 73.870</w:t>
      </w:r>
      <w:r w:rsidR="00A4031E">
        <w:t xml:space="preserve"> of the Rules</w:t>
      </w:r>
      <w:r w:rsidRPr="00A4031E" w:rsidR="00A4031E">
        <w:t>,</w:t>
      </w:r>
      <w:r>
        <w:rPr>
          <w:vertAlign w:val="superscript"/>
        </w:rPr>
        <w:footnoteReference w:id="6"/>
      </w:r>
      <w:r w:rsidRPr="00A4031E" w:rsidR="00A4031E">
        <w:t xml:space="preserve"> which contain new or modified information collection requirements that require approval by the Office of Management and Budget under the Paperwork Reduction Act</w:t>
      </w:r>
      <w:r w:rsidRPr="00964B2B" w:rsidR="00656461">
        <w:t xml:space="preserve">, </w:t>
      </w:r>
      <w:r w:rsidR="00656461">
        <w:t>will become effective</w:t>
      </w:r>
      <w:r w:rsidR="00656461">
        <w:rPr>
          <w:b/>
          <w:bCs/>
        </w:rPr>
        <w:t xml:space="preserve"> </w:t>
      </w:r>
      <w:r w:rsidR="00656461">
        <w:t>on the date specified in</w:t>
      </w:r>
      <w:r w:rsidRPr="00964B2B" w:rsidR="00656461">
        <w:t xml:space="preserve"> a notice </w:t>
      </w:r>
      <w:r w:rsidR="00656461">
        <w:t xml:space="preserve">published at a later date </w:t>
      </w:r>
      <w:r w:rsidRPr="00964B2B" w:rsidR="00656461">
        <w:t xml:space="preserve">in the </w:t>
      </w:r>
      <w:r w:rsidRPr="00656461" w:rsidR="00656461">
        <w:t>Federal Register</w:t>
      </w:r>
      <w:r w:rsidRPr="00964B2B" w:rsidR="00656461">
        <w:t xml:space="preserve"> announcing such approval.</w:t>
      </w:r>
      <w:r w:rsidR="00656461">
        <w:t xml:space="preserve">  The Media Bureau will release a Public Notice at that time announcing the effective date of the remaining rule changes.</w:t>
      </w:r>
    </w:p>
    <w:p w:rsidR="009A06F8" w:rsidP="009A06F8"/>
    <w:p w:rsidR="009A06F8" w:rsidP="009A06F8">
      <w:pPr>
        <w:pStyle w:val="Paranum0"/>
        <w:numPr>
          <w:ilvl w:val="0"/>
          <w:numId w:val="0"/>
        </w:numPr>
        <w:ind w:firstLine="720"/>
        <w:jc w:val="left"/>
      </w:pPr>
      <w:r w:rsidRPr="00EB65AC">
        <w:rPr>
          <w:szCs w:val="22"/>
        </w:rPr>
        <w:t xml:space="preserve">For additional information on this proceeding, contact </w:t>
      </w:r>
      <w:r w:rsidR="00CF5B66">
        <w:rPr>
          <w:szCs w:val="22"/>
        </w:rPr>
        <w:t>Irene Bleiweiss</w:t>
      </w:r>
      <w:r w:rsidRPr="00EB65AC">
        <w:rPr>
          <w:szCs w:val="22"/>
        </w:rPr>
        <w:t>,</w:t>
      </w:r>
      <w:r w:rsidR="00CF5B66">
        <w:rPr>
          <w:szCs w:val="22"/>
        </w:rPr>
        <w:t xml:space="preserve"> Irene.Bleiweiss@fcc.gov,</w:t>
      </w:r>
      <w:r w:rsidRPr="00EB65AC">
        <w:rPr>
          <w:szCs w:val="22"/>
        </w:rPr>
        <w:t xml:space="preserve"> </w:t>
      </w:r>
      <w:r>
        <w:rPr>
          <w:szCs w:val="22"/>
        </w:rPr>
        <w:t xml:space="preserve">or Albert Shuldiner, </w:t>
      </w:r>
      <w:hyperlink r:id="rId5" w:history="1">
        <w:r w:rsidRPr="00885C62">
          <w:rPr>
            <w:rStyle w:val="Hyperlink"/>
            <w:szCs w:val="22"/>
          </w:rPr>
          <w:t>Albert.Shuldiner@fcc.gov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r>
        <w:t xml:space="preserve">By the Chief, Media Bureau </w:t>
      </w:r>
    </w:p>
    <w:p w:rsidR="009A06F8" w:rsidP="009A06F8"/>
    <w:p w:rsidR="00930ECF" w:rsidP="007E301D">
      <w:pPr>
        <w:jc w:val="center"/>
      </w:pPr>
      <w:r>
        <w:t>--FCC</w:t>
      </w:r>
      <w:r w:rsidR="005954B6">
        <w:t>--</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A2E">
      <w:r>
        <w:separator/>
      </w:r>
    </w:p>
  </w:footnote>
  <w:footnote w:type="continuationSeparator" w:id="1">
    <w:p w:rsidR="00BF3A2E">
      <w:pPr>
        <w:rPr>
          <w:sz w:val="20"/>
        </w:rPr>
      </w:pPr>
      <w:r>
        <w:rPr>
          <w:sz w:val="20"/>
        </w:rPr>
        <w:t xml:space="preserve">(Continued from previous page)  </w:t>
      </w:r>
      <w:r>
        <w:rPr>
          <w:sz w:val="20"/>
        </w:rPr>
        <w:separator/>
      </w:r>
    </w:p>
  </w:footnote>
  <w:footnote w:type="continuationNotice" w:id="2">
    <w:p w:rsidR="00BF3A2E" w:rsidP="00910F12">
      <w:pPr>
        <w:jc w:val="right"/>
        <w:rPr>
          <w:sz w:val="20"/>
        </w:rPr>
      </w:pPr>
      <w:r>
        <w:rPr>
          <w:sz w:val="20"/>
        </w:rPr>
        <w:t>(continued….)</w:t>
      </w:r>
    </w:p>
  </w:footnote>
  <w:footnote w:id="3">
    <w:p w:rsidR="009A06F8" w:rsidRPr="00160F06" w:rsidP="009A06F8">
      <w:pPr>
        <w:pStyle w:val="FootnoteText"/>
      </w:pPr>
      <w:r>
        <w:rPr>
          <w:rStyle w:val="FootnoteReference"/>
        </w:rPr>
        <w:footnoteRef/>
      </w:r>
      <w:r>
        <w:t xml:space="preserve"> </w:t>
      </w:r>
      <w:r w:rsidRPr="00435CB4" w:rsidR="00435CB4">
        <w:rPr>
          <w:i/>
          <w:spacing w:val="-2"/>
        </w:rPr>
        <w:t xml:space="preserve">Amendment of </w:t>
      </w:r>
      <w:r w:rsidR="00D16195">
        <w:rPr>
          <w:i/>
          <w:spacing w:val="-2"/>
        </w:rPr>
        <w:t xml:space="preserve">Parts 73 and 74 to Improve the Low Power FM Service Technical Rules, </w:t>
      </w:r>
      <w:r w:rsidRPr="00160F06">
        <w:t>MB Docket No</w:t>
      </w:r>
      <w:r w:rsidR="00435CB4">
        <w:t>s</w:t>
      </w:r>
      <w:r w:rsidRPr="00160F06">
        <w:t xml:space="preserve">. </w:t>
      </w:r>
      <w:r w:rsidR="00D16195">
        <w:t xml:space="preserve">19-193, 17-105, </w:t>
      </w:r>
      <w:r w:rsidR="006E6BF6">
        <w:t xml:space="preserve">Report and Order, </w:t>
      </w:r>
      <w:r w:rsidRPr="00160F06">
        <w:t xml:space="preserve">FCC </w:t>
      </w:r>
      <w:r w:rsidR="003B39FA">
        <w:t>20-</w:t>
      </w:r>
      <w:r w:rsidR="00EB53C2">
        <w:t>53</w:t>
      </w:r>
      <w:r w:rsidRPr="00160F06">
        <w:t xml:space="preserve"> (</w:t>
      </w:r>
      <w:r w:rsidR="00D16195">
        <w:t>April 2</w:t>
      </w:r>
      <w:r w:rsidR="003B39FA">
        <w:t>3, 2020</w:t>
      </w:r>
      <w:r w:rsidRPr="00160F06">
        <w:t>) (</w:t>
      </w:r>
      <w:r w:rsidR="003B39FA">
        <w:rPr>
          <w:i/>
        </w:rPr>
        <w:t>O</w:t>
      </w:r>
      <w:r w:rsidR="00D16195">
        <w:rPr>
          <w:i/>
        </w:rPr>
        <w:t>rder</w:t>
      </w:r>
      <w:r w:rsidRPr="00160F06">
        <w:t>).</w:t>
      </w:r>
    </w:p>
  </w:footnote>
  <w:footnote w:id="4">
    <w:p w:rsidR="008830F7" w:rsidRPr="00160F06" w:rsidP="008830F7">
      <w:pPr>
        <w:pStyle w:val="FootnoteText"/>
      </w:pPr>
      <w:r>
        <w:rPr>
          <w:rStyle w:val="FootnoteReference"/>
        </w:rPr>
        <w:footnoteRef/>
      </w:r>
      <w:r>
        <w:t xml:space="preserve"> </w:t>
      </w:r>
      <w:r w:rsidRPr="00A66F4D">
        <w:rPr>
          <w:i/>
          <w:spacing w:val="-2"/>
          <w:szCs w:val="22"/>
        </w:rPr>
        <w:t>Amendment of</w:t>
      </w:r>
      <w:r w:rsidR="007A3A68">
        <w:rPr>
          <w:i/>
          <w:spacing w:val="-2"/>
          <w:szCs w:val="22"/>
        </w:rPr>
        <w:t xml:space="preserve"> </w:t>
      </w:r>
      <w:r w:rsidRPr="007A3A68" w:rsidR="007A3A68">
        <w:rPr>
          <w:i/>
          <w:spacing w:val="-2"/>
          <w:szCs w:val="22"/>
        </w:rPr>
        <w:t>Parts 73 and 74 to Improve the Low Power FM Service Technical Rules</w:t>
      </w:r>
      <w:r w:rsidRPr="00A66F4D">
        <w:rPr>
          <w:i/>
          <w:spacing w:val="-2"/>
          <w:szCs w:val="22"/>
        </w:rPr>
        <w:t>; Modernization of Media Regulation Initiative</w:t>
      </w:r>
      <w:r w:rsidRPr="00160F06">
        <w:t xml:space="preserve">, </w:t>
      </w:r>
      <w:r>
        <w:t>85</w:t>
      </w:r>
      <w:r w:rsidRPr="00160F06">
        <w:t xml:space="preserve"> Fed. Reg. </w:t>
      </w:r>
      <w:r>
        <w:t>3</w:t>
      </w:r>
      <w:r w:rsidR="002255DA">
        <w:t>5567</w:t>
      </w:r>
      <w:r>
        <w:t xml:space="preserve"> </w:t>
      </w:r>
      <w:r w:rsidRPr="00160F06">
        <w:t>(</w:t>
      </w:r>
      <w:r>
        <w:t>June</w:t>
      </w:r>
      <w:r w:rsidR="00F13FE0">
        <w:t xml:space="preserve"> 11</w:t>
      </w:r>
      <w:r>
        <w:t>, 2020</w:t>
      </w:r>
      <w:r w:rsidRPr="00160F06">
        <w:t>).</w:t>
      </w:r>
    </w:p>
  </w:footnote>
  <w:footnote w:id="5">
    <w:p w:rsidR="00656461">
      <w:pPr>
        <w:pStyle w:val="FootnoteText"/>
      </w:pPr>
      <w:r>
        <w:rPr>
          <w:rStyle w:val="FootnoteReference"/>
        </w:rPr>
        <w:footnoteRef/>
      </w:r>
      <w:r>
        <w:t xml:space="preserve"> 47 CFR §</w:t>
      </w:r>
      <w:r w:rsidRPr="00CF1216" w:rsidR="00CF1216">
        <w:t>§</w:t>
      </w:r>
      <w:r>
        <w:t xml:space="preserve"> </w:t>
      </w:r>
      <w:r w:rsidRPr="008830F7" w:rsidR="008830F7">
        <w:t>1.52, 73.807, 73.810, 73.825, 73.860, 73.871, 74.1201, 74.1263, 74.1283, and 74.1290</w:t>
      </w:r>
      <w:r>
        <w:t>.</w:t>
      </w:r>
    </w:p>
  </w:footnote>
  <w:footnote w:id="6">
    <w:p w:rsidR="002437E2" w:rsidP="002437E2">
      <w:pPr>
        <w:pStyle w:val="FootnoteText"/>
      </w:pPr>
      <w:r>
        <w:rPr>
          <w:rStyle w:val="FootnoteReference"/>
        </w:rPr>
        <w:footnoteRef/>
      </w:r>
      <w:r>
        <w:t xml:space="preserve"> 47 CFR §§ </w:t>
      </w:r>
      <w:r w:rsidRPr="00A4031E" w:rsidR="009E4994">
        <w:t>73.816, 73.850, and 73.870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7707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FDF7C69"/>
    <w:multiLevelType w:val="hybridMultilevel"/>
    <w:tmpl w:val="FB6AADC0"/>
    <w:lvl w:ilvl="0">
      <w:start w:val="1"/>
      <w:numFmt w:val="decimal"/>
      <w:suff w:val="space"/>
      <w:lvlText w:val="%1."/>
      <w:lvlJc w:val="left"/>
      <w:pPr>
        <w:ind w:left="-90" w:firstLine="720"/>
      </w:pPr>
      <w:rPr>
        <w:rFonts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2E8"/>
    <w:rsid w:val="00037F90"/>
    <w:rsid w:val="00077572"/>
    <w:rsid w:val="000875BF"/>
    <w:rsid w:val="00096D8C"/>
    <w:rsid w:val="000A3313"/>
    <w:rsid w:val="000C0B65"/>
    <w:rsid w:val="000E3D42"/>
    <w:rsid w:val="000E5884"/>
    <w:rsid w:val="00122BD5"/>
    <w:rsid w:val="00130905"/>
    <w:rsid w:val="00160F06"/>
    <w:rsid w:val="001737AA"/>
    <w:rsid w:val="001761A9"/>
    <w:rsid w:val="001979D9"/>
    <w:rsid w:val="001D6BCF"/>
    <w:rsid w:val="001E01CA"/>
    <w:rsid w:val="002060D9"/>
    <w:rsid w:val="002255DA"/>
    <w:rsid w:val="00226822"/>
    <w:rsid w:val="002437E2"/>
    <w:rsid w:val="00260594"/>
    <w:rsid w:val="00285017"/>
    <w:rsid w:val="00291C05"/>
    <w:rsid w:val="002A2D2E"/>
    <w:rsid w:val="00343749"/>
    <w:rsid w:val="0035435A"/>
    <w:rsid w:val="00357D50"/>
    <w:rsid w:val="003925DC"/>
    <w:rsid w:val="003B0550"/>
    <w:rsid w:val="003B39FA"/>
    <w:rsid w:val="003B67D5"/>
    <w:rsid w:val="003B694F"/>
    <w:rsid w:val="003E69A2"/>
    <w:rsid w:val="003F171C"/>
    <w:rsid w:val="00412FC5"/>
    <w:rsid w:val="00422276"/>
    <w:rsid w:val="004242F1"/>
    <w:rsid w:val="00435CB4"/>
    <w:rsid w:val="00445A00"/>
    <w:rsid w:val="00451B0F"/>
    <w:rsid w:val="00453E07"/>
    <w:rsid w:val="0046125F"/>
    <w:rsid w:val="00486230"/>
    <w:rsid w:val="00487524"/>
    <w:rsid w:val="00496106"/>
    <w:rsid w:val="004C12D0"/>
    <w:rsid w:val="004C2EE3"/>
    <w:rsid w:val="004E4A22"/>
    <w:rsid w:val="00511968"/>
    <w:rsid w:val="00515F23"/>
    <w:rsid w:val="0055614C"/>
    <w:rsid w:val="005709D1"/>
    <w:rsid w:val="00570AE2"/>
    <w:rsid w:val="005771CC"/>
    <w:rsid w:val="00581FB8"/>
    <w:rsid w:val="005954B6"/>
    <w:rsid w:val="00607BA5"/>
    <w:rsid w:val="00626EB6"/>
    <w:rsid w:val="00632251"/>
    <w:rsid w:val="006353A3"/>
    <w:rsid w:val="00655D03"/>
    <w:rsid w:val="00656461"/>
    <w:rsid w:val="00683F84"/>
    <w:rsid w:val="006A6A81"/>
    <w:rsid w:val="006E26AF"/>
    <w:rsid w:val="006E6708"/>
    <w:rsid w:val="006E6BF6"/>
    <w:rsid w:val="006F27FE"/>
    <w:rsid w:val="006F7393"/>
    <w:rsid w:val="0070224F"/>
    <w:rsid w:val="007115F7"/>
    <w:rsid w:val="00756E09"/>
    <w:rsid w:val="00785689"/>
    <w:rsid w:val="0079754B"/>
    <w:rsid w:val="007A1E6D"/>
    <w:rsid w:val="007A3A68"/>
    <w:rsid w:val="007E301D"/>
    <w:rsid w:val="00822CE0"/>
    <w:rsid w:val="0082687D"/>
    <w:rsid w:val="00837C62"/>
    <w:rsid w:val="00841AB1"/>
    <w:rsid w:val="008830F7"/>
    <w:rsid w:val="00885C62"/>
    <w:rsid w:val="008C22FD"/>
    <w:rsid w:val="00910F12"/>
    <w:rsid w:val="00917887"/>
    <w:rsid w:val="00926503"/>
    <w:rsid w:val="00930ECF"/>
    <w:rsid w:val="00935EFC"/>
    <w:rsid w:val="00964B2B"/>
    <w:rsid w:val="00975DA6"/>
    <w:rsid w:val="009838BC"/>
    <w:rsid w:val="009954E9"/>
    <w:rsid w:val="009A06F8"/>
    <w:rsid w:val="009B18BF"/>
    <w:rsid w:val="009D4FD1"/>
    <w:rsid w:val="009E20A9"/>
    <w:rsid w:val="009E4994"/>
    <w:rsid w:val="00A4031E"/>
    <w:rsid w:val="00A45F4F"/>
    <w:rsid w:val="00A600A9"/>
    <w:rsid w:val="00A66F4D"/>
    <w:rsid w:val="00A866AC"/>
    <w:rsid w:val="00AA55B7"/>
    <w:rsid w:val="00AA5B9E"/>
    <w:rsid w:val="00AB2407"/>
    <w:rsid w:val="00AB53DF"/>
    <w:rsid w:val="00AE6264"/>
    <w:rsid w:val="00B047ED"/>
    <w:rsid w:val="00B07E5C"/>
    <w:rsid w:val="00B20363"/>
    <w:rsid w:val="00B326E3"/>
    <w:rsid w:val="00B75E2E"/>
    <w:rsid w:val="00B811F7"/>
    <w:rsid w:val="00BA5DC6"/>
    <w:rsid w:val="00BA6196"/>
    <w:rsid w:val="00BC6D8C"/>
    <w:rsid w:val="00BD396A"/>
    <w:rsid w:val="00BE5545"/>
    <w:rsid w:val="00BF3A2E"/>
    <w:rsid w:val="00BF4596"/>
    <w:rsid w:val="00C16AF2"/>
    <w:rsid w:val="00C34006"/>
    <w:rsid w:val="00C426B1"/>
    <w:rsid w:val="00C73012"/>
    <w:rsid w:val="00C82B6B"/>
    <w:rsid w:val="00C90D6A"/>
    <w:rsid w:val="00CC72B6"/>
    <w:rsid w:val="00CF1216"/>
    <w:rsid w:val="00CF4A7E"/>
    <w:rsid w:val="00CF53D2"/>
    <w:rsid w:val="00CF5B66"/>
    <w:rsid w:val="00D00F97"/>
    <w:rsid w:val="00D0218D"/>
    <w:rsid w:val="00D16195"/>
    <w:rsid w:val="00D216CD"/>
    <w:rsid w:val="00D814B8"/>
    <w:rsid w:val="00D94A9D"/>
    <w:rsid w:val="00DA2529"/>
    <w:rsid w:val="00DA7119"/>
    <w:rsid w:val="00DB130A"/>
    <w:rsid w:val="00DC10A1"/>
    <w:rsid w:val="00DC655F"/>
    <w:rsid w:val="00DD1A04"/>
    <w:rsid w:val="00DD7EBD"/>
    <w:rsid w:val="00DE2509"/>
    <w:rsid w:val="00DF3F27"/>
    <w:rsid w:val="00DF62B6"/>
    <w:rsid w:val="00E07225"/>
    <w:rsid w:val="00E155B7"/>
    <w:rsid w:val="00E5409F"/>
    <w:rsid w:val="00EB53C2"/>
    <w:rsid w:val="00EB65AC"/>
    <w:rsid w:val="00EB73A5"/>
    <w:rsid w:val="00EC0185"/>
    <w:rsid w:val="00F021FA"/>
    <w:rsid w:val="00F13FE0"/>
    <w:rsid w:val="00F57ACA"/>
    <w:rsid w:val="00F62E97"/>
    <w:rsid w:val="00F64209"/>
    <w:rsid w:val="00F93BF5"/>
    <w:rsid w:val="00F96F63"/>
    <w:rsid w:val="00FA42D2"/>
    <w:rsid w:val="00FB474B"/>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9A06F8"/>
  </w:style>
  <w:style w:type="character" w:styleId="CommentReference">
    <w:name w:val="annotation reference"/>
    <w:basedOn w:val="DefaultParagraphFont"/>
    <w:uiPriority w:val="99"/>
    <w:semiHidden/>
    <w:unhideWhenUsed/>
    <w:rsid w:val="00DE2509"/>
    <w:rPr>
      <w:sz w:val="16"/>
      <w:szCs w:val="16"/>
    </w:rPr>
  </w:style>
  <w:style w:type="paragraph" w:styleId="CommentText">
    <w:name w:val="annotation text"/>
    <w:basedOn w:val="Normal"/>
    <w:link w:val="CommentTextChar"/>
    <w:uiPriority w:val="99"/>
    <w:semiHidden/>
    <w:unhideWhenUsed/>
    <w:rsid w:val="00DE2509"/>
    <w:rPr>
      <w:sz w:val="20"/>
    </w:rPr>
  </w:style>
  <w:style w:type="character" w:customStyle="1" w:styleId="CommentTextChar">
    <w:name w:val="Comment Text Char"/>
    <w:basedOn w:val="DefaultParagraphFont"/>
    <w:link w:val="CommentText"/>
    <w:uiPriority w:val="99"/>
    <w:semiHidden/>
    <w:rsid w:val="00DE2509"/>
    <w:rPr>
      <w:snapToGrid w:val="0"/>
      <w:kern w:val="28"/>
    </w:rPr>
  </w:style>
  <w:style w:type="paragraph" w:styleId="CommentSubject">
    <w:name w:val="annotation subject"/>
    <w:basedOn w:val="CommentText"/>
    <w:next w:val="CommentText"/>
    <w:link w:val="CommentSubjectChar"/>
    <w:uiPriority w:val="99"/>
    <w:semiHidden/>
    <w:unhideWhenUsed/>
    <w:rsid w:val="00DE2509"/>
    <w:rPr>
      <w:b/>
      <w:bCs/>
    </w:rPr>
  </w:style>
  <w:style w:type="character" w:customStyle="1" w:styleId="CommentSubjectChar">
    <w:name w:val="Comment Subject Char"/>
    <w:basedOn w:val="CommentTextChar"/>
    <w:link w:val="CommentSubject"/>
    <w:uiPriority w:val="99"/>
    <w:semiHidden/>
    <w:rsid w:val="00DE2509"/>
    <w:rPr>
      <w:b/>
      <w:bCs/>
      <w:snapToGrid w:val="0"/>
      <w:kern w:val="28"/>
    </w:rPr>
  </w:style>
  <w:style w:type="paragraph" w:styleId="BalloonText">
    <w:name w:val="Balloon Text"/>
    <w:basedOn w:val="Normal"/>
    <w:link w:val="BalloonTextChar"/>
    <w:uiPriority w:val="99"/>
    <w:semiHidden/>
    <w:unhideWhenUsed/>
    <w:rsid w:val="00DE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09"/>
    <w:rPr>
      <w:rFonts w:ascii="Segoe UI" w:hAnsi="Segoe UI" w:cs="Segoe UI"/>
      <w:snapToGrid w:val="0"/>
      <w:kern w:val="28"/>
      <w:sz w:val="18"/>
      <w:szCs w:val="18"/>
    </w:rPr>
  </w:style>
  <w:style w:type="paragraph" w:styleId="ListParagraph">
    <w:name w:val="List Paragraph"/>
    <w:basedOn w:val="Normal"/>
    <w:uiPriority w:val="34"/>
    <w:qFormat/>
    <w:rsid w:val="00A4031E"/>
    <w:pPr>
      <w:widowControl/>
      <w:ind w:left="720"/>
      <w:contextualSpacing/>
    </w:pPr>
    <w:rPr>
      <w:snapToGrid/>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bert.Shuldin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