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7007B" w:rsidRPr="00B20363" w:rsidP="0087007B">
      <w:pPr>
        <w:jc w:val="right"/>
        <w:rPr>
          <w:b/>
          <w:sz w:val="24"/>
        </w:rPr>
      </w:pPr>
      <w:r>
        <w:rPr>
          <w:b/>
          <w:sz w:val="24"/>
        </w:rPr>
        <w:t>DA 20-</w:t>
      </w:r>
      <w:r w:rsidR="00EF078A">
        <w:rPr>
          <w:b/>
          <w:sz w:val="24"/>
        </w:rPr>
        <w:t>65</w:t>
      </w:r>
    </w:p>
    <w:p w:rsidR="0087007B" w:rsidRPr="00B20363" w:rsidP="0087007B">
      <w:pPr>
        <w:spacing w:before="60"/>
        <w:jc w:val="right"/>
        <w:rPr>
          <w:b/>
          <w:sz w:val="24"/>
        </w:rPr>
      </w:pPr>
      <w:r>
        <w:rPr>
          <w:b/>
          <w:sz w:val="24"/>
        </w:rPr>
        <w:t>Released:  January 14, 2020</w:t>
      </w:r>
    </w:p>
    <w:p w:rsidR="0087007B" w:rsidP="0087007B">
      <w:pPr>
        <w:jc w:val="right"/>
        <w:rPr>
          <w:sz w:val="24"/>
        </w:rPr>
      </w:pPr>
    </w:p>
    <w:p w:rsidR="0087007B" w:rsidP="0087007B">
      <w:pPr>
        <w:autoSpaceDE w:val="0"/>
        <w:autoSpaceDN w:val="0"/>
        <w:adjustRightInd w:val="0"/>
        <w:jc w:val="center"/>
        <w:rPr>
          <w:b/>
          <w:szCs w:val="22"/>
        </w:rPr>
      </w:pPr>
      <w:r>
        <w:rPr>
          <w:b/>
          <w:szCs w:val="22"/>
        </w:rPr>
        <w:t xml:space="preserve">WIRELINE COMPETITION BUREAU SEEKS TO DETERMINE PARTIES’ CONTINUING INTEREST IN SEVERAL PETITIONS FOR RECONSIDERATION OF ASPECTS </w:t>
      </w:r>
    </w:p>
    <w:p w:rsidR="0087007B" w:rsidP="0087007B">
      <w:pPr>
        <w:autoSpaceDE w:val="0"/>
        <w:autoSpaceDN w:val="0"/>
        <w:adjustRightInd w:val="0"/>
        <w:jc w:val="center"/>
        <w:rPr>
          <w:b/>
          <w:i/>
          <w:szCs w:val="22"/>
        </w:rPr>
      </w:pPr>
      <w:r>
        <w:rPr>
          <w:b/>
          <w:szCs w:val="22"/>
        </w:rPr>
        <w:t xml:space="preserve">OF THE </w:t>
      </w:r>
      <w:r>
        <w:rPr>
          <w:b/>
          <w:i/>
          <w:szCs w:val="22"/>
        </w:rPr>
        <w:t>USF/ICC TRANSFORMATION ORDER</w:t>
      </w:r>
      <w:r>
        <w:rPr>
          <w:b/>
          <w:szCs w:val="22"/>
        </w:rPr>
        <w:t xml:space="preserve"> </w:t>
      </w:r>
    </w:p>
    <w:p w:rsidR="0087007B" w:rsidP="0087007B">
      <w:pPr>
        <w:autoSpaceDE w:val="0"/>
        <w:autoSpaceDN w:val="0"/>
        <w:adjustRightInd w:val="0"/>
        <w:rPr>
          <w:b/>
          <w:szCs w:val="22"/>
        </w:rPr>
      </w:pPr>
    </w:p>
    <w:p w:rsidR="0087007B" w:rsidRPr="00AF0D71" w:rsidP="00C64BA0">
      <w:pPr>
        <w:widowControl/>
        <w:autoSpaceDE w:val="0"/>
        <w:autoSpaceDN w:val="0"/>
        <w:adjustRightInd w:val="0"/>
        <w:ind w:left="3420"/>
        <w:rPr>
          <w:b/>
          <w:snapToGrid/>
          <w:kern w:val="0"/>
          <w:sz w:val="23"/>
          <w:szCs w:val="23"/>
        </w:rPr>
      </w:pPr>
      <w:r w:rsidRPr="00AF0D71">
        <w:rPr>
          <w:b/>
          <w:snapToGrid/>
          <w:kern w:val="0"/>
          <w:sz w:val="23"/>
          <w:szCs w:val="23"/>
        </w:rPr>
        <w:t>WC Docket No. 10-90</w:t>
      </w:r>
    </w:p>
    <w:p w:rsidR="0087007B" w:rsidRPr="00AF0D71" w:rsidP="00C64BA0">
      <w:pPr>
        <w:widowControl/>
        <w:autoSpaceDE w:val="0"/>
        <w:autoSpaceDN w:val="0"/>
        <w:adjustRightInd w:val="0"/>
        <w:ind w:left="3420"/>
        <w:rPr>
          <w:b/>
          <w:snapToGrid/>
          <w:kern w:val="0"/>
          <w:sz w:val="23"/>
          <w:szCs w:val="23"/>
        </w:rPr>
      </w:pPr>
      <w:r w:rsidRPr="00AF0D71">
        <w:rPr>
          <w:b/>
          <w:snapToGrid/>
          <w:kern w:val="0"/>
          <w:sz w:val="23"/>
          <w:szCs w:val="23"/>
        </w:rPr>
        <w:t>GN Docket No. 09-51</w:t>
      </w:r>
    </w:p>
    <w:p w:rsidR="0087007B" w:rsidRPr="00AF0D71" w:rsidP="00C64BA0">
      <w:pPr>
        <w:widowControl/>
        <w:autoSpaceDE w:val="0"/>
        <w:autoSpaceDN w:val="0"/>
        <w:adjustRightInd w:val="0"/>
        <w:ind w:left="3420"/>
        <w:rPr>
          <w:b/>
          <w:snapToGrid/>
          <w:kern w:val="0"/>
          <w:sz w:val="23"/>
          <w:szCs w:val="23"/>
        </w:rPr>
      </w:pPr>
      <w:r w:rsidRPr="00AF0D71">
        <w:rPr>
          <w:b/>
          <w:snapToGrid/>
          <w:kern w:val="0"/>
          <w:sz w:val="23"/>
          <w:szCs w:val="23"/>
        </w:rPr>
        <w:t>WC Docket No. 07-135</w:t>
      </w:r>
    </w:p>
    <w:p w:rsidR="0087007B" w:rsidRPr="00AF0D71" w:rsidP="00C64BA0">
      <w:pPr>
        <w:widowControl/>
        <w:autoSpaceDE w:val="0"/>
        <w:autoSpaceDN w:val="0"/>
        <w:adjustRightInd w:val="0"/>
        <w:ind w:left="3420"/>
        <w:rPr>
          <w:b/>
          <w:snapToGrid/>
          <w:kern w:val="0"/>
          <w:sz w:val="23"/>
          <w:szCs w:val="23"/>
        </w:rPr>
      </w:pPr>
      <w:r w:rsidRPr="00AF0D71">
        <w:rPr>
          <w:b/>
          <w:snapToGrid/>
          <w:kern w:val="0"/>
          <w:sz w:val="23"/>
          <w:szCs w:val="23"/>
        </w:rPr>
        <w:t>WC Docket No. 05-337</w:t>
      </w:r>
    </w:p>
    <w:p w:rsidR="0087007B" w:rsidRPr="00AF0D71" w:rsidP="00C64BA0">
      <w:pPr>
        <w:widowControl/>
        <w:autoSpaceDE w:val="0"/>
        <w:autoSpaceDN w:val="0"/>
        <w:adjustRightInd w:val="0"/>
        <w:ind w:left="3420"/>
        <w:rPr>
          <w:b/>
          <w:snapToGrid/>
          <w:kern w:val="0"/>
          <w:sz w:val="23"/>
          <w:szCs w:val="23"/>
        </w:rPr>
      </w:pPr>
      <w:r w:rsidRPr="00AF0D71">
        <w:rPr>
          <w:b/>
          <w:snapToGrid/>
          <w:kern w:val="0"/>
          <w:sz w:val="23"/>
          <w:szCs w:val="23"/>
        </w:rPr>
        <w:t>CC Docket No. 01-92</w:t>
      </w:r>
    </w:p>
    <w:p w:rsidR="0087007B" w:rsidRPr="00AF0D71" w:rsidP="00C64BA0">
      <w:pPr>
        <w:widowControl/>
        <w:autoSpaceDE w:val="0"/>
        <w:autoSpaceDN w:val="0"/>
        <w:adjustRightInd w:val="0"/>
        <w:ind w:left="3420"/>
        <w:rPr>
          <w:b/>
          <w:snapToGrid/>
          <w:kern w:val="0"/>
          <w:sz w:val="23"/>
          <w:szCs w:val="23"/>
        </w:rPr>
      </w:pPr>
      <w:r w:rsidRPr="00AF0D71">
        <w:rPr>
          <w:b/>
          <w:snapToGrid/>
          <w:kern w:val="0"/>
          <w:sz w:val="23"/>
          <w:szCs w:val="23"/>
        </w:rPr>
        <w:t>CC Docket No. 96-45</w:t>
      </w:r>
    </w:p>
    <w:p w:rsidR="0087007B" w:rsidRPr="00AF0D71" w:rsidP="00C64BA0">
      <w:pPr>
        <w:widowControl/>
        <w:autoSpaceDE w:val="0"/>
        <w:autoSpaceDN w:val="0"/>
        <w:adjustRightInd w:val="0"/>
        <w:ind w:left="3420"/>
        <w:rPr>
          <w:b/>
          <w:snapToGrid/>
          <w:kern w:val="0"/>
          <w:sz w:val="23"/>
          <w:szCs w:val="23"/>
        </w:rPr>
      </w:pPr>
      <w:r w:rsidRPr="00AF0D71">
        <w:rPr>
          <w:b/>
          <w:snapToGrid/>
          <w:kern w:val="0"/>
          <w:sz w:val="23"/>
          <w:szCs w:val="23"/>
        </w:rPr>
        <w:t>WC Docket No. 03-109</w:t>
      </w:r>
    </w:p>
    <w:p w:rsidR="0087007B" w:rsidRPr="00AF0D71" w:rsidP="00C64BA0">
      <w:pPr>
        <w:ind w:left="3420"/>
        <w:rPr>
          <w:b/>
          <w:szCs w:val="22"/>
        </w:rPr>
      </w:pPr>
      <w:r w:rsidRPr="00AF0D71">
        <w:rPr>
          <w:b/>
          <w:snapToGrid/>
          <w:kern w:val="0"/>
          <w:sz w:val="23"/>
          <w:szCs w:val="23"/>
        </w:rPr>
        <w:t>WT Docket No. 10-208</w:t>
      </w:r>
    </w:p>
    <w:p w:rsidR="0087007B" w:rsidP="0087007B">
      <w:pPr>
        <w:jc w:val="center"/>
        <w:rPr>
          <w:b/>
          <w:szCs w:val="22"/>
        </w:rPr>
      </w:pPr>
    </w:p>
    <w:p w:rsidR="0087007B" w:rsidP="0087007B">
      <w:pPr>
        <w:rPr>
          <w:b/>
          <w:szCs w:val="22"/>
        </w:rPr>
      </w:pPr>
      <w:r>
        <w:rPr>
          <w:b/>
          <w:szCs w:val="22"/>
        </w:rPr>
        <w:t>Deadline for Responses:  45 days after publication in the Federal Register</w:t>
      </w:r>
    </w:p>
    <w:p w:rsidR="0087007B" w:rsidP="0087007B">
      <w:pPr>
        <w:rPr>
          <w:szCs w:val="22"/>
        </w:rPr>
      </w:pPr>
    </w:p>
    <w:p w:rsidR="0087007B" w:rsidP="0087007B">
      <w:pPr>
        <w:autoSpaceDE w:val="0"/>
        <w:autoSpaceDN w:val="0"/>
        <w:adjustRightInd w:val="0"/>
        <w:rPr>
          <w:rFonts w:ascii="TimesNewRoman" w:hAnsi="TimesNewRoman" w:cs="TimesNewRoman"/>
          <w:color w:val="010101"/>
          <w:szCs w:val="22"/>
        </w:rPr>
      </w:pPr>
      <w:r>
        <w:rPr>
          <w:szCs w:val="22"/>
        </w:rPr>
        <w:tab/>
        <w:t>T</w:t>
      </w:r>
      <w:r>
        <w:rPr>
          <w:rFonts w:ascii="TimesNewRoman" w:hAnsi="TimesNewRoman" w:cs="TimesNewRoman"/>
          <w:color w:val="010101"/>
          <w:szCs w:val="22"/>
        </w:rPr>
        <w:t xml:space="preserve">he Wireline Competition Bureau (Bureau) has pending before it eight petitions for reconsideration of various aspects of the intercarrier compensation provisions of the </w:t>
      </w:r>
      <w:r>
        <w:rPr>
          <w:rFonts w:ascii="TimesNewRoman" w:hAnsi="TimesNewRoman" w:cs="TimesNewRoman"/>
          <w:i/>
          <w:color w:val="010101"/>
          <w:szCs w:val="22"/>
        </w:rPr>
        <w:t>USF/ICC Transformation Order</w:t>
      </w:r>
      <w:r>
        <w:rPr>
          <w:rFonts w:ascii="TimesNewRoman" w:hAnsi="TimesNewRoman" w:cs="TimesNewRoman"/>
          <w:color w:val="010101"/>
          <w:szCs w:val="22"/>
        </w:rPr>
        <w:t xml:space="preserve"> (together the Petitions)</w:t>
      </w:r>
      <w:r>
        <w:rPr>
          <w:rFonts w:ascii="TimesNewRoman" w:hAnsi="TimesNewRoman" w:cs="TimesNewRoman"/>
          <w:i/>
          <w:color w:val="010101"/>
          <w:szCs w:val="22"/>
        </w:rPr>
        <w:t>.</w:t>
      </w:r>
      <w:r>
        <w:rPr>
          <w:rStyle w:val="FootnoteReference"/>
          <w:rFonts w:cs="TimesNewRoman"/>
          <w:sz w:val="20"/>
          <w:szCs w:val="22"/>
        </w:rPr>
        <w:footnoteReference w:id="3"/>
      </w:r>
      <w:r w:rsidRPr="00D95FF8">
        <w:rPr>
          <w:rFonts w:ascii="TimesNewRoman" w:hAnsi="TimesNewRoman" w:cs="TimesNewRoman"/>
          <w:color w:val="010101"/>
          <w:szCs w:val="22"/>
        </w:rPr>
        <w:t xml:space="preserve">  </w:t>
      </w:r>
      <w:r>
        <w:rPr>
          <w:rFonts w:ascii="TimesNewRoman" w:hAnsi="TimesNewRoman" w:cs="TimesNewRoman"/>
          <w:color w:val="010101"/>
          <w:szCs w:val="22"/>
        </w:rPr>
        <w:t xml:space="preserve">Each of the Petitions was filed in 2011 and no entities have filed comments or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 xml:space="preserve">submissions regarding these petitions for several years.  In addition, the various requests for relief in the Petitions appear to be moot or are otherwise no longer relevant in light of regulatory changes, </w:t>
      </w:r>
      <w:r w:rsidRPr="00743EB2">
        <w:rPr>
          <w:rFonts w:ascii="TimesNewRoman" w:hAnsi="TimesNewRoman" w:cs="TimesNewRoman"/>
          <w:color w:val="010101"/>
          <w:szCs w:val="22"/>
        </w:rPr>
        <w:t>including ongoing intercarrier compensation and universal service reforms</w:t>
      </w:r>
      <w:r>
        <w:rPr>
          <w:rFonts w:ascii="TimesNewRoman" w:hAnsi="TimesNewRoman" w:cs="TimesNewRoman"/>
          <w:color w:val="010101"/>
          <w:szCs w:val="22"/>
        </w:rPr>
        <w:t>, that have occurred since these filings were made.</w:t>
      </w:r>
      <w:r>
        <w:rPr>
          <w:rStyle w:val="FootnoteReference"/>
          <w:rFonts w:cs="TimesNewRoman"/>
          <w:sz w:val="20"/>
          <w:szCs w:val="22"/>
        </w:rPr>
        <w:footnoteReference w:id="4"/>
      </w:r>
      <w:r>
        <w:rPr>
          <w:rFonts w:ascii="TimesNewRoman" w:hAnsi="TimesNewRoman" w:cs="TimesNewRoman"/>
          <w:color w:val="010101"/>
          <w:szCs w:val="22"/>
        </w:rPr>
        <w:t xml:space="preserve">  As part of the Commission’s effort to manage its dockets and reduce backlog,</w:t>
      </w:r>
      <w:r>
        <w:rPr>
          <w:rStyle w:val="FootnoteReference"/>
          <w:rFonts w:ascii="TimesNewRoman" w:hAnsi="TimesNewRoman" w:cs="TimesNewRoman"/>
          <w:color w:val="010101"/>
          <w:sz w:val="20"/>
          <w:szCs w:val="22"/>
        </w:rPr>
        <w:footnoteReference w:id="5"/>
      </w:r>
      <w:r w:rsidRPr="00C85D4C">
        <w:rPr>
          <w:rFonts w:ascii="TimesNewRoman" w:hAnsi="TimesNewRoman" w:cs="TimesNewRoman"/>
          <w:color w:val="010101"/>
          <w:szCs w:val="22"/>
        </w:rPr>
        <w:t xml:space="preserve"> </w:t>
      </w:r>
      <w:r>
        <w:rPr>
          <w:rFonts w:ascii="TimesNewRoman" w:hAnsi="TimesNewRoman" w:cs="TimesNewRoman"/>
          <w:color w:val="010101"/>
          <w:szCs w:val="22"/>
        </w:rPr>
        <w:t xml:space="preserve">and in an effort to avoid the need to address issues unnecessarily, the Bureau seeks to assess the Petitioners’ continuing interests in these petitions, and to efficiently resolve issues that are no longer contested.  We therefore plan to dismiss each Petition listed below with prejudice unless a </w:t>
      </w:r>
      <w:r>
        <w:rPr>
          <w:rFonts w:ascii="TimesNewRoman" w:hAnsi="TimesNewRoman" w:cs="TimesNewRoman"/>
          <w:color w:val="010101"/>
          <w:szCs w:val="22"/>
        </w:rPr>
        <w:t>Petitioner files a notice in the relevant dockets within 45 days of the date of Federal Register publication of this Public Notice specifying that it objects to the dismissal of its Petition.  Upon release of this Public Notice, the Bureau will send copies to the Petitioners.</w:t>
      </w:r>
      <w:bookmarkStart w:id="0" w:name="_GoBack"/>
      <w:bookmarkEnd w:id="0"/>
    </w:p>
    <w:p w:rsidR="0087007B" w:rsidP="0087007B">
      <w:pPr>
        <w:autoSpaceDE w:val="0"/>
        <w:autoSpaceDN w:val="0"/>
        <w:adjustRightInd w:val="0"/>
        <w:rPr>
          <w:rFonts w:ascii="TimesNewRoman" w:hAnsi="TimesNewRoman" w:cs="TimesNewRoman"/>
          <w:color w:val="010101"/>
          <w:szCs w:val="22"/>
        </w:rPr>
      </w:pPr>
    </w:p>
    <w:p w:rsidR="0087007B" w:rsidRPr="00C85D4C" w:rsidP="0087007B">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ab/>
        <w:t>These Petitions and related information are provided below:</w:t>
      </w:r>
    </w:p>
    <w:p w:rsidR="0087007B" w:rsidP="0087007B">
      <w:pPr>
        <w:autoSpaceDE w:val="0"/>
        <w:autoSpaceDN w:val="0"/>
        <w:adjustRightInd w:val="0"/>
        <w:rPr>
          <w:szCs w:val="22"/>
        </w:rPr>
      </w:pPr>
      <w:r>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4230"/>
        <w:gridCol w:w="1800"/>
      </w:tblGrid>
      <w:tr w:rsidTr="009A56D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988" w:type="dxa"/>
            <w:shd w:val="clear" w:color="auto" w:fill="auto"/>
          </w:tcPr>
          <w:p w:rsidR="0087007B" w:rsidP="009A56D2">
            <w:pPr>
              <w:autoSpaceDE w:val="0"/>
              <w:autoSpaceDN w:val="0"/>
              <w:adjustRightInd w:val="0"/>
              <w:rPr>
                <w:b/>
                <w:szCs w:val="22"/>
              </w:rPr>
            </w:pPr>
            <w:r>
              <w:rPr>
                <w:b/>
                <w:szCs w:val="22"/>
              </w:rPr>
              <w:t>Petitioner</w:t>
            </w:r>
          </w:p>
        </w:tc>
        <w:tc>
          <w:tcPr>
            <w:tcW w:w="4230" w:type="dxa"/>
            <w:shd w:val="clear" w:color="auto" w:fill="auto"/>
          </w:tcPr>
          <w:p w:rsidR="0087007B" w:rsidP="009A56D2">
            <w:pPr>
              <w:autoSpaceDE w:val="0"/>
              <w:autoSpaceDN w:val="0"/>
              <w:adjustRightInd w:val="0"/>
              <w:rPr>
                <w:b/>
                <w:szCs w:val="22"/>
              </w:rPr>
            </w:pPr>
            <w:r>
              <w:rPr>
                <w:b/>
                <w:szCs w:val="22"/>
              </w:rPr>
              <w:t>Petitions</w:t>
            </w:r>
          </w:p>
        </w:tc>
        <w:tc>
          <w:tcPr>
            <w:tcW w:w="1800" w:type="dxa"/>
            <w:shd w:val="clear" w:color="auto" w:fill="auto"/>
          </w:tcPr>
          <w:p w:rsidR="0087007B" w:rsidP="009A56D2">
            <w:pPr>
              <w:autoSpaceDE w:val="0"/>
              <w:autoSpaceDN w:val="0"/>
              <w:adjustRightInd w:val="0"/>
              <w:rPr>
                <w:b/>
                <w:szCs w:val="22"/>
              </w:rPr>
            </w:pPr>
            <w:r>
              <w:rPr>
                <w:b/>
                <w:szCs w:val="22"/>
              </w:rPr>
              <w:t>Date Petition Filed</w:t>
            </w:r>
          </w:p>
        </w:tc>
      </w:tr>
      <w:tr w:rsidTr="009A56D2">
        <w:tblPrEx>
          <w:tblW w:w="0" w:type="auto"/>
          <w:tblLook w:val="04A0"/>
        </w:tblPrEx>
        <w:trPr>
          <w:cantSplit/>
        </w:trPr>
        <w:tc>
          <w:tcPr>
            <w:tcW w:w="2988" w:type="dxa"/>
            <w:shd w:val="clear" w:color="auto" w:fill="auto"/>
          </w:tcPr>
          <w:p w:rsidR="0087007B" w:rsidRPr="00CE573A" w:rsidP="009A56D2">
            <w:pPr>
              <w:autoSpaceDE w:val="0"/>
              <w:autoSpaceDN w:val="0"/>
              <w:adjustRightInd w:val="0"/>
              <w:rPr>
                <w:szCs w:val="22"/>
              </w:rPr>
            </w:pPr>
            <w:r w:rsidRPr="00CE573A">
              <w:rPr>
                <w:snapToGrid/>
                <w:kern w:val="0"/>
                <w:szCs w:val="22"/>
              </w:rPr>
              <w:t>Public Service Commission of the District of Columbia</w:t>
            </w:r>
          </w:p>
        </w:tc>
        <w:tc>
          <w:tcPr>
            <w:tcW w:w="4230" w:type="dxa"/>
            <w:shd w:val="clear" w:color="auto" w:fill="auto"/>
          </w:tcPr>
          <w:p w:rsidR="0087007B" w:rsidRPr="00106903" w:rsidP="009A56D2">
            <w:pPr>
              <w:widowControl/>
              <w:autoSpaceDE w:val="0"/>
              <w:autoSpaceDN w:val="0"/>
              <w:adjustRightInd w:val="0"/>
              <w:rPr>
                <w:snapToGrid/>
                <w:kern w:val="0"/>
                <w:szCs w:val="22"/>
              </w:rPr>
            </w:pPr>
            <w:r w:rsidRPr="00106903">
              <w:rPr>
                <w:snapToGrid/>
                <w:kern w:val="0"/>
                <w:szCs w:val="22"/>
              </w:rPr>
              <w:t xml:space="preserve">Petition for Reconsideration of </w:t>
            </w:r>
            <w:r>
              <w:rPr>
                <w:snapToGrid/>
                <w:kern w:val="0"/>
                <w:szCs w:val="22"/>
              </w:rPr>
              <w:t xml:space="preserve">an aspect of the </w:t>
            </w:r>
            <w:r w:rsidRPr="00106903">
              <w:rPr>
                <w:i/>
                <w:spacing w:val="-2"/>
                <w:szCs w:val="22"/>
              </w:rPr>
              <w:t xml:space="preserve">Connect America Fund, A National Broadband Plan for Our Future, Establishing Just and Reasonable Rates for Local Exchange Carriers, High-Cost Universal Service Support, Developing </w:t>
            </w:r>
            <w:r w:rsidRPr="00106903">
              <w:rPr>
                <w:i/>
                <w:spacing w:val="-2"/>
                <w:szCs w:val="22"/>
              </w:rPr>
              <w:t>an</w:t>
            </w:r>
            <w:r w:rsidRPr="00106903">
              <w:rPr>
                <w:i/>
                <w:spacing w:val="-2"/>
                <w:szCs w:val="22"/>
              </w:rPr>
              <w:t xml:space="preserve"> Unified Intercarrier Compensation Regime, Federal-State Joint Board on Universal Service, Lifeline and Link</w:t>
            </w:r>
            <w:r w:rsidR="003C2447">
              <w:rPr>
                <w:i/>
                <w:spacing w:val="-2"/>
                <w:szCs w:val="22"/>
              </w:rPr>
              <w:t>-</w:t>
            </w:r>
            <w:r w:rsidRPr="00106903">
              <w:rPr>
                <w:i/>
                <w:spacing w:val="-2"/>
                <w:szCs w:val="22"/>
              </w:rPr>
              <w:t>Up, Universal Service Reform – Mobility Fund</w:t>
            </w:r>
            <w:r w:rsidRPr="00106903">
              <w:rPr>
                <w:spacing w:val="-2"/>
                <w:szCs w:val="22"/>
              </w:rPr>
              <w:t xml:space="preserve">, </w:t>
            </w:r>
          </w:p>
          <w:p w:rsidR="0087007B" w:rsidP="009A56D2">
            <w:pPr>
              <w:widowControl/>
              <w:autoSpaceDE w:val="0"/>
              <w:autoSpaceDN w:val="0"/>
              <w:adjustRightInd w:val="0"/>
              <w:rPr>
                <w:szCs w:val="22"/>
              </w:rPr>
            </w:pPr>
            <w:r w:rsidRPr="00106903">
              <w:rPr>
                <w:szCs w:val="22"/>
              </w:rPr>
              <w:t xml:space="preserve">WC Docket No. 10-90 et al., Report and Order and Further Notice of Proposed Rulemaking, 26 FCC </w:t>
            </w:r>
            <w:r w:rsidRPr="00106903">
              <w:rPr>
                <w:szCs w:val="22"/>
              </w:rPr>
              <w:t>Rcd</w:t>
            </w:r>
            <w:r w:rsidRPr="00106903">
              <w:rPr>
                <w:szCs w:val="22"/>
              </w:rPr>
              <w:t xml:space="preserve"> 17663 (2011) </w:t>
            </w:r>
            <w:r w:rsidRPr="00106903">
              <w:rPr>
                <w:iCs/>
                <w:szCs w:val="22"/>
              </w:rPr>
              <w:t>(</w:t>
            </w:r>
            <w:r w:rsidRPr="00106903">
              <w:rPr>
                <w:i/>
                <w:iCs/>
                <w:szCs w:val="22"/>
              </w:rPr>
              <w:t>USF/ICC Transformation Order</w:t>
            </w:r>
            <w:r w:rsidRPr="00106903">
              <w:rPr>
                <w:iCs/>
                <w:szCs w:val="22"/>
              </w:rPr>
              <w:t>).</w:t>
            </w:r>
            <w:r w:rsidRPr="00106903">
              <w:rPr>
                <w:i/>
                <w:iCs/>
                <w:szCs w:val="22"/>
              </w:rPr>
              <w:t xml:space="preserve"> </w:t>
            </w:r>
          </w:p>
        </w:tc>
        <w:tc>
          <w:tcPr>
            <w:tcW w:w="1800" w:type="dxa"/>
            <w:shd w:val="clear" w:color="auto" w:fill="auto"/>
          </w:tcPr>
          <w:p w:rsidR="0087007B" w:rsidP="009A56D2">
            <w:pPr>
              <w:autoSpaceDE w:val="0"/>
              <w:autoSpaceDN w:val="0"/>
              <w:adjustRightInd w:val="0"/>
              <w:rPr>
                <w:szCs w:val="22"/>
              </w:rPr>
            </w:pPr>
            <w:r>
              <w:rPr>
                <w:szCs w:val="22"/>
              </w:rPr>
              <w:t>12/28/2011</w:t>
            </w:r>
          </w:p>
        </w:tc>
      </w:tr>
      <w:tr w:rsidTr="009A56D2">
        <w:tblPrEx>
          <w:tblW w:w="0" w:type="auto"/>
          <w:tblLook w:val="04A0"/>
        </w:tblPrEx>
        <w:trPr>
          <w:cantSplit/>
        </w:trPr>
        <w:tc>
          <w:tcPr>
            <w:tcW w:w="2988" w:type="dxa"/>
            <w:shd w:val="clear" w:color="auto" w:fill="auto"/>
          </w:tcPr>
          <w:p w:rsidR="0087007B" w:rsidP="009A56D2">
            <w:r>
              <w:t>MetroPCS Communications, Inc.</w:t>
            </w:r>
          </w:p>
          <w:p w:rsidR="0087007B" w:rsidP="009A56D2">
            <w:pPr>
              <w:rPr>
                <w:szCs w:val="22"/>
              </w:rPr>
            </w:pPr>
          </w:p>
        </w:tc>
        <w:tc>
          <w:tcPr>
            <w:tcW w:w="4230" w:type="dxa"/>
            <w:shd w:val="clear" w:color="auto" w:fill="auto"/>
          </w:tcPr>
          <w:p w:rsidR="0087007B" w:rsidRPr="00255915" w:rsidP="009A56D2">
            <w:pPr>
              <w:widowControl/>
              <w:autoSpaceDE w:val="0"/>
              <w:autoSpaceDN w:val="0"/>
              <w:adjustRightInd w:val="0"/>
              <w:rPr>
                <w:bCs/>
                <w:snapToGrid/>
                <w:kern w:val="0"/>
                <w:szCs w:val="22"/>
              </w:rPr>
            </w:pPr>
            <w:r w:rsidRPr="00255915">
              <w:rPr>
                <w:bCs/>
                <w:snapToGrid/>
                <w:kern w:val="0"/>
                <w:szCs w:val="22"/>
              </w:rPr>
              <w:t xml:space="preserve">Petition </w:t>
            </w:r>
            <w:r>
              <w:rPr>
                <w:bCs/>
                <w:snapToGrid/>
                <w:kern w:val="0"/>
                <w:szCs w:val="22"/>
              </w:rPr>
              <w:t>o</w:t>
            </w:r>
            <w:r w:rsidRPr="00255915">
              <w:rPr>
                <w:bCs/>
                <w:snapToGrid/>
                <w:kern w:val="0"/>
                <w:szCs w:val="22"/>
              </w:rPr>
              <w:t>f Metro</w:t>
            </w:r>
            <w:r>
              <w:rPr>
                <w:bCs/>
                <w:snapToGrid/>
                <w:kern w:val="0"/>
                <w:szCs w:val="22"/>
              </w:rPr>
              <w:t>PCS</w:t>
            </w:r>
            <w:r w:rsidRPr="00255915">
              <w:rPr>
                <w:bCs/>
                <w:snapToGrid/>
                <w:kern w:val="0"/>
                <w:szCs w:val="22"/>
              </w:rPr>
              <w:t xml:space="preserve"> Communications, Inc.</w:t>
            </w:r>
          </w:p>
          <w:p w:rsidR="0087007B" w:rsidP="009A56D2">
            <w:pPr>
              <w:autoSpaceDE w:val="0"/>
              <w:autoSpaceDN w:val="0"/>
              <w:adjustRightInd w:val="0"/>
              <w:rPr>
                <w:szCs w:val="22"/>
              </w:rPr>
            </w:pPr>
            <w:r>
              <w:rPr>
                <w:bCs/>
                <w:snapToGrid/>
                <w:kern w:val="0"/>
                <w:szCs w:val="22"/>
              </w:rPr>
              <w:t>f</w:t>
            </w:r>
            <w:r w:rsidRPr="00255915">
              <w:rPr>
                <w:bCs/>
                <w:snapToGrid/>
                <w:kern w:val="0"/>
                <w:szCs w:val="22"/>
              </w:rPr>
              <w:t xml:space="preserve">or Clarification </w:t>
            </w:r>
            <w:r>
              <w:rPr>
                <w:bCs/>
                <w:snapToGrid/>
                <w:kern w:val="0"/>
                <w:szCs w:val="22"/>
              </w:rPr>
              <w:t>a</w:t>
            </w:r>
            <w:r w:rsidRPr="00255915">
              <w:rPr>
                <w:bCs/>
                <w:snapToGrid/>
                <w:kern w:val="0"/>
                <w:szCs w:val="22"/>
              </w:rPr>
              <w:t>nd Limited Reconsideration</w:t>
            </w:r>
            <w:r>
              <w:rPr>
                <w:bCs/>
                <w:snapToGrid/>
                <w:kern w:val="0"/>
                <w:szCs w:val="22"/>
              </w:rPr>
              <w:t xml:space="preserve"> of aspects of the </w:t>
            </w:r>
            <w:r w:rsidRPr="00255915">
              <w:rPr>
                <w:bCs/>
                <w:i/>
                <w:iCs/>
                <w:snapToGrid/>
                <w:kern w:val="0"/>
                <w:szCs w:val="22"/>
              </w:rPr>
              <w:t>USF/ICC Transformation Order</w:t>
            </w:r>
            <w:r>
              <w:rPr>
                <w:bCs/>
                <w:i/>
                <w:iCs/>
                <w:snapToGrid/>
                <w:kern w:val="0"/>
                <w:szCs w:val="22"/>
              </w:rPr>
              <w:t>.</w:t>
            </w:r>
            <w:r w:rsidRPr="00255915">
              <w:rPr>
                <w:bCs/>
                <w:i/>
                <w:iCs/>
                <w:snapToGrid/>
                <w:kern w:val="0"/>
                <w:szCs w:val="22"/>
              </w:rPr>
              <w:t xml:space="preserve">  </w:t>
            </w:r>
          </w:p>
        </w:tc>
        <w:tc>
          <w:tcPr>
            <w:tcW w:w="1800" w:type="dxa"/>
            <w:shd w:val="clear" w:color="auto" w:fill="auto"/>
          </w:tcPr>
          <w:p w:rsidR="0087007B" w:rsidP="009A56D2">
            <w:pPr>
              <w:autoSpaceDE w:val="0"/>
              <w:autoSpaceDN w:val="0"/>
              <w:adjustRightInd w:val="0"/>
              <w:rPr>
                <w:szCs w:val="22"/>
              </w:rPr>
            </w:pPr>
            <w:r>
              <w:rPr>
                <w:szCs w:val="22"/>
              </w:rPr>
              <w:t>12/29/2011</w:t>
            </w:r>
          </w:p>
        </w:tc>
      </w:tr>
      <w:tr w:rsidTr="009A56D2">
        <w:tblPrEx>
          <w:tblW w:w="0" w:type="auto"/>
          <w:tblLook w:val="04A0"/>
        </w:tblPrEx>
        <w:trPr>
          <w:cantSplit/>
        </w:trPr>
        <w:tc>
          <w:tcPr>
            <w:tcW w:w="2988" w:type="dxa"/>
            <w:shd w:val="clear" w:color="auto" w:fill="auto"/>
          </w:tcPr>
          <w:p w:rsidR="0087007B" w:rsidRPr="007C4193" w:rsidP="009A56D2">
            <w:pPr>
              <w:pStyle w:val="Default"/>
              <w:rPr>
                <w:sz w:val="22"/>
                <w:szCs w:val="22"/>
              </w:rPr>
            </w:pPr>
            <w:r w:rsidRPr="007C4193">
              <w:rPr>
                <w:bCs/>
                <w:sz w:val="22"/>
                <w:szCs w:val="22"/>
              </w:rPr>
              <w:t xml:space="preserve">National Exchange Carrier Association, Inc.; </w:t>
            </w:r>
          </w:p>
          <w:p w:rsidR="0087007B" w:rsidP="009A56D2">
            <w:pPr>
              <w:pStyle w:val="Default"/>
              <w:rPr>
                <w:szCs w:val="22"/>
              </w:rPr>
            </w:pPr>
            <w:r w:rsidRPr="007C4193">
              <w:rPr>
                <w:bCs/>
                <w:sz w:val="22"/>
                <w:szCs w:val="22"/>
              </w:rPr>
              <w:t>Organization for the Promotion and Advancement of Small Telecommunications Companies; and Western Telecommunications Alliance</w:t>
            </w:r>
            <w:r>
              <w:rPr>
                <w:bCs/>
                <w:sz w:val="22"/>
                <w:szCs w:val="22"/>
              </w:rPr>
              <w:t xml:space="preserve"> (Rural Associations)</w:t>
            </w:r>
          </w:p>
        </w:tc>
        <w:tc>
          <w:tcPr>
            <w:tcW w:w="4230" w:type="dxa"/>
            <w:shd w:val="clear" w:color="auto" w:fill="auto"/>
          </w:tcPr>
          <w:p w:rsidR="0087007B" w:rsidP="009A56D2">
            <w:pPr>
              <w:autoSpaceDE w:val="0"/>
              <w:autoSpaceDN w:val="0"/>
              <w:adjustRightInd w:val="0"/>
              <w:rPr>
                <w:szCs w:val="22"/>
              </w:rPr>
            </w:pPr>
            <w:r>
              <w:rPr>
                <w:szCs w:val="22"/>
              </w:rPr>
              <w:t xml:space="preserve">Petition for Reconsideration and Clarification of aspects of the </w:t>
            </w:r>
            <w:r w:rsidRPr="009766A3">
              <w:rPr>
                <w:bCs/>
                <w:i/>
                <w:iCs/>
                <w:szCs w:val="22"/>
              </w:rPr>
              <w:t>USF/ICC Transformation Order.</w:t>
            </w:r>
            <w:r>
              <w:rPr>
                <w:szCs w:val="22"/>
              </w:rPr>
              <w:t xml:space="preserve"> </w:t>
            </w:r>
          </w:p>
          <w:p w:rsidR="0087007B" w:rsidP="009A56D2">
            <w:pPr>
              <w:autoSpaceDE w:val="0"/>
              <w:autoSpaceDN w:val="0"/>
              <w:adjustRightInd w:val="0"/>
              <w:rPr>
                <w:szCs w:val="22"/>
              </w:rPr>
            </w:pPr>
          </w:p>
        </w:tc>
        <w:tc>
          <w:tcPr>
            <w:tcW w:w="1800" w:type="dxa"/>
            <w:shd w:val="clear" w:color="auto" w:fill="auto"/>
          </w:tcPr>
          <w:p w:rsidR="0087007B" w:rsidP="009A56D2">
            <w:pPr>
              <w:autoSpaceDE w:val="0"/>
              <w:autoSpaceDN w:val="0"/>
              <w:adjustRightInd w:val="0"/>
              <w:rPr>
                <w:szCs w:val="22"/>
              </w:rPr>
            </w:pPr>
            <w:r>
              <w:rPr>
                <w:szCs w:val="22"/>
              </w:rPr>
              <w:t>12/29/2011</w:t>
            </w:r>
          </w:p>
        </w:tc>
      </w:tr>
      <w:tr w:rsidTr="009A56D2">
        <w:tblPrEx>
          <w:tblW w:w="0" w:type="auto"/>
          <w:tblLook w:val="04A0"/>
        </w:tblPrEx>
        <w:trPr>
          <w:cantSplit/>
        </w:trPr>
        <w:tc>
          <w:tcPr>
            <w:tcW w:w="2988" w:type="dxa"/>
            <w:shd w:val="clear" w:color="auto" w:fill="auto"/>
          </w:tcPr>
          <w:p w:rsidR="0087007B" w:rsidP="009A56D2">
            <w:pPr>
              <w:autoSpaceDE w:val="0"/>
              <w:autoSpaceDN w:val="0"/>
              <w:adjustRightInd w:val="0"/>
              <w:rPr>
                <w:szCs w:val="22"/>
              </w:rPr>
            </w:pPr>
            <w:bookmarkStart w:id="1" w:name="_Hlk22125598"/>
            <w:r>
              <w:rPr>
                <w:szCs w:val="22"/>
              </w:rPr>
              <w:t xml:space="preserve">NTCH, Inc. </w:t>
            </w:r>
          </w:p>
        </w:tc>
        <w:tc>
          <w:tcPr>
            <w:tcW w:w="4230" w:type="dxa"/>
            <w:shd w:val="clear" w:color="auto" w:fill="auto"/>
          </w:tcPr>
          <w:p w:rsidR="0087007B" w:rsidP="009A56D2">
            <w:pPr>
              <w:autoSpaceDE w:val="0"/>
              <w:autoSpaceDN w:val="0"/>
              <w:adjustRightInd w:val="0"/>
              <w:rPr>
                <w:szCs w:val="22"/>
              </w:rPr>
            </w:pPr>
            <w:r>
              <w:rPr>
                <w:szCs w:val="22"/>
              </w:rPr>
              <w:t xml:space="preserve">Petition for Reconsideration of aspects of the </w:t>
            </w:r>
            <w:r w:rsidRPr="009766A3">
              <w:rPr>
                <w:bCs/>
                <w:i/>
                <w:iCs/>
                <w:szCs w:val="22"/>
              </w:rPr>
              <w:t>USF/ICC Transformation Order.</w:t>
            </w:r>
            <w:r>
              <w:rPr>
                <w:szCs w:val="22"/>
              </w:rPr>
              <w:t xml:space="preserve"> </w:t>
            </w:r>
          </w:p>
        </w:tc>
        <w:tc>
          <w:tcPr>
            <w:tcW w:w="1800" w:type="dxa"/>
            <w:shd w:val="clear" w:color="auto" w:fill="auto"/>
          </w:tcPr>
          <w:p w:rsidR="0087007B" w:rsidP="009A56D2">
            <w:pPr>
              <w:autoSpaceDE w:val="0"/>
              <w:autoSpaceDN w:val="0"/>
              <w:adjustRightInd w:val="0"/>
              <w:rPr>
                <w:szCs w:val="22"/>
              </w:rPr>
            </w:pPr>
            <w:r>
              <w:rPr>
                <w:szCs w:val="22"/>
              </w:rPr>
              <w:t>12/29/2011</w:t>
            </w:r>
          </w:p>
        </w:tc>
      </w:tr>
      <w:tr w:rsidTr="009A56D2">
        <w:tblPrEx>
          <w:tblW w:w="0" w:type="auto"/>
          <w:tblLook w:val="04A0"/>
        </w:tblPrEx>
        <w:trPr>
          <w:cantSplit/>
        </w:trPr>
        <w:tc>
          <w:tcPr>
            <w:tcW w:w="2988" w:type="dxa"/>
            <w:shd w:val="clear" w:color="auto" w:fill="auto"/>
          </w:tcPr>
          <w:p w:rsidR="0087007B" w:rsidRPr="001B23B3" w:rsidP="009A56D2">
            <w:pPr>
              <w:autoSpaceDE w:val="0"/>
              <w:autoSpaceDN w:val="0"/>
              <w:adjustRightInd w:val="0"/>
              <w:rPr>
                <w:szCs w:val="22"/>
              </w:rPr>
            </w:pPr>
            <w:r w:rsidRPr="001B23B3">
              <w:rPr>
                <w:szCs w:val="22"/>
              </w:rPr>
              <w:t>Onvoy</w:t>
            </w:r>
            <w:r w:rsidRPr="001B23B3">
              <w:rPr>
                <w:szCs w:val="22"/>
              </w:rPr>
              <w:t>, Inc. and its affiliate,</w:t>
            </w:r>
          </w:p>
          <w:p w:rsidR="0087007B" w:rsidP="009A56D2">
            <w:pPr>
              <w:autoSpaceDE w:val="0"/>
              <w:autoSpaceDN w:val="0"/>
              <w:adjustRightInd w:val="0"/>
              <w:rPr>
                <w:szCs w:val="22"/>
              </w:rPr>
            </w:pPr>
            <w:r w:rsidRPr="001B23B3">
              <w:rPr>
                <w:szCs w:val="22"/>
              </w:rPr>
              <w:t xml:space="preserve">360networks (USA) </w:t>
            </w:r>
            <w:r w:rsidRPr="001B23B3">
              <w:rPr>
                <w:szCs w:val="22"/>
              </w:rPr>
              <w:t>inc.</w:t>
            </w:r>
            <w:r w:rsidRPr="001B23B3">
              <w:rPr>
                <w:szCs w:val="22"/>
              </w:rPr>
              <w:t xml:space="preserve"> </w:t>
            </w:r>
          </w:p>
        </w:tc>
        <w:tc>
          <w:tcPr>
            <w:tcW w:w="4230" w:type="dxa"/>
            <w:shd w:val="clear" w:color="auto" w:fill="auto"/>
          </w:tcPr>
          <w:p w:rsidR="0087007B" w:rsidP="009A56D2">
            <w:pPr>
              <w:autoSpaceDE w:val="0"/>
              <w:autoSpaceDN w:val="0"/>
              <w:adjustRightInd w:val="0"/>
              <w:rPr>
                <w:szCs w:val="22"/>
              </w:rPr>
            </w:pPr>
            <w:r>
              <w:rPr>
                <w:szCs w:val="22"/>
              </w:rPr>
              <w:t>Petition for Clarification or Reconsideration</w:t>
            </w:r>
          </w:p>
          <w:p w:rsidR="0087007B" w:rsidP="009A56D2">
            <w:pPr>
              <w:autoSpaceDE w:val="0"/>
              <w:autoSpaceDN w:val="0"/>
              <w:adjustRightInd w:val="0"/>
              <w:rPr>
                <w:szCs w:val="22"/>
              </w:rPr>
            </w:pPr>
            <w:r>
              <w:rPr>
                <w:szCs w:val="22"/>
              </w:rPr>
              <w:t xml:space="preserve">of an aspect of the </w:t>
            </w:r>
            <w:r w:rsidRPr="00491F91">
              <w:rPr>
                <w:i/>
              </w:rPr>
              <w:t>USF/ICC Transformation Order</w:t>
            </w:r>
            <w:r>
              <w:rPr>
                <w:i/>
              </w:rPr>
              <w:t>.</w:t>
            </w:r>
          </w:p>
        </w:tc>
        <w:tc>
          <w:tcPr>
            <w:tcW w:w="1800" w:type="dxa"/>
            <w:shd w:val="clear" w:color="auto" w:fill="auto"/>
          </w:tcPr>
          <w:p w:rsidR="0087007B" w:rsidP="009A56D2">
            <w:pPr>
              <w:autoSpaceDE w:val="0"/>
              <w:autoSpaceDN w:val="0"/>
              <w:adjustRightInd w:val="0"/>
              <w:rPr>
                <w:szCs w:val="22"/>
              </w:rPr>
            </w:pPr>
            <w:r>
              <w:rPr>
                <w:szCs w:val="22"/>
              </w:rPr>
              <w:t>12/23/2011</w:t>
            </w:r>
          </w:p>
        </w:tc>
      </w:tr>
      <w:bookmarkEnd w:id="1"/>
      <w:tr w:rsidTr="009A56D2">
        <w:tblPrEx>
          <w:tblW w:w="0" w:type="auto"/>
          <w:tblLook w:val="04A0"/>
        </w:tblPrEx>
        <w:trPr>
          <w:cantSplit/>
        </w:trPr>
        <w:tc>
          <w:tcPr>
            <w:tcW w:w="2988" w:type="dxa"/>
            <w:shd w:val="clear" w:color="auto" w:fill="auto"/>
          </w:tcPr>
          <w:p w:rsidR="0087007B" w:rsidP="009A56D2">
            <w:pPr>
              <w:autoSpaceDE w:val="0"/>
              <w:autoSpaceDN w:val="0"/>
              <w:adjustRightInd w:val="0"/>
              <w:rPr>
                <w:szCs w:val="22"/>
              </w:rPr>
            </w:pPr>
            <w:r>
              <w:rPr>
                <w:szCs w:val="22"/>
              </w:rPr>
              <w:t xml:space="preserve">Sprint Nextel Corporation </w:t>
            </w:r>
          </w:p>
        </w:tc>
        <w:tc>
          <w:tcPr>
            <w:tcW w:w="4230" w:type="dxa"/>
            <w:shd w:val="clear" w:color="auto" w:fill="auto"/>
          </w:tcPr>
          <w:p w:rsidR="0087007B" w:rsidP="009A56D2">
            <w:pPr>
              <w:widowControl/>
              <w:autoSpaceDE w:val="0"/>
              <w:autoSpaceDN w:val="0"/>
              <w:adjustRightInd w:val="0"/>
              <w:rPr>
                <w:szCs w:val="22"/>
              </w:rPr>
            </w:pPr>
            <w:r w:rsidRPr="005B63C0">
              <w:rPr>
                <w:bCs/>
                <w:snapToGrid/>
                <w:kern w:val="0"/>
                <w:szCs w:val="22"/>
              </w:rPr>
              <w:t xml:space="preserve">Petition </w:t>
            </w:r>
            <w:r>
              <w:rPr>
                <w:bCs/>
                <w:snapToGrid/>
                <w:kern w:val="0"/>
                <w:szCs w:val="22"/>
              </w:rPr>
              <w:t>f</w:t>
            </w:r>
            <w:r w:rsidRPr="005B63C0">
              <w:rPr>
                <w:bCs/>
                <w:snapToGrid/>
                <w:kern w:val="0"/>
                <w:szCs w:val="22"/>
              </w:rPr>
              <w:t xml:space="preserve">or Reconsideration </w:t>
            </w:r>
            <w:r>
              <w:rPr>
                <w:bCs/>
                <w:snapToGrid/>
                <w:kern w:val="0"/>
                <w:szCs w:val="22"/>
              </w:rPr>
              <w:t>a</w:t>
            </w:r>
            <w:r w:rsidRPr="005B63C0">
              <w:rPr>
                <w:bCs/>
                <w:snapToGrid/>
                <w:kern w:val="0"/>
                <w:szCs w:val="22"/>
              </w:rPr>
              <w:t>nd Clarification</w:t>
            </w:r>
            <w:r w:rsidRPr="005B63C0">
              <w:rPr>
                <w:szCs w:val="22"/>
              </w:rPr>
              <w:t xml:space="preserve"> </w:t>
            </w:r>
            <w:r w:rsidRPr="005B63C0">
              <w:rPr>
                <w:bCs/>
                <w:snapToGrid/>
                <w:kern w:val="0"/>
                <w:szCs w:val="22"/>
              </w:rPr>
              <w:t xml:space="preserve">of aspects of the </w:t>
            </w:r>
            <w:r w:rsidRPr="005B63C0">
              <w:rPr>
                <w:bCs/>
                <w:i/>
                <w:iCs/>
                <w:snapToGrid/>
                <w:kern w:val="0"/>
                <w:szCs w:val="22"/>
              </w:rPr>
              <w:t>USF/ICC Transformation Order.</w:t>
            </w:r>
          </w:p>
        </w:tc>
        <w:tc>
          <w:tcPr>
            <w:tcW w:w="1800" w:type="dxa"/>
            <w:shd w:val="clear" w:color="auto" w:fill="auto"/>
          </w:tcPr>
          <w:p w:rsidR="0087007B" w:rsidP="009A56D2">
            <w:pPr>
              <w:autoSpaceDE w:val="0"/>
              <w:autoSpaceDN w:val="0"/>
              <w:adjustRightInd w:val="0"/>
              <w:rPr>
                <w:szCs w:val="22"/>
              </w:rPr>
            </w:pPr>
            <w:r>
              <w:rPr>
                <w:szCs w:val="22"/>
              </w:rPr>
              <w:t>12/29/2011</w:t>
            </w:r>
          </w:p>
        </w:tc>
      </w:tr>
      <w:tr w:rsidTr="009A56D2">
        <w:tblPrEx>
          <w:tblW w:w="0" w:type="auto"/>
          <w:tblLook w:val="04A0"/>
        </w:tblPrEx>
        <w:trPr>
          <w:cantSplit/>
        </w:trPr>
        <w:tc>
          <w:tcPr>
            <w:tcW w:w="2988" w:type="dxa"/>
            <w:shd w:val="clear" w:color="auto" w:fill="auto"/>
          </w:tcPr>
          <w:p w:rsidR="0087007B" w:rsidRPr="005B63C0" w:rsidP="009A56D2">
            <w:pPr>
              <w:autoSpaceDE w:val="0"/>
              <w:autoSpaceDN w:val="0"/>
              <w:adjustRightInd w:val="0"/>
              <w:rPr>
                <w:szCs w:val="22"/>
              </w:rPr>
            </w:pPr>
            <w:r w:rsidRPr="005B63C0">
              <w:rPr>
                <w:bCs/>
                <w:szCs w:val="22"/>
              </w:rPr>
              <w:t>United States Telecom Association</w:t>
            </w:r>
          </w:p>
          <w:p w:rsidR="0087007B" w:rsidP="009A56D2">
            <w:pPr>
              <w:autoSpaceDE w:val="0"/>
              <w:autoSpaceDN w:val="0"/>
              <w:adjustRightInd w:val="0"/>
              <w:rPr>
                <w:szCs w:val="22"/>
              </w:rPr>
            </w:pPr>
          </w:p>
        </w:tc>
        <w:tc>
          <w:tcPr>
            <w:tcW w:w="4230" w:type="dxa"/>
            <w:shd w:val="clear" w:color="auto" w:fill="auto"/>
          </w:tcPr>
          <w:p w:rsidR="0087007B" w:rsidP="009A56D2">
            <w:pPr>
              <w:autoSpaceDE w:val="0"/>
              <w:autoSpaceDN w:val="0"/>
              <w:adjustRightInd w:val="0"/>
              <w:rPr>
                <w:szCs w:val="22"/>
              </w:rPr>
            </w:pPr>
            <w:r>
              <w:rPr>
                <w:szCs w:val="22"/>
              </w:rPr>
              <w:t xml:space="preserve">Petition for Reconsideration and Clarification of aspects of the </w:t>
            </w:r>
            <w:r w:rsidRPr="00491F91">
              <w:rPr>
                <w:i/>
              </w:rPr>
              <w:t>USF/ICC Transformation Order</w:t>
            </w:r>
            <w:r>
              <w:rPr>
                <w:i/>
              </w:rPr>
              <w:t>.</w:t>
            </w:r>
          </w:p>
        </w:tc>
        <w:tc>
          <w:tcPr>
            <w:tcW w:w="1800" w:type="dxa"/>
            <w:shd w:val="clear" w:color="auto" w:fill="auto"/>
          </w:tcPr>
          <w:p w:rsidR="0087007B" w:rsidP="009A56D2">
            <w:pPr>
              <w:autoSpaceDE w:val="0"/>
              <w:autoSpaceDN w:val="0"/>
              <w:adjustRightInd w:val="0"/>
              <w:rPr>
                <w:szCs w:val="22"/>
              </w:rPr>
            </w:pPr>
            <w:r>
              <w:rPr>
                <w:szCs w:val="22"/>
              </w:rPr>
              <w:t>12/29/2011</w:t>
            </w:r>
          </w:p>
        </w:tc>
      </w:tr>
      <w:tr w:rsidTr="009A56D2">
        <w:tblPrEx>
          <w:tblW w:w="0" w:type="auto"/>
          <w:tblLook w:val="04A0"/>
        </w:tblPrEx>
        <w:trPr>
          <w:cantSplit/>
        </w:trPr>
        <w:tc>
          <w:tcPr>
            <w:tcW w:w="2988" w:type="dxa"/>
            <w:shd w:val="clear" w:color="auto" w:fill="auto"/>
          </w:tcPr>
          <w:p w:rsidR="0087007B" w:rsidRPr="00106903" w:rsidP="009A56D2">
            <w:pPr>
              <w:autoSpaceDE w:val="0"/>
              <w:autoSpaceDN w:val="0"/>
              <w:adjustRightInd w:val="0"/>
              <w:rPr>
                <w:szCs w:val="22"/>
              </w:rPr>
            </w:pPr>
            <w:r>
              <w:rPr>
                <w:szCs w:val="22"/>
              </w:rPr>
              <w:t>Verizon (</w:t>
            </w:r>
            <w:r>
              <w:t>Verizon Communications Inc. and Verizon Wireless)</w:t>
            </w:r>
            <w:r w:rsidRPr="00106903">
              <w:rPr>
                <w:szCs w:val="22"/>
              </w:rPr>
              <w:t xml:space="preserve"> </w:t>
            </w:r>
            <w:r>
              <w:rPr>
                <w:szCs w:val="22"/>
              </w:rPr>
              <w:t>(Verizon Petition)</w:t>
            </w:r>
            <w:r>
              <w:rPr>
                <w:rStyle w:val="FootnoteReference"/>
                <w:sz w:val="20"/>
                <w:szCs w:val="22"/>
              </w:rPr>
              <w:footnoteReference w:id="6"/>
            </w:r>
          </w:p>
        </w:tc>
        <w:tc>
          <w:tcPr>
            <w:tcW w:w="4230" w:type="dxa"/>
            <w:shd w:val="clear" w:color="auto" w:fill="auto"/>
          </w:tcPr>
          <w:p w:rsidR="0087007B" w:rsidRPr="00106903" w:rsidP="009A56D2">
            <w:pPr>
              <w:autoSpaceDE w:val="0"/>
              <w:autoSpaceDN w:val="0"/>
              <w:adjustRightInd w:val="0"/>
              <w:rPr>
                <w:szCs w:val="22"/>
              </w:rPr>
            </w:pPr>
            <w:r w:rsidRPr="001C7A49">
              <w:rPr>
                <w:bCs/>
                <w:szCs w:val="22"/>
              </w:rPr>
              <w:t xml:space="preserve">Petition </w:t>
            </w:r>
            <w:r>
              <w:rPr>
                <w:bCs/>
                <w:szCs w:val="22"/>
              </w:rPr>
              <w:t>f</w:t>
            </w:r>
            <w:r w:rsidRPr="001C7A49">
              <w:rPr>
                <w:bCs/>
                <w:szCs w:val="22"/>
              </w:rPr>
              <w:t xml:space="preserve">or Clarification </w:t>
            </w:r>
            <w:r>
              <w:rPr>
                <w:bCs/>
                <w:szCs w:val="22"/>
              </w:rPr>
              <w:t>o</w:t>
            </w:r>
            <w:r w:rsidRPr="001C7A49">
              <w:rPr>
                <w:bCs/>
                <w:szCs w:val="22"/>
              </w:rPr>
              <w:t xml:space="preserve">r, </w:t>
            </w:r>
            <w:r>
              <w:rPr>
                <w:bCs/>
                <w:szCs w:val="22"/>
              </w:rPr>
              <w:t>i</w:t>
            </w:r>
            <w:r w:rsidRPr="001C7A49">
              <w:rPr>
                <w:bCs/>
                <w:szCs w:val="22"/>
              </w:rPr>
              <w:t xml:space="preserve">n </w:t>
            </w:r>
            <w:r>
              <w:rPr>
                <w:bCs/>
                <w:szCs w:val="22"/>
              </w:rPr>
              <w:t>t</w:t>
            </w:r>
            <w:r w:rsidRPr="001C7A49">
              <w:rPr>
                <w:bCs/>
                <w:szCs w:val="22"/>
              </w:rPr>
              <w:t xml:space="preserve">he Alternative, </w:t>
            </w:r>
            <w:r>
              <w:rPr>
                <w:bCs/>
                <w:szCs w:val="22"/>
              </w:rPr>
              <w:t>f</w:t>
            </w:r>
            <w:r w:rsidRPr="001C7A49">
              <w:rPr>
                <w:bCs/>
                <w:szCs w:val="22"/>
              </w:rPr>
              <w:t>or Reconsideration</w:t>
            </w:r>
            <w:r>
              <w:rPr>
                <w:b/>
                <w:bCs/>
                <w:sz w:val="23"/>
                <w:szCs w:val="23"/>
              </w:rPr>
              <w:t xml:space="preserve"> </w:t>
            </w:r>
            <w:r w:rsidRPr="00106903">
              <w:rPr>
                <w:szCs w:val="22"/>
              </w:rPr>
              <w:t xml:space="preserve">of aspects of the </w:t>
            </w:r>
            <w:r w:rsidRPr="00106903">
              <w:rPr>
                <w:bCs/>
                <w:i/>
                <w:iCs/>
                <w:szCs w:val="22"/>
              </w:rPr>
              <w:t>USF/ICC Transformation Order</w:t>
            </w:r>
            <w:r>
              <w:rPr>
                <w:bCs/>
                <w:iCs/>
                <w:szCs w:val="22"/>
              </w:rPr>
              <w:t>.</w:t>
            </w:r>
          </w:p>
        </w:tc>
        <w:tc>
          <w:tcPr>
            <w:tcW w:w="1800" w:type="dxa"/>
            <w:shd w:val="clear" w:color="auto" w:fill="auto"/>
          </w:tcPr>
          <w:p w:rsidR="0087007B" w:rsidRPr="00106903" w:rsidP="009A56D2">
            <w:pPr>
              <w:autoSpaceDE w:val="0"/>
              <w:autoSpaceDN w:val="0"/>
              <w:adjustRightInd w:val="0"/>
              <w:rPr>
                <w:szCs w:val="22"/>
              </w:rPr>
            </w:pPr>
            <w:r w:rsidRPr="00106903">
              <w:rPr>
                <w:szCs w:val="22"/>
              </w:rPr>
              <w:t>12/29/2011</w:t>
            </w:r>
          </w:p>
        </w:tc>
      </w:tr>
    </w:tbl>
    <w:p w:rsidR="0087007B" w:rsidRPr="00106903" w:rsidP="0087007B">
      <w:pPr>
        <w:autoSpaceDE w:val="0"/>
        <w:autoSpaceDN w:val="0"/>
        <w:adjustRightInd w:val="0"/>
        <w:ind w:firstLine="720"/>
        <w:rPr>
          <w:szCs w:val="22"/>
        </w:rPr>
      </w:pPr>
    </w:p>
    <w:p w:rsidR="0087007B" w:rsidP="0087007B">
      <w:pPr>
        <w:autoSpaceDE w:val="0"/>
        <w:autoSpaceDN w:val="0"/>
        <w:adjustRightInd w:val="0"/>
        <w:ind w:firstLine="720"/>
        <w:rPr>
          <w:rFonts w:ascii="TimesNewRoman" w:hAnsi="TimesNewRoman" w:cs="TimesNewRoman"/>
          <w:color w:val="010101"/>
          <w:szCs w:val="22"/>
        </w:rPr>
      </w:pPr>
    </w:p>
    <w:p w:rsidR="0087007B" w:rsidRPr="00FF760C" w:rsidP="0087007B">
      <w:pPr>
        <w:widowControl/>
        <w:autoSpaceDE w:val="0"/>
        <w:autoSpaceDN w:val="0"/>
        <w:adjustRightInd w:val="0"/>
        <w:ind w:firstLine="720"/>
        <w:rPr>
          <w:color w:val="010101"/>
          <w:szCs w:val="22"/>
        </w:rPr>
      </w:pPr>
      <w:r w:rsidRPr="00FF760C">
        <w:rPr>
          <w:i/>
          <w:color w:val="010101"/>
          <w:szCs w:val="22"/>
        </w:rPr>
        <w:t xml:space="preserve">Filing Requirements.  </w:t>
      </w:r>
      <w:r w:rsidRPr="00FF760C">
        <w:rPr>
          <w:szCs w:val="22"/>
        </w:rPr>
        <w:t>Pursuant to section 1.419 of the Commission’s rules, a</w:t>
      </w:r>
      <w:r w:rsidRPr="00FF760C">
        <w:rPr>
          <w:color w:val="010101"/>
          <w:szCs w:val="22"/>
        </w:rPr>
        <w:t xml:space="preserve">ny Petitioner </w:t>
      </w:r>
      <w:r>
        <w:rPr>
          <w:color w:val="010101"/>
          <w:szCs w:val="22"/>
        </w:rPr>
        <w:t xml:space="preserve">objecting to the dismissal of </w:t>
      </w:r>
      <w:r w:rsidRPr="00FF760C">
        <w:rPr>
          <w:color w:val="010101"/>
          <w:szCs w:val="22"/>
        </w:rPr>
        <w:t xml:space="preserve">its Petition must file a letter stating </w:t>
      </w:r>
      <w:r>
        <w:rPr>
          <w:color w:val="010101"/>
          <w:szCs w:val="22"/>
        </w:rPr>
        <w:t xml:space="preserve">its objection </w:t>
      </w:r>
      <w:r w:rsidRPr="00FF760C">
        <w:rPr>
          <w:color w:val="010101"/>
          <w:szCs w:val="22"/>
        </w:rPr>
        <w:t>on or before the date indicated on the first page of this document.</w:t>
      </w:r>
      <w:r>
        <w:rPr>
          <w:rStyle w:val="FootnoteReference"/>
          <w:color w:val="010101"/>
          <w:sz w:val="20"/>
          <w:szCs w:val="22"/>
        </w:rPr>
        <w:footnoteReference w:id="7"/>
      </w:r>
      <w:r w:rsidRPr="00FF760C">
        <w:rPr>
          <w:color w:val="010101"/>
          <w:szCs w:val="22"/>
        </w:rPr>
        <w:t xml:space="preserve">  The letter must reference </w:t>
      </w:r>
      <w:r w:rsidRPr="00FF760C">
        <w:rPr>
          <w:b/>
          <w:snapToGrid/>
          <w:kern w:val="0"/>
          <w:szCs w:val="22"/>
        </w:rPr>
        <w:t xml:space="preserve">WC Docket No. 10-90, GN Docket No. 09-51, WC Docket No. 07-135, WC Docket No. 05-337, CC Docket No. 01-92, CC Docket No. 96-45, WC Docket No. 03-109, </w:t>
      </w:r>
      <w:r w:rsidRPr="00FF760C">
        <w:rPr>
          <w:snapToGrid/>
          <w:kern w:val="0"/>
          <w:szCs w:val="22"/>
        </w:rPr>
        <w:t xml:space="preserve">and </w:t>
      </w:r>
      <w:r w:rsidRPr="00FF760C">
        <w:rPr>
          <w:b/>
          <w:snapToGrid/>
          <w:kern w:val="0"/>
          <w:szCs w:val="22"/>
        </w:rPr>
        <w:t>WT Docket No. 10-208</w:t>
      </w:r>
      <w:r w:rsidRPr="00FF760C">
        <w:rPr>
          <w:snapToGrid/>
          <w:kern w:val="0"/>
          <w:szCs w:val="22"/>
        </w:rPr>
        <w:t>,</w:t>
      </w:r>
      <w:r w:rsidRPr="00FF760C">
        <w:rPr>
          <w:b/>
          <w:snapToGrid/>
          <w:kern w:val="0"/>
          <w:szCs w:val="22"/>
        </w:rPr>
        <w:t xml:space="preserve"> </w:t>
      </w:r>
      <w:r w:rsidRPr="00FF760C">
        <w:rPr>
          <w:color w:val="010101"/>
          <w:szCs w:val="22"/>
        </w:rPr>
        <w:t>and may be filed using the Commission’s Electronic Comment Filing System (ECFS) or by filing paper copies.</w:t>
      </w:r>
      <w:r>
        <w:rPr>
          <w:rStyle w:val="FootnoteReference"/>
          <w:sz w:val="20"/>
          <w:szCs w:val="22"/>
        </w:rPr>
        <w:footnoteReference w:id="8"/>
      </w:r>
    </w:p>
    <w:p w:rsidR="0087007B" w:rsidP="0087007B">
      <w:pPr>
        <w:autoSpaceDE w:val="0"/>
        <w:autoSpaceDN w:val="0"/>
        <w:adjustRightInd w:val="0"/>
        <w:rPr>
          <w:szCs w:val="22"/>
        </w:rPr>
      </w:pPr>
    </w:p>
    <w:p w:rsidR="0087007B" w:rsidRPr="00FC4BFB" w:rsidP="0087007B">
      <w:pPr>
        <w:widowControl/>
        <w:numPr>
          <w:ilvl w:val="0"/>
          <w:numId w:val="7"/>
        </w:numPr>
        <w:autoSpaceDE w:val="0"/>
        <w:autoSpaceDN w:val="0"/>
        <w:adjustRightInd w:val="0"/>
        <w:rPr>
          <w:rFonts w:ascii="TimesNewRoman" w:hAnsi="TimesNewRoman" w:cs="TimesNewRoman"/>
          <w:color w:val="010101"/>
          <w:szCs w:val="22"/>
        </w:rPr>
      </w:pPr>
      <w:r w:rsidRPr="00FC4BFB">
        <w:rPr>
          <w:rFonts w:ascii="TimesNewRoman" w:hAnsi="TimesNewRoman" w:cs="TimesNewRoman"/>
          <w:color w:val="010101"/>
          <w:szCs w:val="22"/>
        </w:rPr>
        <w:t xml:space="preserve">Electronic Filers: </w:t>
      </w:r>
      <w:r>
        <w:rPr>
          <w:rFonts w:ascii="TimesNewRoman" w:hAnsi="TimesNewRoman" w:cs="TimesNewRoman"/>
          <w:color w:val="010101"/>
          <w:szCs w:val="22"/>
        </w:rPr>
        <w:t xml:space="preserve"> </w:t>
      </w:r>
      <w:r w:rsidRPr="00FC4BFB">
        <w:rPr>
          <w:rFonts w:ascii="TimesNewRoman" w:hAnsi="TimesNewRoman" w:cs="TimesNewRoman"/>
          <w:color w:val="010101"/>
          <w:szCs w:val="22"/>
        </w:rPr>
        <w:t xml:space="preserve">Letters may be filed electronically using the Commission’s online Electronic Comment filing System (ECFS):  </w:t>
      </w:r>
      <w:hyperlink r:id="rId5" w:history="1">
        <w:r w:rsidRPr="00FC4BFB">
          <w:rPr>
            <w:rStyle w:val="Hyperlink"/>
            <w:rFonts w:ascii="TimesNewRoman" w:hAnsi="TimesNewRoman" w:cs="TimesNewRoman"/>
            <w:szCs w:val="22"/>
          </w:rPr>
          <w:t>https://www.fcc.gov/ecfs/</w:t>
        </w:r>
      </w:hyperlink>
      <w:r>
        <w:rPr>
          <w:rFonts w:ascii="TimesNewRoman" w:hAnsi="TimesNewRoman" w:cs="TimesNewRoman"/>
          <w:color w:val="010101"/>
          <w:szCs w:val="22"/>
        </w:rPr>
        <w:t>.</w:t>
      </w:r>
    </w:p>
    <w:p w:rsidR="0087007B" w:rsidP="0087007B">
      <w:pPr>
        <w:autoSpaceDE w:val="0"/>
        <w:autoSpaceDN w:val="0"/>
        <w:adjustRightInd w:val="0"/>
        <w:ind w:firstLine="720"/>
        <w:rPr>
          <w:rFonts w:ascii="TimesNewRoman" w:hAnsi="TimesNewRoman" w:cs="TimesNewRoman"/>
          <w:color w:val="010101"/>
          <w:szCs w:val="22"/>
        </w:rPr>
      </w:pPr>
    </w:p>
    <w:p w:rsidR="0087007B" w:rsidP="0087007B">
      <w:pPr>
        <w:widowControl/>
        <w:numPr>
          <w:ilvl w:val="0"/>
          <w:numId w:val="7"/>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 xml:space="preserve">Paper Filers: Parties who choose to file by paper must file an original and one copy of each filing. Because more than one docket number appears in the caption of this proceeding, filers must submit two additional copies for the additional docket number. </w:t>
      </w:r>
    </w:p>
    <w:p w:rsidR="0087007B" w:rsidP="0087007B">
      <w:pPr>
        <w:pStyle w:val="ListParagraph"/>
        <w:rPr>
          <w:rFonts w:ascii="TimesNewRoman" w:hAnsi="TimesNewRoman" w:cs="TimesNewRoman"/>
          <w:color w:val="010101"/>
          <w:szCs w:val="22"/>
        </w:rPr>
      </w:pPr>
    </w:p>
    <w:p w:rsidR="0087007B" w:rsidRPr="00115536" w:rsidP="0087007B">
      <w:pPr>
        <w:widowControl/>
        <w:numPr>
          <w:ilvl w:val="0"/>
          <w:numId w:val="7"/>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 xml:space="preserve">Filings can be sent by hand or messenger delivery, by commercial overnight courier, or by first-class or overnight U.S. Postal Service mail. All filings must be addressed to the Commission’s Secretary, Office of the </w:t>
      </w:r>
      <w:r w:rsidRPr="00115536">
        <w:rPr>
          <w:rFonts w:ascii="TimesNewRoman" w:hAnsi="TimesNewRoman" w:cs="TimesNewRoman"/>
          <w:color w:val="010101"/>
          <w:szCs w:val="22"/>
        </w:rPr>
        <w:t>Secretary, Federal Communications Commission.</w:t>
      </w:r>
    </w:p>
    <w:p w:rsidR="0087007B" w:rsidP="0087007B">
      <w:pPr>
        <w:ind w:firstLine="720"/>
        <w:rPr>
          <w:rFonts w:ascii="TimesNewRoman" w:hAnsi="TimesNewRoman" w:cs="TimesNewRoman"/>
          <w:color w:val="010101"/>
          <w:szCs w:val="22"/>
        </w:rPr>
      </w:pPr>
    </w:p>
    <w:p w:rsidR="0087007B" w:rsidP="0087007B">
      <w:pPr>
        <w:widowControl/>
        <w:numPr>
          <w:ilvl w:val="1"/>
          <w:numId w:val="7"/>
        </w:num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All hand-delivered or messenger-delivered paper filings for the Commission’s Secretary must be delivered to FCC Headquarters at 445 12th</w:t>
      </w:r>
      <w:r>
        <w:rPr>
          <w:rFonts w:ascii="TimesNewRoman" w:hAnsi="TimesNewRoman" w:cs="TimesNewRoman"/>
          <w:color w:val="010101"/>
          <w:sz w:val="14"/>
          <w:szCs w:val="14"/>
        </w:rPr>
        <w:t xml:space="preserve"> </w:t>
      </w:r>
      <w:r>
        <w:rPr>
          <w:rFonts w:ascii="TimesNewRoman" w:hAnsi="TimesNewRoman" w:cs="TimesNewRoman"/>
          <w:color w:val="010101"/>
          <w:szCs w:val="22"/>
        </w:rPr>
        <w:t xml:space="preserve">Street., SW, Room TW-A325, Washington, DC 20554. The filing hours are 8:00 a.m. to 7:00 p.m.  All hand deliveries must be held together with rubber bands or fasteners. Any envelopes and boxes must be disposed of </w:t>
      </w:r>
      <w:r w:rsidRPr="001E5B80">
        <w:rPr>
          <w:rFonts w:ascii="TimesNewRoman" w:hAnsi="TimesNewRoman" w:cs="TimesNewRoman"/>
          <w:color w:val="010101"/>
          <w:szCs w:val="22"/>
        </w:rPr>
        <w:t>before</w:t>
      </w:r>
      <w:r>
        <w:rPr>
          <w:rFonts w:ascii="TimesNewRoman" w:hAnsi="TimesNewRoman" w:cs="TimesNewRoman"/>
          <w:color w:val="010101"/>
          <w:szCs w:val="22"/>
        </w:rPr>
        <w:t xml:space="preserve"> entering the building.</w:t>
      </w:r>
    </w:p>
    <w:p w:rsidR="0087007B" w:rsidP="0087007B">
      <w:pPr>
        <w:autoSpaceDE w:val="0"/>
        <w:autoSpaceDN w:val="0"/>
        <w:adjustRightInd w:val="0"/>
        <w:ind w:left="1440"/>
        <w:rPr>
          <w:rFonts w:ascii="TimesNewRoman" w:hAnsi="TimesNewRoman" w:cs="TimesNewRoman"/>
          <w:color w:val="010101"/>
          <w:szCs w:val="22"/>
        </w:rPr>
      </w:pPr>
    </w:p>
    <w:p w:rsidR="0087007B" w:rsidP="0087007B">
      <w:pPr>
        <w:widowControl/>
        <w:numPr>
          <w:ilvl w:val="1"/>
          <w:numId w:val="7"/>
        </w:numPr>
        <w:autoSpaceDE w:val="0"/>
        <w:autoSpaceDN w:val="0"/>
        <w:adjustRightInd w:val="0"/>
        <w:rPr>
          <w:rFonts w:ascii="TimesNewRoman" w:hAnsi="TimesNewRoman" w:cs="TimesNewRoman"/>
          <w:color w:val="010101"/>
          <w:szCs w:val="22"/>
        </w:rPr>
      </w:pPr>
      <w:r w:rsidRPr="00115536">
        <w:rPr>
          <w:rFonts w:ascii="TimesNewRoman" w:hAnsi="TimesNewRoman" w:cs="TimesNewRoman"/>
          <w:color w:val="010101"/>
          <w:szCs w:val="22"/>
        </w:rPr>
        <w:t xml:space="preserve">Commercial overnight mail (other than U.S. Postal Service Express Mail and Priority Mail) must be sent to </w:t>
      </w:r>
      <w:r>
        <w:rPr>
          <w:rFonts w:ascii="TimesNewRoman" w:hAnsi="TimesNewRoman" w:cs="TimesNewRoman"/>
          <w:color w:val="010101"/>
          <w:szCs w:val="22"/>
        </w:rPr>
        <w:t xml:space="preserve">9050 Junction Drive, Annapolis Junction, </w:t>
      </w:r>
      <w:r w:rsidRPr="00115536">
        <w:rPr>
          <w:rFonts w:ascii="TimesNewRoman" w:hAnsi="TimesNewRoman" w:cs="TimesNewRoman"/>
          <w:color w:val="010101"/>
          <w:szCs w:val="22"/>
        </w:rPr>
        <w:t>MD 207</w:t>
      </w:r>
      <w:r>
        <w:rPr>
          <w:rFonts w:ascii="TimesNewRoman" w:hAnsi="TimesNewRoman" w:cs="TimesNewRoman"/>
          <w:color w:val="010101"/>
          <w:szCs w:val="22"/>
        </w:rPr>
        <w:t>01</w:t>
      </w:r>
      <w:r w:rsidRPr="00115536">
        <w:rPr>
          <w:rFonts w:ascii="TimesNewRoman" w:hAnsi="TimesNewRoman" w:cs="TimesNewRoman"/>
          <w:color w:val="010101"/>
          <w:szCs w:val="22"/>
        </w:rPr>
        <w:t>.</w:t>
      </w:r>
    </w:p>
    <w:p w:rsidR="0087007B" w:rsidP="0087007B">
      <w:pPr>
        <w:pStyle w:val="ListParagraph"/>
        <w:rPr>
          <w:rFonts w:ascii="TimesNewRoman" w:hAnsi="TimesNewRoman" w:cs="TimesNewRoman"/>
          <w:color w:val="010101"/>
          <w:szCs w:val="22"/>
        </w:rPr>
      </w:pPr>
    </w:p>
    <w:p w:rsidR="0087007B" w:rsidRPr="00115536" w:rsidP="0087007B">
      <w:pPr>
        <w:widowControl/>
        <w:numPr>
          <w:ilvl w:val="1"/>
          <w:numId w:val="7"/>
        </w:numPr>
        <w:autoSpaceDE w:val="0"/>
        <w:autoSpaceDN w:val="0"/>
        <w:adjustRightInd w:val="0"/>
        <w:rPr>
          <w:rFonts w:ascii="TimesNewRoman" w:hAnsi="TimesNewRoman" w:cs="TimesNewRoman"/>
          <w:color w:val="010101"/>
          <w:szCs w:val="22"/>
        </w:rPr>
      </w:pPr>
      <w:r w:rsidRPr="00115536">
        <w:rPr>
          <w:rFonts w:ascii="TimesNewRoman" w:hAnsi="TimesNewRoman" w:cs="TimesNewRoman"/>
          <w:color w:val="010101"/>
          <w:szCs w:val="22"/>
        </w:rPr>
        <w:t xml:space="preserve">U.S. Postal Service first-class, Express, and Priority </w:t>
      </w:r>
      <w:r>
        <w:rPr>
          <w:rFonts w:ascii="TimesNewRoman" w:hAnsi="TimesNewRoman" w:cs="TimesNewRoman"/>
          <w:color w:val="010101"/>
          <w:szCs w:val="22"/>
        </w:rPr>
        <w:t>M</w:t>
      </w:r>
      <w:r w:rsidRPr="00115536">
        <w:rPr>
          <w:rFonts w:ascii="TimesNewRoman" w:hAnsi="TimesNewRoman" w:cs="TimesNewRoman"/>
          <w:color w:val="010101"/>
          <w:szCs w:val="22"/>
        </w:rPr>
        <w:t>ail must be addressed to 445 12</w:t>
      </w:r>
      <w:r>
        <w:rPr>
          <w:rFonts w:ascii="TimesNewRoman" w:hAnsi="TimesNewRoman" w:cs="TimesNewRoman"/>
          <w:color w:val="010101"/>
          <w:szCs w:val="22"/>
        </w:rPr>
        <w:t>th</w:t>
      </w:r>
      <w:r w:rsidRPr="00115536">
        <w:rPr>
          <w:rFonts w:ascii="TimesNewRoman" w:hAnsi="TimesNewRoman" w:cs="TimesNewRoman"/>
          <w:color w:val="010101"/>
          <w:sz w:val="14"/>
          <w:szCs w:val="14"/>
        </w:rPr>
        <w:t xml:space="preserve"> </w:t>
      </w:r>
      <w:r w:rsidRPr="00115536">
        <w:rPr>
          <w:rFonts w:ascii="TimesNewRoman" w:hAnsi="TimesNewRoman" w:cs="TimesNewRoman"/>
          <w:color w:val="010101"/>
          <w:szCs w:val="22"/>
        </w:rPr>
        <w:t>Street, SW, Washington DC 20554.</w:t>
      </w:r>
    </w:p>
    <w:p w:rsidR="0087007B" w:rsidP="0087007B">
      <w:pPr>
        <w:ind w:firstLine="720"/>
        <w:rPr>
          <w:szCs w:val="22"/>
        </w:rPr>
      </w:pPr>
    </w:p>
    <w:p w:rsidR="0087007B" w:rsidRPr="001936F2" w:rsidP="0087007B">
      <w:pPr>
        <w:autoSpaceDE w:val="0"/>
        <w:autoSpaceDN w:val="0"/>
        <w:adjustRightInd w:val="0"/>
        <w:spacing w:line="360" w:lineRule="auto"/>
        <w:rPr>
          <w:rFonts w:ascii="TimesNewRoman,Bold" w:hAnsi="TimesNewRoman,Bold" w:cs="TimesNewRoman,Bold"/>
          <w:b/>
          <w:bCs/>
          <w:color w:val="010101"/>
          <w:szCs w:val="22"/>
        </w:rPr>
      </w:pPr>
      <w:r>
        <w:rPr>
          <w:rFonts w:ascii="TimesNewRoman,Bold" w:hAnsi="TimesNewRoman,Bold" w:cs="TimesNewRoman,Bold"/>
          <w:b/>
          <w:bCs/>
          <w:color w:val="010101"/>
          <w:szCs w:val="22"/>
        </w:rPr>
        <w:t>In addition, a copy of each letter should be sent to:</w:t>
      </w:r>
    </w:p>
    <w:p w:rsidR="0087007B" w:rsidP="0087007B">
      <w:pPr>
        <w:widowControl/>
        <w:autoSpaceDE w:val="0"/>
        <w:autoSpaceDN w:val="0"/>
        <w:adjustRightInd w:val="0"/>
        <w:ind w:left="720"/>
        <w:rPr>
          <w:rFonts w:ascii="TimesNewRoman,Bold" w:hAnsi="TimesNewRoman,Bold" w:cs="TimesNewRoman,Bold"/>
          <w:b/>
          <w:bCs/>
          <w:color w:val="010101"/>
          <w:szCs w:val="22"/>
        </w:rPr>
      </w:pPr>
      <w:r>
        <w:rPr>
          <w:rFonts w:ascii="TimesNewRoman" w:hAnsi="TimesNewRoman" w:cs="TimesNewRoman"/>
          <w:color w:val="010101"/>
          <w:szCs w:val="22"/>
        </w:rPr>
        <w:t>Marvin F. Sacks, Pricing Policy Division, Wireline Competition Bureau, 445 12th Street, SW,</w:t>
      </w:r>
      <w:r w:rsidR="00C64BA0">
        <w:rPr>
          <w:rFonts w:ascii="TimesNewRoman" w:hAnsi="TimesNewRoman" w:cs="TimesNewRoman"/>
          <w:color w:val="010101"/>
          <w:szCs w:val="22"/>
        </w:rPr>
        <w:t xml:space="preserve"> </w:t>
      </w:r>
      <w:r>
        <w:rPr>
          <w:rFonts w:ascii="TimesNewRoman" w:hAnsi="TimesNewRoman" w:cs="TimesNewRoman"/>
          <w:color w:val="010101"/>
          <w:szCs w:val="22"/>
        </w:rPr>
        <w:t>Room 5-A260, Washington, DC 20554; e-mail: marvin.sacks@fcc.gov</w:t>
      </w:r>
      <w:r w:rsidRPr="00FE11C3">
        <w:rPr>
          <w:rFonts w:ascii="TimesNewRoman,Bold" w:hAnsi="TimesNewRoman,Bold" w:cs="TimesNewRoman,Bold"/>
          <w:bCs/>
          <w:color w:val="010101"/>
          <w:szCs w:val="22"/>
        </w:rPr>
        <w:t>.</w:t>
      </w:r>
    </w:p>
    <w:p w:rsidR="0087007B" w:rsidP="0087007B">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ab/>
      </w:r>
      <w:r>
        <w:rPr>
          <w:rFonts w:ascii="TimesNewRoman" w:hAnsi="TimesNewRoman" w:cs="TimesNewRoman"/>
          <w:i/>
          <w:color w:val="010101"/>
          <w:szCs w:val="22"/>
        </w:rPr>
        <w:t xml:space="preserve">Ex Parte Rules.  </w:t>
      </w:r>
      <w:r>
        <w:rPr>
          <w:rFonts w:ascii="TimesNewRoman" w:hAnsi="TimesNewRoman" w:cs="TimesNewRoman"/>
          <w:color w:val="010101"/>
          <w:szCs w:val="22"/>
        </w:rPr>
        <w:t xml:space="preserve">The proceedings this Public Notice initiates shall be treated as “permit-but-disclose” proceedings in accordance with the Commission’s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rules.</w:t>
      </w:r>
      <w:r>
        <w:rPr>
          <w:rStyle w:val="FootnoteReference"/>
          <w:rFonts w:ascii="TimesNewRoman" w:hAnsi="TimesNewRoman" w:cs="TimesNewRoman"/>
          <w:color w:val="010101"/>
          <w:sz w:val="20"/>
          <w:szCs w:val="22"/>
        </w:rPr>
        <w:footnoteReference w:id="9"/>
      </w:r>
      <w:r>
        <w:rPr>
          <w:rFonts w:ascii="TimesNewRoman" w:hAnsi="TimesNewRoman" w:cs="TimesNewRoman"/>
          <w:color w:val="010101"/>
          <w:szCs w:val="22"/>
        </w:rPr>
        <w:t xml:space="preserve"> </w:t>
      </w:r>
      <w:r>
        <w:rPr>
          <w:rFonts w:ascii="TimesNewRoman" w:hAnsi="TimesNewRoman" w:cs="TimesNewRoman"/>
          <w:color w:val="010101"/>
          <w:sz w:val="14"/>
          <w:szCs w:val="14"/>
        </w:rPr>
        <w:t xml:space="preserve"> </w:t>
      </w:r>
      <w:r>
        <w:rPr>
          <w:rFonts w:ascii="TimesNewRoman" w:hAnsi="TimesNewRoman" w:cs="TimesNewRoman"/>
          <w:color w:val="010101"/>
          <w:szCs w:val="22"/>
        </w:rPr>
        <w:t xml:space="preserve">Persons making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 xml:space="preserve">presentations are reminded that memoranda summarizing the presentation must (1) list all persons attending or otherwise participating in the meeting at which the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 xml:space="preserve">meetings are deemed to be written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 xml:space="preserve">presentations and must be filed consistent with rule 1.1206(b).  In proceedings governed by rule 1.49(f) or for which the Commission has made available a method of electronic filing, written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 xml:space="preserve">presentations and memoranda summarizing oral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presentations, and all attachments thereto, must be filed through the electronic comment filing system available for that proceeding, and must be filed in their native format (</w:t>
      </w:r>
      <w:r>
        <w:rPr>
          <w:rFonts w:ascii="TimesNewRoman,Italic" w:hAnsi="TimesNewRoman,Italic" w:cs="TimesNewRoman,Italic"/>
          <w:i/>
          <w:iCs/>
          <w:color w:val="010101"/>
          <w:szCs w:val="22"/>
        </w:rPr>
        <w:t>e.g.</w:t>
      </w:r>
      <w:r>
        <w:rPr>
          <w:rFonts w:ascii="TimesNewRoman" w:hAnsi="TimesNewRoman" w:cs="TimesNewRoman"/>
          <w:color w:val="010101"/>
          <w:szCs w:val="22"/>
        </w:rPr>
        <w:t xml:space="preserve">, .doc, .xml, .ppt, searchable .pdf).  Participants in these proceedings should familiarize themselves with the Commission’s </w:t>
      </w:r>
      <w:r>
        <w:rPr>
          <w:rFonts w:ascii="TimesNewRoman,Italic" w:hAnsi="TimesNewRoman,Italic" w:cs="TimesNewRoman,Italic"/>
          <w:i/>
          <w:iCs/>
          <w:color w:val="010101"/>
          <w:szCs w:val="22"/>
        </w:rPr>
        <w:t xml:space="preserve">ex parte </w:t>
      </w:r>
      <w:r>
        <w:rPr>
          <w:rFonts w:ascii="TimesNewRoman" w:hAnsi="TimesNewRoman" w:cs="TimesNewRoman"/>
          <w:color w:val="010101"/>
          <w:szCs w:val="22"/>
        </w:rPr>
        <w:t>rules.</w:t>
      </w:r>
    </w:p>
    <w:p w:rsidR="0087007B" w:rsidP="0087007B">
      <w:pPr>
        <w:autoSpaceDE w:val="0"/>
        <w:autoSpaceDN w:val="0"/>
        <w:adjustRightInd w:val="0"/>
        <w:rPr>
          <w:rFonts w:ascii="TimesNewRoman" w:hAnsi="TimesNewRoman" w:cs="TimesNewRoman"/>
          <w:color w:val="010101"/>
          <w:szCs w:val="22"/>
        </w:rPr>
      </w:pPr>
    </w:p>
    <w:p w:rsidR="0087007B" w:rsidP="0087007B">
      <w:pPr>
        <w:autoSpaceDE w:val="0"/>
        <w:autoSpaceDN w:val="0"/>
        <w:adjustRightInd w:val="0"/>
        <w:ind w:firstLine="720"/>
        <w:rPr>
          <w:rFonts w:ascii="TimesNewRoman" w:hAnsi="TimesNewRoman" w:cs="TimesNewRoman"/>
          <w:color w:val="010101"/>
          <w:szCs w:val="22"/>
        </w:rPr>
      </w:pPr>
      <w:r w:rsidRPr="008A01D5">
        <w:rPr>
          <w:rFonts w:ascii="TimesNewRoman" w:hAnsi="TimesNewRoman" w:cs="TimesNewRoman"/>
          <w:i/>
          <w:color w:val="010101"/>
          <w:szCs w:val="22"/>
        </w:rPr>
        <w:t>People with Disabilities</w:t>
      </w:r>
      <w:r>
        <w:rPr>
          <w:rFonts w:ascii="TimesNewRoman" w:hAnsi="TimesNewRoman" w:cs="TimesNewRoman"/>
          <w:color w:val="010101"/>
          <w:szCs w:val="22"/>
        </w:rPr>
        <w:t xml:space="preserve">.  To request materials in accessible formats for people with disabilities (braille, large print, electronic files, audio format), send an e-mail to </w:t>
      </w:r>
      <w:hyperlink r:id="rId6" w:history="1">
        <w:r w:rsidRPr="00654BEA">
          <w:rPr>
            <w:rStyle w:val="Hyperlink"/>
            <w:rFonts w:ascii="TimesNewRoman" w:hAnsi="TimesNewRoman" w:cs="TimesNewRoman"/>
            <w:szCs w:val="22"/>
          </w:rPr>
          <w:t>fcc504@fcc.gov</w:t>
        </w:r>
      </w:hyperlink>
      <w:r>
        <w:rPr>
          <w:rFonts w:ascii="TimesNewRoman" w:hAnsi="TimesNewRoman" w:cs="TimesNewRoman"/>
          <w:color w:val="010101"/>
          <w:szCs w:val="22"/>
        </w:rPr>
        <w:t xml:space="preserve"> or call the Consumer &amp; Governmental Affairs Bureau at (202) 418-0530 (voice), </w:t>
      </w:r>
      <w:r>
        <w:rPr>
          <w:rFonts w:ascii="TimesNewRomanPSMT" w:hAnsi="TimesNewRomanPSMT" w:cs="TimesNewRomanPSMT"/>
          <w:snapToGrid/>
          <w:kern w:val="0"/>
          <w:szCs w:val="22"/>
        </w:rPr>
        <w:t>844-432-2275 (videophone), or (</w:t>
      </w:r>
      <w:r>
        <w:rPr>
          <w:rFonts w:ascii="TimesNewRoman" w:hAnsi="TimesNewRoman" w:cs="TimesNewRoman"/>
          <w:color w:val="010101"/>
          <w:szCs w:val="22"/>
        </w:rPr>
        <w:t>202) 418-0432 (TTY).</w:t>
      </w:r>
    </w:p>
    <w:p w:rsidR="0087007B" w:rsidRPr="000448EF" w:rsidP="0087007B">
      <w:pPr>
        <w:autoSpaceDE w:val="0"/>
        <w:autoSpaceDN w:val="0"/>
        <w:adjustRightInd w:val="0"/>
        <w:ind w:firstLine="720"/>
        <w:rPr>
          <w:rFonts w:ascii="TimesNewRoman" w:hAnsi="TimesNewRoman" w:cs="TimesNewRoman"/>
          <w:color w:val="010101"/>
          <w:szCs w:val="22"/>
        </w:rPr>
      </w:pPr>
    </w:p>
    <w:p w:rsidR="0087007B" w:rsidP="0087007B">
      <w:pPr>
        <w:ind w:firstLine="720"/>
        <w:rPr>
          <w:szCs w:val="22"/>
        </w:rPr>
      </w:pPr>
      <w:r>
        <w:rPr>
          <w:szCs w:val="22"/>
        </w:rPr>
        <w:t xml:space="preserve">For further information, please contact Marv Sacks, Pricing Policy Division, Wireline Competition Bureau at (202) 418-2017 or </w:t>
      </w:r>
      <w:hyperlink r:id="rId7" w:history="1">
        <w:r w:rsidRPr="00654BEA">
          <w:rPr>
            <w:rStyle w:val="Hyperlink"/>
            <w:szCs w:val="22"/>
          </w:rPr>
          <w:t>marvin.sacks@fcc.gov</w:t>
        </w:r>
      </w:hyperlink>
      <w:r>
        <w:rPr>
          <w:szCs w:val="22"/>
        </w:rPr>
        <w:t>.</w:t>
      </w:r>
    </w:p>
    <w:p w:rsidR="0087007B" w:rsidP="0087007B">
      <w:pPr>
        <w:ind w:firstLine="720"/>
        <w:rPr>
          <w:szCs w:val="22"/>
        </w:rPr>
      </w:pPr>
    </w:p>
    <w:p w:rsidR="0087007B" w:rsidP="0087007B">
      <w:pPr>
        <w:ind w:firstLine="720"/>
        <w:rPr>
          <w:szCs w:val="22"/>
        </w:rPr>
      </w:pPr>
    </w:p>
    <w:p w:rsidR="0087007B" w:rsidP="0087007B">
      <w:pPr>
        <w:jc w:val="center"/>
        <w:rPr>
          <w:b/>
          <w:szCs w:val="22"/>
        </w:rPr>
      </w:pPr>
      <w:r>
        <w:rPr>
          <w:b/>
        </w:rPr>
        <w:t>- FCC -</w:t>
      </w:r>
    </w:p>
    <w:p w:rsidR="0087007B" w:rsidRPr="00930ECF" w:rsidP="0087007B">
      <w:pPr>
        <w:rPr>
          <w:sz w:val="24"/>
        </w:rPr>
      </w:pPr>
      <w:bookmarkStart w:id="2" w:name="TOChere"/>
    </w:p>
    <w:bookmarkEnd w:id="2"/>
    <w:p w:rsidR="0087007B" w:rsidP="0087007B">
      <w:pPr>
        <w:rPr>
          <w:sz w:val="24"/>
        </w:rPr>
      </w:pPr>
    </w:p>
    <w:p w:rsidR="0087007B" w:rsidRPr="00930ECF" w:rsidP="0087007B">
      <w:pPr>
        <w:rPr>
          <w:sz w:val="24"/>
        </w:rPr>
      </w:pPr>
    </w:p>
    <w:p w:rsidR="00930ECF" w:rsidRPr="0087007B" w:rsidP="0087007B"/>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007B">
      <w:r>
        <w:separator/>
      </w:r>
    </w:p>
  </w:footnote>
  <w:footnote w:type="continuationSeparator" w:id="1">
    <w:p w:rsidR="0087007B">
      <w:pPr>
        <w:rPr>
          <w:sz w:val="20"/>
        </w:rPr>
      </w:pPr>
      <w:r>
        <w:rPr>
          <w:sz w:val="20"/>
        </w:rPr>
        <w:t xml:space="preserve">(Continued from previous page)  </w:t>
      </w:r>
      <w:r>
        <w:rPr>
          <w:sz w:val="20"/>
        </w:rPr>
        <w:separator/>
      </w:r>
    </w:p>
  </w:footnote>
  <w:footnote w:type="continuationNotice" w:id="2">
    <w:p w:rsidR="0087007B" w:rsidP="00910F12">
      <w:pPr>
        <w:jc w:val="right"/>
        <w:rPr>
          <w:sz w:val="20"/>
        </w:rPr>
      </w:pPr>
      <w:r>
        <w:rPr>
          <w:sz w:val="20"/>
        </w:rPr>
        <w:t>(continued….)</w:t>
      </w:r>
    </w:p>
  </w:footnote>
  <w:footnote w:id="3">
    <w:p w:rsidR="0087007B" w:rsidP="0087007B">
      <w:pPr>
        <w:pStyle w:val="FootnoteText"/>
      </w:pPr>
      <w:r w:rsidRPr="00D95FF8">
        <w:rPr>
          <w:rStyle w:val="FootnoteReference"/>
          <w:sz w:val="20"/>
        </w:rPr>
        <w:footnoteRef/>
      </w:r>
      <w:r>
        <w:t xml:space="preserve"> </w:t>
      </w:r>
      <w:r w:rsidRPr="00562BC1">
        <w:rPr>
          <w:i/>
          <w:iCs/>
        </w:rPr>
        <w:t xml:space="preserve">See Connect America Fund et al., </w:t>
      </w:r>
      <w:r w:rsidRPr="00562BC1">
        <w:t xml:space="preserve">WC Docket No. 10-90 et al., Report and Order and Further Notice of Proposed Rulemaking, 26 FCC </w:t>
      </w:r>
      <w:r w:rsidRPr="00562BC1">
        <w:t>Rcd</w:t>
      </w:r>
      <w:r w:rsidRPr="00562BC1">
        <w:t xml:space="preserve"> 17663 (2011) </w:t>
      </w:r>
      <w:r w:rsidRPr="00562BC1">
        <w:rPr>
          <w:iCs/>
        </w:rPr>
        <w:t>(</w:t>
      </w:r>
      <w:r w:rsidRPr="00562BC1">
        <w:rPr>
          <w:i/>
          <w:iCs/>
        </w:rPr>
        <w:t>USF/ICC Transformation Order</w:t>
      </w:r>
      <w:r w:rsidRPr="00562BC1">
        <w:rPr>
          <w:iCs/>
        </w:rPr>
        <w:t>)</w:t>
      </w:r>
      <w:r w:rsidRPr="00562BC1">
        <w:rPr>
          <w:i/>
          <w:iCs/>
        </w:rPr>
        <w:t xml:space="preserve">, aff’d sub nom. In re FCC 11-161, </w:t>
      </w:r>
      <w:r w:rsidRPr="00562BC1">
        <w:t>753</w:t>
      </w:r>
      <w:r>
        <w:t xml:space="preserve"> </w:t>
      </w:r>
      <w:r w:rsidRPr="00562BC1">
        <w:t>F.3d 1015 (10th Cir. 2014)</w:t>
      </w:r>
      <w:r>
        <w:t>.  The Petitions are identified in a chart below.</w:t>
      </w:r>
    </w:p>
  </w:footnote>
  <w:footnote w:id="4">
    <w:p w:rsidR="0087007B" w:rsidRPr="0002715F" w:rsidP="0087007B">
      <w:pPr>
        <w:pStyle w:val="FootnoteText"/>
      </w:pPr>
      <w:r w:rsidRPr="00D95FF8">
        <w:rPr>
          <w:rStyle w:val="FootnoteReference"/>
          <w:sz w:val="20"/>
        </w:rPr>
        <w:footnoteRef/>
      </w:r>
      <w:r>
        <w:t xml:space="preserve"> </w:t>
      </w:r>
      <w:r>
        <w:rPr>
          <w:i/>
        </w:rPr>
        <w:t xml:space="preserve">See, e.g., </w:t>
      </w:r>
      <w:r w:rsidRPr="00234774">
        <w:rPr>
          <w:i/>
          <w:iCs/>
        </w:rPr>
        <w:t>Connect America Fund</w:t>
      </w:r>
      <w:r>
        <w:rPr>
          <w:i/>
          <w:iCs/>
        </w:rPr>
        <w:t xml:space="preserve"> et al.</w:t>
      </w:r>
      <w:r w:rsidRPr="00234774">
        <w:rPr>
          <w:i/>
          <w:iCs/>
        </w:rPr>
        <w:t xml:space="preserve">, </w:t>
      </w:r>
      <w:r w:rsidRPr="00234774">
        <w:t xml:space="preserve">WC Docket No. 10-90 et al., Order on Reconsideration, 26 FCC </w:t>
      </w:r>
      <w:r>
        <w:t>Rcd</w:t>
      </w:r>
      <w:r w:rsidRPr="00234774">
        <w:t xml:space="preserve"> 17633 (2011); </w:t>
      </w:r>
      <w:r w:rsidRPr="00234774">
        <w:rPr>
          <w:i/>
          <w:iCs/>
        </w:rPr>
        <w:t>Connect America Fund</w:t>
      </w:r>
      <w:r>
        <w:rPr>
          <w:i/>
          <w:iCs/>
        </w:rPr>
        <w:t xml:space="preserve"> et al.</w:t>
      </w:r>
      <w:r w:rsidRPr="00234774">
        <w:rPr>
          <w:i/>
          <w:iCs/>
        </w:rPr>
        <w:t xml:space="preserve">, </w:t>
      </w:r>
      <w:r w:rsidRPr="00234774">
        <w:t xml:space="preserve">WC Docket No. 10-90 et al., Second Order on Reconsideration, </w:t>
      </w:r>
      <w:r>
        <w:t xml:space="preserve">27 </w:t>
      </w:r>
      <w:r w:rsidRPr="00234774">
        <w:t xml:space="preserve">FCC </w:t>
      </w:r>
      <w:r>
        <w:t>Rcd</w:t>
      </w:r>
      <w:r>
        <w:t xml:space="preserve"> </w:t>
      </w:r>
      <w:r w:rsidRPr="00234774">
        <w:t>4</w:t>
      </w:r>
      <w:r>
        <w:t>648</w:t>
      </w:r>
      <w:r w:rsidRPr="00234774">
        <w:t xml:space="preserve"> </w:t>
      </w:r>
      <w:r>
        <w:t>(</w:t>
      </w:r>
      <w:r w:rsidRPr="00234774">
        <w:t>2012)</w:t>
      </w:r>
      <w:r>
        <w:t xml:space="preserve">; </w:t>
      </w:r>
      <w:r w:rsidRPr="00234774">
        <w:rPr>
          <w:i/>
          <w:iCs/>
        </w:rPr>
        <w:t>Connect America Fund</w:t>
      </w:r>
      <w:r>
        <w:rPr>
          <w:i/>
          <w:iCs/>
        </w:rPr>
        <w:t xml:space="preserve"> et al.</w:t>
      </w:r>
      <w:r w:rsidRPr="00234774">
        <w:rPr>
          <w:i/>
          <w:iCs/>
        </w:rPr>
        <w:t xml:space="preserve">, </w:t>
      </w:r>
      <w:r w:rsidRPr="00234774">
        <w:t xml:space="preserve">WC Docket No. 10-90 </w:t>
      </w:r>
      <w:r w:rsidRPr="00B95906">
        <w:rPr>
          <w:iCs/>
        </w:rPr>
        <w:t>et al.,</w:t>
      </w:r>
      <w:r w:rsidRPr="00234774">
        <w:rPr>
          <w:i/>
          <w:iCs/>
        </w:rPr>
        <w:t xml:space="preserve"> </w:t>
      </w:r>
      <w:r w:rsidRPr="00234774">
        <w:t xml:space="preserve">Third Order on Reconsideration, </w:t>
      </w:r>
      <w:r w:rsidRPr="00A7679B">
        <w:t xml:space="preserve">27 FCC </w:t>
      </w:r>
      <w:r w:rsidRPr="00A7679B">
        <w:t>Rcd</w:t>
      </w:r>
      <w:r w:rsidRPr="00A7679B">
        <w:t xml:space="preserve"> 5622</w:t>
      </w:r>
      <w:r w:rsidRPr="00234774">
        <w:t xml:space="preserve"> (2012)</w:t>
      </w:r>
      <w:r>
        <w:t>;</w:t>
      </w:r>
      <w:r w:rsidRPr="00234774">
        <w:rPr>
          <w:i/>
          <w:iCs/>
        </w:rPr>
        <w:t xml:space="preserve"> Connect America Fund</w:t>
      </w:r>
      <w:r>
        <w:rPr>
          <w:i/>
          <w:iCs/>
        </w:rPr>
        <w:t xml:space="preserve"> et al.</w:t>
      </w:r>
      <w:r w:rsidRPr="00234774">
        <w:rPr>
          <w:i/>
          <w:iCs/>
        </w:rPr>
        <w:t xml:space="preserve">, </w:t>
      </w:r>
      <w:r w:rsidRPr="00234774">
        <w:t xml:space="preserve">WC Docket No. 10-90 </w:t>
      </w:r>
      <w:r w:rsidRPr="00B95906">
        <w:rPr>
          <w:iCs/>
        </w:rPr>
        <w:t>et al</w:t>
      </w:r>
      <w:r w:rsidRPr="00234774">
        <w:rPr>
          <w:i/>
          <w:iCs/>
        </w:rPr>
        <w:t xml:space="preserve">., </w:t>
      </w:r>
      <w:r w:rsidRPr="00234774">
        <w:t xml:space="preserve">Fourth Order on Reconsideration, </w:t>
      </w:r>
      <w:r>
        <w:t xml:space="preserve">27 FCC </w:t>
      </w:r>
      <w:r>
        <w:t>Rcd</w:t>
      </w:r>
      <w:r>
        <w:t xml:space="preserve"> 8814</w:t>
      </w:r>
      <w:r w:rsidRPr="00234774">
        <w:t xml:space="preserve"> (2012</w:t>
      </w:r>
      <w:r w:rsidRPr="008F7165">
        <w:t>)</w:t>
      </w:r>
      <w:r w:rsidRPr="008F7165">
        <w:rPr>
          <w:iCs/>
        </w:rPr>
        <w:t xml:space="preserve">; </w:t>
      </w:r>
      <w:r w:rsidRPr="008F7165">
        <w:rPr>
          <w:bCs/>
          <w:i/>
        </w:rPr>
        <w:t>Connect America Fund, Developing a</w:t>
      </w:r>
      <w:r w:rsidR="003C2447">
        <w:rPr>
          <w:bCs/>
          <w:i/>
        </w:rPr>
        <w:t>n</w:t>
      </w:r>
      <w:r w:rsidRPr="008F7165">
        <w:rPr>
          <w:bCs/>
          <w:i/>
        </w:rPr>
        <w:t xml:space="preserve"> Unified Intercarrier Compensation Regime, </w:t>
      </w:r>
      <w:r w:rsidRPr="008F7165">
        <w:t xml:space="preserve">WC Docket No. 10-90, CC Docket No. 01-92, </w:t>
      </w:r>
      <w:r w:rsidRPr="008F7165">
        <w:rPr>
          <w:bCs/>
          <w:bdr w:val="none" w:sz="0" w:space="0" w:color="auto" w:frame="1"/>
        </w:rPr>
        <w:t>Declaratory</w:t>
      </w:r>
      <w:r w:rsidRPr="008F7165">
        <w:t> </w:t>
      </w:r>
      <w:r w:rsidRPr="008F7165">
        <w:rPr>
          <w:bCs/>
          <w:bdr w:val="none" w:sz="0" w:space="0" w:color="auto" w:frame="1"/>
        </w:rPr>
        <w:t xml:space="preserve">Ruling, </w:t>
      </w:r>
      <w:r w:rsidRPr="008F7165">
        <w:t xml:space="preserve">30 FCC </w:t>
      </w:r>
      <w:r w:rsidRPr="008F7165">
        <w:t>Rcd</w:t>
      </w:r>
      <w:r w:rsidRPr="008F7165">
        <w:t xml:space="preserve"> 1587 (2015); </w:t>
      </w:r>
      <w:r w:rsidRPr="008F7165">
        <w:rPr>
          <w:i/>
          <w:iCs/>
        </w:rPr>
        <w:t>Updating the Intercarrier Compensation Regime to Eliminate Access Arbitrage</w:t>
      </w:r>
      <w:r w:rsidRPr="008F7165">
        <w:rPr>
          <w:iCs/>
        </w:rPr>
        <w:t>, WC Docket No. 18-155</w:t>
      </w:r>
      <w:r w:rsidRPr="0027271E">
        <w:rPr>
          <w:iCs/>
        </w:rPr>
        <w:t xml:space="preserve">, Report and Order and Modification of Section 214 Authorizations, </w:t>
      </w:r>
      <w:r w:rsidRPr="008E172D">
        <w:rPr>
          <w:iCs/>
        </w:rPr>
        <w:t xml:space="preserve">34 FCC </w:t>
      </w:r>
      <w:r w:rsidRPr="008E172D">
        <w:rPr>
          <w:iCs/>
        </w:rPr>
        <w:t>Rcd</w:t>
      </w:r>
      <w:r w:rsidRPr="008E172D">
        <w:rPr>
          <w:iCs/>
        </w:rPr>
        <w:t xml:space="preserve"> 9035 </w:t>
      </w:r>
      <w:r w:rsidRPr="0027271E">
        <w:rPr>
          <w:iCs/>
        </w:rPr>
        <w:t>(2019).</w:t>
      </w:r>
      <w:r w:rsidRPr="00EA6B12">
        <w:t xml:space="preserve"> </w:t>
      </w:r>
    </w:p>
  </w:footnote>
  <w:footnote w:id="5">
    <w:p w:rsidR="0087007B" w:rsidRPr="003C2447" w:rsidP="0087007B">
      <w:pPr>
        <w:autoSpaceDE w:val="0"/>
        <w:autoSpaceDN w:val="0"/>
        <w:adjustRightInd w:val="0"/>
        <w:rPr>
          <w:rFonts w:ascii="TimesNewRoman,Italic" w:hAnsi="TimesNewRoman,Italic" w:cs="TimesNewRoman,Italic"/>
          <w:i/>
          <w:iCs/>
          <w:sz w:val="20"/>
        </w:rPr>
      </w:pPr>
      <w:r w:rsidRPr="00D95FF8">
        <w:rPr>
          <w:rStyle w:val="FootnoteReference"/>
          <w:sz w:val="20"/>
        </w:rPr>
        <w:footnoteRef/>
      </w:r>
      <w:r>
        <w:t xml:space="preserve"> </w:t>
      </w:r>
      <w:r w:rsidRPr="003C2447">
        <w:rPr>
          <w:rFonts w:ascii="TimesNewRoman,Italic" w:hAnsi="TimesNewRoman,Italic" w:cs="TimesNewRoman,Italic"/>
          <w:i/>
          <w:iCs/>
          <w:sz w:val="20"/>
        </w:rPr>
        <w:t>Cf. Amendment of Certain of the Commission’s Part 1 Rules of Practice and Procedure and Part 0 Rules of</w:t>
      </w:r>
    </w:p>
    <w:p w:rsidR="0087007B" w:rsidP="0087007B">
      <w:pPr>
        <w:autoSpaceDE w:val="0"/>
        <w:autoSpaceDN w:val="0"/>
        <w:adjustRightInd w:val="0"/>
        <w:rPr>
          <w:rFonts w:ascii="TimesNewRoman" w:hAnsi="TimesNewRoman" w:cs="TimesNewRoman"/>
          <w:color w:val="010101"/>
          <w:sz w:val="20"/>
        </w:rPr>
      </w:pPr>
      <w:r w:rsidRPr="003C2447">
        <w:rPr>
          <w:rFonts w:ascii="TimesNewRoman,Italic" w:hAnsi="TimesNewRoman,Italic" w:cs="TimesNewRoman,Italic"/>
          <w:i/>
          <w:iCs/>
          <w:sz w:val="20"/>
        </w:rPr>
        <w:t>Commission Organization</w:t>
      </w:r>
      <w:r w:rsidRPr="003C2447">
        <w:rPr>
          <w:rFonts w:ascii="TimesNewRoman" w:hAnsi="TimesNewRoman" w:cs="TimesNewRoman"/>
          <w:sz w:val="20"/>
        </w:rPr>
        <w:t>,</w:t>
      </w:r>
      <w:r>
        <w:rPr>
          <w:rFonts w:ascii="TimesNewRoman" w:hAnsi="TimesNewRoman" w:cs="TimesNewRoman"/>
          <w:color w:val="010101"/>
          <w:sz w:val="20"/>
        </w:rPr>
        <w:t xml:space="preserve"> GC Docket No. 10-44, Report and Order, 26 FCC </w:t>
      </w:r>
      <w:r>
        <w:rPr>
          <w:rFonts w:ascii="TimesNewRoman" w:hAnsi="TimesNewRoman" w:cs="TimesNewRoman"/>
          <w:color w:val="010101"/>
          <w:sz w:val="20"/>
        </w:rPr>
        <w:t>Rcd</w:t>
      </w:r>
      <w:r>
        <w:rPr>
          <w:rFonts w:ascii="TimesNewRoman" w:hAnsi="TimesNewRoman" w:cs="TimesNewRoman"/>
          <w:color w:val="010101"/>
          <w:sz w:val="20"/>
        </w:rPr>
        <w:t xml:space="preserve"> 1594, 1604, paras. 23-24 (2011)</w:t>
      </w:r>
    </w:p>
    <w:p w:rsidR="0087007B" w:rsidP="0087007B">
      <w:pPr>
        <w:autoSpaceDE w:val="0"/>
        <w:autoSpaceDN w:val="0"/>
        <w:adjustRightInd w:val="0"/>
        <w:rPr>
          <w:rFonts w:ascii="TimesNewRoman" w:hAnsi="TimesNewRoman" w:cs="TimesNewRoman"/>
          <w:color w:val="010101"/>
          <w:sz w:val="20"/>
        </w:rPr>
      </w:pPr>
      <w:r>
        <w:rPr>
          <w:rFonts w:ascii="TimesNewRoman" w:hAnsi="TimesNewRoman" w:cs="TimesNewRoman"/>
          <w:color w:val="010101"/>
          <w:sz w:val="20"/>
        </w:rPr>
        <w:t>(termination of dormant proceedings).</w:t>
      </w:r>
    </w:p>
    <w:p w:rsidR="0087007B" w:rsidP="0087007B">
      <w:pPr>
        <w:autoSpaceDE w:val="0"/>
        <w:autoSpaceDN w:val="0"/>
        <w:adjustRightInd w:val="0"/>
      </w:pPr>
    </w:p>
  </w:footnote>
  <w:footnote w:id="6">
    <w:p w:rsidR="0087007B" w:rsidP="0087007B">
      <w:pPr>
        <w:pStyle w:val="FootnoteText"/>
      </w:pPr>
      <w:r w:rsidRPr="00D95FF8">
        <w:rPr>
          <w:rStyle w:val="FootnoteReference"/>
          <w:sz w:val="20"/>
        </w:rPr>
        <w:footnoteRef/>
      </w:r>
      <w:r>
        <w:t xml:space="preserve"> </w:t>
      </w:r>
      <w:r w:rsidRPr="00E248E0">
        <w:t xml:space="preserve">Verizon filed a petition for reconsideration requesting that the Commission reconsider its adoption of phantom traffic/call signaling rules on grounds that carriers like Verizon find it is not technically feasible to implement those rules in certain circumstances.  Verizon Petition at 3, 8-12.  Verizon, however, separately filed a petition that seeks a waiver of those rules for the same reason.  Petition for Limited Waiver of Verizon, CC Docket No. 01-92, et al. (filed Feb. 10, 2012).  The waiver petition is pending and would not be affected </w:t>
      </w:r>
      <w:r>
        <w:t xml:space="preserve">if </w:t>
      </w:r>
      <w:r w:rsidRPr="00E248E0">
        <w:t xml:space="preserve">the petition for reconsideration </w:t>
      </w:r>
      <w:r>
        <w:t>is</w:t>
      </w:r>
      <w:r w:rsidRPr="00E248E0">
        <w:t xml:space="preserve"> dismissed</w:t>
      </w:r>
      <w:r>
        <w:t xml:space="preserve"> here</w:t>
      </w:r>
      <w:r w:rsidRPr="00E248E0">
        <w:t>.</w:t>
      </w:r>
    </w:p>
  </w:footnote>
  <w:footnote w:id="7">
    <w:p w:rsidR="0087007B" w:rsidP="0087007B">
      <w:pPr>
        <w:pStyle w:val="FootnoteText"/>
      </w:pPr>
      <w:r w:rsidRPr="00D95FF8">
        <w:rPr>
          <w:rStyle w:val="FootnoteReference"/>
          <w:sz w:val="20"/>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47 CFR § 1.419.</w:t>
      </w:r>
    </w:p>
  </w:footnote>
  <w:footnote w:id="8">
    <w:p w:rsidR="0087007B" w:rsidP="0087007B">
      <w:pPr>
        <w:pStyle w:val="FootnoteText"/>
      </w:pPr>
      <w:r w:rsidRPr="00D95FF8">
        <w:rPr>
          <w:rStyle w:val="FootnoteReference"/>
          <w:sz w:val="20"/>
        </w:rPr>
        <w:footnoteRef/>
      </w:r>
      <w:r>
        <w:t xml:space="preserve"> </w:t>
      </w:r>
      <w:r>
        <w:rPr>
          <w:rFonts w:ascii="TimesNewRomanPS-ItalicMT" w:hAnsi="TimesNewRomanPS-ItalicMT" w:cs="TimesNewRomanPS-ItalicMT"/>
          <w:i/>
          <w:iCs/>
        </w:rPr>
        <w:t>See Electronic Filing of Documents in Rulemaking Proceedings</w:t>
      </w:r>
      <w:r>
        <w:rPr>
          <w:rFonts w:ascii="TimesNewRomanPSMT" w:hAnsi="TimesNewRomanPSMT" w:cs="TimesNewRomanPSMT"/>
        </w:rPr>
        <w:t>, 63 FR 24121 (1998).</w:t>
      </w:r>
    </w:p>
  </w:footnote>
  <w:footnote w:id="9">
    <w:p w:rsidR="0087007B" w:rsidP="0087007B">
      <w:pPr>
        <w:pStyle w:val="FootnoteText"/>
      </w:pPr>
      <w:r w:rsidRPr="00D95FF8">
        <w:rPr>
          <w:rStyle w:val="FootnoteReference"/>
          <w:sz w:val="20"/>
        </w:rPr>
        <w:footnoteRef/>
      </w:r>
      <w:r>
        <w:t xml:space="preserve"> </w:t>
      </w:r>
      <w:r>
        <w:rPr>
          <w:rFonts w:ascii="TimesNewRoman" w:hAnsi="TimesNewRoman" w:cs="TimesNewRoman"/>
          <w:color w:val="010101"/>
        </w:rPr>
        <w:t xml:space="preserve">47 CFR §§ 1.1200 </w:t>
      </w:r>
      <w:r>
        <w:rPr>
          <w:rFonts w:ascii="TimesNewRoman,Italic" w:hAnsi="TimesNewRoman,Italic" w:cs="TimesNewRoman,Italic"/>
          <w:i/>
          <w:iCs/>
          <w:color w:val="010101"/>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E2784B">
      <w:rPr>
        <w:b/>
      </w:rPr>
      <w:t>DA 20-</w:t>
    </w:r>
    <w:r w:rsidR="00EF078A">
      <w:rPr>
        <w:b/>
      </w:rPr>
      <w:t>65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0D57D1A"/>
    <w:multiLevelType w:val="hybridMultilevel"/>
    <w:tmpl w:val="6C20A6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7B"/>
    <w:rsid w:val="000072CE"/>
    <w:rsid w:val="00013A8B"/>
    <w:rsid w:val="00021445"/>
    <w:rsid w:val="0002715F"/>
    <w:rsid w:val="00036039"/>
    <w:rsid w:val="00037F90"/>
    <w:rsid w:val="000448EF"/>
    <w:rsid w:val="000875BF"/>
    <w:rsid w:val="00096D8C"/>
    <w:rsid w:val="000C0B65"/>
    <w:rsid w:val="000E3D42"/>
    <w:rsid w:val="000E5884"/>
    <w:rsid w:val="00106903"/>
    <w:rsid w:val="00115536"/>
    <w:rsid w:val="00122BD5"/>
    <w:rsid w:val="0013780E"/>
    <w:rsid w:val="001936F2"/>
    <w:rsid w:val="001979D9"/>
    <w:rsid w:val="001B23B3"/>
    <w:rsid w:val="001C7A49"/>
    <w:rsid w:val="001D6BCF"/>
    <w:rsid w:val="001E01CA"/>
    <w:rsid w:val="001E5B80"/>
    <w:rsid w:val="002060D9"/>
    <w:rsid w:val="00226822"/>
    <w:rsid w:val="00234774"/>
    <w:rsid w:val="00255915"/>
    <w:rsid w:val="00260594"/>
    <w:rsid w:val="0027271E"/>
    <w:rsid w:val="00285017"/>
    <w:rsid w:val="002A2D2E"/>
    <w:rsid w:val="00343749"/>
    <w:rsid w:val="00357D50"/>
    <w:rsid w:val="00370297"/>
    <w:rsid w:val="003925DC"/>
    <w:rsid w:val="003B0550"/>
    <w:rsid w:val="003B694F"/>
    <w:rsid w:val="003C2447"/>
    <w:rsid w:val="003F171C"/>
    <w:rsid w:val="00412FC5"/>
    <w:rsid w:val="00422276"/>
    <w:rsid w:val="004242F1"/>
    <w:rsid w:val="00445A00"/>
    <w:rsid w:val="00451B0F"/>
    <w:rsid w:val="0046125F"/>
    <w:rsid w:val="00487524"/>
    <w:rsid w:val="00491F91"/>
    <w:rsid w:val="00496106"/>
    <w:rsid w:val="004C12D0"/>
    <w:rsid w:val="004C2EE3"/>
    <w:rsid w:val="004E4A22"/>
    <w:rsid w:val="00511968"/>
    <w:rsid w:val="0055614C"/>
    <w:rsid w:val="00562BC1"/>
    <w:rsid w:val="005B3462"/>
    <w:rsid w:val="005B63C0"/>
    <w:rsid w:val="00607BA5"/>
    <w:rsid w:val="00626EB6"/>
    <w:rsid w:val="006353A3"/>
    <w:rsid w:val="00654BEA"/>
    <w:rsid w:val="00655D03"/>
    <w:rsid w:val="00683F84"/>
    <w:rsid w:val="006A6A81"/>
    <w:rsid w:val="006E26AF"/>
    <w:rsid w:val="006F7393"/>
    <w:rsid w:val="0070224F"/>
    <w:rsid w:val="007115F7"/>
    <w:rsid w:val="00743EB2"/>
    <w:rsid w:val="00785689"/>
    <w:rsid w:val="0079754B"/>
    <w:rsid w:val="007A1E6D"/>
    <w:rsid w:val="007C4193"/>
    <w:rsid w:val="00822CE0"/>
    <w:rsid w:val="00837C62"/>
    <w:rsid w:val="00841AB1"/>
    <w:rsid w:val="0087007B"/>
    <w:rsid w:val="008A01D5"/>
    <w:rsid w:val="008C22FD"/>
    <w:rsid w:val="008E172D"/>
    <w:rsid w:val="008F7165"/>
    <w:rsid w:val="00910F12"/>
    <w:rsid w:val="00926503"/>
    <w:rsid w:val="00930ECF"/>
    <w:rsid w:val="009766A3"/>
    <w:rsid w:val="00981ED1"/>
    <w:rsid w:val="009838BC"/>
    <w:rsid w:val="009A56D2"/>
    <w:rsid w:val="00A45F4F"/>
    <w:rsid w:val="00A600A9"/>
    <w:rsid w:val="00A7679B"/>
    <w:rsid w:val="00A866AC"/>
    <w:rsid w:val="00AA55B7"/>
    <w:rsid w:val="00AA5B9E"/>
    <w:rsid w:val="00AB2407"/>
    <w:rsid w:val="00AB53DF"/>
    <w:rsid w:val="00AF0D71"/>
    <w:rsid w:val="00B07E5C"/>
    <w:rsid w:val="00B20363"/>
    <w:rsid w:val="00B326E3"/>
    <w:rsid w:val="00B811F7"/>
    <w:rsid w:val="00B95906"/>
    <w:rsid w:val="00BA5DC6"/>
    <w:rsid w:val="00BA6196"/>
    <w:rsid w:val="00BC6D8C"/>
    <w:rsid w:val="00C16AF2"/>
    <w:rsid w:val="00C34006"/>
    <w:rsid w:val="00C426B1"/>
    <w:rsid w:val="00C64BA0"/>
    <w:rsid w:val="00C82B6B"/>
    <w:rsid w:val="00C85D4C"/>
    <w:rsid w:val="00C90D6A"/>
    <w:rsid w:val="00CC72B6"/>
    <w:rsid w:val="00CE573A"/>
    <w:rsid w:val="00D0218D"/>
    <w:rsid w:val="00D216CD"/>
    <w:rsid w:val="00D95FF8"/>
    <w:rsid w:val="00DA2529"/>
    <w:rsid w:val="00DB130A"/>
    <w:rsid w:val="00DC10A1"/>
    <w:rsid w:val="00DC655F"/>
    <w:rsid w:val="00DD7EBD"/>
    <w:rsid w:val="00DF62B6"/>
    <w:rsid w:val="00E07225"/>
    <w:rsid w:val="00E155B7"/>
    <w:rsid w:val="00E248E0"/>
    <w:rsid w:val="00E2784B"/>
    <w:rsid w:val="00E5409F"/>
    <w:rsid w:val="00EA6B12"/>
    <w:rsid w:val="00EC0185"/>
    <w:rsid w:val="00EF078A"/>
    <w:rsid w:val="00F021FA"/>
    <w:rsid w:val="00F57ACA"/>
    <w:rsid w:val="00F62E97"/>
    <w:rsid w:val="00F64209"/>
    <w:rsid w:val="00F93BF5"/>
    <w:rsid w:val="00F96F63"/>
    <w:rsid w:val="00FC4BFB"/>
    <w:rsid w:val="00FE11C3"/>
    <w:rsid w:val="00FF76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9229D3C-DD8B-4EA6-BC24-C125D160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07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87007B"/>
  </w:style>
  <w:style w:type="paragraph" w:styleId="ListParagraph">
    <w:name w:val="List Paragraph"/>
    <w:basedOn w:val="Normal"/>
    <w:uiPriority w:val="34"/>
    <w:qFormat/>
    <w:rsid w:val="0087007B"/>
    <w:pPr>
      <w:widowControl/>
      <w:ind w:left="720"/>
    </w:pPr>
    <w:rPr>
      <w:snapToGrid/>
      <w:kern w:val="0"/>
    </w:rPr>
  </w:style>
  <w:style w:type="paragraph" w:customStyle="1" w:styleId="Default">
    <w:name w:val="Default"/>
    <w:rsid w:val="0087007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5B3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46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arvin.sacks@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