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E9175A" w:rsidP="00C251D6">
      <w:pPr>
        <w:spacing w:before="120"/>
        <w:jc w:val="right"/>
        <w:rPr>
          <w:b/>
          <w:szCs w:val="22"/>
        </w:rPr>
      </w:pPr>
      <w:r w:rsidRPr="00E9175A">
        <w:rPr>
          <w:b/>
          <w:szCs w:val="22"/>
        </w:rPr>
        <w:t>DA 20-</w:t>
      </w:r>
      <w:r w:rsidR="001E6FC4">
        <w:rPr>
          <w:b/>
          <w:szCs w:val="22"/>
        </w:rPr>
        <w:t>661</w:t>
      </w:r>
    </w:p>
    <w:p w:rsidR="00013A8B" w:rsidRPr="00E9175A" w:rsidP="00013A8B">
      <w:pPr>
        <w:spacing w:before="60"/>
        <w:jc w:val="right"/>
        <w:rPr>
          <w:b/>
          <w:szCs w:val="22"/>
        </w:rPr>
      </w:pPr>
      <w:r w:rsidRPr="00E9175A">
        <w:rPr>
          <w:b/>
          <w:szCs w:val="22"/>
        </w:rPr>
        <w:t xml:space="preserve">Released:  </w:t>
      </w:r>
      <w:r w:rsidRPr="00E9175A" w:rsidR="00BD20FB">
        <w:rPr>
          <w:b/>
          <w:szCs w:val="22"/>
        </w:rPr>
        <w:t xml:space="preserve">June </w:t>
      </w:r>
      <w:r w:rsidR="00784D65">
        <w:rPr>
          <w:b/>
          <w:szCs w:val="22"/>
        </w:rPr>
        <w:t>2</w:t>
      </w:r>
      <w:r w:rsidR="00BA3386">
        <w:rPr>
          <w:b/>
          <w:szCs w:val="22"/>
        </w:rPr>
        <w:t>4</w:t>
      </w:r>
      <w:r w:rsidRPr="00E9175A" w:rsidR="00BD20FB">
        <w:rPr>
          <w:b/>
          <w:szCs w:val="22"/>
        </w:rPr>
        <w:t>, 2020</w:t>
      </w:r>
    </w:p>
    <w:p w:rsidR="00BD20FB" w:rsidRPr="00E9175A" w:rsidP="00E9175A">
      <w:pPr>
        <w:jc w:val="right"/>
        <w:rPr>
          <w:b/>
          <w:szCs w:val="22"/>
        </w:rPr>
      </w:pPr>
    </w:p>
    <w:p w:rsidR="00013A8B" w:rsidRPr="00E9175A" w:rsidP="00013A8B">
      <w:pPr>
        <w:jc w:val="right"/>
        <w:rPr>
          <w:szCs w:val="22"/>
        </w:rPr>
      </w:pPr>
    </w:p>
    <w:p w:rsidR="00013A8B">
      <w:pPr>
        <w:spacing w:after="240"/>
        <w:jc w:val="center"/>
        <w:rPr>
          <w:b/>
          <w:sz w:val="24"/>
        </w:rPr>
      </w:pPr>
      <w:r>
        <w:rPr>
          <w:b/>
          <w:bCs/>
        </w:rPr>
        <w:t xml:space="preserve">COMMENT SOUGHT ON CTIA-USTELECOM PETITION FOR RULEMAKNG AND DECLARATORY RULING REGARDING </w:t>
      </w:r>
      <w:r w:rsidR="009A5E8B">
        <w:rPr>
          <w:b/>
          <w:bCs/>
        </w:rPr>
        <w:t xml:space="preserve">CERTAIN </w:t>
      </w:r>
      <w:r>
        <w:rPr>
          <w:b/>
          <w:bCs/>
          <w:i/>
          <w:iCs/>
        </w:rPr>
        <w:t>PRO</w:t>
      </w:r>
      <w:r w:rsidRPr="00544C25">
        <w:rPr>
          <w:b/>
          <w:bCs/>
          <w:i/>
          <w:iCs/>
        </w:rPr>
        <w:t xml:space="preserve"> </w:t>
      </w:r>
      <w:r w:rsidRPr="006E3F0B">
        <w:rPr>
          <w:b/>
          <w:bCs/>
          <w:i/>
          <w:iCs/>
        </w:rPr>
        <w:t>FORMA</w:t>
      </w:r>
      <w:r>
        <w:rPr>
          <w:b/>
          <w:bCs/>
        </w:rPr>
        <w:t xml:space="preserve"> TRANSACTIONS</w:t>
      </w:r>
    </w:p>
    <w:p w:rsidR="00F96F63" w:rsidP="004A1FC9">
      <w:pPr>
        <w:jc w:val="center"/>
        <w:rPr>
          <w:b/>
          <w:szCs w:val="22"/>
        </w:rPr>
      </w:pPr>
      <w:r w:rsidRPr="006E3F0B">
        <w:rPr>
          <w:b/>
          <w:szCs w:val="22"/>
        </w:rPr>
        <w:t>WT D</w:t>
      </w:r>
      <w:r>
        <w:rPr>
          <w:b/>
          <w:szCs w:val="22"/>
        </w:rPr>
        <w:t>ocket No. 20-</w:t>
      </w:r>
      <w:r w:rsidR="004A1FC9">
        <w:rPr>
          <w:b/>
          <w:szCs w:val="22"/>
        </w:rPr>
        <w:t>186</w:t>
      </w:r>
    </w:p>
    <w:p w:rsidR="00BA3386" w:rsidP="004A1FC9">
      <w:pPr>
        <w:jc w:val="center"/>
        <w:rPr>
          <w:b/>
          <w:szCs w:val="22"/>
        </w:rPr>
      </w:pPr>
      <w:r>
        <w:rPr>
          <w:b/>
          <w:szCs w:val="22"/>
        </w:rPr>
        <w:t>RM-11860</w:t>
      </w:r>
    </w:p>
    <w:p w:rsidR="004A1FC9" w:rsidRPr="006E3F0B" w:rsidP="004A1FC9">
      <w:pPr>
        <w:jc w:val="center"/>
        <w:rPr>
          <w:szCs w:val="22"/>
        </w:rPr>
      </w:pPr>
    </w:p>
    <w:p w:rsidR="00F62A28" w:rsidRPr="006E3F0B" w:rsidP="00F62A28">
      <w:pPr>
        <w:rPr>
          <w:b/>
          <w:bCs/>
          <w:szCs w:val="22"/>
        </w:rPr>
      </w:pPr>
      <w:r w:rsidRPr="006E3F0B">
        <w:rPr>
          <w:b/>
          <w:bCs/>
          <w:szCs w:val="22"/>
        </w:rPr>
        <w:t xml:space="preserve">Comment: </w:t>
      </w:r>
      <w:r w:rsidR="00BA3386">
        <w:rPr>
          <w:b/>
          <w:bCs/>
          <w:szCs w:val="22"/>
        </w:rPr>
        <w:t>July 24, 2020</w:t>
      </w:r>
    </w:p>
    <w:p w:rsidR="00F62A28" w:rsidRPr="006E3F0B" w:rsidP="00F62A28">
      <w:pPr>
        <w:rPr>
          <w:b/>
          <w:bCs/>
          <w:szCs w:val="22"/>
        </w:rPr>
      </w:pPr>
      <w:r w:rsidRPr="006E3F0B">
        <w:rPr>
          <w:b/>
          <w:bCs/>
          <w:szCs w:val="22"/>
        </w:rPr>
        <w:t>Reply Comment</w:t>
      </w:r>
      <w:bookmarkStart w:id="0" w:name="_GoBack"/>
      <w:bookmarkEnd w:id="0"/>
      <w:r w:rsidRPr="006E3F0B">
        <w:rPr>
          <w:b/>
          <w:bCs/>
          <w:szCs w:val="22"/>
        </w:rPr>
        <w:t xml:space="preserve">: </w:t>
      </w:r>
      <w:r w:rsidR="00BA3386">
        <w:rPr>
          <w:b/>
          <w:bCs/>
          <w:szCs w:val="22"/>
        </w:rPr>
        <w:t xml:space="preserve">August </w:t>
      </w:r>
      <w:r w:rsidR="00985F5D">
        <w:rPr>
          <w:b/>
          <w:bCs/>
          <w:szCs w:val="22"/>
        </w:rPr>
        <w:t>10</w:t>
      </w:r>
      <w:r w:rsidR="00BA3386">
        <w:rPr>
          <w:b/>
          <w:bCs/>
          <w:szCs w:val="22"/>
        </w:rPr>
        <w:t>, 2020</w:t>
      </w:r>
    </w:p>
    <w:p w:rsidR="00F62A28" w:rsidRPr="006E3F0B" w:rsidP="00F62A28">
      <w:pPr>
        <w:rPr>
          <w:szCs w:val="22"/>
        </w:rPr>
      </w:pPr>
    </w:p>
    <w:p w:rsidR="007C76CF" w:rsidRPr="006E3F0B" w:rsidP="00C251D6">
      <w:pPr>
        <w:spacing w:after="120"/>
        <w:ind w:firstLine="720"/>
        <w:rPr>
          <w:szCs w:val="22"/>
        </w:rPr>
      </w:pPr>
      <w:r w:rsidRPr="006E3F0B">
        <w:rPr>
          <w:szCs w:val="22"/>
        </w:rPr>
        <w:t xml:space="preserve">The Wireless Telecommunications Bureau seeks comment on a Petition for Rulemaking </w:t>
      </w:r>
      <w:r w:rsidR="006E3F0B">
        <w:rPr>
          <w:szCs w:val="22"/>
        </w:rPr>
        <w:t xml:space="preserve">and Declaratory Ruling </w:t>
      </w:r>
      <w:r w:rsidRPr="006E3F0B">
        <w:rPr>
          <w:szCs w:val="22"/>
        </w:rPr>
        <w:t xml:space="preserve">filed </w:t>
      </w:r>
      <w:r w:rsidRPr="006E3F0B" w:rsidR="00500DE8">
        <w:rPr>
          <w:szCs w:val="22"/>
        </w:rPr>
        <w:t xml:space="preserve">jointly </w:t>
      </w:r>
      <w:r w:rsidRPr="006E3F0B">
        <w:rPr>
          <w:szCs w:val="22"/>
        </w:rPr>
        <w:t xml:space="preserve">by </w:t>
      </w:r>
      <w:r w:rsidRPr="006E3F0B" w:rsidR="00500DE8">
        <w:rPr>
          <w:szCs w:val="22"/>
        </w:rPr>
        <w:t xml:space="preserve">CTIA – The Wireless Association </w:t>
      </w:r>
      <w:r w:rsidRPr="006E3F0B">
        <w:rPr>
          <w:szCs w:val="22"/>
        </w:rPr>
        <w:t>(</w:t>
      </w:r>
      <w:r w:rsidRPr="006E3F0B" w:rsidR="00500DE8">
        <w:rPr>
          <w:szCs w:val="22"/>
        </w:rPr>
        <w:t>C</w:t>
      </w:r>
      <w:r w:rsidRPr="006E3F0B">
        <w:rPr>
          <w:szCs w:val="22"/>
        </w:rPr>
        <w:t xml:space="preserve">TIA) </w:t>
      </w:r>
      <w:r w:rsidRPr="006E3F0B" w:rsidR="00500DE8">
        <w:rPr>
          <w:szCs w:val="22"/>
        </w:rPr>
        <w:t xml:space="preserve">and </w:t>
      </w:r>
      <w:r w:rsidRPr="006E3F0B" w:rsidR="00500DE8">
        <w:rPr>
          <w:szCs w:val="22"/>
        </w:rPr>
        <w:t>USTelecom</w:t>
      </w:r>
      <w:r w:rsidRPr="006E3F0B">
        <w:rPr>
          <w:szCs w:val="22"/>
        </w:rPr>
        <w:t xml:space="preserve"> </w:t>
      </w:r>
      <w:r w:rsidRPr="006E3F0B">
        <w:rPr>
          <w:szCs w:val="22"/>
        </w:rPr>
        <w:t>requesting that the Federal Communications Commission initiate a rulemaking proceeding</w:t>
      </w:r>
      <w:r w:rsidR="004470D1">
        <w:rPr>
          <w:szCs w:val="22"/>
        </w:rPr>
        <w:t xml:space="preserve"> and issue a declaratory ruling</w:t>
      </w:r>
      <w:r w:rsidRPr="006E3F0B">
        <w:rPr>
          <w:szCs w:val="22"/>
        </w:rPr>
        <w:t xml:space="preserve"> to</w:t>
      </w:r>
      <w:r w:rsidRPr="006E3F0B">
        <w:rPr>
          <w:szCs w:val="22"/>
        </w:rPr>
        <w:t xml:space="preserve"> </w:t>
      </w:r>
      <w:r w:rsidRPr="006E3F0B" w:rsidR="00940045">
        <w:rPr>
          <w:szCs w:val="22"/>
        </w:rPr>
        <w:t>simplify</w:t>
      </w:r>
      <w:r w:rsidRPr="006E3F0B">
        <w:rPr>
          <w:szCs w:val="22"/>
        </w:rPr>
        <w:t xml:space="preserve"> </w:t>
      </w:r>
      <w:r w:rsidRPr="006E3F0B" w:rsidR="00940045">
        <w:rPr>
          <w:szCs w:val="22"/>
        </w:rPr>
        <w:t>filing requirements for</w:t>
      </w:r>
      <w:r w:rsidRPr="006E3F0B">
        <w:rPr>
          <w:szCs w:val="22"/>
        </w:rPr>
        <w:t xml:space="preserve"> </w:t>
      </w:r>
      <w:r w:rsidRPr="00C251D6">
        <w:rPr>
          <w:i/>
          <w:iCs/>
          <w:szCs w:val="22"/>
        </w:rPr>
        <w:t>pro</w:t>
      </w:r>
      <w:r w:rsidRPr="00C251D6" w:rsidR="004470D1">
        <w:rPr>
          <w:i/>
          <w:iCs/>
          <w:szCs w:val="22"/>
        </w:rPr>
        <w:t xml:space="preserve"> </w:t>
      </w:r>
      <w:r w:rsidRPr="00C251D6">
        <w:rPr>
          <w:i/>
          <w:iCs/>
          <w:szCs w:val="22"/>
        </w:rPr>
        <w:t>forma</w:t>
      </w:r>
      <w:r w:rsidRPr="006E3F0B">
        <w:rPr>
          <w:szCs w:val="22"/>
        </w:rPr>
        <w:t xml:space="preserve"> assignment and transfer of control </w:t>
      </w:r>
      <w:r w:rsidRPr="006E3F0B" w:rsidR="003E2A79">
        <w:rPr>
          <w:szCs w:val="22"/>
        </w:rPr>
        <w:t>applications</w:t>
      </w:r>
      <w:r w:rsidRPr="006E3F0B">
        <w:rPr>
          <w:szCs w:val="22"/>
        </w:rPr>
        <w:t>.</w:t>
      </w:r>
      <w:r>
        <w:rPr>
          <w:rStyle w:val="FootnoteReference"/>
          <w:sz w:val="20"/>
        </w:rPr>
        <w:footnoteReference w:id="3"/>
      </w:r>
    </w:p>
    <w:p w:rsidR="003B7110" w:rsidRPr="006E3F0B" w:rsidP="00C251D6">
      <w:pPr>
        <w:spacing w:after="120"/>
        <w:ind w:firstLine="720"/>
        <w:rPr>
          <w:szCs w:val="22"/>
        </w:rPr>
      </w:pPr>
      <w:r w:rsidRPr="006E3F0B">
        <w:rPr>
          <w:szCs w:val="22"/>
        </w:rPr>
        <w:t xml:space="preserve">In </w:t>
      </w:r>
      <w:r w:rsidR="004470D1">
        <w:rPr>
          <w:szCs w:val="22"/>
        </w:rPr>
        <w:t>their</w:t>
      </w:r>
      <w:r w:rsidRPr="006E3F0B" w:rsidR="004470D1">
        <w:rPr>
          <w:szCs w:val="22"/>
        </w:rPr>
        <w:t xml:space="preserve"> </w:t>
      </w:r>
      <w:r w:rsidRPr="006E3F0B">
        <w:rPr>
          <w:szCs w:val="22"/>
        </w:rPr>
        <w:t xml:space="preserve">petition, </w:t>
      </w:r>
      <w:r w:rsidRPr="006E3F0B" w:rsidR="00940045">
        <w:rPr>
          <w:szCs w:val="22"/>
        </w:rPr>
        <w:t xml:space="preserve">CTIA and </w:t>
      </w:r>
      <w:r w:rsidRPr="006E3F0B" w:rsidR="00940045">
        <w:rPr>
          <w:szCs w:val="22"/>
        </w:rPr>
        <w:t>USTeleco</w:t>
      </w:r>
      <w:r w:rsidRPr="006E3F0B" w:rsidR="00DD207B">
        <w:rPr>
          <w:szCs w:val="22"/>
        </w:rPr>
        <w:t>m</w:t>
      </w:r>
      <w:r w:rsidRPr="006E3F0B" w:rsidR="00DD207B">
        <w:rPr>
          <w:szCs w:val="22"/>
        </w:rPr>
        <w:t xml:space="preserve"> </w:t>
      </w:r>
      <w:r w:rsidRPr="006E3F0B" w:rsidR="00152928">
        <w:rPr>
          <w:szCs w:val="22"/>
        </w:rPr>
        <w:t xml:space="preserve">propose </w:t>
      </w:r>
      <w:r w:rsidR="00B5140C">
        <w:rPr>
          <w:szCs w:val="22"/>
        </w:rPr>
        <w:t xml:space="preserve">that the Commission </w:t>
      </w:r>
      <w:r w:rsidRPr="006E3F0B" w:rsidR="00152928">
        <w:rPr>
          <w:szCs w:val="22"/>
        </w:rPr>
        <w:t xml:space="preserve">amend </w:t>
      </w:r>
      <w:r w:rsidR="00B5140C">
        <w:rPr>
          <w:szCs w:val="22"/>
        </w:rPr>
        <w:t>s</w:t>
      </w:r>
      <w:r w:rsidRPr="006E3F0B" w:rsidR="00152928">
        <w:rPr>
          <w:szCs w:val="22"/>
        </w:rPr>
        <w:t xml:space="preserve">ection 1.948 of the </w:t>
      </w:r>
      <w:r w:rsidRPr="006E3F0B" w:rsidR="0018554F">
        <w:rPr>
          <w:szCs w:val="22"/>
        </w:rPr>
        <w:t>Commission’s rules</w:t>
      </w:r>
      <w:r w:rsidRPr="006E3F0B" w:rsidR="00152928">
        <w:rPr>
          <w:szCs w:val="22"/>
        </w:rPr>
        <w:t>,</w:t>
      </w:r>
      <w:r>
        <w:rPr>
          <w:rStyle w:val="FootnoteReference"/>
          <w:sz w:val="20"/>
        </w:rPr>
        <w:footnoteReference w:id="4"/>
      </w:r>
      <w:r w:rsidRPr="006E3F0B" w:rsidR="00152928">
        <w:rPr>
          <w:szCs w:val="22"/>
        </w:rPr>
        <w:t xml:space="preserve"> as well as other relevant rule sections,</w:t>
      </w:r>
      <w:r>
        <w:rPr>
          <w:rStyle w:val="FootnoteReference"/>
          <w:sz w:val="20"/>
        </w:rPr>
        <w:footnoteReference w:id="5"/>
      </w:r>
      <w:r w:rsidRPr="006E3F0B" w:rsidR="00152928">
        <w:rPr>
          <w:szCs w:val="22"/>
        </w:rPr>
        <w:t xml:space="preserve"> to </w:t>
      </w:r>
      <w:r w:rsidRPr="006E3F0B">
        <w:rPr>
          <w:szCs w:val="22"/>
        </w:rPr>
        <w:t>remove the existing prior</w:t>
      </w:r>
      <w:r w:rsidRPr="006E3F0B" w:rsidR="00CC42C6">
        <w:rPr>
          <w:szCs w:val="22"/>
        </w:rPr>
        <w:t xml:space="preserve"> </w:t>
      </w:r>
      <w:r w:rsidRPr="006E3F0B">
        <w:rPr>
          <w:szCs w:val="22"/>
        </w:rPr>
        <w:t xml:space="preserve">approval </w:t>
      </w:r>
      <w:r w:rsidRPr="006E3F0B" w:rsidR="00CC42C6">
        <w:rPr>
          <w:szCs w:val="22"/>
        </w:rPr>
        <w:t xml:space="preserve">requirement </w:t>
      </w:r>
      <w:r w:rsidRPr="006E3F0B">
        <w:rPr>
          <w:szCs w:val="22"/>
        </w:rPr>
        <w:t xml:space="preserve">for </w:t>
      </w:r>
      <w:r w:rsidRPr="006E3F0B" w:rsidR="00B2008D">
        <w:rPr>
          <w:szCs w:val="22"/>
        </w:rPr>
        <w:t xml:space="preserve">all </w:t>
      </w:r>
      <w:r w:rsidRPr="00C251D6">
        <w:rPr>
          <w:i/>
          <w:iCs/>
          <w:szCs w:val="22"/>
        </w:rPr>
        <w:t>pro</w:t>
      </w:r>
      <w:r w:rsidRPr="00C251D6" w:rsidR="00B5140C">
        <w:rPr>
          <w:i/>
          <w:iCs/>
          <w:szCs w:val="22"/>
        </w:rPr>
        <w:t xml:space="preserve"> </w:t>
      </w:r>
      <w:r w:rsidRPr="00C251D6">
        <w:rPr>
          <w:i/>
          <w:iCs/>
          <w:szCs w:val="22"/>
        </w:rPr>
        <w:t>forma</w:t>
      </w:r>
      <w:r w:rsidRPr="006E3F0B">
        <w:rPr>
          <w:szCs w:val="22"/>
        </w:rPr>
        <w:t xml:space="preserve"> transactions</w:t>
      </w:r>
      <w:r w:rsidR="00540456">
        <w:rPr>
          <w:szCs w:val="22"/>
        </w:rPr>
        <w:t xml:space="preserve"> that currently </w:t>
      </w:r>
      <w:r w:rsidR="002F6942">
        <w:rPr>
          <w:szCs w:val="22"/>
        </w:rPr>
        <w:t xml:space="preserve">are </w:t>
      </w:r>
      <w:r w:rsidR="00540456">
        <w:rPr>
          <w:szCs w:val="22"/>
        </w:rPr>
        <w:t>subject to prior approval procedures</w:t>
      </w:r>
      <w:r w:rsidRPr="006E3F0B" w:rsidR="00B2008D">
        <w:rPr>
          <w:szCs w:val="22"/>
        </w:rPr>
        <w:t>.</w:t>
      </w:r>
      <w:r>
        <w:rPr>
          <w:rStyle w:val="FootnoteReference"/>
          <w:szCs w:val="22"/>
        </w:rPr>
        <w:footnoteReference w:id="6"/>
      </w:r>
      <w:r w:rsidRPr="006E3F0B" w:rsidR="00B2008D">
        <w:rPr>
          <w:szCs w:val="22"/>
        </w:rPr>
        <w:t xml:space="preserve">  Specifically, the parties propose amendments t</w:t>
      </w:r>
      <w:r w:rsidRPr="006E3F0B" w:rsidR="00F62A28">
        <w:rPr>
          <w:szCs w:val="22"/>
        </w:rPr>
        <w:t xml:space="preserve">hat </w:t>
      </w:r>
      <w:r w:rsidR="00B5140C">
        <w:rPr>
          <w:szCs w:val="22"/>
        </w:rPr>
        <w:t>would</w:t>
      </w:r>
      <w:r w:rsidRPr="006E3F0B" w:rsidR="00B5140C">
        <w:rPr>
          <w:szCs w:val="22"/>
        </w:rPr>
        <w:t xml:space="preserve"> </w:t>
      </w:r>
      <w:r w:rsidRPr="006E3F0B" w:rsidR="00586B42">
        <w:rPr>
          <w:szCs w:val="22"/>
        </w:rPr>
        <w:t>a</w:t>
      </w:r>
      <w:r w:rsidRPr="006E3F0B" w:rsidR="00940045">
        <w:rPr>
          <w:szCs w:val="22"/>
        </w:rPr>
        <w:t>utomatically deem</w:t>
      </w:r>
      <w:r w:rsidRPr="006E3F0B" w:rsidR="00152928">
        <w:rPr>
          <w:szCs w:val="22"/>
        </w:rPr>
        <w:t xml:space="preserve"> all</w:t>
      </w:r>
      <w:r w:rsidRPr="006E3F0B" w:rsidR="00940045">
        <w:rPr>
          <w:szCs w:val="22"/>
        </w:rPr>
        <w:t xml:space="preserve"> </w:t>
      </w:r>
      <w:r w:rsidRPr="00C251D6" w:rsidR="00152928">
        <w:rPr>
          <w:i/>
          <w:iCs/>
          <w:szCs w:val="22"/>
        </w:rPr>
        <w:t>pro</w:t>
      </w:r>
      <w:r w:rsidRPr="00C251D6" w:rsidR="00B5140C">
        <w:rPr>
          <w:i/>
          <w:iCs/>
          <w:szCs w:val="22"/>
        </w:rPr>
        <w:t xml:space="preserve"> </w:t>
      </w:r>
      <w:r w:rsidRPr="00C251D6" w:rsidR="00152928">
        <w:rPr>
          <w:i/>
          <w:iCs/>
          <w:szCs w:val="22"/>
        </w:rPr>
        <w:t>forma</w:t>
      </w:r>
      <w:r w:rsidRPr="006E3F0B" w:rsidR="00152928">
        <w:rPr>
          <w:szCs w:val="22"/>
        </w:rPr>
        <w:t xml:space="preserve"> transactions</w:t>
      </w:r>
      <w:r w:rsidRPr="006E3F0B" w:rsidR="00940045">
        <w:rPr>
          <w:szCs w:val="22"/>
        </w:rPr>
        <w:t xml:space="preserve"> </w:t>
      </w:r>
      <w:r w:rsidR="005A5DF8">
        <w:rPr>
          <w:szCs w:val="22"/>
        </w:rPr>
        <w:t xml:space="preserve">to be </w:t>
      </w:r>
      <w:r w:rsidRPr="006E3F0B" w:rsidR="00940045">
        <w:rPr>
          <w:szCs w:val="22"/>
        </w:rPr>
        <w:t>in the public interest</w:t>
      </w:r>
      <w:r w:rsidRPr="006E3F0B" w:rsidR="00586B42">
        <w:rPr>
          <w:szCs w:val="22"/>
        </w:rPr>
        <w:t xml:space="preserve"> and </w:t>
      </w:r>
      <w:r w:rsidR="001D63E3">
        <w:rPr>
          <w:szCs w:val="22"/>
        </w:rPr>
        <w:t>permit</w:t>
      </w:r>
      <w:r w:rsidRPr="006E3F0B" w:rsidR="00DD207B">
        <w:rPr>
          <w:szCs w:val="22"/>
        </w:rPr>
        <w:t xml:space="preserve"> all </w:t>
      </w:r>
      <w:r w:rsidRPr="00C251D6" w:rsidR="003E2A79">
        <w:rPr>
          <w:i/>
          <w:iCs/>
          <w:szCs w:val="22"/>
        </w:rPr>
        <w:t>pro</w:t>
      </w:r>
      <w:r w:rsidRPr="00C251D6" w:rsidR="005A5DF8">
        <w:rPr>
          <w:i/>
          <w:iCs/>
          <w:szCs w:val="22"/>
        </w:rPr>
        <w:t xml:space="preserve"> </w:t>
      </w:r>
      <w:r w:rsidRPr="00C251D6" w:rsidR="003E2A79">
        <w:rPr>
          <w:i/>
          <w:iCs/>
          <w:szCs w:val="22"/>
        </w:rPr>
        <w:t>forma</w:t>
      </w:r>
      <w:r w:rsidRPr="006E3F0B" w:rsidR="003E2A79">
        <w:rPr>
          <w:szCs w:val="22"/>
        </w:rPr>
        <w:t xml:space="preserve"> transactions </w:t>
      </w:r>
      <w:r w:rsidR="001D63E3">
        <w:rPr>
          <w:szCs w:val="22"/>
        </w:rPr>
        <w:t>to</w:t>
      </w:r>
      <w:r w:rsidR="005A5DF8">
        <w:rPr>
          <w:szCs w:val="22"/>
        </w:rPr>
        <w:t xml:space="preserve"> </w:t>
      </w:r>
      <w:r w:rsidRPr="006E3F0B" w:rsidR="00586B42">
        <w:rPr>
          <w:szCs w:val="22"/>
        </w:rPr>
        <w:t xml:space="preserve">be </w:t>
      </w:r>
      <w:r w:rsidRPr="006E3F0B" w:rsidR="003E2A79">
        <w:rPr>
          <w:szCs w:val="22"/>
        </w:rPr>
        <w:t>file</w:t>
      </w:r>
      <w:r w:rsidRPr="006E3F0B" w:rsidR="00586B42">
        <w:rPr>
          <w:szCs w:val="22"/>
        </w:rPr>
        <w:t>d</w:t>
      </w:r>
      <w:r w:rsidRPr="006E3F0B" w:rsidR="003E2A79">
        <w:rPr>
          <w:szCs w:val="22"/>
        </w:rPr>
        <w:t xml:space="preserve"> a</w:t>
      </w:r>
      <w:r w:rsidRPr="006E3F0B" w:rsidR="00586B42">
        <w:rPr>
          <w:szCs w:val="22"/>
        </w:rPr>
        <w:t>s</w:t>
      </w:r>
      <w:r w:rsidRPr="006E3F0B" w:rsidR="003E2A79">
        <w:rPr>
          <w:szCs w:val="22"/>
        </w:rPr>
        <w:t xml:space="preserve"> </w:t>
      </w:r>
      <w:r w:rsidRPr="006E3F0B" w:rsidR="00586B42">
        <w:rPr>
          <w:szCs w:val="22"/>
        </w:rPr>
        <w:t xml:space="preserve">30-day post-closing </w:t>
      </w:r>
      <w:r w:rsidRPr="006E3F0B" w:rsidR="003E2A79">
        <w:rPr>
          <w:szCs w:val="22"/>
        </w:rPr>
        <w:t>notification</w:t>
      </w:r>
      <w:r w:rsidRPr="006E3F0B" w:rsidR="00586B42">
        <w:rPr>
          <w:szCs w:val="22"/>
        </w:rPr>
        <w:t>s</w:t>
      </w:r>
      <w:r w:rsidR="0057558C">
        <w:rPr>
          <w:szCs w:val="22"/>
        </w:rPr>
        <w:t>,</w:t>
      </w:r>
      <w:r w:rsidRPr="006E3F0B" w:rsidR="003E2A79">
        <w:rPr>
          <w:szCs w:val="22"/>
        </w:rPr>
        <w:t xml:space="preserve"> regardless of license type</w:t>
      </w:r>
      <w:r w:rsidR="002F6942">
        <w:rPr>
          <w:szCs w:val="22"/>
        </w:rPr>
        <w:t>.</w:t>
      </w:r>
      <w:r>
        <w:rPr>
          <w:rStyle w:val="FootnoteReference"/>
          <w:sz w:val="20"/>
        </w:rPr>
        <w:footnoteReference w:id="7"/>
      </w:r>
      <w:r w:rsidR="0082356B">
        <w:rPr>
          <w:szCs w:val="22"/>
        </w:rPr>
        <w:t xml:space="preserve"> </w:t>
      </w:r>
      <w:r w:rsidR="002F6942">
        <w:rPr>
          <w:szCs w:val="22"/>
        </w:rPr>
        <w:t>I</w:t>
      </w:r>
      <w:r w:rsidR="0082356B">
        <w:rPr>
          <w:szCs w:val="22"/>
        </w:rPr>
        <w:t>n the a</w:t>
      </w:r>
      <w:r w:rsidR="00EB4C6B">
        <w:rPr>
          <w:szCs w:val="22"/>
        </w:rPr>
        <w:t>l</w:t>
      </w:r>
      <w:r w:rsidR="0082356B">
        <w:rPr>
          <w:szCs w:val="22"/>
        </w:rPr>
        <w:t xml:space="preserve">ternative, </w:t>
      </w:r>
      <w:r w:rsidR="002F6942">
        <w:rPr>
          <w:szCs w:val="22"/>
        </w:rPr>
        <w:t xml:space="preserve">the parties </w:t>
      </w:r>
      <w:r w:rsidR="007227E3">
        <w:rPr>
          <w:szCs w:val="22"/>
        </w:rPr>
        <w:t xml:space="preserve">request that </w:t>
      </w:r>
      <w:r w:rsidRPr="007629C0" w:rsidR="0048233B">
        <w:rPr>
          <w:szCs w:val="22"/>
        </w:rPr>
        <w:t xml:space="preserve">all </w:t>
      </w:r>
      <w:r w:rsidRPr="00CE71BD" w:rsidR="0048233B">
        <w:rPr>
          <w:i/>
          <w:iCs/>
          <w:szCs w:val="22"/>
        </w:rPr>
        <w:t>pro forma</w:t>
      </w:r>
      <w:r w:rsidRPr="007629C0" w:rsidR="0048233B">
        <w:rPr>
          <w:szCs w:val="22"/>
        </w:rPr>
        <w:t xml:space="preserve"> filings that are currently subject to prior approval</w:t>
      </w:r>
      <w:r w:rsidR="0048233B">
        <w:rPr>
          <w:szCs w:val="22"/>
        </w:rPr>
        <w:t xml:space="preserve"> </w:t>
      </w:r>
      <w:r w:rsidR="0057558C">
        <w:rPr>
          <w:szCs w:val="22"/>
        </w:rPr>
        <w:t xml:space="preserve">procedures </w:t>
      </w:r>
      <w:r w:rsidR="0048233B">
        <w:rPr>
          <w:szCs w:val="22"/>
        </w:rPr>
        <w:t>be approved automatically</w:t>
      </w:r>
      <w:r w:rsidRPr="006E3F0B">
        <w:rPr>
          <w:szCs w:val="22"/>
        </w:rPr>
        <w:t>.</w:t>
      </w:r>
      <w:r>
        <w:rPr>
          <w:rStyle w:val="FootnoteReference"/>
          <w:szCs w:val="22"/>
        </w:rPr>
        <w:footnoteReference w:id="8"/>
      </w:r>
      <w:r w:rsidRPr="006E3F0B" w:rsidR="0070329C">
        <w:rPr>
          <w:szCs w:val="22"/>
        </w:rPr>
        <w:t xml:space="preserve"> </w:t>
      </w:r>
      <w:r w:rsidR="00831183">
        <w:rPr>
          <w:szCs w:val="22"/>
        </w:rPr>
        <w:t xml:space="preserve"> </w:t>
      </w:r>
      <w:r w:rsidRPr="006E3F0B" w:rsidR="00FF1D1C">
        <w:rPr>
          <w:szCs w:val="22"/>
        </w:rPr>
        <w:t xml:space="preserve">CTIA and </w:t>
      </w:r>
      <w:r w:rsidRPr="006E3F0B" w:rsidR="00FF1D1C">
        <w:rPr>
          <w:szCs w:val="22"/>
        </w:rPr>
        <w:t>USTelecom</w:t>
      </w:r>
      <w:r w:rsidRPr="006E3F0B" w:rsidR="00FF1D1C">
        <w:rPr>
          <w:szCs w:val="22"/>
        </w:rPr>
        <w:t xml:space="preserve"> make numerous other suggestions to streamline, expedite</w:t>
      </w:r>
      <w:r w:rsidR="00FF1D1C">
        <w:rPr>
          <w:szCs w:val="22"/>
        </w:rPr>
        <w:t>,</w:t>
      </w:r>
      <w:r w:rsidRPr="006E3F0B" w:rsidR="00FF1D1C">
        <w:rPr>
          <w:szCs w:val="22"/>
        </w:rPr>
        <w:t xml:space="preserve"> or otherwise clarify the Commission’s </w:t>
      </w:r>
      <w:r w:rsidRPr="007957FC" w:rsidR="00FF1D1C">
        <w:rPr>
          <w:i/>
          <w:iCs/>
          <w:szCs w:val="22"/>
        </w:rPr>
        <w:t>pro</w:t>
      </w:r>
      <w:r w:rsidR="00FF1D1C">
        <w:rPr>
          <w:i/>
          <w:iCs/>
          <w:szCs w:val="22"/>
        </w:rPr>
        <w:t xml:space="preserve"> </w:t>
      </w:r>
      <w:r w:rsidRPr="007957FC" w:rsidR="00FF1D1C">
        <w:rPr>
          <w:i/>
          <w:iCs/>
          <w:szCs w:val="22"/>
        </w:rPr>
        <w:t>forma</w:t>
      </w:r>
      <w:r w:rsidRPr="006E3F0B" w:rsidR="00FF1D1C">
        <w:rPr>
          <w:szCs w:val="22"/>
        </w:rPr>
        <w:t xml:space="preserve"> transaction processing procedures, </w:t>
      </w:r>
      <w:r w:rsidR="00FF1D1C">
        <w:rPr>
          <w:szCs w:val="22"/>
        </w:rPr>
        <w:t xml:space="preserve">including changes to the Commission’s Universal Licensing </w:t>
      </w:r>
      <w:r w:rsidR="00FF1D1C">
        <w:rPr>
          <w:szCs w:val="22"/>
        </w:rPr>
        <w:t>System and revisions to related forms.  They</w:t>
      </w:r>
      <w:r w:rsidRPr="006E3F0B" w:rsidR="00FF1D1C">
        <w:rPr>
          <w:szCs w:val="22"/>
        </w:rPr>
        <w:t xml:space="preserve"> also request that the Commission issue a declaratory ruling on </w:t>
      </w:r>
      <w:r w:rsidRPr="006E3F0B" w:rsidR="00FF1D1C">
        <w:rPr>
          <w:szCs w:val="22"/>
        </w:rPr>
        <w:t>a number of</w:t>
      </w:r>
      <w:r w:rsidRPr="006E3F0B" w:rsidR="00FF1D1C">
        <w:rPr>
          <w:szCs w:val="22"/>
        </w:rPr>
        <w:t xml:space="preserve"> policies and procedures that they believe will reduce burdens on licensees involved in </w:t>
      </w:r>
      <w:r w:rsidRPr="007957FC" w:rsidR="00FF1D1C">
        <w:rPr>
          <w:i/>
          <w:iCs/>
          <w:szCs w:val="22"/>
        </w:rPr>
        <w:t>pro forma</w:t>
      </w:r>
      <w:r w:rsidRPr="006E3F0B" w:rsidR="00FF1D1C">
        <w:rPr>
          <w:szCs w:val="22"/>
        </w:rPr>
        <w:t xml:space="preserve"> assignment and transfer of control applications.</w:t>
      </w:r>
      <w:r w:rsidR="00FF1D1C">
        <w:rPr>
          <w:szCs w:val="22"/>
        </w:rPr>
        <w:t xml:space="preserve">  </w:t>
      </w:r>
      <w:r w:rsidRPr="006E3F0B">
        <w:rPr>
          <w:szCs w:val="22"/>
        </w:rPr>
        <w:t xml:space="preserve">We </w:t>
      </w:r>
      <w:r w:rsidR="007F034A">
        <w:rPr>
          <w:szCs w:val="22"/>
        </w:rPr>
        <w:t>request</w:t>
      </w:r>
      <w:r w:rsidRPr="006E3F0B" w:rsidR="007F034A">
        <w:rPr>
          <w:szCs w:val="22"/>
        </w:rPr>
        <w:t xml:space="preserve"> </w:t>
      </w:r>
      <w:r w:rsidRPr="006E3F0B">
        <w:rPr>
          <w:szCs w:val="22"/>
        </w:rPr>
        <w:t>that commenters</w:t>
      </w:r>
      <w:r w:rsidR="007F034A">
        <w:rPr>
          <w:szCs w:val="22"/>
        </w:rPr>
        <w:t xml:space="preserve"> </w:t>
      </w:r>
      <w:r w:rsidR="00C46094">
        <w:rPr>
          <w:szCs w:val="22"/>
        </w:rPr>
        <w:t>filing on</w:t>
      </w:r>
      <w:r w:rsidR="007F034A">
        <w:rPr>
          <w:szCs w:val="22"/>
        </w:rPr>
        <w:t xml:space="preserve"> the Petition specifically address how the proposals comport with</w:t>
      </w:r>
      <w:r w:rsidRPr="006E3F0B">
        <w:rPr>
          <w:szCs w:val="22"/>
        </w:rPr>
        <w:t xml:space="preserve"> the Commission’s underlying statutory obligations in </w:t>
      </w:r>
      <w:r w:rsidR="007F034A">
        <w:rPr>
          <w:szCs w:val="22"/>
        </w:rPr>
        <w:t>s</w:t>
      </w:r>
      <w:r w:rsidRPr="006E3F0B">
        <w:rPr>
          <w:szCs w:val="22"/>
        </w:rPr>
        <w:t>ection 310(d) of the Communications Act of 1934, as amended</w:t>
      </w:r>
      <w:r w:rsidR="00FF1D1C">
        <w:rPr>
          <w:szCs w:val="22"/>
        </w:rPr>
        <w:t>.</w:t>
      </w:r>
      <w:r>
        <w:rPr>
          <w:rStyle w:val="FootnoteReference"/>
          <w:sz w:val="20"/>
        </w:rPr>
        <w:footnoteReference w:id="9"/>
      </w:r>
    </w:p>
    <w:p w:rsidR="00B50ACB" w:rsidRPr="006E3F0B" w:rsidP="00500DE8">
      <w:pPr>
        <w:widowControl/>
        <w:spacing w:after="220"/>
        <w:jc w:val="center"/>
        <w:rPr>
          <w:snapToGrid/>
          <w:kern w:val="0"/>
          <w:szCs w:val="22"/>
        </w:rPr>
      </w:pPr>
      <w:r w:rsidRPr="006E3F0B">
        <w:rPr>
          <w:snapToGrid/>
          <w:kern w:val="0"/>
          <w:szCs w:val="22"/>
        </w:rPr>
        <w:t>***</w:t>
      </w:r>
    </w:p>
    <w:p w:rsidR="00B50ACB" w:rsidRPr="001D63E3" w:rsidP="007A3CAB">
      <w:pPr>
        <w:widowControl/>
        <w:spacing w:after="160" w:line="259" w:lineRule="auto"/>
        <w:ind w:firstLine="720"/>
        <w:rPr>
          <w:szCs w:val="22"/>
        </w:rPr>
      </w:pPr>
      <w:r w:rsidRPr="006E3F0B">
        <w:rPr>
          <w:i/>
          <w:szCs w:val="22"/>
        </w:rPr>
        <w:t xml:space="preserve">Filing Requirements. </w:t>
      </w:r>
      <w:r w:rsidR="00FF1D1C">
        <w:rPr>
          <w:i/>
          <w:szCs w:val="22"/>
        </w:rPr>
        <w:t xml:space="preserve"> </w:t>
      </w:r>
      <w:r w:rsidRPr="006E3F0B">
        <w:rPr>
          <w:rFonts w:eastAsia="Calibri"/>
          <w:snapToGrid/>
          <w:kern w:val="0"/>
          <w:szCs w:val="22"/>
        </w:rPr>
        <w:t xml:space="preserve">Pursuant to sections </w:t>
      </w:r>
      <w:r w:rsidRPr="006E3F0B" w:rsidR="0018554F">
        <w:rPr>
          <w:rFonts w:eastAsia="Calibri"/>
          <w:snapToGrid/>
          <w:kern w:val="0"/>
          <w:szCs w:val="22"/>
        </w:rPr>
        <w:t xml:space="preserve">1.45, </w:t>
      </w:r>
      <w:r w:rsidRPr="006E3F0B">
        <w:rPr>
          <w:rFonts w:eastAsia="Calibri"/>
          <w:snapToGrid/>
          <w:kern w:val="0"/>
          <w:szCs w:val="22"/>
        </w:rPr>
        <w:t>1.415 and 1.419 of the Commission's rules,</w:t>
      </w:r>
      <w:r>
        <w:rPr>
          <w:rStyle w:val="FootnoteReference"/>
          <w:rFonts w:eastAsia="Calibri"/>
          <w:snapToGrid/>
          <w:kern w:val="0"/>
          <w:szCs w:val="22"/>
        </w:rPr>
        <w:footnoteReference w:id="10"/>
      </w:r>
      <w:r w:rsidRPr="006E3F0B">
        <w:rPr>
          <w:rFonts w:eastAsia="Calibri"/>
          <w:snapToGrid/>
          <w:kern w:val="0"/>
          <w:szCs w:val="22"/>
        </w:rPr>
        <w:t xml:space="preserve"> interested parties may file comments and reply comments on or before the dates indicated above and must reference </w:t>
      </w:r>
      <w:r w:rsidRPr="00A77644" w:rsidR="00FF1D1C">
        <w:rPr>
          <w:rFonts w:eastAsia="Calibri"/>
          <w:b/>
          <w:bCs/>
          <w:snapToGrid/>
          <w:kern w:val="0"/>
          <w:szCs w:val="22"/>
        </w:rPr>
        <w:t>WT</w:t>
      </w:r>
      <w:r w:rsidRPr="00A77644">
        <w:rPr>
          <w:rFonts w:eastAsia="Calibri"/>
          <w:b/>
          <w:bCs/>
          <w:snapToGrid/>
          <w:kern w:val="0"/>
          <w:szCs w:val="22"/>
        </w:rPr>
        <w:t xml:space="preserve"> Docket No. </w:t>
      </w:r>
      <w:r w:rsidRPr="00A77644" w:rsidR="00FF1D1C">
        <w:rPr>
          <w:rFonts w:eastAsia="Calibri"/>
          <w:b/>
          <w:bCs/>
          <w:snapToGrid/>
          <w:kern w:val="0"/>
          <w:szCs w:val="22"/>
        </w:rPr>
        <w:t>20-</w:t>
      </w:r>
      <w:r w:rsidRPr="00A77644" w:rsidR="004A1FC9">
        <w:rPr>
          <w:rFonts w:eastAsia="Calibri"/>
          <w:b/>
          <w:bCs/>
          <w:snapToGrid/>
          <w:kern w:val="0"/>
          <w:szCs w:val="22"/>
        </w:rPr>
        <w:t>186</w:t>
      </w:r>
      <w:r w:rsidR="00A77644">
        <w:rPr>
          <w:rFonts w:eastAsia="Calibri"/>
          <w:snapToGrid/>
          <w:kern w:val="0"/>
          <w:szCs w:val="22"/>
        </w:rPr>
        <w:t xml:space="preserve"> and </w:t>
      </w:r>
      <w:r w:rsidRPr="00A77644" w:rsidR="00A77644">
        <w:rPr>
          <w:rFonts w:eastAsia="Calibri"/>
          <w:b/>
          <w:bCs/>
          <w:snapToGrid/>
          <w:kern w:val="0"/>
          <w:szCs w:val="22"/>
        </w:rPr>
        <w:t>RM-11860</w:t>
      </w:r>
      <w:r w:rsidRPr="006E3F0B">
        <w:rPr>
          <w:rFonts w:eastAsia="Calibri"/>
          <w:snapToGrid/>
          <w:kern w:val="0"/>
          <w:szCs w:val="22"/>
        </w:rPr>
        <w:t xml:space="preserve">. </w:t>
      </w:r>
      <w:r w:rsidR="00FF1D1C">
        <w:rPr>
          <w:rFonts w:eastAsia="Calibri"/>
          <w:snapToGrid/>
          <w:kern w:val="0"/>
          <w:szCs w:val="22"/>
        </w:rPr>
        <w:t xml:space="preserve"> </w:t>
      </w:r>
      <w:r w:rsidRPr="006E3F0B">
        <w:rPr>
          <w:rFonts w:eastAsia="Calibri"/>
          <w:snapToGrid/>
          <w:kern w:val="0"/>
          <w:szCs w:val="22"/>
        </w:rPr>
        <w:t>Comments may be filed using the Commission's Electronic Comment Filing System (ECFS).</w:t>
      </w:r>
      <w:r>
        <w:rPr>
          <w:rStyle w:val="FootnoteReference"/>
          <w:rFonts w:eastAsia="Calibri"/>
          <w:snapToGrid/>
          <w:kern w:val="0"/>
          <w:sz w:val="20"/>
        </w:rPr>
        <w:footnoteReference w:id="11"/>
      </w:r>
      <w:r w:rsidRPr="006E3F0B">
        <w:rPr>
          <w:rFonts w:eastAsia="Calibri"/>
          <w:snapToGrid/>
          <w:kern w:val="0"/>
          <w:szCs w:val="22"/>
        </w:rPr>
        <w:t> </w:t>
      </w:r>
    </w:p>
    <w:p w:rsidR="00B50ACB" w:rsidRPr="001D63E3" w:rsidP="00B50ACB">
      <w:pPr>
        <w:numPr>
          <w:ilvl w:val="0"/>
          <w:numId w:val="7"/>
        </w:numPr>
        <w:spacing w:after="120"/>
        <w:ind w:left="720"/>
        <w:rPr>
          <w:szCs w:val="22"/>
        </w:rPr>
      </w:pPr>
      <w:r w:rsidRPr="001D63E3">
        <w:rPr>
          <w:szCs w:val="22"/>
        </w:rPr>
        <w:t>Electronic Filers:  Comments may be filed electronically using the internet by accessing the ECFS:</w:t>
      </w:r>
      <w:r w:rsidR="00FF1D1C">
        <w:rPr>
          <w:szCs w:val="22"/>
        </w:rPr>
        <w:t xml:space="preserve"> </w:t>
      </w:r>
      <w:r w:rsidRPr="001D63E3">
        <w:rPr>
          <w:szCs w:val="22"/>
        </w:rPr>
        <w:t xml:space="preserve"> </w:t>
      </w:r>
      <w:hyperlink r:id="rId5" w:history="1">
        <w:r w:rsidRPr="001D63E3">
          <w:rPr>
            <w:color w:val="0000FF"/>
            <w:szCs w:val="22"/>
            <w:u w:val="single"/>
          </w:rPr>
          <w:t>https://www.fcc.gov/ecfs/</w:t>
        </w:r>
      </w:hyperlink>
      <w:r w:rsidRPr="001D63E3">
        <w:rPr>
          <w:szCs w:val="22"/>
        </w:rPr>
        <w:t xml:space="preserve">. </w:t>
      </w:r>
    </w:p>
    <w:p w:rsidR="00B50ACB" w:rsidRPr="001D63E3" w:rsidP="00B50ACB">
      <w:pPr>
        <w:numPr>
          <w:ilvl w:val="0"/>
          <w:numId w:val="7"/>
        </w:numPr>
        <w:spacing w:after="120"/>
        <w:ind w:left="720"/>
        <w:rPr>
          <w:szCs w:val="22"/>
        </w:rPr>
      </w:pPr>
      <w:r w:rsidRPr="001D63E3">
        <w:rPr>
          <w:szCs w:val="22"/>
        </w:rPr>
        <w:t>Paper Filers:  Parties who choose to file by paper must file an original and one copy of each filing.</w:t>
      </w:r>
    </w:p>
    <w:p w:rsidR="00B50ACB" w:rsidRPr="001D63E3" w:rsidP="00B50ACB">
      <w:pPr>
        <w:spacing w:after="120"/>
        <w:ind w:left="720"/>
        <w:rPr>
          <w:szCs w:val="22"/>
        </w:rPr>
      </w:pPr>
      <w:r w:rsidRPr="001D63E3">
        <w:rPr>
          <w:szCs w:val="22"/>
        </w:rPr>
        <w:t>Filings can be sent by commercial courier or by the U.S. Postal Service.  All filings must be addressed to the Commission’s Secretary, Office of the Secretary, Federal Communications Commission.</w:t>
      </w:r>
    </w:p>
    <w:p w:rsidR="00B50ACB" w:rsidRPr="001D63E3" w:rsidP="00B50ACB">
      <w:pPr>
        <w:numPr>
          <w:ilvl w:val="0"/>
          <w:numId w:val="7"/>
        </w:numPr>
        <w:spacing w:after="120"/>
        <w:rPr>
          <w:szCs w:val="22"/>
        </w:rPr>
      </w:pPr>
      <w:r w:rsidRPr="001D63E3">
        <w:rPr>
          <w:szCs w:val="22"/>
        </w:rPr>
        <w:t xml:space="preserve">Commercial deliveries (other than U.S. Postal Service Express Mail and Priority Mail) must be sent to 9050 Junction Drive, Annapolis Junction, MD 20701. </w:t>
      </w:r>
    </w:p>
    <w:p w:rsidR="00B50ACB" w:rsidRPr="001D63E3" w:rsidP="00B50ACB">
      <w:pPr>
        <w:numPr>
          <w:ilvl w:val="0"/>
          <w:numId w:val="7"/>
        </w:numPr>
        <w:spacing w:after="120"/>
        <w:rPr>
          <w:szCs w:val="22"/>
        </w:rPr>
      </w:pPr>
      <w:r w:rsidRPr="001D63E3">
        <w:rPr>
          <w:szCs w:val="22"/>
        </w:rPr>
        <w:t>U.S. Postal Service First-Class, Express, and Priority mail must be addressed to 445 12</w:t>
      </w:r>
      <w:r w:rsidRPr="001D63E3">
        <w:rPr>
          <w:szCs w:val="22"/>
          <w:vertAlign w:val="superscript"/>
        </w:rPr>
        <w:t>th</w:t>
      </w:r>
      <w:r w:rsidRPr="001D63E3">
        <w:rPr>
          <w:szCs w:val="22"/>
        </w:rPr>
        <w:t xml:space="preserve"> Street, SW, Washington, DC 20554. </w:t>
      </w:r>
    </w:p>
    <w:p w:rsidR="00B50ACB" w:rsidRPr="001D63E3" w:rsidP="00C251D6">
      <w:pPr>
        <w:widowControl/>
        <w:numPr>
          <w:ilvl w:val="0"/>
          <w:numId w:val="7"/>
        </w:numPr>
        <w:spacing w:after="120" w:line="259" w:lineRule="auto"/>
        <w:rPr>
          <w:rFonts w:eastAsia="Calibri"/>
          <w:snapToGrid/>
          <w:kern w:val="0"/>
          <w:szCs w:val="22"/>
          <w:u w:val="single"/>
        </w:rPr>
      </w:pPr>
      <w:r w:rsidRPr="001D63E3">
        <w:rPr>
          <w:rFonts w:eastAsia="Calibri"/>
          <w:b/>
          <w:bCs/>
          <w:snapToGrid/>
          <w:kern w:val="0"/>
          <w:szCs w:val="22"/>
        </w:rPr>
        <w:t xml:space="preserve">Effective March 19, 2020, and until further notice, the Commission no longer accepts any hand or messenger delivered filings. </w:t>
      </w:r>
      <w:r w:rsidR="00FF1D1C">
        <w:rPr>
          <w:rFonts w:eastAsia="Calibri"/>
          <w:b/>
          <w:bCs/>
          <w:snapToGrid/>
          <w:kern w:val="0"/>
          <w:szCs w:val="22"/>
        </w:rPr>
        <w:t xml:space="preserve"> </w:t>
      </w:r>
      <w:r w:rsidRPr="001D63E3">
        <w:rPr>
          <w:rFonts w:eastAsia="Calibri"/>
          <w:b/>
          <w:bCs/>
          <w:snapToGrid/>
          <w:kern w:val="0"/>
          <w:szCs w:val="22"/>
        </w:rPr>
        <w:t>This is a temporary measure taken to help protect the health and safety of individuals, and to mitigate the transmission of COVID-19.</w:t>
      </w:r>
      <w:r>
        <w:rPr>
          <w:rStyle w:val="FootnoteReference"/>
          <w:rFonts w:eastAsia="Calibri"/>
          <w:b/>
          <w:bCs/>
          <w:snapToGrid/>
          <w:kern w:val="0"/>
          <w:sz w:val="20"/>
        </w:rPr>
        <w:footnoteReference w:id="12"/>
      </w:r>
    </w:p>
    <w:p w:rsidR="00B50ACB" w:rsidRPr="001D63E3" w:rsidP="00B50ACB">
      <w:pPr>
        <w:spacing w:after="120"/>
        <w:ind w:firstLine="720"/>
        <w:rPr>
          <w:szCs w:val="22"/>
        </w:rPr>
      </w:pPr>
      <w:r w:rsidRPr="001D63E3">
        <w:rPr>
          <w:i/>
          <w:iCs/>
          <w:szCs w:val="22"/>
        </w:rPr>
        <w:t>People with Disabilities</w:t>
      </w:r>
      <w:r w:rsidRPr="001D63E3">
        <w:rPr>
          <w:szCs w:val="22"/>
        </w:rPr>
        <w:t xml:space="preserve">:  To request materials in accessible formats for people with disabilities (braille, large print, electronic files, audio format), send an e-mail to </w:t>
      </w:r>
      <w:hyperlink r:id="rId6" w:history="1">
        <w:r w:rsidRPr="001D63E3">
          <w:rPr>
            <w:color w:val="0000FF"/>
            <w:szCs w:val="22"/>
            <w:u w:val="single"/>
          </w:rPr>
          <w:t>fcc504@fcc.gov</w:t>
        </w:r>
      </w:hyperlink>
      <w:r w:rsidRPr="001D63E3">
        <w:rPr>
          <w:szCs w:val="22"/>
        </w:rPr>
        <w:t xml:space="preserve"> or call the Consumer &amp; Government Affairs Bureau at 202-418-0530 (voice, 202-418-0432 (</w:t>
      </w:r>
      <w:r w:rsidRPr="001D63E3">
        <w:rPr>
          <w:szCs w:val="22"/>
        </w:rPr>
        <w:t>tty</w:t>
      </w:r>
      <w:r w:rsidRPr="001D63E3">
        <w:rPr>
          <w:szCs w:val="22"/>
        </w:rPr>
        <w:t xml:space="preserve">). </w:t>
      </w:r>
    </w:p>
    <w:p w:rsidR="00B50ACB" w:rsidRPr="001D63E3" w:rsidP="00B50ACB">
      <w:pPr>
        <w:spacing w:after="120"/>
        <w:ind w:firstLine="720"/>
        <w:rPr>
          <w:szCs w:val="22"/>
        </w:rPr>
      </w:pPr>
      <w:r w:rsidRPr="001D63E3">
        <w:rPr>
          <w:i/>
          <w:iCs/>
          <w:szCs w:val="22"/>
        </w:rPr>
        <w:t xml:space="preserve">Ex </w:t>
      </w:r>
      <w:r w:rsidRPr="001D63E3">
        <w:rPr>
          <w:i/>
          <w:iCs/>
          <w:szCs w:val="22"/>
        </w:rPr>
        <w:t>Parte</w:t>
      </w:r>
      <w:r w:rsidRPr="001D63E3">
        <w:rPr>
          <w:i/>
          <w:iCs/>
          <w:szCs w:val="22"/>
        </w:rPr>
        <w:t xml:space="preserve"> Rules</w:t>
      </w:r>
      <w:r w:rsidRPr="001D63E3">
        <w:rPr>
          <w:szCs w:val="22"/>
        </w:rPr>
        <w:t xml:space="preserve">.  This proceeding shall be treated as a “permit-but-disclose” proceeding in accordance with the Commission’s </w:t>
      </w:r>
      <w:r w:rsidRPr="001D63E3">
        <w:rPr>
          <w:i/>
          <w:iCs/>
          <w:szCs w:val="22"/>
        </w:rPr>
        <w:t xml:space="preserve">ex </w:t>
      </w:r>
      <w:r w:rsidRPr="001D63E3">
        <w:rPr>
          <w:i/>
          <w:iCs/>
          <w:szCs w:val="22"/>
        </w:rPr>
        <w:t>parte</w:t>
      </w:r>
      <w:r w:rsidRPr="001D63E3">
        <w:rPr>
          <w:szCs w:val="22"/>
        </w:rPr>
        <w:t xml:space="preserve"> rules.</w:t>
      </w:r>
      <w:r>
        <w:rPr>
          <w:sz w:val="20"/>
          <w:vertAlign w:val="superscript"/>
        </w:rPr>
        <w:footnoteReference w:id="13"/>
      </w:r>
      <w:r w:rsidRPr="001D63E3">
        <w:rPr>
          <w:szCs w:val="22"/>
        </w:rPr>
        <w:t xml:space="preserve">  Persons making </w:t>
      </w:r>
      <w:r w:rsidRPr="001D63E3">
        <w:rPr>
          <w:i/>
          <w:iCs/>
          <w:szCs w:val="22"/>
        </w:rPr>
        <w:t xml:space="preserve">ex </w:t>
      </w:r>
      <w:r w:rsidRPr="001D63E3">
        <w:rPr>
          <w:i/>
          <w:iCs/>
          <w:szCs w:val="22"/>
        </w:rPr>
        <w:t>parte</w:t>
      </w:r>
      <w:r w:rsidRPr="001D63E3">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1D63E3">
        <w:rPr>
          <w:i/>
          <w:iCs/>
          <w:szCs w:val="22"/>
        </w:rPr>
        <w:t xml:space="preserve">ex </w:t>
      </w:r>
      <w:r w:rsidRPr="001D63E3">
        <w:rPr>
          <w:i/>
          <w:iCs/>
          <w:szCs w:val="22"/>
        </w:rPr>
        <w:t>parte</w:t>
      </w:r>
      <w:r w:rsidRPr="001D63E3">
        <w:rPr>
          <w:szCs w:val="22"/>
        </w:rPr>
        <w:t xml:space="preserve"> presentations are reminded that memoranda summarizing the presentation must</w:t>
      </w:r>
      <w:r w:rsidRPr="001D63E3">
        <w:rPr>
          <w:szCs w:val="22"/>
        </w:rPr>
        <w:t>:</w:t>
      </w:r>
      <w:r w:rsidR="00FF1D1C">
        <w:rPr>
          <w:szCs w:val="22"/>
        </w:rPr>
        <w:t xml:space="preserve"> </w:t>
      </w:r>
      <w:r w:rsidRPr="001D63E3">
        <w:rPr>
          <w:szCs w:val="22"/>
        </w:rPr>
        <w:t xml:space="preserve"> (</w:t>
      </w:r>
      <w:r w:rsidRPr="001D63E3">
        <w:rPr>
          <w:szCs w:val="22"/>
        </w:rPr>
        <w:t xml:space="preserve">1) list all persons attending or otherwise participating in the meeting at which the </w:t>
      </w:r>
      <w:r w:rsidRPr="001D63E3">
        <w:rPr>
          <w:i/>
          <w:iCs/>
          <w:szCs w:val="22"/>
        </w:rPr>
        <w:t xml:space="preserve">ex </w:t>
      </w:r>
      <w:r w:rsidRPr="001D63E3">
        <w:rPr>
          <w:i/>
          <w:iCs/>
          <w:szCs w:val="22"/>
        </w:rPr>
        <w:t>parte</w:t>
      </w:r>
      <w:r w:rsidRPr="001D63E3">
        <w:rPr>
          <w:szCs w:val="22"/>
        </w:rPr>
        <w:t xml:space="preserve"> presentation was made; and (2) summarize all data presented and arguments made during the presentation.  If the presentation consisted in whole or in part of the presentation of data or arguments </w:t>
      </w:r>
      <w:r w:rsidRPr="001D63E3">
        <w:rPr>
          <w:szCs w:val="22"/>
        </w:rPr>
        <w:t>already reflected in the presenter</w:t>
      </w:r>
      <w:r w:rsidR="00EA3B76">
        <w:rPr>
          <w:szCs w:val="22"/>
        </w:rPr>
        <w:t>’</w:t>
      </w:r>
      <w:r w:rsidRPr="001D63E3">
        <w:rPr>
          <w:szCs w:val="22"/>
        </w:rPr>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D63E3">
        <w:rPr>
          <w:i/>
          <w:iCs/>
          <w:szCs w:val="22"/>
        </w:rPr>
        <w:t xml:space="preserve">ex </w:t>
      </w:r>
      <w:r w:rsidRPr="001D63E3">
        <w:rPr>
          <w:i/>
          <w:iCs/>
          <w:szCs w:val="22"/>
        </w:rPr>
        <w:t>parte</w:t>
      </w:r>
      <w:r w:rsidRPr="001D63E3">
        <w:rPr>
          <w:szCs w:val="22"/>
        </w:rPr>
        <w:t xml:space="preserve"> meetings are deemed to be written </w:t>
      </w:r>
      <w:r w:rsidRPr="001D63E3">
        <w:rPr>
          <w:i/>
          <w:iCs/>
          <w:szCs w:val="22"/>
        </w:rPr>
        <w:t xml:space="preserve">ex </w:t>
      </w:r>
      <w:r w:rsidRPr="001D63E3">
        <w:rPr>
          <w:i/>
          <w:iCs/>
          <w:szCs w:val="22"/>
        </w:rPr>
        <w:t>parte</w:t>
      </w:r>
      <w:r w:rsidRPr="001D63E3">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1D63E3">
        <w:rPr>
          <w:i/>
          <w:iCs/>
          <w:szCs w:val="22"/>
        </w:rPr>
        <w:t xml:space="preserve">ex </w:t>
      </w:r>
      <w:r w:rsidRPr="001D63E3">
        <w:rPr>
          <w:i/>
          <w:iCs/>
          <w:szCs w:val="22"/>
        </w:rPr>
        <w:t>parte</w:t>
      </w:r>
      <w:r w:rsidRPr="001D63E3">
        <w:rPr>
          <w:szCs w:val="22"/>
        </w:rPr>
        <w:t xml:space="preserve"> presentations and memoranda summarizing oral </w:t>
      </w:r>
      <w:r w:rsidRPr="001D63E3">
        <w:rPr>
          <w:i/>
          <w:iCs/>
          <w:szCs w:val="22"/>
        </w:rPr>
        <w:t xml:space="preserve">ex </w:t>
      </w:r>
      <w:r w:rsidRPr="001D63E3">
        <w:rPr>
          <w:i/>
          <w:iCs/>
          <w:szCs w:val="22"/>
        </w:rPr>
        <w:t>parte</w:t>
      </w:r>
      <w:r w:rsidRPr="001D63E3">
        <w:rPr>
          <w:i/>
          <w:iCs/>
          <w:szCs w:val="22"/>
        </w:rPr>
        <w:t xml:space="preserve"> </w:t>
      </w:r>
      <w:r w:rsidRPr="001D63E3">
        <w:rPr>
          <w:szCs w:val="22"/>
        </w:rPr>
        <w:t>presentations, and all attachments thereto, must be filed through the electronic comment filing system available for that proceeding, and must be filed in their native format (</w:t>
      </w:r>
      <w:r w:rsidRPr="001D63E3">
        <w:rPr>
          <w:i/>
          <w:iCs/>
          <w:szCs w:val="22"/>
        </w:rPr>
        <w:t>e.g.</w:t>
      </w:r>
      <w:r w:rsidRPr="001D63E3">
        <w:rPr>
          <w:szCs w:val="22"/>
        </w:rPr>
        <w:t>, .doc, .xml., .ppt, searchable .pdf).</w:t>
      </w:r>
      <w:r>
        <w:rPr>
          <w:sz w:val="20"/>
          <w:vertAlign w:val="superscript"/>
        </w:rPr>
        <w:footnoteReference w:id="14"/>
      </w:r>
      <w:r w:rsidRPr="001D63E3">
        <w:rPr>
          <w:szCs w:val="22"/>
        </w:rPr>
        <w:t xml:space="preserve">  Participants in this proceeding should familiarize themselves with the Commission’s </w:t>
      </w:r>
      <w:r w:rsidRPr="001D63E3">
        <w:rPr>
          <w:i/>
          <w:iCs/>
          <w:szCs w:val="22"/>
        </w:rPr>
        <w:t xml:space="preserve">ex </w:t>
      </w:r>
      <w:r w:rsidRPr="001D63E3">
        <w:rPr>
          <w:i/>
          <w:iCs/>
          <w:szCs w:val="22"/>
        </w:rPr>
        <w:t>parte</w:t>
      </w:r>
      <w:r w:rsidRPr="001D63E3">
        <w:rPr>
          <w:szCs w:val="22"/>
        </w:rPr>
        <w:t xml:space="preserve"> rules.</w:t>
      </w:r>
    </w:p>
    <w:p w:rsidR="007A3CAB" w:rsidRPr="001D63E3" w:rsidP="007A3CAB">
      <w:pPr>
        <w:ind w:firstLine="720"/>
        <w:rPr>
          <w:szCs w:val="22"/>
        </w:rPr>
      </w:pPr>
      <w:r w:rsidRPr="001D63E3">
        <w:rPr>
          <w:i/>
          <w:szCs w:val="22"/>
        </w:rPr>
        <w:t xml:space="preserve">Additional Information.  </w:t>
      </w:r>
      <w:r w:rsidRPr="001D63E3">
        <w:rPr>
          <w:szCs w:val="22"/>
        </w:rPr>
        <w:t xml:space="preserve">For further information regarding this Public Notice, please contact </w:t>
      </w:r>
      <w:r w:rsidR="00C251D6">
        <w:rPr>
          <w:szCs w:val="22"/>
        </w:rPr>
        <w:t>Katherine Patsas</w:t>
      </w:r>
      <w:r w:rsidR="00BA3386">
        <w:rPr>
          <w:szCs w:val="22"/>
        </w:rPr>
        <w:t xml:space="preserve"> </w:t>
      </w:r>
      <w:r w:rsidR="00C251D6">
        <w:rPr>
          <w:szCs w:val="22"/>
        </w:rPr>
        <w:t>Nevitt</w:t>
      </w:r>
      <w:r w:rsidRPr="001D63E3">
        <w:rPr>
          <w:szCs w:val="22"/>
        </w:rPr>
        <w:t xml:space="preserve"> at </w:t>
      </w:r>
      <w:r w:rsidR="00C251D6">
        <w:rPr>
          <w:szCs w:val="22"/>
        </w:rPr>
        <w:t>Katherine.</w:t>
      </w:r>
      <w:r w:rsidR="00CF1C30">
        <w:rPr>
          <w:szCs w:val="22"/>
        </w:rPr>
        <w:t>N</w:t>
      </w:r>
      <w:r w:rsidR="00C251D6">
        <w:rPr>
          <w:szCs w:val="22"/>
        </w:rPr>
        <w:t>evitt@</w:t>
      </w:r>
      <w:r w:rsidRPr="001D63E3">
        <w:rPr>
          <w:szCs w:val="22"/>
        </w:rPr>
        <w:t xml:space="preserve">fcc.gov </w:t>
      </w:r>
      <w:r w:rsidR="00C251D6">
        <w:rPr>
          <w:szCs w:val="22"/>
        </w:rPr>
        <w:t xml:space="preserve">(WTB Mobility Division) </w:t>
      </w:r>
      <w:r w:rsidRPr="001D63E3">
        <w:rPr>
          <w:szCs w:val="22"/>
        </w:rPr>
        <w:t xml:space="preserve">or </w:t>
      </w:r>
      <w:r w:rsidR="00737179">
        <w:rPr>
          <w:szCs w:val="22"/>
        </w:rPr>
        <w:t xml:space="preserve">Linda Ray at </w:t>
      </w:r>
      <w:r w:rsidR="00737179">
        <w:rPr>
          <w:szCs w:val="22"/>
        </w:rPr>
        <w:t>Linda.Ray@</w:t>
      </w:r>
      <w:r w:rsidR="00737179">
        <w:rPr>
          <w:szCs w:val="22"/>
        </w:rPr>
        <w:t>fcc,gov</w:t>
      </w:r>
      <w:r w:rsidR="00737179">
        <w:rPr>
          <w:szCs w:val="22"/>
        </w:rPr>
        <w:t xml:space="preserve"> </w:t>
      </w:r>
      <w:r w:rsidR="00C251D6">
        <w:rPr>
          <w:szCs w:val="22"/>
        </w:rPr>
        <w:t>(WTB Broadband Division)</w:t>
      </w:r>
      <w:r w:rsidRPr="001D63E3">
        <w:rPr>
          <w:szCs w:val="22"/>
        </w:rPr>
        <w:t>.</w:t>
      </w:r>
    </w:p>
    <w:p w:rsidR="007A3CAB" w:rsidRPr="001D63E3" w:rsidP="007A3CAB">
      <w:pPr>
        <w:ind w:firstLine="720"/>
        <w:rPr>
          <w:iCs/>
          <w:szCs w:val="22"/>
        </w:rPr>
      </w:pPr>
    </w:p>
    <w:p w:rsidR="00B50ACB" w:rsidRPr="001D63E3" w:rsidP="007A3CAB">
      <w:pPr>
        <w:jc w:val="center"/>
        <w:rPr>
          <w:iCs/>
          <w:szCs w:val="22"/>
        </w:rPr>
      </w:pPr>
      <w:r w:rsidRPr="006E3F0B">
        <w:rPr>
          <w:rFonts w:eastAsia="Calibri"/>
          <w:b/>
          <w:snapToGrid/>
          <w:kern w:val="0"/>
          <w:szCs w:val="22"/>
        </w:rPr>
        <w:t>-FCC-</w:t>
      </w:r>
    </w:p>
    <w:p w:rsidR="00B50ACB" w:rsidRPr="001D63E3" w:rsidP="00F96F63">
      <w:pPr>
        <w:rPr>
          <w:szCs w:val="22"/>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3406">
      <w:r>
        <w:separator/>
      </w:r>
    </w:p>
  </w:footnote>
  <w:footnote w:type="continuationSeparator" w:id="1">
    <w:p w:rsidR="00EC3406">
      <w:pPr>
        <w:rPr>
          <w:sz w:val="20"/>
        </w:rPr>
      </w:pPr>
      <w:r>
        <w:rPr>
          <w:sz w:val="20"/>
        </w:rPr>
        <w:t xml:space="preserve">(Continued from previous page)  </w:t>
      </w:r>
      <w:r>
        <w:rPr>
          <w:sz w:val="20"/>
        </w:rPr>
        <w:separator/>
      </w:r>
    </w:p>
  </w:footnote>
  <w:footnote w:type="continuationNotice" w:id="2">
    <w:p w:rsidR="00EC3406" w:rsidP="00910F12">
      <w:pPr>
        <w:jc w:val="right"/>
        <w:rPr>
          <w:sz w:val="20"/>
        </w:rPr>
      </w:pPr>
      <w:r>
        <w:rPr>
          <w:sz w:val="20"/>
        </w:rPr>
        <w:t>(continued….)</w:t>
      </w:r>
    </w:p>
  </w:footnote>
  <w:footnote w:id="3">
    <w:p w:rsidR="00F62A28">
      <w:pPr>
        <w:pStyle w:val="FootnoteText"/>
      </w:pPr>
      <w:r w:rsidRPr="001A5BF5">
        <w:rPr>
          <w:rStyle w:val="FootnoteReference"/>
          <w:sz w:val="20"/>
        </w:rPr>
        <w:footnoteRef/>
      </w:r>
      <w:r>
        <w:t xml:space="preserve"> </w:t>
      </w:r>
      <w:r w:rsidRPr="00F62A28">
        <w:t xml:space="preserve">Petition </w:t>
      </w:r>
      <w:r w:rsidR="004470D1">
        <w:t xml:space="preserve">of </w:t>
      </w:r>
      <w:r w:rsidRPr="00F62A28" w:rsidR="004470D1">
        <w:t xml:space="preserve">CTIA – The Wireless Association and </w:t>
      </w:r>
      <w:r w:rsidRPr="00F62A28" w:rsidR="004470D1">
        <w:t>USTelecom</w:t>
      </w:r>
      <w:r w:rsidRPr="00F62A28" w:rsidR="004470D1">
        <w:t xml:space="preserve"> </w:t>
      </w:r>
      <w:r w:rsidRPr="00F62A28">
        <w:t xml:space="preserve">for Rulemaking </w:t>
      </w:r>
      <w:r>
        <w:t xml:space="preserve">and Declaratory Ruling </w:t>
      </w:r>
      <w:r w:rsidR="004470D1">
        <w:t>T</w:t>
      </w:r>
      <w:r>
        <w:t>o Streamline Federal Communications Commission Processes Regarding Non-</w:t>
      </w:r>
      <w:r w:rsidR="004470D1">
        <w:t>S</w:t>
      </w:r>
      <w:r>
        <w:t xml:space="preserve">ubstantial Assignments of Licenses and Transfers of Control </w:t>
      </w:r>
      <w:r w:rsidR="000B2B65">
        <w:t>(</w:t>
      </w:r>
      <w:r w:rsidRPr="00F62A28">
        <w:t xml:space="preserve">filed </w:t>
      </w:r>
      <w:r>
        <w:t>June 5, 2020</w:t>
      </w:r>
      <w:r w:rsidR="000B2B65">
        <w:t>)</w:t>
      </w:r>
      <w:r w:rsidRPr="00F62A28">
        <w:t xml:space="preserve"> </w:t>
      </w:r>
      <w:r>
        <w:t xml:space="preserve">(Petition), </w:t>
      </w:r>
      <w:hyperlink r:id="rId1" w:history="1">
        <w:r w:rsidRPr="00DC187F" w:rsidR="002B0323">
          <w:rPr>
            <w:rStyle w:val="Hyperlink"/>
          </w:rPr>
          <w:t>https://ecfsapi.fcc.gov/file/106051130814680/200605%20CTIA-USTelecom%20Pro%20Forma%20Reform%20Petition%20-%20FINAL.pdf</w:t>
        </w:r>
      </w:hyperlink>
      <w:r w:rsidR="007227E3">
        <w:rPr>
          <w:rStyle w:val="Hyperlink"/>
        </w:rPr>
        <w:t xml:space="preserve">. </w:t>
      </w:r>
      <w:r w:rsidR="002B0323">
        <w:t xml:space="preserve"> </w:t>
      </w:r>
    </w:p>
  </w:footnote>
  <w:footnote w:id="4">
    <w:p w:rsidR="00B5140C" w:rsidRPr="00B5140C">
      <w:pPr>
        <w:pStyle w:val="FootnoteText"/>
      </w:pPr>
      <w:r w:rsidRPr="001A5BF5">
        <w:rPr>
          <w:rStyle w:val="FootnoteReference"/>
          <w:sz w:val="20"/>
        </w:rPr>
        <w:footnoteRef/>
      </w:r>
      <w:r w:rsidRPr="00B5140C">
        <w:t xml:space="preserve"> </w:t>
      </w:r>
      <w:r>
        <w:t>47 CFR § 1.948.</w:t>
      </w:r>
    </w:p>
  </w:footnote>
  <w:footnote w:id="5">
    <w:p w:rsidR="00586B42" w:rsidP="00586B42">
      <w:pPr>
        <w:pStyle w:val="FootnoteText"/>
      </w:pPr>
      <w:r w:rsidRPr="001A5BF5">
        <w:rPr>
          <w:rStyle w:val="FootnoteReference"/>
          <w:sz w:val="20"/>
        </w:rPr>
        <w:footnoteRef/>
      </w:r>
      <w:r>
        <w:t xml:space="preserve"> CTIA and </w:t>
      </w:r>
      <w:r>
        <w:t>USTelecom</w:t>
      </w:r>
      <w:r>
        <w:t xml:space="preserve"> </w:t>
      </w:r>
      <w:r w:rsidR="002B0323">
        <w:t>indicate</w:t>
      </w:r>
      <w:r>
        <w:t xml:space="preserve"> </w:t>
      </w:r>
      <w:r w:rsidR="00B2008D">
        <w:t xml:space="preserve">their </w:t>
      </w:r>
      <w:r>
        <w:t>proposed revision</w:t>
      </w:r>
      <w:r w:rsidR="00B2008D">
        <w:t>s</w:t>
      </w:r>
      <w:r>
        <w:t xml:space="preserve"> should also apply to Part</w:t>
      </w:r>
      <w:r w:rsidR="00980621">
        <w:t>s</w:t>
      </w:r>
      <w:r>
        <w:t xml:space="preserve"> 5 and 25 of the Commission’s Rule</w:t>
      </w:r>
      <w:r w:rsidR="002B0323">
        <w:t xml:space="preserve">s, </w:t>
      </w:r>
      <w:r w:rsidRPr="007640DA" w:rsidR="007640DA">
        <w:t xml:space="preserve">47 CFR §§ </w:t>
      </w:r>
      <w:r w:rsidRPr="002B0323" w:rsidR="002B0323">
        <w:t>5.79</w:t>
      </w:r>
      <w:r w:rsidR="007C0D81">
        <w:t xml:space="preserve">, </w:t>
      </w:r>
      <w:r w:rsidRPr="002B0323" w:rsidR="002B0323">
        <w:t xml:space="preserve">25.119. </w:t>
      </w:r>
      <w:r w:rsidR="005A5DF8">
        <w:t xml:space="preserve"> </w:t>
      </w:r>
      <w:r w:rsidR="00CC42C6">
        <w:t>Petition at 11.</w:t>
      </w:r>
    </w:p>
  </w:footnote>
  <w:footnote w:id="6">
    <w:p w:rsidR="00D71295" w:rsidRPr="00D71295" w:rsidP="00BB73FC">
      <w:pPr>
        <w:pStyle w:val="FootnoteText"/>
      </w:pPr>
      <w:r>
        <w:rPr>
          <w:rStyle w:val="FootnoteReference"/>
        </w:rPr>
        <w:footnoteRef/>
      </w:r>
      <w:r>
        <w:t xml:space="preserve"> </w:t>
      </w:r>
      <w:r>
        <w:rPr>
          <w:i/>
          <w:iCs/>
        </w:rPr>
        <w:t>See</w:t>
      </w:r>
      <w:r>
        <w:t xml:space="preserve"> Petition at 2, n.6</w:t>
      </w:r>
      <w:r w:rsidR="00CF1C30">
        <w:t>,</w:t>
      </w:r>
      <w:r>
        <w:t xml:space="preserve"> citing examples where the Commission </w:t>
      </w:r>
      <w:r w:rsidR="00BB73FC">
        <w:t xml:space="preserve">granted forbearance from applying the prior approval requirement in </w:t>
      </w:r>
      <w:r w:rsidR="00CF1C30">
        <w:t>s</w:t>
      </w:r>
      <w:r w:rsidR="00BB73FC">
        <w:t xml:space="preserve">ection 310(d) of the Act to </w:t>
      </w:r>
      <w:r w:rsidRPr="009A5E8B" w:rsidR="00BB73FC">
        <w:rPr>
          <w:i/>
          <w:iCs/>
        </w:rPr>
        <w:t>pro forma</w:t>
      </w:r>
      <w:r w:rsidR="00BB73FC">
        <w:t xml:space="preserve"> assignments and transfers of control of licenses when the licensee qualifies as a “telecommunications carrier.”  </w:t>
      </w:r>
      <w:r w:rsidRPr="00BB73FC" w:rsidR="00BB73FC">
        <w:rPr>
          <w:i/>
          <w:iCs/>
        </w:rPr>
        <w:t xml:space="preserve">See </w:t>
      </w:r>
      <w:r w:rsidR="00F80EDE">
        <w:rPr>
          <w:i/>
          <w:iCs/>
        </w:rPr>
        <w:t xml:space="preserve">generally </w:t>
      </w:r>
      <w:r w:rsidR="00BB73FC">
        <w:t>47 U.S.C. § 610.</w:t>
      </w:r>
    </w:p>
  </w:footnote>
  <w:footnote w:id="7">
    <w:p w:rsidR="00F80EDE" w:rsidP="00F80EDE">
      <w:pPr>
        <w:pStyle w:val="FootnoteText"/>
      </w:pPr>
      <w:r w:rsidRPr="001A5BF5">
        <w:rPr>
          <w:rStyle w:val="FootnoteReference"/>
          <w:sz w:val="20"/>
        </w:rPr>
        <w:footnoteRef/>
      </w:r>
      <w:r>
        <w:t xml:space="preserve"> Petition at 10-11.</w:t>
      </w:r>
    </w:p>
  </w:footnote>
  <w:footnote w:id="8">
    <w:p w:rsidR="00F80EDE">
      <w:pPr>
        <w:pStyle w:val="FootnoteText"/>
      </w:pPr>
      <w:r>
        <w:rPr>
          <w:rStyle w:val="FootnoteReference"/>
        </w:rPr>
        <w:footnoteRef/>
      </w:r>
      <w:r>
        <w:t xml:space="preserve"> Petition at 7, 12-13 (referring to rules under which </w:t>
      </w:r>
      <w:r w:rsidRPr="009A5E8B">
        <w:rPr>
          <w:i/>
          <w:iCs/>
        </w:rPr>
        <w:t>pro forma</w:t>
      </w:r>
      <w:r w:rsidRPr="00F80EDE">
        <w:t xml:space="preserve"> assignment or transfer of control applications involving </w:t>
      </w:r>
      <w:r>
        <w:t xml:space="preserve">certain </w:t>
      </w:r>
      <w:r w:rsidRPr="00F80EDE">
        <w:t xml:space="preserve">non-common carrier stations </w:t>
      </w:r>
      <w:r>
        <w:t xml:space="preserve">are </w:t>
      </w:r>
      <w:r w:rsidRPr="00F80EDE">
        <w:t>deemed granted one business day after filing, so long as certain conditions are met</w:t>
      </w:r>
      <w:r>
        <w:t>).</w:t>
      </w:r>
    </w:p>
  </w:footnote>
  <w:footnote w:id="9">
    <w:p w:rsidR="007640DA">
      <w:pPr>
        <w:pStyle w:val="FootnoteText"/>
      </w:pPr>
      <w:r w:rsidRPr="001D63E3">
        <w:rPr>
          <w:rStyle w:val="FootnoteReference"/>
          <w:sz w:val="20"/>
        </w:rPr>
        <w:footnoteRef/>
      </w:r>
      <w:r>
        <w:t xml:space="preserve"> 47 U.S.C. </w:t>
      </w:r>
      <w:r w:rsidRPr="007640DA">
        <w:t>§</w:t>
      </w:r>
      <w:r>
        <w:t xml:space="preserve"> 310(d)</w:t>
      </w:r>
      <w:r w:rsidR="007C0D81">
        <w:t>.</w:t>
      </w:r>
    </w:p>
  </w:footnote>
  <w:footnote w:id="10">
    <w:p w:rsidR="007A3CAB">
      <w:pPr>
        <w:pStyle w:val="FootnoteText"/>
      </w:pPr>
      <w:r w:rsidRPr="001D63E3">
        <w:rPr>
          <w:rStyle w:val="FootnoteReference"/>
          <w:sz w:val="20"/>
        </w:rPr>
        <w:footnoteRef/>
      </w:r>
      <w:r>
        <w:t xml:space="preserve"> </w:t>
      </w:r>
      <w:r w:rsidRPr="007A3CAB">
        <w:t xml:space="preserve">47 CFR §§ </w:t>
      </w:r>
      <w:r w:rsidR="0018554F">
        <w:t xml:space="preserve">1.45, </w:t>
      </w:r>
      <w:r w:rsidRPr="007A3CAB">
        <w:t>1.415, 1.419</w:t>
      </w:r>
      <w:r>
        <w:t>.</w:t>
      </w:r>
    </w:p>
  </w:footnote>
  <w:footnote w:id="11">
    <w:p w:rsidR="007A3CAB">
      <w:pPr>
        <w:pStyle w:val="FootnoteText"/>
      </w:pPr>
      <w:r w:rsidRPr="001D63E3">
        <w:rPr>
          <w:rStyle w:val="FootnoteReference"/>
          <w:sz w:val="20"/>
        </w:rPr>
        <w:footnoteRef/>
      </w:r>
      <w:r>
        <w:t xml:space="preserve"> </w:t>
      </w:r>
      <w:r w:rsidRPr="007A3CAB">
        <w:rPr>
          <w:i/>
          <w:iCs/>
        </w:rPr>
        <w:t>See</w:t>
      </w:r>
      <w:r w:rsidRPr="007A3CAB">
        <w:t xml:space="preserve"> Electronic Filing of Documents in Rulemaking Proceedings, 63 FR 24121 (1998).</w:t>
      </w:r>
    </w:p>
  </w:footnote>
  <w:footnote w:id="12">
    <w:p w:rsidR="00500DE8">
      <w:pPr>
        <w:pStyle w:val="FootnoteText"/>
      </w:pPr>
      <w:r w:rsidRPr="001D63E3">
        <w:rPr>
          <w:rStyle w:val="FootnoteReference"/>
          <w:sz w:val="20"/>
        </w:rPr>
        <w:footnoteRef/>
      </w:r>
      <w:r>
        <w:t xml:space="preserve"> </w:t>
      </w:r>
      <w:r w:rsidRPr="00500DE8">
        <w:rPr>
          <w:i/>
          <w:iCs/>
        </w:rPr>
        <w:t>See</w:t>
      </w:r>
      <w:r w:rsidRPr="00500DE8">
        <w:t xml:space="preserve"> FCC Announces Closure of FCC Headquarters Open Window and Change in Hand-Delivery Policy, Public Notice, DA 20-304 (March 19, 2020)</w:t>
      </w:r>
      <w:r w:rsidR="00CF1C30">
        <w:t>,</w:t>
      </w:r>
      <w:r w:rsidRPr="00500DE8">
        <w:t xml:space="preserve"> </w:t>
      </w:r>
      <w:hyperlink r:id="rId2" w:history="1">
        <w:r w:rsidRPr="00DC187F">
          <w:rPr>
            <w:rStyle w:val="Hyperlink"/>
          </w:rPr>
          <w:t>https://www.fcc.gov/document/fcc-closes-headquarters-open-window-and-changes-hand-delivery-policy</w:t>
        </w:r>
      </w:hyperlink>
      <w:r>
        <w:t xml:space="preserve">. </w:t>
      </w:r>
    </w:p>
  </w:footnote>
  <w:footnote w:id="13">
    <w:p w:rsidR="00B50ACB" w:rsidRPr="00526349" w:rsidP="00B50ACB">
      <w:pPr>
        <w:pStyle w:val="FootnoteText"/>
        <w:rPr>
          <w:i/>
          <w:iCs/>
        </w:rPr>
      </w:pPr>
      <w:r w:rsidRPr="001D63E3">
        <w:rPr>
          <w:rStyle w:val="FootnoteReference"/>
          <w:sz w:val="20"/>
        </w:rPr>
        <w:footnoteRef/>
      </w:r>
      <w:r>
        <w:t xml:space="preserve"> </w:t>
      </w:r>
      <w:r>
        <w:rPr>
          <w:i/>
          <w:iCs/>
        </w:rPr>
        <w:t xml:space="preserve">See </w:t>
      </w:r>
      <w:r>
        <w:t xml:space="preserve">47 CFR § 1.1200 </w:t>
      </w:r>
      <w:r>
        <w:rPr>
          <w:i/>
          <w:iCs/>
        </w:rPr>
        <w:t>et seq.</w:t>
      </w:r>
    </w:p>
  </w:footnote>
  <w:footnote w:id="14">
    <w:p w:rsidR="00B50ACB" w:rsidRPr="0014668A" w:rsidP="00B50ACB">
      <w:pPr>
        <w:pStyle w:val="FootnoteText"/>
      </w:pPr>
      <w:r w:rsidRPr="001D63E3">
        <w:rPr>
          <w:rStyle w:val="FootnoteReference"/>
          <w:sz w:val="20"/>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E6FC4">
      <w:rPr>
        <w:b/>
      </w:rPr>
      <w:t>D</w:t>
    </w:r>
    <w:r w:rsidR="009660A6">
      <w:rPr>
        <w:b/>
      </w:rPr>
      <w:t>A</w:t>
    </w:r>
    <w:r w:rsidR="001E6FC4">
      <w:rPr>
        <w:b/>
      </w:rPr>
      <w:t xml:space="preserve"> 20-661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6.8pt,56.7pt" to="88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42D6A6F"/>
    <w:multiLevelType w:val="hybridMultilevel"/>
    <w:tmpl w:val="D784910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CB"/>
    <w:rsid w:val="000072CE"/>
    <w:rsid w:val="00013A8B"/>
    <w:rsid w:val="00021445"/>
    <w:rsid w:val="00036039"/>
    <w:rsid w:val="00037F90"/>
    <w:rsid w:val="00074132"/>
    <w:rsid w:val="00083783"/>
    <w:rsid w:val="000875BF"/>
    <w:rsid w:val="00096D8C"/>
    <w:rsid w:val="000B2B65"/>
    <w:rsid w:val="000C0B65"/>
    <w:rsid w:val="000E3D42"/>
    <w:rsid w:val="000E5884"/>
    <w:rsid w:val="00122BD5"/>
    <w:rsid w:val="001440A3"/>
    <w:rsid w:val="0014668A"/>
    <w:rsid w:val="00152928"/>
    <w:rsid w:val="001727CD"/>
    <w:rsid w:val="0018554F"/>
    <w:rsid w:val="001979D9"/>
    <w:rsid w:val="001A5BF5"/>
    <w:rsid w:val="001D63E3"/>
    <w:rsid w:val="001D6BCF"/>
    <w:rsid w:val="001E01CA"/>
    <w:rsid w:val="001E0D22"/>
    <w:rsid w:val="001E6FC4"/>
    <w:rsid w:val="001F76E2"/>
    <w:rsid w:val="002060D9"/>
    <w:rsid w:val="00226822"/>
    <w:rsid w:val="0023607B"/>
    <w:rsid w:val="00260594"/>
    <w:rsid w:val="00266D8F"/>
    <w:rsid w:val="00285017"/>
    <w:rsid w:val="002871C9"/>
    <w:rsid w:val="002A2D2E"/>
    <w:rsid w:val="002B0323"/>
    <w:rsid w:val="002F6942"/>
    <w:rsid w:val="003074DB"/>
    <w:rsid w:val="0031224F"/>
    <w:rsid w:val="00343749"/>
    <w:rsid w:val="00357D50"/>
    <w:rsid w:val="00371B34"/>
    <w:rsid w:val="00387FED"/>
    <w:rsid w:val="003925DC"/>
    <w:rsid w:val="003A3276"/>
    <w:rsid w:val="003B0550"/>
    <w:rsid w:val="003B694F"/>
    <w:rsid w:val="003B7110"/>
    <w:rsid w:val="003E2A79"/>
    <w:rsid w:val="003F171C"/>
    <w:rsid w:val="00412FC5"/>
    <w:rsid w:val="00422276"/>
    <w:rsid w:val="004242F1"/>
    <w:rsid w:val="00444A2E"/>
    <w:rsid w:val="00445A00"/>
    <w:rsid w:val="004470D1"/>
    <w:rsid w:val="00451B0F"/>
    <w:rsid w:val="0046125F"/>
    <w:rsid w:val="004736D5"/>
    <w:rsid w:val="00477E39"/>
    <w:rsid w:val="0048233B"/>
    <w:rsid w:val="00487524"/>
    <w:rsid w:val="00496106"/>
    <w:rsid w:val="004A1FC9"/>
    <w:rsid w:val="004A7780"/>
    <w:rsid w:val="004C12D0"/>
    <w:rsid w:val="004C2EE3"/>
    <w:rsid w:val="004E4A22"/>
    <w:rsid w:val="00500DE8"/>
    <w:rsid w:val="00511968"/>
    <w:rsid w:val="00522528"/>
    <w:rsid w:val="00526349"/>
    <w:rsid w:val="00540456"/>
    <w:rsid w:val="00544C25"/>
    <w:rsid w:val="0055614C"/>
    <w:rsid w:val="0057558C"/>
    <w:rsid w:val="0058393A"/>
    <w:rsid w:val="00586B42"/>
    <w:rsid w:val="005A5DF8"/>
    <w:rsid w:val="005C09FA"/>
    <w:rsid w:val="00607BA5"/>
    <w:rsid w:val="00626EB6"/>
    <w:rsid w:val="006353A3"/>
    <w:rsid w:val="00655D03"/>
    <w:rsid w:val="00683F84"/>
    <w:rsid w:val="00691C58"/>
    <w:rsid w:val="006A3584"/>
    <w:rsid w:val="006A6A81"/>
    <w:rsid w:val="006A732F"/>
    <w:rsid w:val="006E26AF"/>
    <w:rsid w:val="006E3F0B"/>
    <w:rsid w:val="006F7393"/>
    <w:rsid w:val="0070224F"/>
    <w:rsid w:val="0070329C"/>
    <w:rsid w:val="007115F7"/>
    <w:rsid w:val="007227E3"/>
    <w:rsid w:val="00737179"/>
    <w:rsid w:val="007629C0"/>
    <w:rsid w:val="007640DA"/>
    <w:rsid w:val="00784D65"/>
    <w:rsid w:val="00785689"/>
    <w:rsid w:val="007957FC"/>
    <w:rsid w:val="0079754B"/>
    <w:rsid w:val="007A1E6D"/>
    <w:rsid w:val="007A3CAB"/>
    <w:rsid w:val="007B0F37"/>
    <w:rsid w:val="007C0D81"/>
    <w:rsid w:val="007C76CF"/>
    <w:rsid w:val="007F034A"/>
    <w:rsid w:val="00822CE0"/>
    <w:rsid w:val="0082356B"/>
    <w:rsid w:val="00831183"/>
    <w:rsid w:val="00837C62"/>
    <w:rsid w:val="00841AB1"/>
    <w:rsid w:val="0085210B"/>
    <w:rsid w:val="008A062C"/>
    <w:rsid w:val="008C22FD"/>
    <w:rsid w:val="00910F12"/>
    <w:rsid w:val="00926503"/>
    <w:rsid w:val="00930ECF"/>
    <w:rsid w:val="00940045"/>
    <w:rsid w:val="00954651"/>
    <w:rsid w:val="00962561"/>
    <w:rsid w:val="009660A6"/>
    <w:rsid w:val="00980621"/>
    <w:rsid w:val="009838BC"/>
    <w:rsid w:val="00985F5D"/>
    <w:rsid w:val="009974D2"/>
    <w:rsid w:val="009A5E8B"/>
    <w:rsid w:val="00A41F6E"/>
    <w:rsid w:val="00A45F4F"/>
    <w:rsid w:val="00A600A9"/>
    <w:rsid w:val="00A77644"/>
    <w:rsid w:val="00A866AC"/>
    <w:rsid w:val="00AA55B7"/>
    <w:rsid w:val="00AA5B9E"/>
    <w:rsid w:val="00AB2407"/>
    <w:rsid w:val="00AB53DF"/>
    <w:rsid w:val="00AD0569"/>
    <w:rsid w:val="00B07E5C"/>
    <w:rsid w:val="00B148D1"/>
    <w:rsid w:val="00B2008D"/>
    <w:rsid w:val="00B326E3"/>
    <w:rsid w:val="00B50ACB"/>
    <w:rsid w:val="00B5140C"/>
    <w:rsid w:val="00B811F7"/>
    <w:rsid w:val="00BA3386"/>
    <w:rsid w:val="00BA5DC6"/>
    <w:rsid w:val="00BA6196"/>
    <w:rsid w:val="00BB73FC"/>
    <w:rsid w:val="00BC6D8C"/>
    <w:rsid w:val="00BD20FB"/>
    <w:rsid w:val="00BD3179"/>
    <w:rsid w:val="00BD6F43"/>
    <w:rsid w:val="00C16AF2"/>
    <w:rsid w:val="00C251D6"/>
    <w:rsid w:val="00C34006"/>
    <w:rsid w:val="00C426B1"/>
    <w:rsid w:val="00C46094"/>
    <w:rsid w:val="00C70FD5"/>
    <w:rsid w:val="00C82B6B"/>
    <w:rsid w:val="00C90D6A"/>
    <w:rsid w:val="00CC42C6"/>
    <w:rsid w:val="00CC72B6"/>
    <w:rsid w:val="00CE71BD"/>
    <w:rsid w:val="00CF1C30"/>
    <w:rsid w:val="00D0218D"/>
    <w:rsid w:val="00D14AF4"/>
    <w:rsid w:val="00D216CD"/>
    <w:rsid w:val="00D2792F"/>
    <w:rsid w:val="00D71295"/>
    <w:rsid w:val="00DA2529"/>
    <w:rsid w:val="00DB130A"/>
    <w:rsid w:val="00DC10A1"/>
    <w:rsid w:val="00DC187F"/>
    <w:rsid w:val="00DC655F"/>
    <w:rsid w:val="00DD207B"/>
    <w:rsid w:val="00DD7EBD"/>
    <w:rsid w:val="00DF62B6"/>
    <w:rsid w:val="00E07225"/>
    <w:rsid w:val="00E155B7"/>
    <w:rsid w:val="00E5409F"/>
    <w:rsid w:val="00E9175A"/>
    <w:rsid w:val="00EA3B76"/>
    <w:rsid w:val="00EB4C6B"/>
    <w:rsid w:val="00EC0185"/>
    <w:rsid w:val="00EC3406"/>
    <w:rsid w:val="00F021FA"/>
    <w:rsid w:val="00F22C3F"/>
    <w:rsid w:val="00F57ACA"/>
    <w:rsid w:val="00F62A28"/>
    <w:rsid w:val="00F62E97"/>
    <w:rsid w:val="00F64209"/>
    <w:rsid w:val="00F80EDE"/>
    <w:rsid w:val="00F93BF5"/>
    <w:rsid w:val="00F96F63"/>
    <w:rsid w:val="00FF1D1C"/>
    <w:rsid w:val="00FF33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6D5D770-7E22-4AFD-A812-EDB68314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
    <w:uiPriority w:val="99"/>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1,Footnote Text Char Char Char Char1 Char Char1,Footnote Text Char1 Char Char,Footnote Text Char1 Char Char Char Char1,Footnote Text Char1 Char2 Char,Footnote Text Char2 Char1"/>
    <w:link w:val="FootnoteText"/>
    <w:semiHidden/>
    <w:rsid w:val="00B50ACB"/>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uiPriority w:val="99"/>
    <w:locked/>
    <w:rsid w:val="00B50ACB"/>
  </w:style>
  <w:style w:type="character" w:customStyle="1" w:styleId="UnresolvedMention">
    <w:name w:val="Unresolved Mention"/>
    <w:uiPriority w:val="99"/>
    <w:semiHidden/>
    <w:unhideWhenUsed/>
    <w:rsid w:val="007A3CAB"/>
    <w:rPr>
      <w:color w:val="605E5C"/>
      <w:shd w:val="clear" w:color="auto" w:fill="E1DFDD"/>
    </w:rPr>
  </w:style>
  <w:style w:type="paragraph" w:styleId="BalloonText">
    <w:name w:val="Balloon Text"/>
    <w:basedOn w:val="Normal"/>
    <w:link w:val="BalloonTextChar"/>
    <w:uiPriority w:val="99"/>
    <w:semiHidden/>
    <w:unhideWhenUsed/>
    <w:rsid w:val="00BD20FB"/>
    <w:rPr>
      <w:rFonts w:ascii="Segoe UI" w:hAnsi="Segoe UI" w:cs="Segoe UI"/>
      <w:sz w:val="18"/>
      <w:szCs w:val="18"/>
    </w:rPr>
  </w:style>
  <w:style w:type="character" w:customStyle="1" w:styleId="BalloonTextChar">
    <w:name w:val="Balloon Text Char"/>
    <w:link w:val="BalloonText"/>
    <w:uiPriority w:val="99"/>
    <w:semiHidden/>
    <w:rsid w:val="00BD20FB"/>
    <w:rPr>
      <w:rFonts w:ascii="Segoe UI" w:hAnsi="Segoe UI" w:cs="Segoe UI"/>
      <w:snapToGrid w:val="0"/>
      <w:kern w:val="28"/>
      <w:sz w:val="18"/>
      <w:szCs w:val="18"/>
    </w:rPr>
  </w:style>
  <w:style w:type="character" w:styleId="CommentReference">
    <w:name w:val="annotation reference"/>
    <w:uiPriority w:val="99"/>
    <w:semiHidden/>
    <w:unhideWhenUsed/>
    <w:rsid w:val="004470D1"/>
    <w:rPr>
      <w:sz w:val="16"/>
      <w:szCs w:val="16"/>
    </w:rPr>
  </w:style>
  <w:style w:type="paragraph" w:styleId="CommentText">
    <w:name w:val="annotation text"/>
    <w:basedOn w:val="Normal"/>
    <w:link w:val="CommentTextChar"/>
    <w:uiPriority w:val="99"/>
    <w:semiHidden/>
    <w:unhideWhenUsed/>
    <w:rsid w:val="004470D1"/>
    <w:rPr>
      <w:sz w:val="20"/>
    </w:rPr>
  </w:style>
  <w:style w:type="character" w:customStyle="1" w:styleId="CommentTextChar">
    <w:name w:val="Comment Text Char"/>
    <w:link w:val="CommentText"/>
    <w:uiPriority w:val="99"/>
    <w:semiHidden/>
    <w:rsid w:val="004470D1"/>
    <w:rPr>
      <w:snapToGrid w:val="0"/>
      <w:kern w:val="28"/>
    </w:rPr>
  </w:style>
  <w:style w:type="paragraph" w:styleId="CommentSubject">
    <w:name w:val="annotation subject"/>
    <w:basedOn w:val="CommentText"/>
    <w:next w:val="CommentText"/>
    <w:link w:val="CommentSubjectChar"/>
    <w:uiPriority w:val="99"/>
    <w:semiHidden/>
    <w:unhideWhenUsed/>
    <w:rsid w:val="004470D1"/>
    <w:rPr>
      <w:b/>
      <w:bCs/>
    </w:rPr>
  </w:style>
  <w:style w:type="character" w:customStyle="1" w:styleId="CommentSubjectChar">
    <w:name w:val="Comment Subject Char"/>
    <w:link w:val="CommentSubject"/>
    <w:uiPriority w:val="99"/>
    <w:semiHidden/>
    <w:rsid w:val="004470D1"/>
    <w:rPr>
      <w:b/>
      <w:bCs/>
      <w:snapToGrid w:val="0"/>
      <w:kern w:val="28"/>
    </w:rPr>
  </w:style>
  <w:style w:type="character" w:styleId="FollowedHyperlink">
    <w:name w:val="FollowedHyperlink"/>
    <w:uiPriority w:val="99"/>
    <w:semiHidden/>
    <w:unhideWhenUsed/>
    <w:rsid w:val="004470D1"/>
    <w:rPr>
      <w:color w:val="954F72"/>
      <w:u w:val="single"/>
    </w:rPr>
  </w:style>
  <w:style w:type="paragraph" w:styleId="Revision">
    <w:name w:val="Revision"/>
    <w:hidden/>
    <w:uiPriority w:val="99"/>
    <w:semiHidden/>
    <w:rsid w:val="001D63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51130814680/200605%20CTIA-USTelecom%20Pro%20Forma%20Reform%20Petition%20-%20FINAL.pdf" TargetMode="External" /><Relationship Id="rId2"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