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BEBE961"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4464F293" w14:textId="77777777">
      <w:pPr>
        <w:pStyle w:val="StyleBoldCentered"/>
      </w:pPr>
      <w:r>
        <w:t>F</w:t>
      </w:r>
      <w:r>
        <w:rPr>
          <w:caps w:val="0"/>
        </w:rPr>
        <w:t>ederal Communications Commission</w:t>
      </w:r>
    </w:p>
    <w:p w:rsidR="004C2EE3" w:rsidP="00096D8C" w14:paraId="6FBABE0D" w14:textId="77777777">
      <w:pPr>
        <w:pStyle w:val="StyleBoldCentered"/>
      </w:pPr>
      <w:r>
        <w:rPr>
          <w:caps w:val="0"/>
        </w:rPr>
        <w:t>Washington, D.C. 20554</w:t>
      </w:r>
    </w:p>
    <w:p w:rsidR="004C2EE3" w:rsidP="0070224F" w14:paraId="006419F3" w14:textId="77777777"/>
    <w:tbl>
      <w:tblPr>
        <w:tblW w:w="0" w:type="auto"/>
        <w:tblLayout w:type="fixed"/>
        <w:tblLook w:val="0000"/>
      </w:tblPr>
      <w:tblGrid>
        <w:gridCol w:w="4698"/>
        <w:gridCol w:w="630"/>
        <w:gridCol w:w="4248"/>
      </w:tblGrid>
      <w:tr w14:paraId="455D7913" w14:textId="77777777">
        <w:tblPrEx>
          <w:tblW w:w="0" w:type="auto"/>
          <w:tblLayout w:type="fixed"/>
          <w:tblLook w:val="0000"/>
        </w:tblPrEx>
        <w:tc>
          <w:tcPr>
            <w:tcW w:w="4698" w:type="dxa"/>
          </w:tcPr>
          <w:p w:rsidR="004C2EE3" w14:paraId="1B443FDE" w14:textId="77777777">
            <w:pPr>
              <w:tabs>
                <w:tab w:val="center" w:pos="4680"/>
              </w:tabs>
              <w:suppressAutoHyphens/>
              <w:rPr>
                <w:spacing w:val="-2"/>
              </w:rPr>
            </w:pPr>
            <w:r>
              <w:rPr>
                <w:spacing w:val="-2"/>
              </w:rPr>
              <w:t>In the Matter of</w:t>
            </w:r>
          </w:p>
          <w:p w:rsidR="00D7045C" w:rsidP="00307A32" w14:paraId="41C56D6A" w14:textId="77777777">
            <w:pPr>
              <w:tabs>
                <w:tab w:val="center" w:pos="4680"/>
              </w:tabs>
              <w:suppressAutoHyphens/>
              <w:rPr>
                <w:spacing w:val="-2"/>
              </w:rPr>
            </w:pPr>
          </w:p>
          <w:p w:rsidR="00D7045C" w:rsidP="00307A32" w14:paraId="72133BCF" w14:textId="5C1E4AB4">
            <w:pPr>
              <w:tabs>
                <w:tab w:val="center" w:pos="4680"/>
              </w:tabs>
              <w:suppressAutoHyphens/>
              <w:rPr>
                <w:spacing w:val="-2"/>
              </w:rPr>
            </w:pPr>
            <w:r>
              <w:rPr>
                <w:spacing w:val="-2"/>
              </w:rPr>
              <w:t>Wireless E911 Location Accuracy Requirements</w:t>
            </w:r>
          </w:p>
          <w:p w:rsidR="00D7045C" w:rsidP="00307A32" w14:paraId="4BAE6318" w14:textId="77777777">
            <w:pPr>
              <w:tabs>
                <w:tab w:val="center" w:pos="4680"/>
              </w:tabs>
              <w:suppressAutoHyphens/>
              <w:rPr>
                <w:spacing w:val="-2"/>
              </w:rPr>
            </w:pPr>
          </w:p>
          <w:p w:rsidR="004C2EE3" w:rsidRPr="007115F7" w:rsidP="00307A32" w14:paraId="1CFA54AA" w14:textId="2821269D">
            <w:pPr>
              <w:tabs>
                <w:tab w:val="center" w:pos="4680"/>
              </w:tabs>
              <w:suppressAutoHyphens/>
              <w:rPr>
                <w:spacing w:val="-2"/>
              </w:rPr>
            </w:pPr>
            <w:r>
              <w:rPr>
                <w:spacing w:val="-2"/>
              </w:rPr>
              <w:t>The 911 Location Technologies Test Bed, LLC</w:t>
            </w:r>
            <w:r w:rsidRPr="00D7045C" w:rsidR="00D7045C">
              <w:rPr>
                <w:spacing w:val="-2"/>
              </w:rPr>
              <w:t xml:space="preserve"> Request for Confidential Treatment</w:t>
            </w:r>
          </w:p>
        </w:tc>
        <w:tc>
          <w:tcPr>
            <w:tcW w:w="630" w:type="dxa"/>
          </w:tcPr>
          <w:p w:rsidR="004C2EE3" w14:paraId="4A8EBC06" w14:textId="77777777">
            <w:pPr>
              <w:tabs>
                <w:tab w:val="center" w:pos="4680"/>
              </w:tabs>
              <w:suppressAutoHyphens/>
              <w:rPr>
                <w:b/>
                <w:spacing w:val="-2"/>
              </w:rPr>
            </w:pPr>
            <w:r>
              <w:rPr>
                <w:b/>
                <w:spacing w:val="-2"/>
              </w:rPr>
              <w:t>)</w:t>
            </w:r>
          </w:p>
          <w:p w:rsidR="004C2EE3" w14:paraId="60D009D8" w14:textId="77777777">
            <w:pPr>
              <w:tabs>
                <w:tab w:val="center" w:pos="4680"/>
              </w:tabs>
              <w:suppressAutoHyphens/>
              <w:rPr>
                <w:b/>
                <w:spacing w:val="-2"/>
              </w:rPr>
            </w:pPr>
            <w:r>
              <w:rPr>
                <w:b/>
                <w:spacing w:val="-2"/>
              </w:rPr>
              <w:t>)</w:t>
            </w:r>
          </w:p>
          <w:p w:rsidR="004C2EE3" w14:paraId="2816913E" w14:textId="77777777">
            <w:pPr>
              <w:tabs>
                <w:tab w:val="center" w:pos="4680"/>
              </w:tabs>
              <w:suppressAutoHyphens/>
              <w:rPr>
                <w:b/>
                <w:spacing w:val="-2"/>
              </w:rPr>
            </w:pPr>
            <w:r>
              <w:rPr>
                <w:b/>
                <w:spacing w:val="-2"/>
              </w:rPr>
              <w:t>)</w:t>
            </w:r>
          </w:p>
          <w:p w:rsidR="004C2EE3" w14:paraId="04CEAEF9" w14:textId="77777777">
            <w:pPr>
              <w:tabs>
                <w:tab w:val="center" w:pos="4680"/>
              </w:tabs>
              <w:suppressAutoHyphens/>
              <w:rPr>
                <w:b/>
                <w:spacing w:val="-2"/>
              </w:rPr>
            </w:pPr>
            <w:r>
              <w:rPr>
                <w:b/>
                <w:spacing w:val="-2"/>
              </w:rPr>
              <w:t>)</w:t>
            </w:r>
          </w:p>
          <w:p w:rsidR="004C2EE3" w14:paraId="081B49D2" w14:textId="77777777">
            <w:pPr>
              <w:tabs>
                <w:tab w:val="center" w:pos="4680"/>
              </w:tabs>
              <w:suppressAutoHyphens/>
              <w:rPr>
                <w:b/>
                <w:spacing w:val="-2"/>
              </w:rPr>
            </w:pPr>
            <w:r>
              <w:rPr>
                <w:b/>
                <w:spacing w:val="-2"/>
              </w:rPr>
              <w:t>)</w:t>
            </w:r>
          </w:p>
          <w:p w:rsidR="00307A32" w:rsidRPr="00D7045C" w14:paraId="4D701E0C" w14:textId="2B2B9FAC">
            <w:pPr>
              <w:tabs>
                <w:tab w:val="center" w:pos="4680"/>
              </w:tabs>
              <w:suppressAutoHyphens/>
              <w:rPr>
                <w:b/>
                <w:spacing w:val="-2"/>
              </w:rPr>
            </w:pPr>
            <w:r>
              <w:rPr>
                <w:b/>
                <w:spacing w:val="-2"/>
              </w:rPr>
              <w:t>)</w:t>
            </w:r>
          </w:p>
        </w:tc>
        <w:tc>
          <w:tcPr>
            <w:tcW w:w="4248" w:type="dxa"/>
          </w:tcPr>
          <w:p w:rsidR="004C2EE3" w14:paraId="613D8381" w14:textId="77777777">
            <w:pPr>
              <w:tabs>
                <w:tab w:val="center" w:pos="4680"/>
              </w:tabs>
              <w:suppressAutoHyphens/>
              <w:rPr>
                <w:spacing w:val="-2"/>
              </w:rPr>
            </w:pPr>
          </w:p>
          <w:p w:rsidR="00307A32" w:rsidP="00307A32" w14:paraId="429D34CE" w14:textId="2A61BA98">
            <w:pPr>
              <w:pStyle w:val="TOAHeading"/>
              <w:tabs>
                <w:tab w:val="center" w:pos="4680"/>
              </w:tabs>
              <w:rPr>
                <w:spacing w:val="-2"/>
              </w:rPr>
            </w:pPr>
          </w:p>
          <w:p w:rsidR="00D7045C" w:rsidRPr="00D7045C" w:rsidP="00D7045C" w14:paraId="02402E57" w14:textId="7E895EDC">
            <w:r w:rsidRPr="00962755">
              <w:rPr>
                <w:spacing w:val="-2"/>
              </w:rPr>
              <w:t>PS Docket No. 07-11</w:t>
            </w:r>
            <w:r>
              <w:rPr>
                <w:spacing w:val="-2"/>
              </w:rPr>
              <w:t xml:space="preserve">4 </w:t>
            </w:r>
          </w:p>
          <w:p w:rsidR="00307A32" w:rsidRPr="00307A32" w:rsidP="00307A32" w14:paraId="23FFA8BE" w14:textId="77777777">
            <w:pPr>
              <w:pStyle w:val="TOAHeading"/>
              <w:tabs>
                <w:tab w:val="center" w:pos="4680"/>
              </w:tabs>
              <w:rPr>
                <w:spacing w:val="-2"/>
              </w:rPr>
            </w:pPr>
          </w:p>
          <w:p w:rsidR="00307A32" w:rsidRPr="00307A32" w:rsidP="00307A32" w14:paraId="21F935B3" w14:textId="77777777">
            <w:pPr>
              <w:pStyle w:val="TOAHeading"/>
              <w:tabs>
                <w:tab w:val="center" w:pos="4680"/>
              </w:tabs>
              <w:rPr>
                <w:spacing w:val="-2"/>
              </w:rPr>
            </w:pPr>
          </w:p>
          <w:p w:rsidR="00307A32" w:rsidRPr="00307A32" w:rsidP="00307A32" w14:paraId="708DE21A" w14:textId="77777777">
            <w:pPr>
              <w:pStyle w:val="TOAHeading"/>
              <w:tabs>
                <w:tab w:val="center" w:pos="4680"/>
              </w:tabs>
              <w:rPr>
                <w:spacing w:val="-2"/>
              </w:rPr>
            </w:pPr>
          </w:p>
          <w:p w:rsidR="004C2EE3" w:rsidP="00307A32" w14:paraId="40CE4C9A" w14:textId="190EC128">
            <w:pPr>
              <w:tabs>
                <w:tab w:val="center" w:pos="4680"/>
              </w:tabs>
              <w:suppressAutoHyphens/>
              <w:rPr>
                <w:spacing w:val="-2"/>
              </w:rPr>
            </w:pPr>
          </w:p>
        </w:tc>
      </w:tr>
    </w:tbl>
    <w:p w:rsidR="00841AB1" w:rsidP="00765757" w14:paraId="059FE314" w14:textId="5070485D">
      <w:pPr>
        <w:pStyle w:val="StyleBoldCentered"/>
      </w:pPr>
      <w:r>
        <w:t>Order</w:t>
      </w:r>
    </w:p>
    <w:p w:rsidR="004C2EE3" w14:paraId="61D7174F" w14:textId="77777777">
      <w:pPr>
        <w:tabs>
          <w:tab w:val="left" w:pos="-720"/>
        </w:tabs>
        <w:suppressAutoHyphens/>
        <w:spacing w:line="227" w:lineRule="auto"/>
        <w:rPr>
          <w:spacing w:val="-2"/>
        </w:rPr>
      </w:pPr>
    </w:p>
    <w:p w:rsidR="004C2EE3" w:rsidP="00133F79" w14:paraId="13A60F83" w14:textId="3947312A">
      <w:pPr>
        <w:tabs>
          <w:tab w:val="left" w:pos="720"/>
          <w:tab w:val="right" w:pos="9360"/>
        </w:tabs>
        <w:suppressAutoHyphens/>
        <w:spacing w:line="227" w:lineRule="auto"/>
        <w:rPr>
          <w:spacing w:val="-2"/>
        </w:rPr>
      </w:pPr>
      <w:r>
        <w:rPr>
          <w:b/>
          <w:spacing w:val="-2"/>
        </w:rPr>
        <w:t xml:space="preserve">Adopted:  </w:t>
      </w:r>
      <w:r w:rsidR="000F26E6">
        <w:rPr>
          <w:b/>
          <w:spacing w:val="-2"/>
        </w:rPr>
        <w:t xml:space="preserve">June </w:t>
      </w:r>
      <w:r w:rsidR="00142CF3">
        <w:rPr>
          <w:b/>
          <w:spacing w:val="-2"/>
        </w:rPr>
        <w:t>25</w:t>
      </w:r>
      <w:r w:rsidR="000F26E6">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F26E6">
        <w:rPr>
          <w:b/>
          <w:spacing w:val="-2"/>
        </w:rPr>
        <w:t xml:space="preserve">June </w:t>
      </w:r>
      <w:r w:rsidR="00142CF3">
        <w:rPr>
          <w:b/>
          <w:spacing w:val="-2"/>
        </w:rPr>
        <w:t>25</w:t>
      </w:r>
      <w:r w:rsidR="000F26E6">
        <w:rPr>
          <w:b/>
          <w:spacing w:val="-2"/>
        </w:rPr>
        <w:t>, 2020</w:t>
      </w:r>
    </w:p>
    <w:p w:rsidR="00822CE0" w14:paraId="64ADD7F3" w14:textId="77777777"/>
    <w:p w:rsidR="004C2EE3" w14:paraId="7C426A6D" w14:textId="77092D1C">
      <w:pPr>
        <w:rPr>
          <w:spacing w:val="-2"/>
        </w:rPr>
      </w:pPr>
      <w:r>
        <w:t xml:space="preserve">By </w:t>
      </w:r>
      <w:r w:rsidR="004E4A22">
        <w:t>the</w:t>
      </w:r>
      <w:r w:rsidR="002A2D2E">
        <w:t xml:space="preserve"> </w:t>
      </w:r>
      <w:r w:rsidR="00D7045C">
        <w:t xml:space="preserve">Chief, </w:t>
      </w:r>
      <w:r w:rsidR="00D7045C">
        <w:rPr>
          <w:spacing w:val="-2"/>
        </w:rPr>
        <w:t>Public Safety and Homeland Security Bureau</w:t>
      </w:r>
      <w:r>
        <w:rPr>
          <w:spacing w:val="-2"/>
        </w:rPr>
        <w:t>:</w:t>
      </w:r>
      <w:r w:rsidR="00F63F1E">
        <w:rPr>
          <w:spacing w:val="-2"/>
        </w:rPr>
        <w:t xml:space="preserve"> </w:t>
      </w:r>
      <w:r w:rsidR="00D7045C">
        <w:rPr>
          <w:spacing w:val="-2"/>
        </w:rPr>
        <w:t xml:space="preserve"> </w:t>
      </w:r>
    </w:p>
    <w:p w:rsidR="00822CE0" w14:paraId="1AF9E00B" w14:textId="77777777">
      <w:pPr>
        <w:rPr>
          <w:spacing w:val="-2"/>
        </w:rPr>
      </w:pPr>
    </w:p>
    <w:p w:rsidR="00307A32" w:rsidRPr="005842F0" w:rsidP="00307A32" w14:paraId="778492DD" w14:textId="77777777">
      <w:pPr>
        <w:pStyle w:val="Heading1"/>
        <w:keepNext w:val="0"/>
        <w:suppressAutoHyphens w:val="0"/>
        <w:rPr>
          <w:rFonts w:ascii="Times New Roman" w:hAnsi="Times New Roman"/>
          <w:szCs w:val="22"/>
        </w:rPr>
      </w:pPr>
      <w:bookmarkStart w:id="1" w:name="_Toc380163133"/>
      <w:bookmarkStart w:id="2" w:name="_Toc383005252"/>
      <w:bookmarkStart w:id="3" w:name="_Toc383005822"/>
      <w:bookmarkStart w:id="4" w:name="_Toc383072939"/>
      <w:bookmarkStart w:id="5" w:name="_Toc384134715"/>
      <w:bookmarkStart w:id="6" w:name="_Toc384135265"/>
      <w:bookmarkStart w:id="7" w:name="_Toc385340225"/>
      <w:bookmarkStart w:id="8" w:name="_Toc385340344"/>
      <w:bookmarkStart w:id="9" w:name="_Toc385340603"/>
      <w:bookmarkStart w:id="10" w:name="_Toc385346348"/>
      <w:bookmarkStart w:id="11" w:name="_Toc385516186"/>
      <w:bookmarkStart w:id="12" w:name="_Toc385603517"/>
      <w:bookmarkStart w:id="13" w:name="_Toc387858279"/>
      <w:bookmarkStart w:id="14" w:name="_Toc388962613"/>
      <w:bookmarkStart w:id="15" w:name="_Toc388975400"/>
      <w:r w:rsidRPr="005842F0">
        <w:rPr>
          <w:rFonts w:ascii="Times New Roman" w:hAnsi="Times New Roman"/>
          <w:szCs w:val="22"/>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701F3" w:rsidRPr="00CD3D48" w:rsidP="00CD3D48" w14:paraId="0510C211" w14:textId="0A75C1F3">
      <w:pPr>
        <w:pStyle w:val="ParaNum"/>
        <w:rPr>
          <w:szCs w:val="22"/>
        </w:rPr>
      </w:pPr>
      <w:r w:rsidRPr="005842F0">
        <w:t xml:space="preserve">This </w:t>
      </w:r>
      <w:r>
        <w:t>O</w:t>
      </w:r>
      <w:r w:rsidRPr="005842F0">
        <w:t xml:space="preserve">rder </w:t>
      </w:r>
      <w:r>
        <w:t xml:space="preserve">grants </w:t>
      </w:r>
      <w:r>
        <w:t xml:space="preserve">the Request for Confidential Treatment </w:t>
      </w:r>
      <w:r w:rsidR="00055C0E">
        <w:t xml:space="preserve">for </w:t>
      </w:r>
      <w:r w:rsidR="00D51519">
        <w:t>the Stage Za Report</w:t>
      </w:r>
      <w:r w:rsidR="00055C0E">
        <w:t xml:space="preserve"> submitted by </w:t>
      </w:r>
      <w:r w:rsidR="00BE2C44">
        <w:t>t</w:t>
      </w:r>
      <w:r w:rsidRPr="00726F4F" w:rsidR="00BE2C44">
        <w:rPr>
          <w:rFonts w:eastAsia="Times"/>
        </w:rPr>
        <w:t>he 911 Location Technologies Test Bed, LLC</w:t>
      </w:r>
      <w:r w:rsidR="00BE2C44">
        <w:rPr>
          <w:rFonts w:eastAsia="Times"/>
        </w:rPr>
        <w:t xml:space="preserve"> (the Test Bed)</w:t>
      </w:r>
      <w:r w:rsidRPr="00CD3D48" w:rsidR="00005199">
        <w:rPr>
          <w:szCs w:val="22"/>
        </w:rPr>
        <w:t xml:space="preserve"> to protect Google</w:t>
      </w:r>
      <w:r w:rsidRPr="002A5E43" w:rsidR="00BE2C44">
        <w:rPr>
          <w:szCs w:val="22"/>
        </w:rPr>
        <w:t xml:space="preserve"> LLC’s</w:t>
      </w:r>
      <w:r w:rsidRPr="002A5E43" w:rsidR="00005199">
        <w:rPr>
          <w:szCs w:val="22"/>
        </w:rPr>
        <w:t xml:space="preserve"> </w:t>
      </w:r>
      <w:r w:rsidRPr="002A5E43" w:rsidR="00AE1AC4">
        <w:rPr>
          <w:szCs w:val="22"/>
        </w:rPr>
        <w:t>“</w:t>
      </w:r>
      <w:r w:rsidRPr="002A5E43" w:rsidR="00005199">
        <w:rPr>
          <w:szCs w:val="22"/>
        </w:rPr>
        <w:t>proprietary and commercially sensitive information.</w:t>
      </w:r>
      <w:r w:rsidRPr="002A5E43" w:rsidR="00AE1AC4">
        <w:rPr>
          <w:szCs w:val="22"/>
        </w:rPr>
        <w:t>”</w:t>
      </w:r>
      <w:r>
        <w:rPr>
          <w:rStyle w:val="FootnoteReference"/>
          <w:sz w:val="22"/>
          <w:szCs w:val="22"/>
        </w:rPr>
        <w:footnoteReference w:id="3"/>
      </w:r>
      <w:r w:rsidRPr="00CD3D48" w:rsidR="00005199">
        <w:rPr>
          <w:szCs w:val="22"/>
        </w:rPr>
        <w:t xml:space="preserve">  </w:t>
      </w:r>
      <w:r w:rsidRPr="00CD3D48" w:rsidR="00BE2C44">
        <w:rPr>
          <w:szCs w:val="22"/>
        </w:rPr>
        <w:t>The Boulder Regional Emergency Telephone Service Authority (</w:t>
      </w:r>
      <w:r w:rsidRPr="00CD3D48" w:rsidR="00005199">
        <w:rPr>
          <w:szCs w:val="22"/>
        </w:rPr>
        <w:t>BRETSA</w:t>
      </w:r>
      <w:r w:rsidRPr="002A5E43" w:rsidR="00BE2C44">
        <w:rPr>
          <w:szCs w:val="22"/>
        </w:rPr>
        <w:t>)</w:t>
      </w:r>
      <w:r w:rsidRPr="002A5E43" w:rsidR="00005199">
        <w:rPr>
          <w:szCs w:val="22"/>
        </w:rPr>
        <w:t xml:space="preserve"> </w:t>
      </w:r>
      <w:r w:rsidRPr="002A5E43" w:rsidR="00BE2C44">
        <w:rPr>
          <w:szCs w:val="22"/>
        </w:rPr>
        <w:t>filed an opposition to</w:t>
      </w:r>
      <w:r w:rsidRPr="002A5E43" w:rsidR="00005199">
        <w:rPr>
          <w:szCs w:val="22"/>
        </w:rPr>
        <w:t xml:space="preserve"> </w:t>
      </w:r>
      <w:r w:rsidRPr="002A5E43" w:rsidR="00BE2C44">
        <w:rPr>
          <w:szCs w:val="22"/>
        </w:rPr>
        <w:t>the request</w:t>
      </w:r>
      <w:r>
        <w:rPr>
          <w:rStyle w:val="FootnoteReference"/>
          <w:sz w:val="22"/>
          <w:szCs w:val="22"/>
        </w:rPr>
        <w:footnoteReference w:id="4"/>
      </w:r>
      <w:r w:rsidRPr="00CD3D48" w:rsidR="00005199">
        <w:rPr>
          <w:szCs w:val="22"/>
        </w:rPr>
        <w:t xml:space="preserve"> </w:t>
      </w:r>
      <w:r w:rsidR="00532D2D">
        <w:rPr>
          <w:szCs w:val="22"/>
        </w:rPr>
        <w:t>a</w:t>
      </w:r>
      <w:r w:rsidR="00D67522">
        <w:rPr>
          <w:szCs w:val="22"/>
        </w:rPr>
        <w:t>nd t</w:t>
      </w:r>
      <w:r w:rsidRPr="00CD3D48" w:rsidR="00BE2C44">
        <w:rPr>
          <w:szCs w:val="22"/>
        </w:rPr>
        <w:t xml:space="preserve">he </w:t>
      </w:r>
      <w:r w:rsidRPr="00CD3D48" w:rsidR="00005199">
        <w:rPr>
          <w:szCs w:val="22"/>
        </w:rPr>
        <w:t xml:space="preserve">Test Bed </w:t>
      </w:r>
      <w:r w:rsidRPr="00CD3D48" w:rsidR="00BE2C44">
        <w:rPr>
          <w:szCs w:val="22"/>
        </w:rPr>
        <w:t xml:space="preserve">and Google LLC (Google) filed a reply to </w:t>
      </w:r>
      <w:r w:rsidRPr="00CD3D48" w:rsidR="00005199">
        <w:rPr>
          <w:szCs w:val="22"/>
        </w:rPr>
        <w:t>BRETSA</w:t>
      </w:r>
      <w:r w:rsidRPr="00CD3D48" w:rsidR="00AE1AC4">
        <w:rPr>
          <w:szCs w:val="22"/>
        </w:rPr>
        <w:t>’</w:t>
      </w:r>
      <w:r w:rsidRPr="00CD3D48" w:rsidR="00005199">
        <w:rPr>
          <w:szCs w:val="22"/>
        </w:rPr>
        <w:t xml:space="preserve">s </w:t>
      </w:r>
      <w:r w:rsidRPr="002A5E43" w:rsidR="0063088C">
        <w:rPr>
          <w:szCs w:val="22"/>
        </w:rPr>
        <w:t>Opposition</w:t>
      </w:r>
      <w:r w:rsidRPr="002A5E43" w:rsidR="00005199">
        <w:rPr>
          <w:szCs w:val="22"/>
        </w:rPr>
        <w:t>.</w:t>
      </w:r>
      <w:r>
        <w:rPr>
          <w:rStyle w:val="FootnoteReference"/>
          <w:sz w:val="22"/>
          <w:szCs w:val="22"/>
        </w:rPr>
        <w:footnoteReference w:id="5"/>
      </w:r>
      <w:r w:rsidRPr="00CD3D48" w:rsidR="00005199">
        <w:rPr>
          <w:szCs w:val="22"/>
        </w:rPr>
        <w:t xml:space="preserve"> </w:t>
      </w:r>
    </w:p>
    <w:p w:rsidR="00307A32" w:rsidRPr="005842F0" w:rsidP="00307A32" w14:paraId="746980DE" w14:textId="77777777">
      <w:pPr>
        <w:pStyle w:val="Heading1"/>
        <w:keepNext w:val="0"/>
        <w:suppressAutoHyphens w:val="0"/>
        <w:rPr>
          <w:rFonts w:ascii="Times New Roman" w:hAnsi="Times New Roman"/>
          <w:szCs w:val="22"/>
        </w:rPr>
      </w:pPr>
      <w:bookmarkStart w:id="16" w:name="_Toc385603520"/>
      <w:bookmarkStart w:id="17" w:name="_Toc383005254"/>
      <w:bookmarkStart w:id="18" w:name="_Toc383005824"/>
      <w:bookmarkStart w:id="19" w:name="_Toc383072941"/>
      <w:bookmarkStart w:id="20" w:name="_Toc384134717"/>
      <w:bookmarkStart w:id="21" w:name="_Toc384135267"/>
      <w:bookmarkStart w:id="22" w:name="_Toc385340227"/>
      <w:bookmarkStart w:id="23" w:name="_Toc385340346"/>
      <w:bookmarkStart w:id="24" w:name="_Toc385340605"/>
      <w:bookmarkStart w:id="25" w:name="_Toc385346350"/>
      <w:bookmarkStart w:id="26" w:name="_Toc385516188"/>
      <w:bookmarkStart w:id="27" w:name="_Toc385603521"/>
      <w:bookmarkStart w:id="28" w:name="_Toc387858281"/>
      <w:bookmarkStart w:id="29" w:name="_Toc388962615"/>
      <w:bookmarkStart w:id="30" w:name="_Toc388975402"/>
      <w:bookmarkEnd w:id="16"/>
      <w:r>
        <w:rPr>
          <w:rFonts w:ascii="Times New Roman" w:hAnsi="Times New Roman"/>
          <w:szCs w:val="22"/>
        </w:rPr>
        <w:t>BACKGROUND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796863" w:rsidRPr="00CD3D48" w:rsidP="00CD3D48" w14:paraId="2F1D6CAA" w14:textId="37500E06">
      <w:pPr>
        <w:pStyle w:val="ParaNum"/>
        <w:rPr>
          <w:rFonts w:eastAsia="Times"/>
        </w:rPr>
      </w:pPr>
      <w:r w:rsidRPr="005B7775">
        <w:t xml:space="preserve">In connection with the </w:t>
      </w:r>
      <w:r w:rsidRPr="00564BB2" w:rsidR="009701F3">
        <w:rPr>
          <w:i/>
          <w:iCs/>
        </w:rPr>
        <w:t xml:space="preserve">Wireless E911 Location Accuracy </w:t>
      </w:r>
      <w:r w:rsidR="009701F3">
        <w:t xml:space="preserve">proceeding, </w:t>
      </w:r>
      <w:r w:rsidR="00316F97">
        <w:t xml:space="preserve">CTIA, on behalf of </w:t>
      </w:r>
      <w:r w:rsidR="00546CFB">
        <w:t>the Test Bed</w:t>
      </w:r>
      <w:r w:rsidR="00316F97">
        <w:t>,</w:t>
      </w:r>
      <w:r w:rsidR="009701F3">
        <w:t xml:space="preserve"> submitted </w:t>
      </w:r>
      <w:r w:rsidR="00316F97">
        <w:t xml:space="preserve">under cover </w:t>
      </w:r>
      <w:r w:rsidR="00546CFB">
        <w:t>a Stage</w:t>
      </w:r>
      <w:r w:rsidR="004F3B18">
        <w:t xml:space="preserve"> Za</w:t>
      </w:r>
      <w:r w:rsidR="00546CFB">
        <w:t xml:space="preserve"> Report</w:t>
      </w:r>
      <w:r w:rsidR="004F3B18">
        <w:t xml:space="preserve"> to the Commission</w:t>
      </w:r>
      <w:r w:rsidR="00E341F9">
        <w:t xml:space="preserve"> on April 29, 2020</w:t>
      </w:r>
      <w:r w:rsidR="004900E8">
        <w:t xml:space="preserve"> describing results of the Test Bed and Google’s efforts to test the precision of Google’s handset-based </w:t>
      </w:r>
      <w:r w:rsidR="00D67522">
        <w:t xml:space="preserve">solution to determining a wireless 911 caller’s </w:t>
      </w:r>
      <w:r w:rsidR="004900E8">
        <w:t>vertical location</w:t>
      </w:r>
      <w:r w:rsidR="004F3B18">
        <w:t>.</w:t>
      </w:r>
      <w:r>
        <w:rPr>
          <w:rStyle w:val="FootnoteReference"/>
        </w:rPr>
        <w:footnoteReference w:id="6"/>
      </w:r>
      <w:r w:rsidR="004900E8">
        <w:t xml:space="preserve">  The Test Bed and Google provided a public summary version of the test results but requested confidential treatment of the </w:t>
      </w:r>
      <w:r w:rsidR="00D67522">
        <w:t xml:space="preserve">report containing the detailed </w:t>
      </w:r>
      <w:r w:rsidR="00532D2D">
        <w:t xml:space="preserve">underlying </w:t>
      </w:r>
      <w:r w:rsidR="004900E8">
        <w:t>test results.</w:t>
      </w:r>
      <w:r>
        <w:rPr>
          <w:rStyle w:val="FootnoteReference"/>
        </w:rPr>
        <w:footnoteReference w:id="7"/>
      </w:r>
      <w:r w:rsidR="002E24F8">
        <w:t xml:space="preserve"> </w:t>
      </w:r>
      <w:r w:rsidR="00CD3D48">
        <w:t xml:space="preserve"> </w:t>
      </w:r>
      <w:r w:rsidRPr="00CD3D48">
        <w:rPr>
          <w:rFonts w:eastAsia="Times"/>
        </w:rPr>
        <w:t xml:space="preserve">The </w:t>
      </w:r>
      <w:r w:rsidRPr="00CD3D48" w:rsidR="00BE2C44">
        <w:rPr>
          <w:rFonts w:eastAsia="Times"/>
        </w:rPr>
        <w:t>Test Bed</w:t>
      </w:r>
      <w:r w:rsidRPr="00CD3D48">
        <w:rPr>
          <w:rFonts w:eastAsia="Times"/>
        </w:rPr>
        <w:t xml:space="preserve"> states that </w:t>
      </w:r>
      <w:r w:rsidR="00D51519">
        <w:rPr>
          <w:rFonts w:eastAsia="Times"/>
        </w:rPr>
        <w:t>the Stage Za Report</w:t>
      </w:r>
      <w:r w:rsidRPr="00CD3D48">
        <w:rPr>
          <w:rFonts w:eastAsia="Times"/>
        </w:rPr>
        <w:t xml:space="preserve"> </w:t>
      </w:r>
      <w:r w:rsidRPr="002A5E43" w:rsidR="00AE1AC4">
        <w:rPr>
          <w:rFonts w:eastAsia="Times"/>
        </w:rPr>
        <w:t>“</w:t>
      </w:r>
      <w:r w:rsidRPr="002A5E43">
        <w:rPr>
          <w:rFonts w:eastAsia="Times"/>
        </w:rPr>
        <w:t>contains Google</w:t>
      </w:r>
      <w:r w:rsidRPr="002A5E43" w:rsidR="00AE1AC4">
        <w:rPr>
          <w:rFonts w:eastAsia="Times"/>
        </w:rPr>
        <w:t>’</w:t>
      </w:r>
      <w:r w:rsidRPr="002A5E43">
        <w:rPr>
          <w:rFonts w:eastAsia="Times"/>
        </w:rPr>
        <w:t>s proprietary and commercially sensitive information, including certain information about Google</w:t>
      </w:r>
      <w:r w:rsidRPr="002A5E43" w:rsidR="00AE1AC4">
        <w:rPr>
          <w:rFonts w:eastAsia="Times"/>
        </w:rPr>
        <w:t>’</w:t>
      </w:r>
      <w:r w:rsidRPr="002A5E43">
        <w:rPr>
          <w:rFonts w:eastAsia="Times"/>
        </w:rPr>
        <w:t xml:space="preserve">s </w:t>
      </w:r>
      <w:r w:rsidRPr="002A5E43">
        <w:rPr>
          <w:rFonts w:eastAsia="Times"/>
        </w:rPr>
        <w:t>devices, Google</w:t>
      </w:r>
      <w:r w:rsidRPr="002A5E43" w:rsidR="00AE1AC4">
        <w:rPr>
          <w:rFonts w:eastAsia="Times"/>
        </w:rPr>
        <w:t>’</w:t>
      </w:r>
      <w:r w:rsidRPr="002A5E43">
        <w:rPr>
          <w:rFonts w:eastAsia="Times"/>
        </w:rPr>
        <w:t xml:space="preserve">s </w:t>
      </w:r>
      <w:r w:rsidRPr="00F57B70">
        <w:rPr>
          <w:rFonts w:eastAsia="Times"/>
        </w:rPr>
        <w:t>[Emergency Location Services</w:t>
      </w:r>
      <w:r w:rsidRPr="00F57B70" w:rsidR="0046674F">
        <w:rPr>
          <w:rFonts w:eastAsia="Times"/>
        </w:rPr>
        <w:t>, or ELS</w:t>
      </w:r>
      <w:r w:rsidRPr="00F57B70">
        <w:rPr>
          <w:rFonts w:eastAsia="Times"/>
        </w:rPr>
        <w:t>] technology, and</w:t>
      </w:r>
      <w:r w:rsidR="002E717F">
        <w:rPr>
          <w:rFonts w:eastAsia="Times"/>
        </w:rPr>
        <w:t xml:space="preserve"> details about ELS performance,</w:t>
      </w:r>
      <w:r w:rsidR="006C3708">
        <w:rPr>
          <w:rFonts w:eastAsia="Times"/>
        </w:rPr>
        <w:t xml:space="preserve"> </w:t>
      </w:r>
      <w:r w:rsidRPr="00F57B70">
        <w:rPr>
          <w:rFonts w:eastAsia="Times"/>
        </w:rPr>
        <w:t>that is not made publicly available and protected against disclosure to competitors in the normal course of business.</w:t>
      </w:r>
      <w:r w:rsidRPr="0006138A" w:rsidR="00AE1AC4">
        <w:rPr>
          <w:rFonts w:eastAsia="Times"/>
        </w:rPr>
        <w:t>”</w:t>
      </w:r>
      <w:r>
        <w:rPr>
          <w:rStyle w:val="FootnoteReference"/>
          <w:rFonts w:eastAsia="Times"/>
        </w:rPr>
        <w:footnoteReference w:id="8"/>
      </w:r>
      <w:r w:rsidRPr="00CD3D48">
        <w:rPr>
          <w:rFonts w:eastAsia="Times"/>
        </w:rPr>
        <w:t xml:space="preserve">  </w:t>
      </w:r>
      <w:r w:rsidRPr="00CD3D48" w:rsidR="00BE2C44">
        <w:rPr>
          <w:rFonts w:eastAsia="Times"/>
        </w:rPr>
        <w:t>The Test Bed</w:t>
      </w:r>
      <w:r w:rsidRPr="00CD3D48">
        <w:rPr>
          <w:rFonts w:eastAsia="Times"/>
        </w:rPr>
        <w:t xml:space="preserve"> also claim</w:t>
      </w:r>
      <w:r w:rsidRPr="00CD3D48" w:rsidR="00BE2C44">
        <w:rPr>
          <w:rFonts w:eastAsia="Times"/>
        </w:rPr>
        <w:t>s</w:t>
      </w:r>
      <w:r w:rsidRPr="00CD3D48">
        <w:rPr>
          <w:rFonts w:eastAsia="Times"/>
        </w:rPr>
        <w:t xml:space="preserve"> </w:t>
      </w:r>
      <w:r w:rsidR="00D51519">
        <w:rPr>
          <w:rFonts w:eastAsia="Times"/>
        </w:rPr>
        <w:t>the Stage Za Report</w:t>
      </w:r>
      <w:r w:rsidRPr="00CD3D48">
        <w:rPr>
          <w:rFonts w:eastAsia="Times"/>
        </w:rPr>
        <w:t xml:space="preserve"> is submitted voluntarily, because the Commission</w:t>
      </w:r>
      <w:r w:rsidRPr="002A5E43" w:rsidR="00AE1AC4">
        <w:rPr>
          <w:rFonts w:eastAsia="Times"/>
        </w:rPr>
        <w:t>’</w:t>
      </w:r>
      <w:r w:rsidRPr="002A5E43">
        <w:rPr>
          <w:rFonts w:eastAsia="Times"/>
        </w:rPr>
        <w:t xml:space="preserve">s </w:t>
      </w:r>
      <w:r w:rsidRPr="00564BB2">
        <w:rPr>
          <w:rFonts w:eastAsia="Times"/>
          <w:i/>
          <w:iCs/>
        </w:rPr>
        <w:t>Fifth Report and Order</w:t>
      </w:r>
      <w:r w:rsidRPr="002A5E43">
        <w:rPr>
          <w:rFonts w:eastAsia="Times"/>
        </w:rPr>
        <w:t xml:space="preserve"> do</w:t>
      </w:r>
      <w:r w:rsidRPr="002A5E43" w:rsidR="00BE2C44">
        <w:rPr>
          <w:rFonts w:eastAsia="Times"/>
        </w:rPr>
        <w:t>es</w:t>
      </w:r>
      <w:r w:rsidRPr="002A5E43">
        <w:rPr>
          <w:rFonts w:eastAsia="Times"/>
        </w:rPr>
        <w:t xml:space="preserve"> not require its submission.</w:t>
      </w:r>
      <w:r>
        <w:rPr>
          <w:rStyle w:val="FootnoteReference"/>
          <w:rFonts w:eastAsia="Times"/>
        </w:rPr>
        <w:footnoteReference w:id="9"/>
      </w:r>
      <w:r w:rsidRPr="00CD3D48">
        <w:rPr>
          <w:rFonts w:eastAsia="Times"/>
        </w:rPr>
        <w:t xml:space="preserve">  </w:t>
      </w:r>
      <w:r w:rsidRPr="00CD3D48" w:rsidR="00BE2C44">
        <w:rPr>
          <w:rFonts w:eastAsia="Times"/>
        </w:rPr>
        <w:t>The Test Bed</w:t>
      </w:r>
      <w:r w:rsidRPr="00CD3D48">
        <w:rPr>
          <w:rFonts w:eastAsia="Times"/>
        </w:rPr>
        <w:t xml:space="preserve"> claim</w:t>
      </w:r>
      <w:r w:rsidRPr="00CD3D48" w:rsidR="00BE2C44">
        <w:rPr>
          <w:rFonts w:eastAsia="Times"/>
        </w:rPr>
        <w:t>s</w:t>
      </w:r>
      <w:r w:rsidRPr="00CD3D48">
        <w:rPr>
          <w:rFonts w:eastAsia="Times"/>
        </w:rPr>
        <w:t xml:space="preserve"> that Google has a commercial interest in the information contained in </w:t>
      </w:r>
      <w:r w:rsidR="00D51519">
        <w:rPr>
          <w:rFonts w:eastAsia="Times"/>
        </w:rPr>
        <w:t>the Stage Za Report</w:t>
      </w:r>
      <w:r w:rsidRPr="00CD3D48">
        <w:rPr>
          <w:rFonts w:eastAsia="Times"/>
        </w:rPr>
        <w:t xml:space="preserve"> and that information is not routinely released to the public</w:t>
      </w:r>
      <w:r w:rsidR="00D67522">
        <w:rPr>
          <w:rFonts w:eastAsia="Times"/>
        </w:rPr>
        <w:t>,</w:t>
      </w:r>
      <w:r>
        <w:rPr>
          <w:rStyle w:val="FootnoteReference"/>
          <w:rFonts w:eastAsia="Times"/>
        </w:rPr>
        <w:footnoteReference w:id="10"/>
      </w:r>
      <w:r w:rsidRPr="00CD3D48">
        <w:rPr>
          <w:rFonts w:eastAsia="Times"/>
        </w:rPr>
        <w:t xml:space="preserve"> and that Google has taken steps to prevent unauthorized disclosure of the information and has not disclosed it previously.</w:t>
      </w:r>
      <w:r>
        <w:rPr>
          <w:rStyle w:val="FootnoteReference"/>
          <w:rFonts w:eastAsia="Times"/>
        </w:rPr>
        <w:footnoteReference w:id="11"/>
      </w:r>
      <w:r w:rsidR="00D67522">
        <w:rPr>
          <w:rFonts w:eastAsia="Times"/>
        </w:rPr>
        <w:t xml:space="preserve">  The Test Bed also claims that the handset market is a competitive one and that Google would be harmed by the report’s release.</w:t>
      </w:r>
      <w:r>
        <w:rPr>
          <w:rStyle w:val="FootnoteReference"/>
          <w:rFonts w:eastAsia="Times"/>
        </w:rPr>
        <w:footnoteReference w:id="12"/>
      </w:r>
    </w:p>
    <w:p w:rsidR="00796863" w:rsidRPr="004F3B18" w:rsidP="004F3B18" w14:paraId="72BEF7AF" w14:textId="4748A17E">
      <w:pPr>
        <w:pStyle w:val="ParaNum"/>
        <w:rPr>
          <w:rFonts w:eastAsia="Times"/>
        </w:rPr>
      </w:pPr>
      <w:r>
        <w:rPr>
          <w:rFonts w:eastAsia="Times"/>
        </w:rPr>
        <w:t xml:space="preserve">In its opposition to </w:t>
      </w:r>
      <w:r w:rsidR="0052566C">
        <w:rPr>
          <w:rFonts w:eastAsia="Times"/>
        </w:rPr>
        <w:t>the Test Bed’s</w:t>
      </w:r>
      <w:r>
        <w:rPr>
          <w:rFonts w:eastAsia="Times"/>
        </w:rPr>
        <w:t xml:space="preserve"> Request, BRETSA argues that Google already makes information about its </w:t>
      </w:r>
      <w:r w:rsidR="00BB2F81">
        <w:rPr>
          <w:rFonts w:eastAsia="Times"/>
        </w:rPr>
        <w:t>Emergency Location Service</w:t>
      </w:r>
      <w:r>
        <w:rPr>
          <w:rFonts w:eastAsia="Times"/>
        </w:rPr>
        <w:t xml:space="preserve"> available via web page links to descriptions of Google</w:t>
      </w:r>
      <w:r w:rsidR="00AE1AC4">
        <w:rPr>
          <w:rFonts w:eastAsia="Times"/>
        </w:rPr>
        <w:t>’</w:t>
      </w:r>
      <w:r>
        <w:rPr>
          <w:rFonts w:eastAsia="Times"/>
        </w:rPr>
        <w:t>s technology.</w:t>
      </w:r>
      <w:r>
        <w:rPr>
          <w:rStyle w:val="FootnoteReference"/>
          <w:rFonts w:eastAsia="Times"/>
        </w:rPr>
        <w:footnoteReference w:id="13"/>
      </w:r>
      <w:r>
        <w:rPr>
          <w:rFonts w:eastAsia="Times"/>
        </w:rPr>
        <w:t xml:space="preserve">  BRETSA further argues that the </w:t>
      </w:r>
      <w:r w:rsidR="004C4ACE">
        <w:rPr>
          <w:rFonts w:eastAsia="Times"/>
        </w:rPr>
        <w:t>Cover Letter</w:t>
      </w:r>
      <w:r>
        <w:rPr>
          <w:rFonts w:eastAsia="Times"/>
        </w:rPr>
        <w:t xml:space="preserve"> makes partial disclosures about the test results of </w:t>
      </w:r>
      <w:r w:rsidR="00D51519">
        <w:rPr>
          <w:rFonts w:eastAsia="Times"/>
        </w:rPr>
        <w:t>the Stage Za Report</w:t>
      </w:r>
      <w:r>
        <w:rPr>
          <w:rFonts w:eastAsia="Times"/>
        </w:rPr>
        <w:t xml:space="preserve"> which is </w:t>
      </w:r>
      <w:r w:rsidR="00AE1AC4">
        <w:rPr>
          <w:rFonts w:eastAsia="Times"/>
        </w:rPr>
        <w:t>“</w:t>
      </w:r>
      <w:r w:rsidRPr="00021976">
        <w:rPr>
          <w:rFonts w:eastAsia="Times"/>
        </w:rPr>
        <w:t>inconsistent with treating the test results as confidential</w:t>
      </w:r>
      <w:r>
        <w:rPr>
          <w:rFonts w:eastAsia="Times"/>
        </w:rPr>
        <w:t>.</w:t>
      </w:r>
      <w:r w:rsidR="00AE1AC4">
        <w:rPr>
          <w:rFonts w:eastAsia="Times"/>
        </w:rPr>
        <w:t>”</w:t>
      </w:r>
      <w:r>
        <w:rPr>
          <w:rStyle w:val="FootnoteReference"/>
          <w:rFonts w:eastAsia="Times"/>
        </w:rPr>
        <w:footnoteReference w:id="14"/>
      </w:r>
      <w:r>
        <w:rPr>
          <w:rFonts w:eastAsia="Times"/>
        </w:rPr>
        <w:t xml:space="preserve">  BRETSA further claims that submission of the Report is required by Commission rules, not voluntary,</w:t>
      </w:r>
      <w:r>
        <w:rPr>
          <w:rStyle w:val="FootnoteReference"/>
          <w:rFonts w:eastAsia="Times"/>
        </w:rPr>
        <w:footnoteReference w:id="15"/>
      </w:r>
      <w:r>
        <w:rPr>
          <w:rFonts w:eastAsia="Times"/>
        </w:rPr>
        <w:t xml:space="preserve"> and that it is irrelevant whether </w:t>
      </w:r>
      <w:r w:rsidR="00D51519">
        <w:rPr>
          <w:rFonts w:eastAsia="Times"/>
        </w:rPr>
        <w:t>the Stage Za Report</w:t>
      </w:r>
      <w:r>
        <w:rPr>
          <w:rFonts w:eastAsia="Times"/>
        </w:rPr>
        <w:t xml:space="preserve"> was certified by the independent test bed</w:t>
      </w:r>
      <w:r w:rsidR="0052566C">
        <w:rPr>
          <w:rFonts w:eastAsia="Times"/>
        </w:rPr>
        <w:t xml:space="preserve"> </w:t>
      </w:r>
      <w:r w:rsidR="00747FC0">
        <w:rPr>
          <w:rFonts w:eastAsia="Times"/>
        </w:rPr>
        <w:t>(</w:t>
      </w:r>
      <w:r>
        <w:rPr>
          <w:rFonts w:eastAsia="Times"/>
        </w:rPr>
        <w:t xml:space="preserve">the condition for </w:t>
      </w:r>
      <w:r w:rsidR="00BF37A8">
        <w:rPr>
          <w:rFonts w:eastAsia="Times"/>
        </w:rPr>
        <w:t xml:space="preserve">filing required </w:t>
      </w:r>
      <w:r>
        <w:rPr>
          <w:rFonts w:eastAsia="Times"/>
        </w:rPr>
        <w:t xml:space="preserve">by the </w:t>
      </w:r>
      <w:r w:rsidRPr="00564BB2">
        <w:rPr>
          <w:rFonts w:eastAsia="Times"/>
          <w:i/>
          <w:iCs/>
        </w:rPr>
        <w:t>Fourth Report and Order</w:t>
      </w:r>
      <w:r w:rsidR="00747FC0">
        <w:rPr>
          <w:rFonts w:eastAsia="Times"/>
        </w:rPr>
        <w:t>)</w:t>
      </w:r>
      <w:r>
        <w:rPr>
          <w:rFonts w:eastAsia="Times"/>
        </w:rPr>
        <w:t>.</w:t>
      </w:r>
      <w:r>
        <w:rPr>
          <w:rStyle w:val="FootnoteReference"/>
          <w:rFonts w:eastAsia="Times"/>
        </w:rPr>
        <w:footnoteReference w:id="16"/>
      </w:r>
      <w:r>
        <w:rPr>
          <w:rFonts w:eastAsia="Times"/>
        </w:rPr>
        <w:t xml:space="preserve">  Furthermore, BRETSA asserts that the Commission</w:t>
      </w:r>
      <w:r w:rsidR="00AE1AC4">
        <w:rPr>
          <w:rFonts w:eastAsia="Times"/>
        </w:rPr>
        <w:t>’</w:t>
      </w:r>
      <w:r>
        <w:rPr>
          <w:rFonts w:eastAsia="Times"/>
        </w:rPr>
        <w:t xml:space="preserve">s </w:t>
      </w:r>
      <w:r w:rsidRPr="00564BB2">
        <w:rPr>
          <w:rFonts w:eastAsia="Times"/>
          <w:i/>
          <w:iCs/>
        </w:rPr>
        <w:t>Fifth Report and Order</w:t>
      </w:r>
      <w:r>
        <w:rPr>
          <w:rFonts w:eastAsia="Times"/>
        </w:rPr>
        <w:t xml:space="preserve"> never rescinded this requirement for </w:t>
      </w:r>
      <w:r w:rsidR="0052566C">
        <w:rPr>
          <w:rFonts w:eastAsia="Times"/>
        </w:rPr>
        <w:t xml:space="preserve">public submission of </w:t>
      </w:r>
      <w:r>
        <w:rPr>
          <w:rFonts w:eastAsia="Times"/>
        </w:rPr>
        <w:t>subsequent test results.</w:t>
      </w:r>
      <w:r>
        <w:rPr>
          <w:rStyle w:val="FootnoteReference"/>
          <w:rFonts w:eastAsia="Times"/>
        </w:rPr>
        <w:footnoteReference w:id="17"/>
      </w:r>
      <w:r>
        <w:rPr>
          <w:rFonts w:eastAsia="Times"/>
        </w:rPr>
        <w:t xml:space="preserve">  Finally, BRETSA argues release of </w:t>
      </w:r>
      <w:r w:rsidR="00D51519">
        <w:rPr>
          <w:rFonts w:eastAsia="Times"/>
        </w:rPr>
        <w:t>the Stage Za Report</w:t>
      </w:r>
      <w:r>
        <w:rPr>
          <w:rFonts w:eastAsia="Times"/>
        </w:rPr>
        <w:t xml:space="preserve"> will not harm Google competitively.</w:t>
      </w:r>
      <w:r>
        <w:rPr>
          <w:rStyle w:val="FootnoteReference"/>
          <w:rFonts w:eastAsia="Times"/>
        </w:rPr>
        <w:footnoteReference w:id="18"/>
      </w:r>
      <w:r w:rsidR="00CA7CCF">
        <w:rPr>
          <w:rFonts w:eastAsia="Times"/>
        </w:rPr>
        <w:t xml:space="preserve"> </w:t>
      </w:r>
    </w:p>
    <w:p w:rsidR="00307A32" w:rsidRPr="004F3B18" w:rsidP="004F3B18" w14:paraId="250DF84C" w14:textId="3C4478C1">
      <w:pPr>
        <w:pStyle w:val="ParaNum"/>
      </w:pPr>
      <w:r>
        <w:t xml:space="preserve">In their Reply, </w:t>
      </w:r>
      <w:r w:rsidR="0052566C">
        <w:t>the Test Bed and Google</w:t>
      </w:r>
      <w:r>
        <w:t xml:space="preserve"> counter that making certain information about a product publicly available does not deprive all details about that product from the protections of FOIA Exemption 4.</w:t>
      </w:r>
      <w:r>
        <w:rPr>
          <w:rStyle w:val="FootnoteReference"/>
        </w:rPr>
        <w:footnoteReference w:id="19"/>
      </w:r>
      <w:r>
        <w:t xml:space="preserve"> </w:t>
      </w:r>
      <w:r w:rsidR="0052566C">
        <w:t xml:space="preserve"> The Test Bed and</w:t>
      </w:r>
      <w:r>
        <w:t xml:space="preserve"> Google argue that </w:t>
      </w:r>
      <w:r w:rsidR="00D51519">
        <w:t>the Stage Za Report</w:t>
      </w:r>
      <w:r>
        <w:t xml:space="preserve"> was </w:t>
      </w:r>
      <w:r w:rsidR="00E341F9">
        <w:t>conducted for the purpose of measuring performance, not for validating compliance with Commission’s accuracy standard, so</w:t>
      </w:r>
      <w:r>
        <w:t xml:space="preserve"> is not required to be submitted under the Commission</w:t>
      </w:r>
      <w:r w:rsidR="00AE1AC4">
        <w:t>’</w:t>
      </w:r>
      <w:r>
        <w:t>s rules, therefore the submission was voluntary.</w:t>
      </w:r>
      <w:r>
        <w:rPr>
          <w:rStyle w:val="FootnoteReference"/>
        </w:rPr>
        <w:footnoteReference w:id="20"/>
      </w:r>
      <w:r>
        <w:t xml:space="preserve">  </w:t>
      </w:r>
      <w:r w:rsidR="0052566C">
        <w:t xml:space="preserve">The </w:t>
      </w:r>
      <w:r w:rsidR="0052566C">
        <w:t xml:space="preserve">Test Bed and </w:t>
      </w:r>
      <w:r>
        <w:t xml:space="preserve">Google further argue that </w:t>
      </w:r>
      <w:r w:rsidR="00D51519">
        <w:t>the Stage Za Report</w:t>
      </w:r>
      <w:r>
        <w:t xml:space="preserve"> contains proprietary information and its release would substantially harm Google in a competitive market.</w:t>
      </w:r>
      <w:r>
        <w:rPr>
          <w:rStyle w:val="FootnoteReference"/>
        </w:rPr>
        <w:footnoteReference w:id="21"/>
      </w:r>
      <w:r>
        <w:t xml:space="preserve">  Finally, </w:t>
      </w:r>
      <w:r w:rsidR="0052566C">
        <w:t xml:space="preserve">the Test Bed and </w:t>
      </w:r>
      <w:r>
        <w:t>Google claim that a failure to grant the Request for Confidentiality will harm the public interest by deterring further testing</w:t>
      </w:r>
      <w:r w:rsidR="00BB2F81">
        <w:t xml:space="preserve"> and reporting</w:t>
      </w:r>
      <w:r w:rsidR="00CF1C21">
        <w:t>,</w:t>
      </w:r>
      <w:r>
        <w:t xml:space="preserve"> </w:t>
      </w:r>
      <w:r w:rsidR="00CF1C21">
        <w:t>which will</w:t>
      </w:r>
      <w:r>
        <w:t xml:space="preserve"> slow the deployment of location-accurate E911 solutions.</w:t>
      </w:r>
      <w:r>
        <w:rPr>
          <w:rStyle w:val="FootnoteReference"/>
        </w:rPr>
        <w:footnoteReference w:id="22"/>
      </w:r>
    </w:p>
    <w:p w:rsidR="00307A32" w:rsidRPr="005842F0" w:rsidP="00307A32" w14:paraId="529A21AF" w14:textId="77777777">
      <w:pPr>
        <w:pStyle w:val="Heading1"/>
        <w:keepNext w:val="0"/>
        <w:suppressAutoHyphens w:val="0"/>
        <w:rPr>
          <w:rFonts w:ascii="Times New Roman" w:hAnsi="Times New Roman"/>
          <w:szCs w:val="22"/>
        </w:rPr>
      </w:pPr>
      <w:bookmarkStart w:id="31" w:name="_Toc385603538"/>
      <w:bookmarkStart w:id="32" w:name="_Toc383005295"/>
      <w:bookmarkStart w:id="33" w:name="_Toc383005865"/>
      <w:bookmarkStart w:id="34" w:name="_Toc383072983"/>
      <w:bookmarkStart w:id="35" w:name="_Toc384134760"/>
      <w:bookmarkStart w:id="36" w:name="_Toc384135308"/>
      <w:bookmarkStart w:id="37" w:name="_Toc385340269"/>
      <w:bookmarkStart w:id="38" w:name="_Toc385340388"/>
      <w:bookmarkStart w:id="39" w:name="_Toc385340646"/>
      <w:bookmarkStart w:id="40" w:name="_Toc385346391"/>
      <w:bookmarkStart w:id="41" w:name="_Toc385516229"/>
      <w:bookmarkStart w:id="42" w:name="_Toc385603539"/>
      <w:bookmarkStart w:id="43" w:name="_Toc387858298"/>
      <w:bookmarkStart w:id="44" w:name="_Toc388962632"/>
      <w:bookmarkStart w:id="45" w:name="_Toc388975441"/>
      <w:bookmarkEnd w:id="31"/>
      <w:r>
        <w:rPr>
          <w:rFonts w:ascii="Times New Roman" w:hAnsi="Times New Roman"/>
          <w:szCs w:val="22"/>
        </w:rPr>
        <w:t>DISCUSSION</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E6A18" w:rsidRPr="007A219C" w:rsidP="008E6A18" w14:paraId="62809A2D" w14:textId="20CCDF4C">
      <w:pPr>
        <w:pStyle w:val="ParaNum"/>
        <w:rPr>
          <w:szCs w:val="22"/>
        </w:rPr>
      </w:pPr>
      <w:bookmarkStart w:id="46" w:name="_Toc316992332"/>
      <w:bookmarkStart w:id="47" w:name="_Toc316999270"/>
      <w:bookmarkStart w:id="48" w:name="_Toc317002636"/>
      <w:bookmarkStart w:id="49" w:name="_Toc317161354"/>
      <w:bookmarkStart w:id="50" w:name="_Toc317164443"/>
      <w:bookmarkStart w:id="51" w:name="_Toc317168540"/>
      <w:bookmarkStart w:id="52" w:name="_Toc317174547"/>
      <w:bookmarkStart w:id="53" w:name="_Toc317240086"/>
      <w:bookmarkStart w:id="54" w:name="_Toc317240510"/>
      <w:bookmarkStart w:id="55" w:name="_Toc248739649"/>
      <w:bookmarkStart w:id="56" w:name="_Toc248740840"/>
      <w:bookmarkStart w:id="57" w:name="_Toc248803150"/>
      <w:bookmarkStart w:id="58" w:name="_Toc248804906"/>
      <w:bookmarkStart w:id="59" w:name="_Toc248814260"/>
      <w:bookmarkStart w:id="60" w:name="_Toc248909530"/>
      <w:bookmarkStart w:id="61" w:name="_Toc259178210"/>
      <w:bookmarkStart w:id="62" w:name="_Toc259178319"/>
      <w:bookmarkStart w:id="63" w:name="_Toc259779418"/>
      <w:bookmarkStart w:id="64" w:name="_Toc260058985"/>
      <w:bookmarkStart w:id="65" w:name="_Toc260125053"/>
      <w:bookmarkStart w:id="66" w:name="_Toc260135932"/>
      <w:bookmarkStart w:id="67" w:name="_Toc260388815"/>
      <w:bookmarkStart w:id="68" w:name="_Toc260905145"/>
      <w:bookmarkStart w:id="69" w:name="_Toc261507242"/>
      <w:bookmarkStart w:id="70" w:name="_Toc261585634"/>
      <w:bookmarkStart w:id="71" w:name="_Toc262717601"/>
      <w:bookmarkStart w:id="72" w:name="_Toc263400933"/>
      <w:bookmarkStart w:id="73" w:name="_Toc263688798"/>
      <w:bookmarkStart w:id="74" w:name="_Toc312236283"/>
      <w:bookmarkStart w:id="75" w:name="_Toc312237006"/>
      <w:bookmarkStart w:id="76" w:name="_Toc312237041"/>
      <w:bookmarkStart w:id="77" w:name="_Toc313634752"/>
      <w:bookmarkStart w:id="78" w:name="_Toc313635154"/>
      <w:bookmarkStart w:id="79" w:name="_Toc313635175"/>
      <w:bookmarkStart w:id="80" w:name="_Toc313635222"/>
      <w:bookmarkStart w:id="81" w:name="_Toc313635269"/>
      <w:bookmarkStart w:id="82" w:name="_Toc313635798"/>
      <w:bookmarkStart w:id="83" w:name="_Toc313635864"/>
      <w:bookmarkStart w:id="84" w:name="_Toc313636646"/>
      <w:bookmarkStart w:id="85" w:name="_Toc313637349"/>
      <w:bookmarkStart w:id="86" w:name="_Toc313637861"/>
      <w:bookmarkStart w:id="87" w:name="_Toc313638366"/>
      <w:bookmarkStart w:id="88" w:name="_Toc313881004"/>
      <w:bookmarkStart w:id="89" w:name="_Toc314216648"/>
      <w:bookmarkStart w:id="90" w:name="_Toc314216884"/>
      <w:bookmarkStart w:id="91" w:name="_Toc314218141"/>
      <w:bookmarkStart w:id="92" w:name="_Toc314228881"/>
      <w:bookmarkStart w:id="93" w:name="_Toc314229198"/>
      <w:bookmarkStart w:id="94" w:name="_Toc314234433"/>
      <w:bookmarkStart w:id="95" w:name="_Toc314234888"/>
      <w:bookmarkStart w:id="96" w:name="_Toc314236019"/>
      <w:bookmarkStart w:id="97" w:name="_Toc314238383"/>
      <w:bookmarkStart w:id="98" w:name="_Toc315344706"/>
      <w:bookmarkStart w:id="99" w:name="_Toc315349201"/>
      <w:bookmarkStart w:id="100" w:name="_Toc315349306"/>
      <w:bookmarkStart w:id="101" w:name="_Toc315349728"/>
      <w:bookmarkStart w:id="102" w:name="_Toc315351124"/>
      <w:bookmarkStart w:id="103" w:name="_Toc315352210"/>
      <w:bookmarkStart w:id="104" w:name="_Toc315443567"/>
      <w:bookmarkStart w:id="105" w:name="_Toc316030675"/>
      <w:bookmarkStart w:id="106" w:name="_Toc316032520"/>
      <w:bookmarkStart w:id="107" w:name="_Toc316033717"/>
      <w:bookmarkStart w:id="108" w:name="_Toc316037005"/>
      <w:bookmarkStart w:id="109" w:name="_Toc316037270"/>
      <w:bookmarkStart w:id="110" w:name="_Toc316038304"/>
      <w:bookmarkStart w:id="111" w:name="_Toc316038496"/>
      <w:bookmarkStart w:id="112" w:name="_Toc316038588"/>
      <w:bookmarkStart w:id="113" w:name="_Toc316041933"/>
      <w:bookmarkStart w:id="114" w:name="_Toc316043797"/>
      <w:bookmarkStart w:id="115" w:name="_Toc316059852"/>
      <w:bookmarkStart w:id="116" w:name="_Toc316060987"/>
      <w:bookmarkStart w:id="117" w:name="_Toc316392578"/>
      <w:bookmarkStart w:id="118" w:name="_Toc316393293"/>
      <w:bookmarkStart w:id="119" w:name="_Toc316393462"/>
      <w:bookmarkStart w:id="120" w:name="_Toc316394260"/>
      <w:bookmarkStart w:id="121" w:name="_Toc316396247"/>
      <w:bookmarkStart w:id="122" w:name="_Toc316987389"/>
      <w:bookmarkStart w:id="123" w:name="_Toc316987948"/>
      <w:bookmarkStart w:id="124" w:name="_Toc316992336"/>
      <w:bookmarkStart w:id="125" w:name="_Toc316999274"/>
      <w:bookmarkStart w:id="126" w:name="_Toc317002640"/>
      <w:bookmarkStart w:id="127" w:name="_Toc331429669"/>
      <w:bookmarkStart w:id="128" w:name="_Toc331690589"/>
      <w:bookmarkStart w:id="129" w:name="_Toc330388149"/>
      <w:bookmarkStart w:id="130" w:name="_Toc330388410"/>
      <w:bookmarkStart w:id="131" w:name="_Toc330390655"/>
      <w:bookmarkStart w:id="132" w:name="_Toc330391412"/>
      <w:bookmarkStart w:id="133" w:name="_Toc330391792"/>
      <w:bookmarkStart w:id="134" w:name="_Toc333476895"/>
      <w:bookmarkStart w:id="135" w:name="_Toc333477028"/>
      <w:bookmarkStart w:id="136" w:name="_Toc333477369"/>
      <w:r>
        <w:t xml:space="preserve">Under our </w:t>
      </w:r>
      <w:r w:rsidRPr="007A219C">
        <w:rPr>
          <w:color w:val="000000"/>
          <w:szCs w:val="22"/>
        </w:rPr>
        <w:t>rules</w:t>
      </w:r>
      <w:r>
        <w:t xml:space="preserve">, a request for confidentiality may be granted if the submitter has demonstrated by a preponderance of the evidence that withholding the information from the public is consistent with the </w:t>
      </w:r>
      <w:r w:rsidR="009A5611">
        <w:t>Freedom of Information Act (</w:t>
      </w:r>
      <w:r>
        <w:t>FOIA</w:t>
      </w:r>
      <w:r w:rsidR="009A5611">
        <w:t>)</w:t>
      </w:r>
      <w:r>
        <w:t>.</w:t>
      </w:r>
      <w:r>
        <w:rPr>
          <w:rStyle w:val="FootnoteReference"/>
        </w:rPr>
        <w:footnoteReference w:id="23"/>
      </w:r>
      <w:r>
        <w:t xml:space="preserve">  </w:t>
      </w:r>
      <w:r w:rsidRPr="007A219C" w:rsidR="003E2346">
        <w:rPr>
          <w:rFonts w:eastAsia="Times"/>
        </w:rPr>
        <w:t xml:space="preserve">Under FOIA Exemption 4, an agency may withhold from disclosure </w:t>
      </w:r>
      <w:r w:rsidRPr="007A219C" w:rsidR="00AE1AC4">
        <w:rPr>
          <w:rFonts w:eastAsia="Times"/>
        </w:rPr>
        <w:t>“</w:t>
      </w:r>
      <w:r w:rsidRPr="007A219C" w:rsidR="003E2346">
        <w:rPr>
          <w:rFonts w:eastAsia="Times"/>
        </w:rPr>
        <w:t>commercial or financial information obtained from a person [that is] privileged or confidential.</w:t>
      </w:r>
      <w:r w:rsidRPr="007A219C" w:rsidR="00AE1AC4">
        <w:rPr>
          <w:rFonts w:eastAsia="Times"/>
        </w:rPr>
        <w:t>”</w:t>
      </w:r>
      <w:r>
        <w:rPr>
          <w:rStyle w:val="FootnoteReference"/>
          <w:rFonts w:eastAsia="Times"/>
        </w:rPr>
        <w:footnoteReference w:id="24"/>
      </w:r>
      <w:r w:rsidRPr="007A219C">
        <w:rPr>
          <w:color w:val="373739"/>
          <w:szCs w:val="22"/>
        </w:rPr>
        <w:t xml:space="preserve">  </w:t>
      </w:r>
      <w:r w:rsidRPr="007A219C" w:rsidR="003E2346">
        <w:rPr>
          <w:szCs w:val="22"/>
        </w:rPr>
        <w:t xml:space="preserve">The Supreme Court </w:t>
      </w:r>
      <w:r w:rsidR="008A54CA">
        <w:rPr>
          <w:szCs w:val="22"/>
        </w:rPr>
        <w:t xml:space="preserve">has </w:t>
      </w:r>
      <w:r w:rsidRPr="007A219C" w:rsidR="003E2346">
        <w:rPr>
          <w:szCs w:val="22"/>
        </w:rPr>
        <w:t xml:space="preserve">clarified </w:t>
      </w:r>
      <w:r w:rsidRPr="007A219C" w:rsidR="00CF1C21">
        <w:rPr>
          <w:szCs w:val="22"/>
        </w:rPr>
        <w:t xml:space="preserve">that </w:t>
      </w:r>
      <w:r w:rsidRPr="004310E9">
        <w:t>information qualifie</w:t>
      </w:r>
      <w:r>
        <w:t>s</w:t>
      </w:r>
      <w:r w:rsidRPr="004310E9">
        <w:t xml:space="preserve"> as </w:t>
      </w:r>
      <w:r>
        <w:t>“</w:t>
      </w:r>
      <w:r w:rsidRPr="004310E9">
        <w:t>confidential</w:t>
      </w:r>
      <w:r>
        <w:t>” under Exemption 4</w:t>
      </w:r>
      <w:r w:rsidRPr="004310E9">
        <w:t xml:space="preserve"> “[a]t least where commercial or financial information is both customarily and actually treated as private by its owner and provided to the government under an assurance of privacy</w:t>
      </w:r>
      <w:r>
        <w:t>.</w:t>
      </w:r>
      <w:r w:rsidRPr="004310E9">
        <w:t>”</w:t>
      </w:r>
      <w:r>
        <w:rPr>
          <w:rStyle w:val="FootnoteReference"/>
          <w:sz w:val="22"/>
          <w:szCs w:val="22"/>
        </w:rPr>
        <w:footnoteReference w:id="25"/>
      </w:r>
      <w:r w:rsidRPr="007A219C" w:rsidR="00F54DB8">
        <w:rPr>
          <w:szCs w:val="22"/>
        </w:rPr>
        <w:t xml:space="preserve"> </w:t>
      </w:r>
    </w:p>
    <w:p w:rsidR="009701F3" w:rsidRPr="005D3347" w:rsidP="005D3347" w14:paraId="38AB0173" w14:textId="21888DE7">
      <w:pPr>
        <w:pStyle w:val="ParaNum"/>
        <w:rPr>
          <w:szCs w:val="22"/>
        </w:rPr>
      </w:pPr>
      <w:r w:rsidRPr="008E6A18">
        <w:rPr>
          <w:szCs w:val="22"/>
        </w:rPr>
        <w:t xml:space="preserve">Here, </w:t>
      </w:r>
      <w:r w:rsidR="005D3347">
        <w:rPr>
          <w:szCs w:val="22"/>
        </w:rPr>
        <w:t>that</w:t>
      </w:r>
      <w:r w:rsidRPr="008E6A18">
        <w:rPr>
          <w:szCs w:val="22"/>
        </w:rPr>
        <w:t xml:space="preserve"> standard is met.  </w:t>
      </w:r>
      <w:r w:rsidR="000827C2">
        <w:rPr>
          <w:szCs w:val="22"/>
        </w:rPr>
        <w:t>As an initial matter</w:t>
      </w:r>
      <w:r w:rsidR="00AA7AA3">
        <w:rPr>
          <w:szCs w:val="22"/>
        </w:rPr>
        <w:t xml:space="preserve">, </w:t>
      </w:r>
      <w:r w:rsidR="0046681B">
        <w:t xml:space="preserve">Google voluntarily tested its technology in the independent test bed, but the testing was not for purposes of validating the technology’s compliance with the Commission’s accuracy requirements.  Because </w:t>
      </w:r>
      <w:r w:rsidR="00AA7AA3">
        <w:rPr>
          <w:szCs w:val="22"/>
        </w:rPr>
        <w:t>t</w:t>
      </w:r>
      <w:r w:rsidR="0052566C">
        <w:rPr>
          <w:szCs w:val="22"/>
        </w:rPr>
        <w:t xml:space="preserve">he </w:t>
      </w:r>
      <w:r w:rsidR="00CF1C21">
        <w:rPr>
          <w:szCs w:val="22"/>
        </w:rPr>
        <w:t xml:space="preserve">Stage </w:t>
      </w:r>
      <w:r w:rsidRPr="008E6A18">
        <w:rPr>
          <w:szCs w:val="22"/>
        </w:rPr>
        <w:t xml:space="preserve">Za Report was </w:t>
      </w:r>
      <w:r w:rsidR="005630B6">
        <w:rPr>
          <w:szCs w:val="22"/>
        </w:rPr>
        <w:t>submitted to the Commission voluntarily under our rules</w:t>
      </w:r>
      <w:r w:rsidR="0046681B">
        <w:rPr>
          <w:szCs w:val="22"/>
        </w:rPr>
        <w:t xml:space="preserve"> and not to the test bed for compliance with the validation requirement, i</w:t>
      </w:r>
      <w:r w:rsidR="00F023CF">
        <w:rPr>
          <w:szCs w:val="22"/>
        </w:rPr>
        <w:t xml:space="preserve">t </w:t>
      </w:r>
      <w:r w:rsidRPr="008E6A18">
        <w:rPr>
          <w:szCs w:val="22"/>
        </w:rPr>
        <w:t xml:space="preserve">is not required to be submitted into the record under </w:t>
      </w:r>
      <w:r w:rsidR="00E95E9D">
        <w:rPr>
          <w:szCs w:val="22"/>
        </w:rPr>
        <w:t xml:space="preserve">Section </w:t>
      </w:r>
      <w:r w:rsidRPr="008E6A18">
        <w:rPr>
          <w:szCs w:val="22"/>
        </w:rPr>
        <w:t>9.10(i)(2)(ii)(B)</w:t>
      </w:r>
      <w:r>
        <w:rPr>
          <w:rStyle w:val="FootnoteReference"/>
          <w:szCs w:val="22"/>
        </w:rPr>
        <w:footnoteReference w:id="26"/>
      </w:r>
      <w:r w:rsidR="00192ECE">
        <w:rPr>
          <w:szCs w:val="22"/>
        </w:rPr>
        <w:t xml:space="preserve"> of the Commission’s rules</w:t>
      </w:r>
      <w:r w:rsidRPr="008E6A18">
        <w:rPr>
          <w:szCs w:val="22"/>
        </w:rPr>
        <w:t xml:space="preserve"> nor under the Commission</w:t>
      </w:r>
      <w:r w:rsidR="00AE1AC4">
        <w:rPr>
          <w:szCs w:val="22"/>
        </w:rPr>
        <w:t>’</w:t>
      </w:r>
      <w:r w:rsidRPr="008E6A18">
        <w:rPr>
          <w:szCs w:val="22"/>
        </w:rPr>
        <w:t>s Orders in this proceeding.</w:t>
      </w:r>
      <w:r>
        <w:rPr>
          <w:rStyle w:val="FootnoteReference"/>
          <w:szCs w:val="22"/>
        </w:rPr>
        <w:footnoteReference w:id="27"/>
      </w:r>
      <w:r w:rsidRPr="008E6A18">
        <w:rPr>
          <w:szCs w:val="22"/>
        </w:rPr>
        <w:t xml:space="preserve">  </w:t>
      </w:r>
      <w:r w:rsidR="008A54CA">
        <w:rPr>
          <w:szCs w:val="22"/>
        </w:rPr>
        <w:t>The Commission’s rules provide that if a person requests confidential treatment for materials that are submitted voluntarily, if that request is not granted, the materials will be returned if requested and not made public.</w:t>
      </w:r>
      <w:r>
        <w:rPr>
          <w:rStyle w:val="FootnoteReference"/>
          <w:szCs w:val="22"/>
        </w:rPr>
        <w:footnoteReference w:id="28"/>
      </w:r>
      <w:r w:rsidR="008A54CA">
        <w:rPr>
          <w:szCs w:val="22"/>
        </w:rPr>
        <w:t xml:space="preserve">  The Stage Za Report was submitted with such a request, and it therefore was submitted with an assurance of confidentiality</w:t>
      </w:r>
      <w:r w:rsidR="009466C6">
        <w:rPr>
          <w:szCs w:val="22"/>
        </w:rPr>
        <w:t>.</w:t>
      </w:r>
      <w:r w:rsidR="008A54CA">
        <w:rPr>
          <w:szCs w:val="22"/>
        </w:rPr>
        <w:t xml:space="preserve">  </w:t>
      </w:r>
      <w:r w:rsidRPr="008A54CA" w:rsidR="005630B6">
        <w:rPr>
          <w:szCs w:val="22"/>
        </w:rPr>
        <w:t>The</w:t>
      </w:r>
      <w:r w:rsidR="005630B6">
        <w:rPr>
          <w:szCs w:val="22"/>
        </w:rPr>
        <w:t xml:space="preserve"> </w:t>
      </w:r>
      <w:r w:rsidR="00D51519">
        <w:rPr>
          <w:szCs w:val="22"/>
        </w:rPr>
        <w:t>Stage</w:t>
      </w:r>
      <w:r w:rsidR="005630B6">
        <w:rPr>
          <w:szCs w:val="22"/>
        </w:rPr>
        <w:t xml:space="preserve"> Za </w:t>
      </w:r>
      <w:r w:rsidR="00D51519">
        <w:rPr>
          <w:szCs w:val="22"/>
        </w:rPr>
        <w:t xml:space="preserve">Report </w:t>
      </w:r>
      <w:r w:rsidR="005630B6">
        <w:rPr>
          <w:szCs w:val="22"/>
        </w:rPr>
        <w:t xml:space="preserve">test results are indisputably commercial information and </w:t>
      </w:r>
      <w:r w:rsidR="005B22AA">
        <w:rPr>
          <w:szCs w:val="22"/>
        </w:rPr>
        <w:t xml:space="preserve">Google has established </w:t>
      </w:r>
      <w:r w:rsidR="005630B6">
        <w:rPr>
          <w:szCs w:val="22"/>
        </w:rPr>
        <w:t xml:space="preserve">it does not </w:t>
      </w:r>
      <w:r w:rsidR="005B22AA">
        <w:rPr>
          <w:szCs w:val="22"/>
        </w:rPr>
        <w:t>routinely release</w:t>
      </w:r>
      <w:r w:rsidR="005630B6">
        <w:rPr>
          <w:szCs w:val="22"/>
        </w:rPr>
        <w:t xml:space="preserve"> such results </w:t>
      </w:r>
      <w:r w:rsidR="005B22AA">
        <w:rPr>
          <w:szCs w:val="22"/>
        </w:rPr>
        <w:t>to the public</w:t>
      </w:r>
      <w:r w:rsidR="005630B6">
        <w:rPr>
          <w:szCs w:val="22"/>
        </w:rPr>
        <w:t>.</w:t>
      </w:r>
      <w:r w:rsidRPr="008E6A18" w:rsidR="005B22AA">
        <w:rPr>
          <w:szCs w:val="22"/>
        </w:rPr>
        <w:t xml:space="preserve"> </w:t>
      </w:r>
      <w:r w:rsidRPr="008E6A18">
        <w:rPr>
          <w:szCs w:val="22"/>
        </w:rPr>
        <w:t>BRETSA</w:t>
      </w:r>
      <w:r w:rsidR="00AE1AC4">
        <w:rPr>
          <w:szCs w:val="22"/>
        </w:rPr>
        <w:t>’</w:t>
      </w:r>
      <w:r w:rsidRPr="008E6A18">
        <w:rPr>
          <w:szCs w:val="22"/>
        </w:rPr>
        <w:t>s citations to Google</w:t>
      </w:r>
      <w:r w:rsidR="00AE1AC4">
        <w:rPr>
          <w:szCs w:val="22"/>
        </w:rPr>
        <w:t>’</w:t>
      </w:r>
      <w:r w:rsidRPr="008E6A18">
        <w:rPr>
          <w:szCs w:val="22"/>
        </w:rPr>
        <w:t xml:space="preserve">s advertisement of its product do not amount to Google putting its confidential technology into the public </w:t>
      </w:r>
      <w:r w:rsidRPr="008E6A18">
        <w:rPr>
          <w:szCs w:val="22"/>
        </w:rPr>
        <w:t>domain</w:t>
      </w:r>
      <w:r w:rsidR="005630B6">
        <w:rPr>
          <w:szCs w:val="22"/>
        </w:rPr>
        <w:t>, nor does the</w:t>
      </w:r>
      <w:r w:rsidR="005B22AA">
        <w:rPr>
          <w:szCs w:val="22"/>
        </w:rPr>
        <w:t xml:space="preserve"> fact that Google releases some technical information about its handsets</w:t>
      </w:r>
      <w:r>
        <w:rPr>
          <w:rStyle w:val="FootnoteReference"/>
          <w:szCs w:val="22"/>
        </w:rPr>
        <w:footnoteReference w:id="29"/>
      </w:r>
      <w:r w:rsidR="005B22AA">
        <w:rPr>
          <w:szCs w:val="22"/>
        </w:rPr>
        <w:t xml:space="preserve"> mean that it has waived its right to keep confidential more detailed technical information or information about products </w:t>
      </w:r>
      <w:r w:rsidR="005630B6">
        <w:rPr>
          <w:szCs w:val="22"/>
        </w:rPr>
        <w:t xml:space="preserve">or features </w:t>
      </w:r>
      <w:r w:rsidR="005B22AA">
        <w:rPr>
          <w:szCs w:val="22"/>
        </w:rPr>
        <w:t>at an earlier stage of development.</w:t>
      </w:r>
      <w:r w:rsidR="002543D0">
        <w:rPr>
          <w:szCs w:val="22"/>
        </w:rPr>
        <w:t xml:space="preserve">  The Stage Za Report therefore will not be made routinely available for public inspection.</w:t>
      </w:r>
      <w:r>
        <w:rPr>
          <w:rStyle w:val="FootnoteReference"/>
          <w:szCs w:val="22"/>
        </w:rPr>
        <w:footnoteReference w:id="30"/>
      </w:r>
      <w:r w:rsidR="005B22AA">
        <w:rPr>
          <w:szCs w:val="22"/>
        </w:rPr>
        <w:t xml:space="preserve">  </w:t>
      </w:r>
      <w:r w:rsidR="005D3347">
        <w:rPr>
          <w:szCs w:val="22"/>
        </w:rPr>
        <w:t xml:space="preserve"> </w:t>
      </w:r>
      <w:r w:rsidRPr="005D3347" w:rsidR="007C28C5">
        <w:rPr>
          <w:rFonts w:eastAsia="Times"/>
        </w:rPr>
        <w:t xml:space="preserve">  </w:t>
      </w:r>
    </w:p>
    <w:p w:rsidR="009701F3" w:rsidRPr="008E6A18" w:rsidP="009701F3" w14:paraId="15C33450" w14:textId="499BE24B">
      <w:pPr>
        <w:pStyle w:val="ParaNum"/>
        <w:numPr>
          <w:ilvl w:val="0"/>
          <w:numId w:val="0"/>
        </w:numPr>
        <w:rPr>
          <w:b/>
          <w:bCs/>
        </w:rPr>
      </w:pPr>
      <w:r w:rsidRPr="009701F3">
        <w:rPr>
          <w:b/>
          <w:bCs/>
        </w:rPr>
        <w:t>IV.</w:t>
      </w:r>
      <w:r w:rsidRPr="009701F3">
        <w:rPr>
          <w:b/>
          <w:bCs/>
        </w:rPr>
        <w:tab/>
        <w:t>ORDERING CLAUSES</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1378AC" w:rsidRPr="001378AC" w:rsidP="002102B0" w14:paraId="7F351C43" w14:textId="515F8EEE">
      <w:pPr>
        <w:pStyle w:val="ParaNum"/>
        <w:rPr>
          <w:szCs w:val="22"/>
        </w:rPr>
      </w:pPr>
      <w:r w:rsidRPr="00984422">
        <w:rPr>
          <w:szCs w:val="22"/>
        </w:rPr>
        <w:t xml:space="preserve">Accordingly, </w:t>
      </w:r>
      <w:r w:rsidRPr="00B44492">
        <w:rPr>
          <w:szCs w:val="22"/>
        </w:rPr>
        <w:t xml:space="preserve">IT IS ORDERED that, </w:t>
      </w:r>
      <w:r w:rsidRPr="00B44492">
        <w:t xml:space="preserve">pursuant to </w:t>
      </w:r>
      <w:r w:rsidRPr="00B44492" w:rsidR="00317E69">
        <w:t>s</w:t>
      </w:r>
      <w:r w:rsidRPr="00B44492">
        <w:t>ection 0.459 of the Commission</w:t>
      </w:r>
      <w:r w:rsidRPr="00B44492" w:rsidR="00AE1AC4">
        <w:t>’</w:t>
      </w:r>
      <w:r w:rsidRPr="00B44492">
        <w:t xml:space="preserve">s rules, 47 CFR § 0.459, </w:t>
      </w:r>
      <w:r w:rsidRPr="00B44492" w:rsidR="00B975A6">
        <w:t>the Test Bed’</w:t>
      </w:r>
      <w:r w:rsidRPr="00B44492">
        <w:t>s Request for Confidential Treatment of Records</w:t>
      </w:r>
      <w:r w:rsidRPr="00B44492">
        <w:rPr>
          <w:color w:val="000000"/>
        </w:rPr>
        <w:t xml:space="preserve"> IS GRANTED. </w:t>
      </w:r>
    </w:p>
    <w:p w:rsidR="00555E56" w:rsidRPr="00765757" w:rsidP="00765757" w14:paraId="1A43A890" w14:textId="53506EF9">
      <w:pPr>
        <w:pStyle w:val="ParaNum"/>
        <w:rPr>
          <w:szCs w:val="22"/>
        </w:rPr>
      </w:pPr>
      <w:r w:rsidRPr="00DF7F96">
        <w:t>This action is taken under delegated authority pursuant to Sections 0.191 and 0.392 of the Commission</w:t>
      </w:r>
      <w:r w:rsidR="00AE1AC4">
        <w:t>’</w:t>
      </w:r>
      <w:r w:rsidRPr="00DF7F96">
        <w:t>s Rules, 47 CFR §§ 0.191, 0.392.</w:t>
      </w:r>
    </w:p>
    <w:p w:rsidR="00555E56" w:rsidP="00765757" w14:paraId="60315B64" w14:textId="1AD31E51">
      <w:pPr>
        <w:widowControl/>
        <w:spacing w:after="120"/>
        <w:ind w:left="1440" w:firstLine="720"/>
      </w:pPr>
      <w:r w:rsidRPr="00DF7F96">
        <w:tab/>
      </w:r>
      <w:r w:rsidRPr="00DF7F96">
        <w:tab/>
      </w:r>
      <w:r w:rsidRPr="00DF7F96">
        <w:tab/>
        <w:t>FEDERAL COMMUNICATIONS COMMISSION</w:t>
      </w:r>
    </w:p>
    <w:p w:rsidR="00765757" w:rsidP="00765757" w14:paraId="6EF501D8" w14:textId="42222190">
      <w:pPr>
        <w:widowControl/>
        <w:spacing w:after="120"/>
        <w:ind w:left="1440" w:firstLine="720"/>
      </w:pPr>
    </w:p>
    <w:p w:rsidR="001378AC" w:rsidRPr="00DF7F96" w:rsidP="00765757" w14:paraId="326E7A23" w14:textId="77777777">
      <w:pPr>
        <w:widowControl/>
        <w:spacing w:after="120"/>
        <w:ind w:left="1440" w:firstLine="720"/>
      </w:pPr>
    </w:p>
    <w:p w:rsidR="00B44492" w:rsidP="00555E56" w14:paraId="6B6D1C17" w14:textId="77777777">
      <w:pPr>
        <w:ind w:left="2880" w:firstLine="720"/>
      </w:pPr>
      <w:r w:rsidRPr="00DF7F96">
        <w:tab/>
      </w:r>
      <w:r>
        <w:t xml:space="preserve">Lisa </w:t>
      </w:r>
      <w:r>
        <w:t xml:space="preserve">M. </w:t>
      </w:r>
      <w:r>
        <w:t>Fowlkes</w:t>
      </w:r>
    </w:p>
    <w:p w:rsidR="00555E56" w:rsidRPr="00DF7F96" w:rsidP="001F3062" w14:paraId="608BF08E" w14:textId="32010016">
      <w:pPr>
        <w:widowControl/>
        <w:ind w:left="3600" w:firstLine="720"/>
      </w:pPr>
      <w:r>
        <w:t>Chief</w:t>
      </w:r>
    </w:p>
    <w:p w:rsidR="00412FC5" w:rsidP="001F3062" w14:paraId="7F14D6FD" w14:textId="655B0E3B">
      <w:pPr>
        <w:widowControl/>
        <w:ind w:left="2880" w:firstLine="720"/>
      </w:pPr>
      <w:r w:rsidRPr="00DF7F96">
        <w:tab/>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232A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1DF7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07A32" w14:paraId="351DCB0A" w14:textId="460E5C81">
    <w:pPr>
      <w:pStyle w:val="Footer"/>
      <w:jc w:val="center"/>
    </w:pPr>
    <w:r>
      <w:fldChar w:fldCharType="begin"/>
    </w:r>
    <w:r>
      <w:instrText xml:space="preserve"> PAGE   \* MERGEFORMAT </w:instrText>
    </w:r>
    <w:r>
      <w:fldChar w:fldCharType="separate"/>
    </w:r>
    <w:r w:rsidR="004C4ACE">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48D31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6F31" w14:paraId="05F188E2" w14:textId="77777777">
      <w:r>
        <w:separator/>
      </w:r>
    </w:p>
  </w:footnote>
  <w:footnote w:type="continuationSeparator" w:id="1">
    <w:p w:rsidR="00F26F31" w:rsidP="00C721AC" w14:paraId="5AEF99CC" w14:textId="77777777">
      <w:pPr>
        <w:spacing w:before="120"/>
        <w:rPr>
          <w:sz w:val="20"/>
        </w:rPr>
      </w:pPr>
      <w:r>
        <w:rPr>
          <w:sz w:val="20"/>
        </w:rPr>
        <w:t xml:space="preserve">(Continued from previous page)  </w:t>
      </w:r>
      <w:r>
        <w:rPr>
          <w:sz w:val="20"/>
        </w:rPr>
        <w:separator/>
      </w:r>
    </w:p>
  </w:footnote>
  <w:footnote w:type="continuationNotice" w:id="2">
    <w:p w:rsidR="00F26F31" w:rsidP="00C721AC" w14:paraId="5C1E4542" w14:textId="77777777">
      <w:pPr>
        <w:jc w:val="right"/>
        <w:rPr>
          <w:sz w:val="20"/>
        </w:rPr>
      </w:pPr>
      <w:r>
        <w:rPr>
          <w:sz w:val="20"/>
        </w:rPr>
        <w:t>(continued….)</w:t>
      </w:r>
    </w:p>
  </w:footnote>
  <w:footnote w:id="3">
    <w:p w:rsidR="00005199" w:rsidRPr="00E62BB4" w:rsidP="00005199" w14:paraId="2B4F94F3" w14:textId="0F44E40F">
      <w:pPr>
        <w:pStyle w:val="FootnoteText"/>
      </w:pPr>
      <w:r w:rsidRPr="00E62BB4">
        <w:rPr>
          <w:rStyle w:val="FootnoteReference"/>
        </w:rPr>
        <w:footnoteRef/>
      </w:r>
      <w:r w:rsidRPr="00E62BB4">
        <w:t xml:space="preserve"> </w:t>
      </w:r>
      <w:r w:rsidRPr="00E62BB4" w:rsidR="00606476">
        <w:rPr>
          <w:i/>
          <w:iCs/>
        </w:rPr>
        <w:t>See</w:t>
      </w:r>
      <w:r w:rsidRPr="00E62BB4" w:rsidR="00606476">
        <w:t xml:space="preserve"> Letter from Thomas C. Power, Secretary, 911 Location Technologies Test Bed, LLC, </w:t>
      </w:r>
      <w:r w:rsidRPr="00E62BB4" w:rsidR="00E341F9">
        <w:t xml:space="preserve">to Marlene H. Dortch, Secretary, FCC, </w:t>
      </w:r>
      <w:r w:rsidRPr="00E62BB4" w:rsidR="00606476">
        <w:t xml:space="preserve">PS Docket No. 07-114, Stage Za Test Bed Report – Request for Confidential Treatment </w:t>
      </w:r>
      <w:r w:rsidR="00747FC0">
        <w:t xml:space="preserve">(filed April 29, 2020) </w:t>
      </w:r>
      <w:r w:rsidRPr="00E62BB4" w:rsidR="00606476">
        <w:t xml:space="preserve">(Confidentiality Request) (arguing that the Stage Za Report comprises confidential and proprietary information about Google’s Android </w:t>
      </w:r>
      <w:r w:rsidR="00606476">
        <w:t>Emergency Location Service</w:t>
      </w:r>
      <w:r w:rsidRPr="00E62BB4" w:rsidR="00606476">
        <w:t xml:space="preserve"> that </w:t>
      </w:r>
      <w:r w:rsidR="00606476">
        <w:t xml:space="preserve">is </w:t>
      </w:r>
      <w:r w:rsidRPr="00E62BB4" w:rsidR="00606476">
        <w:t>protected by Exemption 4 of the Freedom of Information Act (FOIA)</w:t>
      </w:r>
      <w:r w:rsidR="00747FC0">
        <w:t xml:space="preserve"> </w:t>
      </w:r>
      <w:r w:rsidRPr="00E62BB4" w:rsidR="00606476">
        <w:t>and</w:t>
      </w:r>
      <w:r w:rsidR="00606476">
        <w:t xml:space="preserve"> </w:t>
      </w:r>
      <w:r w:rsidR="004B1B85">
        <w:t xml:space="preserve">is </w:t>
      </w:r>
      <w:r w:rsidR="00EE4C6B">
        <w:t xml:space="preserve">therefore </w:t>
      </w:r>
      <w:r w:rsidR="00606476">
        <w:t>exempt from disclosure under</w:t>
      </w:r>
      <w:r w:rsidR="004B1B85">
        <w:t xml:space="preserve"> </w:t>
      </w:r>
      <w:r w:rsidRPr="00E62BB4">
        <w:t>47 CFR §§ 0.457(d)(2) and 0.459(b)).</w:t>
      </w:r>
    </w:p>
  </w:footnote>
  <w:footnote w:id="4">
    <w:p w:rsidR="00005199" w:rsidRPr="00E62BB4" w:rsidP="00005199" w14:paraId="2711F9EB" w14:textId="1A473ED4">
      <w:pPr>
        <w:pStyle w:val="FootnoteText"/>
      </w:pPr>
      <w:r w:rsidRPr="00E62BB4">
        <w:rPr>
          <w:rStyle w:val="FootnoteReference"/>
        </w:rPr>
        <w:footnoteRef/>
      </w:r>
      <w:r w:rsidRPr="00E62BB4">
        <w:t xml:space="preserve"> </w:t>
      </w:r>
      <w:r w:rsidRPr="00E62BB4" w:rsidR="00606476">
        <w:t>BRETSA Response in Opposition to Confidentiality Request CTIA Stage Za Test Bed Report</w:t>
      </w:r>
      <w:r w:rsidR="00747FC0">
        <w:t>,</w:t>
      </w:r>
      <w:r w:rsidRPr="00E62BB4" w:rsidR="00606476">
        <w:t xml:space="preserve"> PS Docket No. 07-114 (filed May 12, 2020) (BRETSA </w:t>
      </w:r>
      <w:r w:rsidR="00606476">
        <w:t>Opposition</w:t>
      </w:r>
      <w:r w:rsidRPr="00E62BB4" w:rsidR="00606476">
        <w:t xml:space="preserve">) (seeking public disclosure of Stage Za test results based on several assertions, including the claim that Google does not customarily treat its </w:t>
      </w:r>
      <w:r w:rsidR="00606476">
        <w:t>Emergency Location Service</w:t>
      </w:r>
      <w:r w:rsidRPr="00E62BB4" w:rsidR="00606476">
        <w:t xml:space="preserve"> location test results and accuracy as confidential).</w:t>
      </w:r>
      <w:r w:rsidR="00606476">
        <w:t xml:space="preserve"> </w:t>
      </w:r>
    </w:p>
  </w:footnote>
  <w:footnote w:id="5">
    <w:p w:rsidR="00005199" w:rsidP="00005199" w14:paraId="77AD8113" w14:textId="192CD816">
      <w:pPr>
        <w:pStyle w:val="FootnoteText"/>
      </w:pPr>
      <w:r w:rsidRPr="00E62BB4">
        <w:rPr>
          <w:rStyle w:val="FootnoteReference"/>
        </w:rPr>
        <w:footnoteRef/>
      </w:r>
      <w:r w:rsidRPr="00E62BB4">
        <w:t xml:space="preserve"> Reply of 911 Location Technologies Test Bed, LLC and Google LLC Opposing Release of Confidential Stage Za Test Bed Report, PS Docket 07-114 (filed May 26, 2020) (</w:t>
      </w:r>
      <w:r w:rsidR="00546CFB">
        <w:t xml:space="preserve">Test Bed </w:t>
      </w:r>
      <w:r w:rsidR="00EB7154">
        <w:t xml:space="preserve">and Google </w:t>
      </w:r>
      <w:r w:rsidR="00606476">
        <w:t>Reply</w:t>
      </w:r>
      <w:r w:rsidRPr="00E62BB4">
        <w:t>).</w:t>
      </w:r>
    </w:p>
  </w:footnote>
  <w:footnote w:id="6">
    <w:p w:rsidR="000F0444" w:rsidP="00184815" w14:paraId="6D19B4F5" w14:textId="417ECC02">
      <w:pPr>
        <w:pStyle w:val="FootnoteText"/>
      </w:pPr>
      <w:r>
        <w:rPr>
          <w:rStyle w:val="FootnoteReference"/>
        </w:rPr>
        <w:footnoteRef/>
      </w:r>
      <w:r w:rsidR="0081433C">
        <w:t xml:space="preserve"> Letter from </w:t>
      </w:r>
      <w:r w:rsidRPr="00E62BB4" w:rsidR="0081433C">
        <w:t xml:space="preserve">Thomas K. </w:t>
      </w:r>
      <w:r w:rsidRPr="00E62BB4" w:rsidR="0081433C">
        <w:t>Sawanobori</w:t>
      </w:r>
      <w:r w:rsidR="0081433C">
        <w:t>,</w:t>
      </w:r>
      <w:r w:rsidRPr="00E62BB4" w:rsidR="0081433C">
        <w:t xml:space="preserve"> Senior Vice President &amp; Chief Technology Officer, CTIA, and Scott K. Bergmann</w:t>
      </w:r>
      <w:r w:rsidR="0081433C">
        <w:t>,</w:t>
      </w:r>
      <w:r w:rsidRPr="00E62BB4" w:rsidR="0081433C">
        <w:t xml:space="preserve"> Senior Vice President, Regulatory Affairs, CTIA</w:t>
      </w:r>
      <w:r w:rsidR="0081433C">
        <w:t xml:space="preserve">, </w:t>
      </w:r>
      <w:r w:rsidR="0081784D">
        <w:t xml:space="preserve">Marlene H. Dortch, Secretary, FCC, </w:t>
      </w:r>
      <w:r w:rsidR="0081433C">
        <w:t xml:space="preserve">PS Docket No. 07-114 (filed April 29, 2020) </w:t>
      </w:r>
      <w:r w:rsidR="00184815">
        <w:t>at 1</w:t>
      </w:r>
      <w:r w:rsidR="00316F97">
        <w:t xml:space="preserve"> </w:t>
      </w:r>
      <w:r w:rsidR="004C4ACE">
        <w:t xml:space="preserve">(Cover Letter) </w:t>
      </w:r>
      <w:r w:rsidR="00316F97">
        <w:t>(“</w:t>
      </w:r>
      <w:r w:rsidRPr="00316F97" w:rsidR="00316F97">
        <w:t>The Report describes the independently administered test bed process and the current performance of the Stage Za solution under review, Google’s Android-based Emergency Location Service (ELS)</w:t>
      </w:r>
      <w:r w:rsidR="00B91D6E">
        <w:t>”</w:t>
      </w:r>
      <w:r w:rsidR="004C4ACE">
        <w:t>)</w:t>
      </w:r>
      <w:r w:rsidR="00184815">
        <w:t xml:space="preserve">. </w:t>
      </w:r>
    </w:p>
  </w:footnote>
  <w:footnote w:id="7">
    <w:p w:rsidR="000F0444" w14:paraId="59A08C1D" w14:textId="3AE7581C">
      <w:pPr>
        <w:pStyle w:val="FootnoteText"/>
      </w:pPr>
      <w:r>
        <w:rPr>
          <w:rStyle w:val="FootnoteReference"/>
        </w:rPr>
        <w:footnoteRef/>
      </w:r>
      <w:r>
        <w:t xml:space="preserve"> </w:t>
      </w:r>
      <w:r w:rsidRPr="00184815" w:rsidR="0081433C">
        <w:rPr>
          <w:i/>
          <w:iCs/>
        </w:rPr>
        <w:t>Id</w:t>
      </w:r>
      <w:r w:rsidR="0081433C">
        <w:t>.</w:t>
      </w:r>
      <w:r w:rsidR="00B91D6E">
        <w:t xml:space="preserve"> at 2-3 (summarizing Stage Za testing proce</w:t>
      </w:r>
      <w:r w:rsidR="0081784D">
        <w:t>dures</w:t>
      </w:r>
      <w:r w:rsidR="00B91D6E">
        <w:t xml:space="preserve"> and test results)</w:t>
      </w:r>
      <w:r w:rsidR="0081784D">
        <w:t>; Confidentiality Request at note 2 (“</w:t>
      </w:r>
      <w:r w:rsidR="00142CF3">
        <w:t>[H]</w:t>
      </w:r>
      <w:r w:rsidRPr="0081784D" w:rsidR="0081784D">
        <w:t>ere, a status report such as Report Za that does not rise to certification should not be subject to a filing requirement.</w:t>
      </w:r>
      <w:r w:rsidR="0081784D">
        <w:t>”)</w:t>
      </w:r>
      <w:r w:rsidR="00B91D6E">
        <w:t>.</w:t>
      </w:r>
      <w:r w:rsidR="0081784D">
        <w:t xml:space="preserve">  </w:t>
      </w:r>
    </w:p>
  </w:footnote>
  <w:footnote w:id="8">
    <w:p w:rsidR="00796863" w:rsidP="00796863" w14:paraId="254B6926" w14:textId="60D996F6">
      <w:pPr>
        <w:pStyle w:val="FootnoteText"/>
      </w:pPr>
      <w:r>
        <w:rPr>
          <w:rStyle w:val="FootnoteReference"/>
        </w:rPr>
        <w:footnoteRef/>
      </w:r>
      <w:r>
        <w:t xml:space="preserve"> </w:t>
      </w:r>
      <w:r w:rsidR="00906EE7">
        <w:t xml:space="preserve">Confidentiality </w:t>
      </w:r>
      <w:r>
        <w:t>Request at 2.</w:t>
      </w:r>
    </w:p>
  </w:footnote>
  <w:footnote w:id="9">
    <w:p w:rsidR="00796863" w:rsidP="00796863" w14:paraId="590DA3FB" w14:textId="77A61BB1">
      <w:pPr>
        <w:pStyle w:val="FootnoteText"/>
      </w:pPr>
      <w:r>
        <w:rPr>
          <w:rStyle w:val="FootnoteReference"/>
        </w:rPr>
        <w:footnoteRef/>
      </w:r>
      <w:r>
        <w:t xml:space="preserve"> </w:t>
      </w:r>
      <w:r w:rsidRPr="00F155F8">
        <w:rPr>
          <w:i/>
          <w:iCs/>
        </w:rPr>
        <w:t>Id.</w:t>
      </w:r>
      <w:r w:rsidR="006C3708">
        <w:t>;</w:t>
      </w:r>
      <w:r w:rsidR="00475099">
        <w:t xml:space="preserve"> </w:t>
      </w:r>
      <w:r w:rsidR="006C3708">
        <w:rPr>
          <w:i/>
          <w:iCs/>
        </w:rPr>
        <w:t>s</w:t>
      </w:r>
      <w:r w:rsidR="00475099">
        <w:rPr>
          <w:i/>
          <w:iCs/>
        </w:rPr>
        <w:t>e</w:t>
      </w:r>
      <w:r w:rsidRPr="0034640A">
        <w:rPr>
          <w:i/>
          <w:iCs/>
        </w:rPr>
        <w:t>e also Wireless E911 Location Accuracy Requirements</w:t>
      </w:r>
      <w:r w:rsidRPr="0034640A">
        <w:t xml:space="preserve">, </w:t>
      </w:r>
      <w:r w:rsidRPr="00651B04" w:rsidR="00EE328A">
        <w:t>PS Docket No. 07-114</w:t>
      </w:r>
      <w:r w:rsidR="00EE328A">
        <w:t xml:space="preserve">, </w:t>
      </w:r>
      <w:r w:rsidRPr="0034640A">
        <w:t xml:space="preserve">Fifth Report and Order and Fifth Further Notice of Proposed Rulemaking, </w:t>
      </w:r>
      <w:r w:rsidRPr="00651B04" w:rsidR="00EE328A">
        <w:t xml:space="preserve">34 FCC </w:t>
      </w:r>
      <w:r w:rsidRPr="00651B04" w:rsidR="00EE328A">
        <w:t>Rcd</w:t>
      </w:r>
      <w:r w:rsidRPr="00651B04" w:rsidR="00EE328A">
        <w:t xml:space="preserve"> 11592</w:t>
      </w:r>
      <w:r w:rsidR="00332AAB">
        <w:t xml:space="preserve">, </w:t>
      </w:r>
      <w:r w:rsidRPr="00332AAB" w:rsidR="00332AAB">
        <w:t>11598</w:t>
      </w:r>
      <w:r w:rsidR="00332AAB">
        <w:t xml:space="preserve">, </w:t>
      </w:r>
      <w:r w:rsidRPr="00332AAB" w:rsidR="00332AAB">
        <w:t>1</w:t>
      </w:r>
      <w:r w:rsidR="00332AAB">
        <w:t>1</w:t>
      </w:r>
      <w:r w:rsidRPr="00332AAB" w:rsidR="00332AAB">
        <w:t>601</w:t>
      </w:r>
      <w:r w:rsidR="00332AAB">
        <w:t xml:space="preserve"> at paras. 13, 17</w:t>
      </w:r>
      <w:r w:rsidRPr="00651B04" w:rsidR="00EE328A">
        <w:t xml:space="preserve"> </w:t>
      </w:r>
      <w:r w:rsidRPr="0034640A">
        <w:t>(201</w:t>
      </w:r>
      <w:r w:rsidR="00332AAB">
        <w:t>9</w:t>
      </w:r>
      <w:r w:rsidRPr="0034640A">
        <w:t>)</w:t>
      </w:r>
      <w:r>
        <w:t xml:space="preserve"> </w:t>
      </w:r>
      <w:r w:rsidRPr="0034640A">
        <w:t>(</w:t>
      </w:r>
      <w:r w:rsidRPr="00564BB2">
        <w:rPr>
          <w:i/>
          <w:iCs/>
        </w:rPr>
        <w:t>Fifth Report and Order</w:t>
      </w:r>
      <w:r w:rsidRPr="0034640A">
        <w:t>)</w:t>
      </w:r>
      <w:r>
        <w:t xml:space="preserve">.  </w:t>
      </w:r>
    </w:p>
  </w:footnote>
  <w:footnote w:id="10">
    <w:p w:rsidR="00796863" w:rsidP="00796863" w14:paraId="7B58B177" w14:textId="1B7D6108">
      <w:pPr>
        <w:pStyle w:val="FootnoteText"/>
      </w:pPr>
      <w:r>
        <w:rPr>
          <w:rStyle w:val="FootnoteReference"/>
        </w:rPr>
        <w:footnoteRef/>
      </w:r>
      <w:r>
        <w:t xml:space="preserve"> </w:t>
      </w:r>
      <w:r w:rsidR="00906EE7">
        <w:t>Confidentiality Request</w:t>
      </w:r>
      <w:r w:rsidR="00EB7154">
        <w:t xml:space="preserve"> </w:t>
      </w:r>
      <w:r>
        <w:t xml:space="preserve">at 2. </w:t>
      </w:r>
    </w:p>
  </w:footnote>
  <w:footnote w:id="11">
    <w:p w:rsidR="00796863" w:rsidP="00796863" w14:paraId="149D27E8" w14:textId="45060E74">
      <w:pPr>
        <w:pStyle w:val="FootnoteText"/>
      </w:pPr>
      <w:r>
        <w:rPr>
          <w:rStyle w:val="FootnoteReference"/>
        </w:rPr>
        <w:footnoteRef/>
      </w:r>
      <w:r>
        <w:t xml:space="preserve"> </w:t>
      </w:r>
      <w:r w:rsidRPr="00F155F8">
        <w:rPr>
          <w:i/>
          <w:iCs/>
        </w:rPr>
        <w:t>Id.</w:t>
      </w:r>
      <w:r>
        <w:t xml:space="preserve"> at 3. </w:t>
      </w:r>
    </w:p>
  </w:footnote>
  <w:footnote w:id="12">
    <w:p w:rsidR="00D67522" w:rsidRPr="00D67522" w14:paraId="3ADBD157" w14:textId="7DE02B08">
      <w:pPr>
        <w:pStyle w:val="FootnoteText"/>
      </w:pPr>
      <w:r>
        <w:rPr>
          <w:rStyle w:val="FootnoteReference"/>
        </w:rPr>
        <w:footnoteRef/>
      </w:r>
      <w:r>
        <w:t xml:space="preserve"> </w:t>
      </w:r>
      <w:r>
        <w:rPr>
          <w:i/>
          <w:iCs/>
        </w:rPr>
        <w:t>Id.</w:t>
      </w:r>
    </w:p>
  </w:footnote>
  <w:footnote w:id="13">
    <w:p w:rsidR="00796863" w:rsidP="00796863" w14:paraId="6C10A48E" w14:textId="14654E03">
      <w:pPr>
        <w:pStyle w:val="FootnoteText"/>
      </w:pPr>
      <w:r>
        <w:rPr>
          <w:rStyle w:val="FootnoteReference"/>
        </w:rPr>
        <w:footnoteRef/>
      </w:r>
      <w:r>
        <w:t xml:space="preserve"> BRETSA Opposition at 3-4.</w:t>
      </w:r>
    </w:p>
  </w:footnote>
  <w:footnote w:id="14">
    <w:p w:rsidR="00796863" w:rsidP="00796863" w14:paraId="5585BB0B" w14:textId="0D6E82B7">
      <w:pPr>
        <w:pStyle w:val="FootnoteText"/>
      </w:pPr>
      <w:r>
        <w:rPr>
          <w:rStyle w:val="FootnoteReference"/>
        </w:rPr>
        <w:footnoteRef/>
      </w:r>
      <w:r>
        <w:t xml:space="preserve"> </w:t>
      </w:r>
      <w:r w:rsidRPr="00F155F8">
        <w:rPr>
          <w:i/>
          <w:iCs/>
        </w:rPr>
        <w:t>Id.</w:t>
      </w:r>
      <w:r>
        <w:t xml:space="preserve"> at 4. </w:t>
      </w:r>
    </w:p>
  </w:footnote>
  <w:footnote w:id="15">
    <w:p w:rsidR="00796863" w:rsidP="00796863" w14:paraId="06657EB9" w14:textId="63994DBE">
      <w:pPr>
        <w:pStyle w:val="FootnoteText"/>
      </w:pPr>
      <w:r>
        <w:rPr>
          <w:rStyle w:val="FootnoteReference"/>
        </w:rPr>
        <w:footnoteRef/>
      </w:r>
      <w:r>
        <w:t xml:space="preserve"> </w:t>
      </w:r>
      <w:r w:rsidRPr="00EB7154">
        <w:rPr>
          <w:i/>
          <w:iCs/>
        </w:rPr>
        <w:t>Id</w:t>
      </w:r>
      <w:r>
        <w:t xml:space="preserve">. at 8-9. </w:t>
      </w:r>
    </w:p>
  </w:footnote>
  <w:footnote w:id="16">
    <w:p w:rsidR="00796863" w:rsidP="00796863" w14:paraId="7EBB3DFE" w14:textId="684D68E7">
      <w:pPr>
        <w:pStyle w:val="FootnoteText"/>
      </w:pPr>
      <w:r>
        <w:rPr>
          <w:rStyle w:val="FootnoteReference"/>
        </w:rPr>
        <w:footnoteRef/>
      </w:r>
      <w:r>
        <w:t xml:space="preserve"> </w:t>
      </w:r>
      <w:r w:rsidRPr="00EB7154">
        <w:rPr>
          <w:i/>
          <w:iCs/>
        </w:rPr>
        <w:t>Id</w:t>
      </w:r>
      <w:r>
        <w:t>. at 6</w:t>
      </w:r>
      <w:r w:rsidR="006C3708">
        <w:t>;</w:t>
      </w:r>
      <w:r w:rsidR="00475099">
        <w:t xml:space="preserve"> </w:t>
      </w:r>
      <w:r w:rsidR="006C3708">
        <w:rPr>
          <w:i/>
          <w:iCs/>
        </w:rPr>
        <w:t>s</w:t>
      </w:r>
      <w:r w:rsidRPr="00131049">
        <w:rPr>
          <w:i/>
          <w:iCs/>
        </w:rPr>
        <w:t>ee also Wireless E911 Location Accuracy Requirements</w:t>
      </w:r>
      <w:r w:rsidRPr="00131049">
        <w:t xml:space="preserve">, </w:t>
      </w:r>
      <w:r w:rsidRPr="00651B04" w:rsidR="00EE328A">
        <w:t>PS Docket No. 07-114</w:t>
      </w:r>
      <w:r w:rsidR="00EE328A">
        <w:t xml:space="preserve">, </w:t>
      </w:r>
      <w:r w:rsidRPr="00131049">
        <w:t xml:space="preserve">Fourth Report and Order, 30 FCC </w:t>
      </w:r>
      <w:r w:rsidRPr="00131049">
        <w:t>Rcd</w:t>
      </w:r>
      <w:r w:rsidRPr="00131049">
        <w:t xml:space="preserve"> 1259, 130</w:t>
      </w:r>
      <w:r w:rsidR="00BF37A8">
        <w:t>8</w:t>
      </w:r>
      <w:r w:rsidR="00225AE9">
        <w:t>,</w:t>
      </w:r>
      <w:r w:rsidR="00332AAB">
        <w:t xml:space="preserve"> </w:t>
      </w:r>
      <w:r w:rsidR="00EB7154">
        <w:t>para.</w:t>
      </w:r>
      <w:r w:rsidRPr="00131049">
        <w:t xml:space="preserve"> 1</w:t>
      </w:r>
      <w:r w:rsidR="00BF37A8">
        <w:t>31</w:t>
      </w:r>
      <w:r w:rsidRPr="00131049">
        <w:t xml:space="preserve"> (2015) (</w:t>
      </w:r>
      <w:r w:rsidRPr="00564BB2">
        <w:rPr>
          <w:i/>
          <w:iCs/>
        </w:rPr>
        <w:t>Fourth</w:t>
      </w:r>
      <w:r w:rsidRPr="00564BB2" w:rsidR="00BB2F81">
        <w:rPr>
          <w:i/>
          <w:iCs/>
        </w:rPr>
        <w:t xml:space="preserve"> Report and Order</w:t>
      </w:r>
      <w:r w:rsidRPr="00131049">
        <w:t>)</w:t>
      </w:r>
      <w:r w:rsidR="00BB2F81">
        <w:t>.</w:t>
      </w:r>
      <w:r w:rsidR="00A54A39">
        <w:t xml:space="preserve">  </w:t>
      </w:r>
      <w:r w:rsidR="00BB2F81">
        <w:t xml:space="preserve"> </w:t>
      </w:r>
      <w:r w:rsidR="00A54A39">
        <w:t xml:space="preserve"> </w:t>
      </w:r>
    </w:p>
  </w:footnote>
  <w:footnote w:id="17">
    <w:p w:rsidR="00796863" w:rsidP="00796863" w14:paraId="704641B7" w14:textId="5DD95AB5">
      <w:pPr>
        <w:pStyle w:val="FootnoteText"/>
      </w:pPr>
      <w:r>
        <w:rPr>
          <w:rStyle w:val="FootnoteReference"/>
        </w:rPr>
        <w:footnoteRef/>
      </w:r>
      <w:r>
        <w:t xml:space="preserve"> </w:t>
      </w:r>
      <w:r w:rsidR="00372509">
        <w:t xml:space="preserve">BRETSA Opposition </w:t>
      </w:r>
      <w:r>
        <w:t xml:space="preserve">at 6, citing </w:t>
      </w:r>
      <w:r w:rsidRPr="00564BB2">
        <w:rPr>
          <w:i/>
          <w:iCs/>
        </w:rPr>
        <w:t>Fifth Report and Order</w:t>
      </w:r>
      <w:r w:rsidR="00CD3D48">
        <w:t xml:space="preserve">, 34 FCC </w:t>
      </w:r>
      <w:r w:rsidR="00CD3D48">
        <w:t>Rcd</w:t>
      </w:r>
      <w:r w:rsidR="00BF37A8">
        <w:t xml:space="preserve"> at 11598, 11601,</w:t>
      </w:r>
      <w:r w:rsidR="00CD3D48">
        <w:t xml:space="preserve"> </w:t>
      </w:r>
      <w:r w:rsidR="00EB7154">
        <w:t>paras.</w:t>
      </w:r>
      <w:r>
        <w:t xml:space="preserve"> 13, 17. </w:t>
      </w:r>
    </w:p>
  </w:footnote>
  <w:footnote w:id="18">
    <w:p w:rsidR="00796863" w:rsidP="00796863" w14:paraId="525400D7" w14:textId="307409D1">
      <w:pPr>
        <w:pStyle w:val="FootnoteText"/>
      </w:pPr>
      <w:r>
        <w:rPr>
          <w:rStyle w:val="FootnoteReference"/>
        </w:rPr>
        <w:footnoteRef/>
      </w:r>
      <w:r>
        <w:t xml:space="preserve"> </w:t>
      </w:r>
      <w:r w:rsidR="00372509">
        <w:t xml:space="preserve">BRETSA Opposition </w:t>
      </w:r>
      <w:r>
        <w:t xml:space="preserve">at 7-8.  </w:t>
      </w:r>
    </w:p>
  </w:footnote>
  <w:footnote w:id="19">
    <w:p w:rsidR="00796863" w:rsidP="00796863" w14:paraId="7BB11F94" w14:textId="1C6F31A6">
      <w:pPr>
        <w:pStyle w:val="FootnoteText"/>
      </w:pPr>
      <w:r>
        <w:rPr>
          <w:rStyle w:val="FootnoteReference"/>
        </w:rPr>
        <w:footnoteRef/>
      </w:r>
      <w:r>
        <w:t xml:space="preserve"> </w:t>
      </w:r>
      <w:r w:rsidR="0052566C">
        <w:t xml:space="preserve">Test Bed and </w:t>
      </w:r>
      <w:r>
        <w:t xml:space="preserve">Google Reply at 4-5. </w:t>
      </w:r>
    </w:p>
  </w:footnote>
  <w:footnote w:id="20">
    <w:p w:rsidR="00796863" w:rsidP="006E1FBC" w14:paraId="55156B0C" w14:textId="474E4FF7">
      <w:pPr>
        <w:pStyle w:val="FootnoteText"/>
      </w:pPr>
      <w:r>
        <w:rPr>
          <w:rStyle w:val="FootnoteReference"/>
        </w:rPr>
        <w:footnoteRef/>
      </w:r>
      <w:r>
        <w:t xml:space="preserve"> </w:t>
      </w:r>
      <w:r w:rsidRPr="00EB7154">
        <w:rPr>
          <w:i/>
          <w:iCs/>
        </w:rPr>
        <w:t>Id</w:t>
      </w:r>
      <w:r w:rsidR="00EB7154">
        <w:t xml:space="preserve">. </w:t>
      </w:r>
      <w:r>
        <w:t>at 8-9</w:t>
      </w:r>
      <w:r w:rsidR="006E1FBC">
        <w:t xml:space="preserve"> (</w:t>
      </w:r>
      <w:r w:rsidRPr="005B4801" w:rsidR="005B4801">
        <w:t xml:space="preserve">explaining </w:t>
      </w:r>
      <w:r w:rsidR="006A1938">
        <w:t xml:space="preserve">that </w:t>
      </w:r>
      <w:r w:rsidR="00B91D6E">
        <w:t xml:space="preserve">Rule </w:t>
      </w:r>
      <w:r w:rsidRPr="005B4801" w:rsidR="005B4801">
        <w:t xml:space="preserve">9.10(i)(3)(i) </w:t>
      </w:r>
      <w:r w:rsidR="005B4801">
        <w:t>“</w:t>
      </w:r>
      <w:r w:rsidRPr="005B4801" w:rsidR="005B4801">
        <w:t xml:space="preserve">does not require filing with the Commission of all the results of all testing conducted by the Test Bed. Instead, Rule 9.10(i)(3)(i) calls for </w:t>
      </w:r>
      <w:r w:rsidR="006C3708">
        <w:t>[Commercial Mobile Radio Service (</w:t>
      </w:r>
      <w:r w:rsidRPr="005B4801" w:rsidR="005B4801">
        <w:t>CMRS</w:t>
      </w:r>
      <w:r w:rsidR="006C3708">
        <w:t>)]</w:t>
      </w:r>
      <w:r w:rsidRPr="005B4801" w:rsidR="005B4801">
        <w:t xml:space="preserve"> providers to </w:t>
      </w:r>
      <w:r w:rsidR="005B4801">
        <w:t>‘</w:t>
      </w:r>
      <w:r w:rsidRPr="005B4801" w:rsidR="005B4801">
        <w:t>validate technologies intended for indoor location, including dispatchable location technologies and technologies that deliver horizontal and/or vertical coordinates, through an independently administered and transparent test bed process, in order for such technologies to be presumed to comply with the location accuracy requirements.</w:t>
      </w:r>
      <w:r w:rsidR="005B4801">
        <w:t>’</w:t>
      </w:r>
      <w:r w:rsidRPr="005B4801" w:rsidR="005B4801">
        <w:t xml:space="preserve"> Stage Za testing did not result in the validation of ELS for use by mobile operators, and no CMRS carrier could rely on Report Za to claim regulatory compliance.... </w:t>
      </w:r>
      <w:r w:rsidR="006E1FBC">
        <w:t>For Google, the Stage Za testing merely offered an opportunity to measure ELS against an external, independently derived set of tests defined by a neutral third party to benchmark Z-axis performance against the Commission's vertical location metric, with an eye to one day being able to support compliance. Report Za is thus informational only and not decisional</w:t>
      </w:r>
      <w:r>
        <w:t>.</w:t>
      </w:r>
      <w:r w:rsidR="006E1FBC">
        <w:t xml:space="preserve">”). </w:t>
      </w:r>
      <w:r>
        <w:t xml:space="preserve"> </w:t>
      </w:r>
      <w:r w:rsidR="00AC4EED">
        <w:t xml:space="preserve"> </w:t>
      </w:r>
    </w:p>
  </w:footnote>
  <w:footnote w:id="21">
    <w:p w:rsidR="00796863" w:rsidP="00796863" w14:paraId="31B895FC" w14:textId="073CF1E4">
      <w:pPr>
        <w:pStyle w:val="FootnoteText"/>
      </w:pPr>
      <w:r>
        <w:rPr>
          <w:rStyle w:val="FootnoteReference"/>
        </w:rPr>
        <w:footnoteRef/>
      </w:r>
      <w:r>
        <w:t xml:space="preserve"> </w:t>
      </w:r>
      <w:r w:rsidRPr="00EB7154">
        <w:rPr>
          <w:i/>
          <w:iCs/>
        </w:rPr>
        <w:t>Id</w:t>
      </w:r>
      <w:r>
        <w:t xml:space="preserve">. at 10-12. </w:t>
      </w:r>
    </w:p>
  </w:footnote>
  <w:footnote w:id="22">
    <w:p w:rsidR="00796863" w:rsidP="00796863" w14:paraId="115EAA3C" w14:textId="48185F51">
      <w:pPr>
        <w:pStyle w:val="FootnoteText"/>
      </w:pPr>
      <w:r>
        <w:rPr>
          <w:rStyle w:val="FootnoteReference"/>
        </w:rPr>
        <w:footnoteRef/>
      </w:r>
      <w:r>
        <w:t xml:space="preserve"> </w:t>
      </w:r>
      <w:r w:rsidRPr="00EB7154">
        <w:rPr>
          <w:i/>
          <w:iCs/>
        </w:rPr>
        <w:t>Id</w:t>
      </w:r>
      <w:r>
        <w:t xml:space="preserve">. at 12-13. </w:t>
      </w:r>
    </w:p>
  </w:footnote>
  <w:footnote w:id="23">
    <w:p w:rsidR="007A219C" w:rsidP="007A219C" w14:paraId="2CDCD56A" w14:textId="77777777">
      <w:pPr>
        <w:pStyle w:val="FootnoteText"/>
      </w:pPr>
      <w:r>
        <w:rPr>
          <w:rStyle w:val="FootnoteReference"/>
        </w:rPr>
        <w:footnoteRef/>
      </w:r>
      <w:r>
        <w:t xml:space="preserve"> </w:t>
      </w:r>
      <w:r>
        <w:rPr>
          <w:i/>
        </w:rPr>
        <w:t xml:space="preserve">See </w:t>
      </w:r>
      <w:r>
        <w:t>47 CFR § 0.459(d)(2).</w:t>
      </w:r>
    </w:p>
  </w:footnote>
  <w:footnote w:id="24">
    <w:p w:rsidR="00F54DB8" w14:paraId="3E5F7340" w14:textId="6A0D75B3">
      <w:pPr>
        <w:pStyle w:val="FootnoteText"/>
      </w:pPr>
      <w:r>
        <w:rPr>
          <w:rStyle w:val="FootnoteReference"/>
        </w:rPr>
        <w:footnoteRef/>
      </w:r>
      <w:r>
        <w:t xml:space="preserve"> </w:t>
      </w:r>
      <w:r w:rsidRPr="00930873">
        <w:rPr>
          <w:rFonts w:eastAsia="Times"/>
        </w:rPr>
        <w:t>5 U.S.C. § 552(b)(4).</w:t>
      </w:r>
    </w:p>
  </w:footnote>
  <w:footnote w:id="25">
    <w:p w:rsidR="00F54DB8" w14:paraId="106949FC" w14:textId="6B8BE3BE">
      <w:pPr>
        <w:pStyle w:val="FootnoteText"/>
      </w:pPr>
      <w:r>
        <w:rPr>
          <w:rStyle w:val="FootnoteReference"/>
        </w:rPr>
        <w:footnoteRef/>
      </w:r>
      <w:r>
        <w:t xml:space="preserve"> </w:t>
      </w:r>
      <w:r w:rsidRPr="00AB7E1A" w:rsidR="00685D08">
        <w:rPr>
          <w:i/>
          <w:iCs/>
        </w:rPr>
        <w:t>Food Marketing Institute v. Argus Leader Media</w:t>
      </w:r>
      <w:r w:rsidRPr="000A20FB" w:rsidR="00685D08">
        <w:t>, 139 S. Ct. 2356</w:t>
      </w:r>
      <w:r w:rsidR="00685D08">
        <w:t>, 2365-66</w:t>
      </w:r>
      <w:r w:rsidRPr="000A20FB" w:rsidR="00685D08">
        <w:t xml:space="preserve"> (2019).</w:t>
      </w:r>
      <w:r w:rsidRPr="000A20FB">
        <w:t xml:space="preserve">  </w:t>
      </w:r>
    </w:p>
  </w:footnote>
  <w:footnote w:id="26">
    <w:p w:rsidR="00CC0B13" w:rsidP="00CC0B13" w14:paraId="753B3E1E" w14:textId="38F9F6F8">
      <w:pPr>
        <w:pStyle w:val="FootnoteText"/>
      </w:pPr>
      <w:r>
        <w:rPr>
          <w:rStyle w:val="FootnoteReference"/>
        </w:rPr>
        <w:footnoteRef/>
      </w:r>
      <w:r>
        <w:t xml:space="preserve"> </w:t>
      </w:r>
      <w:r w:rsidRPr="008E6A18">
        <w:rPr>
          <w:szCs w:val="22"/>
        </w:rPr>
        <w:t>47 CFR § 9.10(i)(2)(ii)(B)</w:t>
      </w:r>
      <w:r w:rsidR="004E0B8A">
        <w:rPr>
          <w:szCs w:val="22"/>
        </w:rPr>
        <w:t xml:space="preserve"> (requiring</w:t>
      </w:r>
      <w:r w:rsidRPr="00564BB2" w:rsidR="00192ECE">
        <w:rPr>
          <w:color w:val="000000"/>
          <w:shd w:val="clear" w:color="auto" w:fill="FFFFFF"/>
        </w:rPr>
        <w:t xml:space="preserve"> the nationwide CMRS providers to </w:t>
      </w:r>
      <w:r w:rsidRPr="00564BB2" w:rsidR="00C277C3">
        <w:rPr>
          <w:color w:val="000000"/>
          <w:shd w:val="clear" w:color="auto" w:fill="FFFFFF"/>
        </w:rPr>
        <w:t xml:space="preserve">develop a z-axis accuracy metric “validated by an independently administered and transparent test bed process” and </w:t>
      </w:r>
      <w:r w:rsidR="00D96D00">
        <w:rPr>
          <w:color w:val="000000"/>
          <w:shd w:val="clear" w:color="auto" w:fill="FFFFFF"/>
        </w:rPr>
        <w:t xml:space="preserve">to </w:t>
      </w:r>
      <w:r w:rsidRPr="00564BB2" w:rsidR="00C277C3">
        <w:rPr>
          <w:color w:val="000000"/>
          <w:shd w:val="clear" w:color="auto" w:fill="FFFFFF"/>
        </w:rPr>
        <w:t>submit the proposed metric by August 3, 2018, “supported by a report of the results of such development and testing, to the Commission for approval”</w:t>
      </w:r>
      <w:r w:rsidR="00713CB3">
        <w:rPr>
          <w:color w:val="000000"/>
          <w:shd w:val="clear" w:color="auto" w:fill="FFFFFF"/>
        </w:rPr>
        <w:t>).</w:t>
      </w:r>
    </w:p>
  </w:footnote>
  <w:footnote w:id="27">
    <w:p w:rsidR="00A54A39" w14:paraId="7E49A11D" w14:textId="68DAE895">
      <w:pPr>
        <w:pStyle w:val="FootnoteText"/>
      </w:pPr>
      <w:r>
        <w:rPr>
          <w:rStyle w:val="FootnoteReference"/>
        </w:rPr>
        <w:footnoteRef/>
      </w:r>
      <w:r>
        <w:t xml:space="preserve"> </w:t>
      </w:r>
      <w:r w:rsidRPr="00AB27FD">
        <w:t>In discussing the confidentiality of test results</w:t>
      </w:r>
      <w:r w:rsidR="000F0A4A">
        <w:t>,</w:t>
      </w:r>
      <w:r w:rsidRPr="00AB27FD">
        <w:t xml:space="preserve"> in the </w:t>
      </w:r>
      <w:r w:rsidRPr="00AB27FD">
        <w:rPr>
          <w:i/>
          <w:iCs/>
        </w:rPr>
        <w:t>Fourth Report and Order</w:t>
      </w:r>
      <w:r w:rsidRPr="00AB27FD">
        <w:t xml:space="preserve">, the Commission noted that under the </w:t>
      </w:r>
      <w:r w:rsidRPr="00AB27FD">
        <w:rPr>
          <w:lang w:val="en"/>
        </w:rPr>
        <w:t>Communications Security, Reliability, and Interoperability Council</w:t>
      </w:r>
      <w:r w:rsidR="006C3708">
        <w:rPr>
          <w:lang w:val="en"/>
        </w:rPr>
        <w:t>’</w:t>
      </w:r>
      <w:r w:rsidRPr="00AB27FD">
        <w:rPr>
          <w:lang w:val="en"/>
        </w:rPr>
        <w:t>s</w:t>
      </w:r>
      <w:r w:rsidRPr="00AB27FD">
        <w:t xml:space="preserve"> test bed regime, “all parties agreed that raw test results would be made available only to the vendors whose technology was to be tested, to the participating CMRS providers, and to the third-party testing house.”  </w:t>
      </w:r>
      <w:r w:rsidRPr="00AB27FD">
        <w:rPr>
          <w:i/>
          <w:iCs/>
        </w:rPr>
        <w:t>Fourth Report and Order</w:t>
      </w:r>
      <w:r w:rsidRPr="00AB27FD">
        <w:t xml:space="preserve">, 30 FCC </w:t>
      </w:r>
      <w:r w:rsidRPr="00AB27FD">
        <w:t>Rcd</w:t>
      </w:r>
      <w:r w:rsidRPr="00AB27FD">
        <w:t xml:space="preserve"> at 1308, para. 131.  In order to protect vendors’ proprietary information, the Commission observed that “only summary data was made available to all other parties.”  </w:t>
      </w:r>
      <w:r w:rsidRPr="00AB27FD">
        <w:rPr>
          <w:i/>
          <w:iCs/>
        </w:rPr>
        <w:t>Id</w:t>
      </w:r>
      <w:r w:rsidRPr="00AB27FD">
        <w:t xml:space="preserve">.  </w:t>
      </w:r>
      <w:r w:rsidRPr="00AB27FD" w:rsidR="00765757">
        <w:t>The</w:t>
      </w:r>
      <w:r w:rsidRPr="00AB27FD">
        <w:t xml:space="preserve"> Commission stated that it “will not require CMRS providers to make public the details of test results for technologies that have been certified by the independent test bed administrator. We believe the test administrators’ certification is sufficient notification that a technology meets our key performance indicators.”  </w:t>
      </w:r>
      <w:r w:rsidRPr="00AB27FD">
        <w:rPr>
          <w:i/>
          <w:iCs/>
        </w:rPr>
        <w:t>Id</w:t>
      </w:r>
      <w:r w:rsidRPr="00AB27FD">
        <w:t>.</w:t>
      </w:r>
      <w:r w:rsidRPr="00AB27FD" w:rsidR="00564BB2">
        <w:t xml:space="preserve">  </w:t>
      </w:r>
      <w:r w:rsidRPr="00AB27FD" w:rsidR="001F3062">
        <w:t xml:space="preserve">Here, the Test Bed did not certify the test results, thus </w:t>
      </w:r>
      <w:r w:rsidRPr="00AB27FD" w:rsidR="001378AC">
        <w:t xml:space="preserve">underscoring the voluntary nature of the </w:t>
      </w:r>
      <w:r w:rsidR="00814DBE">
        <w:t>Stage</w:t>
      </w:r>
      <w:r w:rsidR="00A23395">
        <w:t xml:space="preserve"> Za </w:t>
      </w:r>
      <w:r w:rsidR="00814DBE">
        <w:t xml:space="preserve">Report </w:t>
      </w:r>
      <w:r w:rsidRPr="00AB27FD" w:rsidR="001378AC">
        <w:t>filing.</w:t>
      </w:r>
    </w:p>
  </w:footnote>
  <w:footnote w:id="28">
    <w:p w:rsidR="008A54CA" w14:paraId="633BDAE8" w14:textId="12361641">
      <w:pPr>
        <w:pStyle w:val="FootnoteText"/>
      </w:pPr>
      <w:r>
        <w:rPr>
          <w:rStyle w:val="FootnoteReference"/>
        </w:rPr>
        <w:footnoteRef/>
      </w:r>
      <w:r>
        <w:t xml:space="preserve"> 47 CFR § 0.459(e).</w:t>
      </w:r>
    </w:p>
  </w:footnote>
  <w:footnote w:id="29">
    <w:p w:rsidR="005B22AA" w:rsidRPr="005B22AA" w14:paraId="413E0DB3" w14:textId="3AC3D9F3">
      <w:pPr>
        <w:pStyle w:val="FootnoteText"/>
      </w:pPr>
      <w:r>
        <w:rPr>
          <w:rStyle w:val="FootnoteReference"/>
        </w:rPr>
        <w:footnoteRef/>
      </w:r>
      <w:r>
        <w:t xml:space="preserve"> </w:t>
      </w:r>
      <w:r>
        <w:rPr>
          <w:i/>
          <w:iCs/>
        </w:rPr>
        <w:t>See</w:t>
      </w:r>
      <w:r>
        <w:t xml:space="preserve"> BRETSA Opposition at 3-4.</w:t>
      </w:r>
    </w:p>
  </w:footnote>
  <w:footnote w:id="30">
    <w:p w:rsidR="005630B6" w:rsidRPr="00685D08" w14:paraId="7209F3B3" w14:textId="1938F41F">
      <w:pPr>
        <w:pStyle w:val="FootnoteText"/>
      </w:pPr>
      <w:r>
        <w:rPr>
          <w:rStyle w:val="FootnoteReference"/>
        </w:rPr>
        <w:footnoteRef/>
      </w:r>
      <w:r>
        <w:t xml:space="preserve"> </w:t>
      </w:r>
      <w:r w:rsidR="002543D0">
        <w:rPr>
          <w:i/>
          <w:iCs/>
        </w:rPr>
        <w:t xml:space="preserve">See </w:t>
      </w:r>
      <w:r w:rsidR="002543D0">
        <w:t xml:space="preserve">47 CFR § 0.459(h).  </w:t>
      </w:r>
      <w:r w:rsidR="001A3078">
        <w:t xml:space="preserve">This order does not address whether the Commission would make </w:t>
      </w:r>
      <w:r w:rsidR="00532D2D">
        <w:t xml:space="preserve">public </w:t>
      </w:r>
      <w:r w:rsidR="001A3078">
        <w:t xml:space="preserve">the </w:t>
      </w:r>
      <w:r w:rsidR="00532D2D">
        <w:t xml:space="preserve">otherwise confidential </w:t>
      </w:r>
      <w:r w:rsidR="001A3078">
        <w:t>test results if,</w:t>
      </w:r>
      <w:r w:rsidRPr="00685D08" w:rsidR="00685D08">
        <w:t xml:space="preserve"> </w:t>
      </w:r>
      <w:r w:rsidR="00685D08">
        <w:t xml:space="preserve">after balancing the factors favoring disclosure and non-disclosure, and </w:t>
      </w:r>
      <w:r w:rsidR="00685D08">
        <w:t>taking into account</w:t>
      </w:r>
      <w:r w:rsidR="00685D08">
        <w:t xml:space="preserve"> all of the facts, it finds it would be in the public interest to do so</w:t>
      </w:r>
      <w:r w:rsidR="001A3078">
        <w:t>.</w:t>
      </w:r>
      <w:r w:rsidR="00685D08">
        <w:t xml:space="preserve">  </w:t>
      </w:r>
      <w:r w:rsidR="001A3078">
        <w:rPr>
          <w:i/>
          <w:iCs/>
        </w:rPr>
        <w:t xml:space="preserve">See </w:t>
      </w:r>
      <w:r w:rsidRPr="009038F6" w:rsidR="00685D08">
        <w:rPr>
          <w:i/>
        </w:rPr>
        <w:t>American Broadba</w:t>
      </w:r>
      <w:r w:rsidR="00685D08">
        <w:rPr>
          <w:i/>
        </w:rPr>
        <w:t xml:space="preserve">nd &amp; Telecommunications Company and </w:t>
      </w:r>
      <w:r w:rsidRPr="009038F6" w:rsidR="00685D08">
        <w:rPr>
          <w:i/>
        </w:rPr>
        <w:t xml:space="preserve">Jeffrey S. </w:t>
      </w:r>
      <w:r w:rsidRPr="009038F6" w:rsidR="00685D08">
        <w:rPr>
          <w:i/>
        </w:rPr>
        <w:t>Ansted</w:t>
      </w:r>
      <w:r w:rsidR="00685D08">
        <w:t xml:space="preserve">, Order on Reconsideration, </w:t>
      </w:r>
      <w:r w:rsidR="001A3078">
        <w:t xml:space="preserve">35 FCC </w:t>
      </w:r>
      <w:r w:rsidR="001A3078">
        <w:t>Rcd</w:t>
      </w:r>
      <w:r w:rsidR="001A3078">
        <w:t xml:space="preserve"> 3762, 3764-65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2EED94" w14:textId="03FFF076">
    <w:pPr>
      <w:pStyle w:val="Header"/>
      <w:rPr>
        <w:b w:val="0"/>
      </w:rPr>
    </w:pPr>
    <w:r>
      <w:tab/>
      <w:t>Federal Communications Commission</w:t>
    </w:r>
    <w:r>
      <w:tab/>
    </w:r>
    <w:r w:rsidR="00594A1D">
      <w:t>DA</w:t>
    </w:r>
    <w:r w:rsidR="00307A32">
      <w:t xml:space="preserve"> 20-</w:t>
    </w:r>
    <w:r w:rsidR="00E6198B">
      <w:t>663</w:t>
    </w:r>
  </w:p>
  <w:p w:rsidR="00D25FB5" w14:paraId="215D046F" w14:textId="7F99C1A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87FDC9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78F20A" w14:textId="07C7442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F231D2">
      <w:tab/>
      <w:t>Federal Communications Commission</w:t>
    </w:r>
    <w:r w:rsidR="00F231D2">
      <w:tab/>
    </w:r>
    <w:r w:rsidR="00D7045C">
      <w:t>DA</w:t>
    </w:r>
    <w:r w:rsidR="00307A32">
      <w:rPr>
        <w:spacing w:val="-2"/>
      </w:rPr>
      <w:t xml:space="preserve"> 20-</w:t>
    </w:r>
    <w:r w:rsidR="00E6198B">
      <w:rPr>
        <w:spacing w:val="-2"/>
      </w:rPr>
      <w:t>663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B9309B"/>
    <w:multiLevelType w:val="hybridMultilevel"/>
    <w:tmpl w:val="AC246312"/>
    <w:lvl w:ilvl="0">
      <w:start w:val="1"/>
      <w:numFmt w:val="decimal"/>
      <w:pStyle w:val="Appendixnumber"/>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5993104"/>
    <w:multiLevelType w:val="singleLevel"/>
    <w:tmpl w:val="8612C2A2"/>
    <w:lvl w:ilvl="0">
      <w:start w:val="1"/>
      <w:numFmt w:val="decimal"/>
      <w:lvlText w:val="%1."/>
      <w:lvlJc w:val="left"/>
      <w:pPr>
        <w:tabs>
          <w:tab w:val="num" w:pos="1080"/>
        </w:tabs>
        <w:ind w:left="0" w:firstLine="720"/>
      </w:pPr>
      <w:rPr>
        <w:b w:val="0"/>
        <w:i w:val="0"/>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2"/>
    <w:rsid w:val="00005199"/>
    <w:rsid w:val="000072D2"/>
    <w:rsid w:val="00011DDF"/>
    <w:rsid w:val="00021976"/>
    <w:rsid w:val="00023B87"/>
    <w:rsid w:val="00026605"/>
    <w:rsid w:val="00036039"/>
    <w:rsid w:val="00037F90"/>
    <w:rsid w:val="00055C0E"/>
    <w:rsid w:val="0006138A"/>
    <w:rsid w:val="000712F8"/>
    <w:rsid w:val="000827C2"/>
    <w:rsid w:val="000875BF"/>
    <w:rsid w:val="00096D8C"/>
    <w:rsid w:val="00097324"/>
    <w:rsid w:val="000A20FB"/>
    <w:rsid w:val="000A2C1F"/>
    <w:rsid w:val="000A432A"/>
    <w:rsid w:val="000B0195"/>
    <w:rsid w:val="000C0B65"/>
    <w:rsid w:val="000D6404"/>
    <w:rsid w:val="000E05FE"/>
    <w:rsid w:val="000E3D42"/>
    <w:rsid w:val="000E7105"/>
    <w:rsid w:val="000F0444"/>
    <w:rsid w:val="000F0A4A"/>
    <w:rsid w:val="000F26E6"/>
    <w:rsid w:val="000F465D"/>
    <w:rsid w:val="000F60B7"/>
    <w:rsid w:val="00100F36"/>
    <w:rsid w:val="00117379"/>
    <w:rsid w:val="00122BD5"/>
    <w:rsid w:val="0012436E"/>
    <w:rsid w:val="001267AF"/>
    <w:rsid w:val="00131049"/>
    <w:rsid w:val="0013295C"/>
    <w:rsid w:val="00133F79"/>
    <w:rsid w:val="001378AC"/>
    <w:rsid w:val="00140724"/>
    <w:rsid w:val="00142CF3"/>
    <w:rsid w:val="00164FB6"/>
    <w:rsid w:val="0017296B"/>
    <w:rsid w:val="0017460A"/>
    <w:rsid w:val="00184815"/>
    <w:rsid w:val="00192ECE"/>
    <w:rsid w:val="00193024"/>
    <w:rsid w:val="00194A66"/>
    <w:rsid w:val="001A3078"/>
    <w:rsid w:val="001A3A14"/>
    <w:rsid w:val="001A611E"/>
    <w:rsid w:val="001A7457"/>
    <w:rsid w:val="001C172C"/>
    <w:rsid w:val="001C433D"/>
    <w:rsid w:val="001D6BCF"/>
    <w:rsid w:val="001E01CA"/>
    <w:rsid w:val="001E0766"/>
    <w:rsid w:val="001F3062"/>
    <w:rsid w:val="001F4E77"/>
    <w:rsid w:val="001F7159"/>
    <w:rsid w:val="0020257A"/>
    <w:rsid w:val="00206F9C"/>
    <w:rsid w:val="002102B0"/>
    <w:rsid w:val="002112AF"/>
    <w:rsid w:val="00225AE9"/>
    <w:rsid w:val="00246B70"/>
    <w:rsid w:val="00246D5C"/>
    <w:rsid w:val="00251BB3"/>
    <w:rsid w:val="00251DC7"/>
    <w:rsid w:val="002543D0"/>
    <w:rsid w:val="00256992"/>
    <w:rsid w:val="00275CF5"/>
    <w:rsid w:val="00276152"/>
    <w:rsid w:val="0028301F"/>
    <w:rsid w:val="00285017"/>
    <w:rsid w:val="002A2D2E"/>
    <w:rsid w:val="002A5E43"/>
    <w:rsid w:val="002C00E8"/>
    <w:rsid w:val="002D40F6"/>
    <w:rsid w:val="002E070B"/>
    <w:rsid w:val="002E24F8"/>
    <w:rsid w:val="002E717F"/>
    <w:rsid w:val="002F696A"/>
    <w:rsid w:val="00301971"/>
    <w:rsid w:val="00301A2F"/>
    <w:rsid w:val="00303551"/>
    <w:rsid w:val="00304AD3"/>
    <w:rsid w:val="00307A32"/>
    <w:rsid w:val="00316F97"/>
    <w:rsid w:val="00317E69"/>
    <w:rsid w:val="00332AAB"/>
    <w:rsid w:val="00343749"/>
    <w:rsid w:val="0034640A"/>
    <w:rsid w:val="00363327"/>
    <w:rsid w:val="003660ED"/>
    <w:rsid w:val="00372509"/>
    <w:rsid w:val="00396B01"/>
    <w:rsid w:val="003A521D"/>
    <w:rsid w:val="003B0550"/>
    <w:rsid w:val="003B694F"/>
    <w:rsid w:val="003E2346"/>
    <w:rsid w:val="003E5FE1"/>
    <w:rsid w:val="003E7647"/>
    <w:rsid w:val="003F102C"/>
    <w:rsid w:val="003F171C"/>
    <w:rsid w:val="003F4BFC"/>
    <w:rsid w:val="00403364"/>
    <w:rsid w:val="00412FC5"/>
    <w:rsid w:val="00421227"/>
    <w:rsid w:val="00422276"/>
    <w:rsid w:val="0042387F"/>
    <w:rsid w:val="004242F1"/>
    <w:rsid w:val="004310E9"/>
    <w:rsid w:val="004340D6"/>
    <w:rsid w:val="004353B3"/>
    <w:rsid w:val="00445A00"/>
    <w:rsid w:val="00451B0F"/>
    <w:rsid w:val="00452377"/>
    <w:rsid w:val="0046674F"/>
    <w:rsid w:val="0046681B"/>
    <w:rsid w:val="00475099"/>
    <w:rsid w:val="004900E8"/>
    <w:rsid w:val="004A61A9"/>
    <w:rsid w:val="004B1B85"/>
    <w:rsid w:val="004B3A98"/>
    <w:rsid w:val="004B7076"/>
    <w:rsid w:val="004C2EE3"/>
    <w:rsid w:val="004C4ACE"/>
    <w:rsid w:val="004E0B8A"/>
    <w:rsid w:val="004E266D"/>
    <w:rsid w:val="004E4A22"/>
    <w:rsid w:val="004F39F2"/>
    <w:rsid w:val="004F3B18"/>
    <w:rsid w:val="00511968"/>
    <w:rsid w:val="0052566C"/>
    <w:rsid w:val="00532D2D"/>
    <w:rsid w:val="00533AF9"/>
    <w:rsid w:val="0054159A"/>
    <w:rsid w:val="0054461F"/>
    <w:rsid w:val="00546CFB"/>
    <w:rsid w:val="00547427"/>
    <w:rsid w:val="00547457"/>
    <w:rsid w:val="00555E56"/>
    <w:rsid w:val="0055614C"/>
    <w:rsid w:val="005630B6"/>
    <w:rsid w:val="00564BB2"/>
    <w:rsid w:val="00566D06"/>
    <w:rsid w:val="00570D80"/>
    <w:rsid w:val="0058117B"/>
    <w:rsid w:val="005842F0"/>
    <w:rsid w:val="00594A1D"/>
    <w:rsid w:val="00596B51"/>
    <w:rsid w:val="005B22AA"/>
    <w:rsid w:val="005B4801"/>
    <w:rsid w:val="005B7775"/>
    <w:rsid w:val="005D3347"/>
    <w:rsid w:val="005D5238"/>
    <w:rsid w:val="005E14C2"/>
    <w:rsid w:val="005F31CC"/>
    <w:rsid w:val="00606476"/>
    <w:rsid w:val="00607BA5"/>
    <w:rsid w:val="0061180A"/>
    <w:rsid w:val="00626EB6"/>
    <w:rsid w:val="0063088C"/>
    <w:rsid w:val="006314C5"/>
    <w:rsid w:val="006318E3"/>
    <w:rsid w:val="00651B04"/>
    <w:rsid w:val="006540A7"/>
    <w:rsid w:val="00655D03"/>
    <w:rsid w:val="00683388"/>
    <w:rsid w:val="00683F84"/>
    <w:rsid w:val="00685D08"/>
    <w:rsid w:val="006928B1"/>
    <w:rsid w:val="00695A2C"/>
    <w:rsid w:val="006A1938"/>
    <w:rsid w:val="006A6A81"/>
    <w:rsid w:val="006C3708"/>
    <w:rsid w:val="006E1FBC"/>
    <w:rsid w:val="006E7A81"/>
    <w:rsid w:val="006F7393"/>
    <w:rsid w:val="0070224F"/>
    <w:rsid w:val="00703CF3"/>
    <w:rsid w:val="00703E48"/>
    <w:rsid w:val="00706090"/>
    <w:rsid w:val="007115F7"/>
    <w:rsid w:val="00713CB3"/>
    <w:rsid w:val="00722564"/>
    <w:rsid w:val="007228EE"/>
    <w:rsid w:val="00724C0B"/>
    <w:rsid w:val="00726F4F"/>
    <w:rsid w:val="00732197"/>
    <w:rsid w:val="007434FB"/>
    <w:rsid w:val="00747F00"/>
    <w:rsid w:val="00747FC0"/>
    <w:rsid w:val="00755F6D"/>
    <w:rsid w:val="00756124"/>
    <w:rsid w:val="00757966"/>
    <w:rsid w:val="00757BC6"/>
    <w:rsid w:val="00765757"/>
    <w:rsid w:val="00785689"/>
    <w:rsid w:val="00796863"/>
    <w:rsid w:val="0079754B"/>
    <w:rsid w:val="007A1E6D"/>
    <w:rsid w:val="007A219C"/>
    <w:rsid w:val="007B0EB2"/>
    <w:rsid w:val="007B2E7D"/>
    <w:rsid w:val="007B5C2C"/>
    <w:rsid w:val="007C28C5"/>
    <w:rsid w:val="007D218A"/>
    <w:rsid w:val="007E0384"/>
    <w:rsid w:val="00802782"/>
    <w:rsid w:val="00806B19"/>
    <w:rsid w:val="00810B6F"/>
    <w:rsid w:val="00813CFC"/>
    <w:rsid w:val="0081433C"/>
    <w:rsid w:val="00814DBE"/>
    <w:rsid w:val="0081784D"/>
    <w:rsid w:val="00822CE0"/>
    <w:rsid w:val="00836C1D"/>
    <w:rsid w:val="00841AB1"/>
    <w:rsid w:val="00864C3B"/>
    <w:rsid w:val="00880F09"/>
    <w:rsid w:val="0088792B"/>
    <w:rsid w:val="008A54CA"/>
    <w:rsid w:val="008C68F1"/>
    <w:rsid w:val="008D1B4C"/>
    <w:rsid w:val="008D78AB"/>
    <w:rsid w:val="008E6A18"/>
    <w:rsid w:val="00900ED7"/>
    <w:rsid w:val="009038F6"/>
    <w:rsid w:val="00906EE7"/>
    <w:rsid w:val="009137A6"/>
    <w:rsid w:val="00913B23"/>
    <w:rsid w:val="00921803"/>
    <w:rsid w:val="00925407"/>
    <w:rsid w:val="00926503"/>
    <w:rsid w:val="00930873"/>
    <w:rsid w:val="009402A3"/>
    <w:rsid w:val="00943B39"/>
    <w:rsid w:val="009466C6"/>
    <w:rsid w:val="009622DC"/>
    <w:rsid w:val="00962755"/>
    <w:rsid w:val="00964E40"/>
    <w:rsid w:val="009701F3"/>
    <w:rsid w:val="0097047C"/>
    <w:rsid w:val="009726D8"/>
    <w:rsid w:val="00975084"/>
    <w:rsid w:val="00984422"/>
    <w:rsid w:val="00987FB5"/>
    <w:rsid w:val="009A5611"/>
    <w:rsid w:val="009B6712"/>
    <w:rsid w:val="009D7308"/>
    <w:rsid w:val="009D7348"/>
    <w:rsid w:val="009F00E1"/>
    <w:rsid w:val="009F29C8"/>
    <w:rsid w:val="009F5E38"/>
    <w:rsid w:val="009F7228"/>
    <w:rsid w:val="009F76DB"/>
    <w:rsid w:val="00A00630"/>
    <w:rsid w:val="00A1156C"/>
    <w:rsid w:val="00A23180"/>
    <w:rsid w:val="00A23395"/>
    <w:rsid w:val="00A32C3B"/>
    <w:rsid w:val="00A3608E"/>
    <w:rsid w:val="00A42DDC"/>
    <w:rsid w:val="00A45F4F"/>
    <w:rsid w:val="00A54A39"/>
    <w:rsid w:val="00A55EAD"/>
    <w:rsid w:val="00A57956"/>
    <w:rsid w:val="00A600A9"/>
    <w:rsid w:val="00A925B9"/>
    <w:rsid w:val="00AA2C83"/>
    <w:rsid w:val="00AA55B7"/>
    <w:rsid w:val="00AA5AF1"/>
    <w:rsid w:val="00AA5B9E"/>
    <w:rsid w:val="00AA79C6"/>
    <w:rsid w:val="00AA7AA3"/>
    <w:rsid w:val="00AB2407"/>
    <w:rsid w:val="00AB27FD"/>
    <w:rsid w:val="00AB53DF"/>
    <w:rsid w:val="00AB7E1A"/>
    <w:rsid w:val="00AC4EED"/>
    <w:rsid w:val="00AD588A"/>
    <w:rsid w:val="00AD7A72"/>
    <w:rsid w:val="00AE1AC4"/>
    <w:rsid w:val="00AE4B87"/>
    <w:rsid w:val="00AE7689"/>
    <w:rsid w:val="00B036BA"/>
    <w:rsid w:val="00B07E5C"/>
    <w:rsid w:val="00B12460"/>
    <w:rsid w:val="00B30EE6"/>
    <w:rsid w:val="00B33871"/>
    <w:rsid w:val="00B377DC"/>
    <w:rsid w:val="00B44492"/>
    <w:rsid w:val="00B5192D"/>
    <w:rsid w:val="00B655C0"/>
    <w:rsid w:val="00B66F97"/>
    <w:rsid w:val="00B70CDC"/>
    <w:rsid w:val="00B7294E"/>
    <w:rsid w:val="00B72D84"/>
    <w:rsid w:val="00B751AE"/>
    <w:rsid w:val="00B811F7"/>
    <w:rsid w:val="00B846AE"/>
    <w:rsid w:val="00B87084"/>
    <w:rsid w:val="00B87D75"/>
    <w:rsid w:val="00B91D6E"/>
    <w:rsid w:val="00B975A6"/>
    <w:rsid w:val="00BA5DC6"/>
    <w:rsid w:val="00BA6196"/>
    <w:rsid w:val="00BB2F81"/>
    <w:rsid w:val="00BC6D8C"/>
    <w:rsid w:val="00BD3558"/>
    <w:rsid w:val="00BD5C3B"/>
    <w:rsid w:val="00BE17B7"/>
    <w:rsid w:val="00BE2C44"/>
    <w:rsid w:val="00BF37A8"/>
    <w:rsid w:val="00C05F99"/>
    <w:rsid w:val="00C277C3"/>
    <w:rsid w:val="00C31E41"/>
    <w:rsid w:val="00C34006"/>
    <w:rsid w:val="00C3542E"/>
    <w:rsid w:val="00C36B4C"/>
    <w:rsid w:val="00C426B1"/>
    <w:rsid w:val="00C45F7C"/>
    <w:rsid w:val="00C6186F"/>
    <w:rsid w:val="00C66160"/>
    <w:rsid w:val="00C721AC"/>
    <w:rsid w:val="00C90D6A"/>
    <w:rsid w:val="00CA1A6B"/>
    <w:rsid w:val="00CA247E"/>
    <w:rsid w:val="00CA2A81"/>
    <w:rsid w:val="00CA6D21"/>
    <w:rsid w:val="00CA7CCF"/>
    <w:rsid w:val="00CC0B13"/>
    <w:rsid w:val="00CC72B6"/>
    <w:rsid w:val="00CD3A7F"/>
    <w:rsid w:val="00CD3D48"/>
    <w:rsid w:val="00CD433F"/>
    <w:rsid w:val="00CF1C21"/>
    <w:rsid w:val="00CF2097"/>
    <w:rsid w:val="00D0218D"/>
    <w:rsid w:val="00D02A77"/>
    <w:rsid w:val="00D25FB5"/>
    <w:rsid w:val="00D30BA5"/>
    <w:rsid w:val="00D44223"/>
    <w:rsid w:val="00D51519"/>
    <w:rsid w:val="00D52DAB"/>
    <w:rsid w:val="00D67522"/>
    <w:rsid w:val="00D67C5C"/>
    <w:rsid w:val="00D7045C"/>
    <w:rsid w:val="00D81DE2"/>
    <w:rsid w:val="00D96D00"/>
    <w:rsid w:val="00DA1F56"/>
    <w:rsid w:val="00DA2529"/>
    <w:rsid w:val="00DA468D"/>
    <w:rsid w:val="00DA58CB"/>
    <w:rsid w:val="00DB130A"/>
    <w:rsid w:val="00DB2EBB"/>
    <w:rsid w:val="00DB3760"/>
    <w:rsid w:val="00DC0AF5"/>
    <w:rsid w:val="00DC10A1"/>
    <w:rsid w:val="00DC655F"/>
    <w:rsid w:val="00DD0B59"/>
    <w:rsid w:val="00DD647D"/>
    <w:rsid w:val="00DD7EBD"/>
    <w:rsid w:val="00DF62B6"/>
    <w:rsid w:val="00DF7F96"/>
    <w:rsid w:val="00E07225"/>
    <w:rsid w:val="00E118B3"/>
    <w:rsid w:val="00E341F9"/>
    <w:rsid w:val="00E342CE"/>
    <w:rsid w:val="00E421CD"/>
    <w:rsid w:val="00E450D3"/>
    <w:rsid w:val="00E51D21"/>
    <w:rsid w:val="00E5409F"/>
    <w:rsid w:val="00E6198B"/>
    <w:rsid w:val="00E62BB4"/>
    <w:rsid w:val="00E778A4"/>
    <w:rsid w:val="00E87647"/>
    <w:rsid w:val="00E95E9D"/>
    <w:rsid w:val="00EB7154"/>
    <w:rsid w:val="00ED01FA"/>
    <w:rsid w:val="00ED0707"/>
    <w:rsid w:val="00ED1F9B"/>
    <w:rsid w:val="00ED3934"/>
    <w:rsid w:val="00EE2B1D"/>
    <w:rsid w:val="00EE328A"/>
    <w:rsid w:val="00EE4C6B"/>
    <w:rsid w:val="00EE6488"/>
    <w:rsid w:val="00F021FA"/>
    <w:rsid w:val="00F023CF"/>
    <w:rsid w:val="00F155F8"/>
    <w:rsid w:val="00F231D2"/>
    <w:rsid w:val="00F26F31"/>
    <w:rsid w:val="00F27D81"/>
    <w:rsid w:val="00F3589A"/>
    <w:rsid w:val="00F409B2"/>
    <w:rsid w:val="00F45940"/>
    <w:rsid w:val="00F54DB8"/>
    <w:rsid w:val="00F57B70"/>
    <w:rsid w:val="00F60FD9"/>
    <w:rsid w:val="00F62E97"/>
    <w:rsid w:val="00F63F1E"/>
    <w:rsid w:val="00F64209"/>
    <w:rsid w:val="00F66408"/>
    <w:rsid w:val="00F93BF5"/>
    <w:rsid w:val="00FA2F75"/>
    <w:rsid w:val="00FB23F8"/>
    <w:rsid w:val="00FB3777"/>
    <w:rsid w:val="00FC7737"/>
    <w:rsid w:val="00FF1408"/>
    <w:rsid w:val="00FF57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B3"/>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251BB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251BB3"/>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251BB3"/>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251BB3"/>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251BB3"/>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251BB3"/>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251BB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1BB3"/>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251BB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1B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BB3"/>
  </w:style>
  <w:style w:type="paragraph" w:customStyle="1" w:styleId="ParaNum">
    <w:name w:val="ParaNum"/>
    <w:basedOn w:val="Normal"/>
    <w:link w:val="ParaNumChar"/>
    <w:rsid w:val="00251BB3"/>
    <w:pPr>
      <w:numPr>
        <w:numId w:val="2"/>
      </w:numPr>
      <w:tabs>
        <w:tab w:val="clear" w:pos="1080"/>
        <w:tab w:val="num" w:pos="1440"/>
      </w:tabs>
      <w:spacing w:after="120"/>
    </w:pPr>
  </w:style>
  <w:style w:type="paragraph" w:styleId="EndnoteText">
    <w:name w:val="endnote text"/>
    <w:basedOn w:val="Normal"/>
    <w:semiHidden/>
    <w:rsid w:val="00251BB3"/>
    <w:rPr>
      <w:sz w:val="20"/>
    </w:rPr>
  </w:style>
  <w:style w:type="character" w:styleId="EndnoteReference">
    <w:name w:val="endnote reference"/>
    <w:semiHidden/>
    <w:rsid w:val="00251BB3"/>
    <w:rPr>
      <w:vertAlign w:val="superscript"/>
    </w:rPr>
  </w:style>
  <w:style w:type="paragraph" w:styleId="FootnoteText">
    <w:name w:val="footnote text"/>
    <w:aliases w:val="ALTS FOOTNOT,Footnote Text Char,Footnote Text Char Char6 Char,Footnote Text Char Char6 Char Char1 Char1,Footnote Text Char2 Char3,Footnote Text Char4 Char2 Char Char Char Char,Footnote Text Char6 Char,Footnote Text Char6 Char Char Char,fn"/>
    <w:link w:val="FootnoteTextChar1"/>
    <w:rsid w:val="00251BB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51BB3"/>
    <w:rPr>
      <w:rFonts w:ascii="Times New Roman" w:hAnsi="Times New Roman"/>
      <w:dstrike w:val="0"/>
      <w:color w:val="auto"/>
      <w:sz w:val="20"/>
      <w:vertAlign w:val="superscript"/>
    </w:rPr>
  </w:style>
  <w:style w:type="paragraph" w:styleId="TOC1">
    <w:name w:val="toc 1"/>
    <w:basedOn w:val="Normal"/>
    <w:next w:val="Normal"/>
    <w:semiHidden/>
    <w:rsid w:val="00251BB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1BB3"/>
    <w:pPr>
      <w:tabs>
        <w:tab w:val="left" w:pos="720"/>
        <w:tab w:val="right" w:leader="dot" w:pos="9360"/>
      </w:tabs>
      <w:suppressAutoHyphens/>
      <w:ind w:left="720" w:right="720" w:hanging="360"/>
    </w:pPr>
    <w:rPr>
      <w:noProof/>
    </w:rPr>
  </w:style>
  <w:style w:type="paragraph" w:styleId="TOC3">
    <w:name w:val="toc 3"/>
    <w:basedOn w:val="Normal"/>
    <w:next w:val="Normal"/>
    <w:semiHidden/>
    <w:rsid w:val="00251BB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1BB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1BB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1BB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1BB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1BB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1BB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1BB3"/>
    <w:pPr>
      <w:tabs>
        <w:tab w:val="right" w:pos="9360"/>
      </w:tabs>
      <w:suppressAutoHyphens/>
    </w:pPr>
  </w:style>
  <w:style w:type="character" w:customStyle="1" w:styleId="EquationCaption">
    <w:name w:val="_Equation Caption"/>
    <w:rsid w:val="00251BB3"/>
  </w:style>
  <w:style w:type="paragraph" w:styleId="Header">
    <w:name w:val="header"/>
    <w:basedOn w:val="Normal"/>
    <w:autoRedefine/>
    <w:rsid w:val="00251BB3"/>
    <w:pPr>
      <w:tabs>
        <w:tab w:val="center" w:pos="4680"/>
        <w:tab w:val="right" w:pos="9360"/>
      </w:tabs>
    </w:pPr>
    <w:rPr>
      <w:b/>
    </w:rPr>
  </w:style>
  <w:style w:type="paragraph" w:styleId="Footer">
    <w:name w:val="footer"/>
    <w:basedOn w:val="Normal"/>
    <w:link w:val="FooterChar"/>
    <w:uiPriority w:val="99"/>
    <w:rsid w:val="00251BB3"/>
    <w:pPr>
      <w:tabs>
        <w:tab w:val="center" w:pos="4320"/>
        <w:tab w:val="right" w:pos="8640"/>
      </w:tabs>
    </w:pPr>
  </w:style>
  <w:style w:type="character" w:styleId="PageNumber">
    <w:name w:val="page number"/>
    <w:basedOn w:val="DefaultParagraphFont"/>
    <w:rsid w:val="00251BB3"/>
  </w:style>
  <w:style w:type="paragraph" w:styleId="BlockText">
    <w:name w:val="Block Text"/>
    <w:basedOn w:val="Normal"/>
    <w:rsid w:val="00251BB3"/>
    <w:pPr>
      <w:spacing w:after="240"/>
      <w:ind w:left="1440" w:right="1440"/>
    </w:pPr>
  </w:style>
  <w:style w:type="paragraph" w:customStyle="1" w:styleId="Paratitle">
    <w:name w:val="Para title"/>
    <w:basedOn w:val="Normal"/>
    <w:rsid w:val="00251BB3"/>
    <w:pPr>
      <w:tabs>
        <w:tab w:val="center" w:pos="9270"/>
      </w:tabs>
      <w:spacing w:after="240"/>
    </w:pPr>
    <w:rPr>
      <w:spacing w:val="-2"/>
    </w:rPr>
  </w:style>
  <w:style w:type="paragraph" w:customStyle="1" w:styleId="Bullet">
    <w:name w:val="Bullet"/>
    <w:basedOn w:val="Normal"/>
    <w:rsid w:val="00251BB3"/>
    <w:pPr>
      <w:tabs>
        <w:tab w:val="left" w:pos="2160"/>
      </w:tabs>
      <w:spacing w:after="220"/>
      <w:ind w:left="2160" w:hanging="720"/>
    </w:pPr>
  </w:style>
  <w:style w:type="paragraph" w:customStyle="1" w:styleId="TableFormat">
    <w:name w:val="TableFormat"/>
    <w:basedOn w:val="Bullet"/>
    <w:rsid w:val="00251BB3"/>
    <w:pPr>
      <w:tabs>
        <w:tab w:val="clear" w:pos="2160"/>
        <w:tab w:val="left" w:pos="5040"/>
      </w:tabs>
      <w:ind w:left="5040" w:hanging="3600"/>
    </w:pPr>
  </w:style>
  <w:style w:type="paragraph" w:customStyle="1" w:styleId="TOCTitle">
    <w:name w:val="TOC Title"/>
    <w:basedOn w:val="Normal"/>
    <w:rsid w:val="00251BB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1BB3"/>
    <w:pPr>
      <w:jc w:val="center"/>
    </w:pPr>
    <w:rPr>
      <w:rFonts w:ascii="Times New Roman Bold" w:hAnsi="Times New Roman Bold"/>
      <w:b/>
      <w:bCs/>
      <w:caps/>
      <w:szCs w:val="22"/>
    </w:rPr>
  </w:style>
  <w:style w:type="character" w:styleId="Hyperlink">
    <w:name w:val="Hyperlink"/>
    <w:rsid w:val="00251BB3"/>
    <w:rPr>
      <w:color w:val="0000FF"/>
      <w:u w:val="single"/>
    </w:rPr>
  </w:style>
  <w:style w:type="character" w:customStyle="1" w:styleId="FooterChar">
    <w:name w:val="Footer Char"/>
    <w:link w:val="Footer"/>
    <w:uiPriority w:val="99"/>
    <w:rsid w:val="00251BB3"/>
    <w:rPr>
      <w:snapToGrid w:val="0"/>
      <w:kern w:val="28"/>
      <w:sz w:val="22"/>
    </w:rPr>
  </w:style>
  <w:style w:type="character" w:customStyle="1" w:styleId="ParaNumChar">
    <w:name w:val="ParaNum Char"/>
    <w:link w:val="ParaNum"/>
    <w:locked/>
    <w:rsid w:val="00307A32"/>
    <w:rPr>
      <w:snapToGrid w:val="0"/>
      <w:kern w:val="28"/>
      <w:sz w:val="22"/>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locked/>
    <w:rsid w:val="00307A32"/>
    <w:rPr>
      <w:rFonts w:ascii="Times New Roman Bold" w:hAnsi="Times New Roman Bold"/>
      <w:b/>
      <w:caps/>
      <w:snapToGrid w:val="0"/>
      <w:kern w:val="28"/>
      <w:sz w:val="22"/>
    </w:rPr>
  </w:style>
  <w:style w:type="character" w:customStyle="1" w:styleId="FootnoteTextChar1">
    <w:name w:val="Footnote Text Char1"/>
    <w:aliases w:val="ALTS FOOTNOT Char,Footnote Text Char Char,Footnote Text Char Char6 Char Char,Footnote Text Char Char6 Char Char1 Char1 Char,Footnote Text Char2 Char3 Char,Footnote Text Char4 Char2 Char Char Char Char Char,fn Char"/>
    <w:link w:val="FootnoteText"/>
    <w:locked/>
    <w:rsid w:val="00307A32"/>
  </w:style>
  <w:style w:type="character" w:styleId="Emphasis">
    <w:name w:val="Emphasis"/>
    <w:uiPriority w:val="20"/>
    <w:qFormat/>
    <w:rsid w:val="00307A32"/>
    <w:rPr>
      <w:rFonts w:cs="Times New Roman"/>
      <w:i/>
    </w:rPr>
  </w:style>
  <w:style w:type="paragraph" w:customStyle="1" w:styleId="Appendixnumber">
    <w:name w:val="Appendix number"/>
    <w:basedOn w:val="Normal"/>
    <w:rsid w:val="00307A32"/>
    <w:pPr>
      <w:numPr>
        <w:numId w:val="7"/>
      </w:numPr>
      <w:spacing w:after="120"/>
    </w:pPr>
    <w:rPr>
      <w:snapToGrid/>
    </w:rPr>
  </w:style>
  <w:style w:type="character" w:customStyle="1" w:styleId="cosearchterm">
    <w:name w:val="co_searchterm"/>
    <w:rsid w:val="00307A32"/>
  </w:style>
  <w:style w:type="paragraph" w:styleId="BalloonText">
    <w:name w:val="Balloon Text"/>
    <w:basedOn w:val="Normal"/>
    <w:link w:val="BalloonTextChar"/>
    <w:rsid w:val="00E87647"/>
    <w:rPr>
      <w:rFonts w:ascii="Segoe UI" w:hAnsi="Segoe UI" w:cs="Segoe UI"/>
      <w:sz w:val="18"/>
      <w:szCs w:val="18"/>
    </w:rPr>
  </w:style>
  <w:style w:type="character" w:customStyle="1" w:styleId="BalloonTextChar">
    <w:name w:val="Balloon Text Char"/>
    <w:link w:val="BalloonText"/>
    <w:rsid w:val="00E87647"/>
    <w:rPr>
      <w:rFonts w:ascii="Segoe UI" w:hAnsi="Segoe UI" w:cs="Segoe UI"/>
      <w:snapToGrid w:val="0"/>
      <w:kern w:val="28"/>
      <w:sz w:val="18"/>
      <w:szCs w:val="18"/>
    </w:rPr>
  </w:style>
  <w:style w:type="character" w:customStyle="1" w:styleId="sssh">
    <w:name w:val="ss_sh"/>
    <w:rsid w:val="003E2346"/>
  </w:style>
  <w:style w:type="character" w:customStyle="1" w:styleId="ssit">
    <w:name w:val="ss_it"/>
    <w:rsid w:val="003E2346"/>
  </w:style>
  <w:style w:type="paragraph" w:styleId="ListParagraph">
    <w:name w:val="List Paragraph"/>
    <w:basedOn w:val="Normal"/>
    <w:uiPriority w:val="34"/>
    <w:qFormat/>
    <w:rsid w:val="008E6A18"/>
    <w:pPr>
      <w:ind w:left="720"/>
    </w:pPr>
  </w:style>
  <w:style w:type="character" w:styleId="CommentReference">
    <w:name w:val="annotation reference"/>
    <w:rsid w:val="00EE2B1D"/>
    <w:rPr>
      <w:sz w:val="16"/>
      <w:szCs w:val="16"/>
    </w:rPr>
  </w:style>
  <w:style w:type="paragraph" w:styleId="CommentText">
    <w:name w:val="annotation text"/>
    <w:basedOn w:val="Normal"/>
    <w:link w:val="CommentTextChar"/>
    <w:rsid w:val="00EE2B1D"/>
    <w:rPr>
      <w:sz w:val="20"/>
    </w:rPr>
  </w:style>
  <w:style w:type="character" w:customStyle="1" w:styleId="CommentTextChar">
    <w:name w:val="Comment Text Char"/>
    <w:link w:val="CommentText"/>
    <w:rsid w:val="00EE2B1D"/>
    <w:rPr>
      <w:snapToGrid w:val="0"/>
      <w:kern w:val="28"/>
    </w:rPr>
  </w:style>
  <w:style w:type="paragraph" w:styleId="CommentSubject">
    <w:name w:val="annotation subject"/>
    <w:basedOn w:val="CommentText"/>
    <w:next w:val="CommentText"/>
    <w:link w:val="CommentSubjectChar"/>
    <w:rsid w:val="00EE2B1D"/>
    <w:rPr>
      <w:b/>
      <w:bCs/>
    </w:rPr>
  </w:style>
  <w:style w:type="character" w:customStyle="1" w:styleId="CommentSubjectChar">
    <w:name w:val="Comment Subject Char"/>
    <w:link w:val="CommentSubject"/>
    <w:rsid w:val="00EE2B1D"/>
    <w:rPr>
      <w:b/>
      <w:bCs/>
      <w:snapToGrid w:val="0"/>
      <w:kern w:val="28"/>
    </w:rPr>
  </w:style>
  <w:style w:type="character" w:customStyle="1" w:styleId="FootnoteTextCharCharCharChar">
    <w:name w:val="Footnote Text Char Char Char Char"/>
    <w:aliases w:val="Footnote Text Char Char Char Char Char Char Char,Footnote Text Char1 Char Char,Footnote Text Char1 Char1,Footnote Text Char1 Char2 Char Char Char Char,Footnote Text Char2 Char Char Char Char"/>
    <w:rsid w:val="007A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