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C14AC" w:rsidRPr="00DD369E" w:rsidP="008C14AC" w14:paraId="5363A751" w14:textId="79B4BB89">
      <w:pPr>
        <w:jc w:val="right"/>
        <w:rPr>
          <w:b/>
          <w:szCs w:val="22"/>
        </w:rPr>
      </w:pPr>
      <w:bookmarkStart w:id="0" w:name="_Hlk39054020"/>
      <w:bookmarkStart w:id="1" w:name="TOChere"/>
      <w:bookmarkStart w:id="2" w:name="_Hlk43914501"/>
      <w:r w:rsidRPr="00DD369E">
        <w:rPr>
          <w:b/>
          <w:szCs w:val="22"/>
        </w:rPr>
        <w:t xml:space="preserve">DA </w:t>
      </w:r>
      <w:r>
        <w:rPr>
          <w:b/>
          <w:szCs w:val="22"/>
        </w:rPr>
        <w:t>20</w:t>
      </w:r>
      <w:r w:rsidR="00147A63">
        <w:rPr>
          <w:b/>
          <w:szCs w:val="22"/>
        </w:rPr>
        <w:t>-668</w:t>
      </w:r>
    </w:p>
    <w:bookmarkEnd w:id="0"/>
    <w:p w:rsidR="008C14AC" w:rsidP="008C14AC" w14:paraId="3116AE09" w14:textId="39175E07">
      <w:pPr>
        <w:jc w:val="right"/>
        <w:rPr>
          <w:b/>
          <w:szCs w:val="22"/>
        </w:rPr>
      </w:pPr>
      <w:r w:rsidRPr="00DD369E">
        <w:rPr>
          <w:b/>
          <w:szCs w:val="22"/>
        </w:rPr>
        <w:t xml:space="preserve">Released:  </w:t>
      </w:r>
      <w:r>
        <w:rPr>
          <w:b/>
          <w:szCs w:val="22"/>
        </w:rPr>
        <w:t>June</w:t>
      </w:r>
      <w:r w:rsidR="00147A63">
        <w:rPr>
          <w:b/>
          <w:szCs w:val="22"/>
        </w:rPr>
        <w:t xml:space="preserve"> 25</w:t>
      </w:r>
      <w:r w:rsidRPr="00DD369E">
        <w:rPr>
          <w:b/>
          <w:szCs w:val="22"/>
        </w:rPr>
        <w:t>, 20</w:t>
      </w:r>
      <w:r>
        <w:rPr>
          <w:b/>
          <w:szCs w:val="22"/>
        </w:rPr>
        <w:t>20</w:t>
      </w:r>
    </w:p>
    <w:p w:rsidR="008C14AC" w:rsidRPr="00DD369E" w:rsidP="008C14AC" w14:paraId="4E1F606B" w14:textId="77777777">
      <w:pPr>
        <w:jc w:val="center"/>
        <w:rPr>
          <w:b/>
          <w:szCs w:val="22"/>
        </w:rPr>
      </w:pPr>
    </w:p>
    <w:bookmarkEnd w:id="1"/>
    <w:p w:rsidR="008C14AC" w:rsidRPr="00DB48C2" w:rsidP="008C14AC" w14:paraId="24C2B7D9" w14:textId="77777777">
      <w:pPr>
        <w:spacing w:after="120"/>
        <w:jc w:val="center"/>
        <w:rPr>
          <w:rFonts w:ascii="Times New Roman Bold" w:hAnsi="Times New Roman Bold"/>
          <w:b/>
          <w:caps/>
          <w:sz w:val="24"/>
        </w:rPr>
      </w:pPr>
      <w:r>
        <w:rPr>
          <w:rFonts w:ascii="Times New Roman Bold" w:hAnsi="Times New Roman Bold"/>
          <w:b/>
          <w:caps/>
          <w:sz w:val="24"/>
        </w:rPr>
        <w:t>Section 106 EMERGENCY authorizations DURING COVID-19</w:t>
      </w:r>
    </w:p>
    <w:p w:rsidR="008C14AC" w:rsidP="008C14AC" w14:paraId="5D13C48A" w14:textId="1D137BE6">
      <w:pPr>
        <w:pStyle w:val="ParaNum"/>
        <w:widowControl/>
        <w:numPr>
          <w:ilvl w:val="0"/>
          <w:numId w:val="0"/>
        </w:numPr>
      </w:pPr>
      <w:r>
        <w:t>Tackling the communications challenges of the COVID-19 pandemic and keeping Americans connected has been the FCC’s top priority in recent months.  The Advisory Council on Historic Preservation (ACHP) advised federal agencies to pause Section 106 historic preservation reviews – reviews necessary for new infrastructure deployment –</w:t>
      </w:r>
      <w:r w:rsidR="00DF2982">
        <w:t xml:space="preserve"> </w:t>
      </w:r>
      <w:r>
        <w:t>when State Historic Preservation Offices or Tribal Historic Preservation Offices are unable to carry out their Section 106 duties due to COVID-19.</w:t>
      </w:r>
      <w:r>
        <w:rPr>
          <w:rStyle w:val="FootnoteReference"/>
        </w:rPr>
        <w:footnoteReference w:id="3"/>
      </w:r>
      <w:r>
        <w:t xml:space="preserve">  The </w:t>
      </w:r>
      <w:bookmarkStart w:id="3" w:name="_GoBack"/>
      <w:bookmarkEnd w:id="3"/>
      <w:r>
        <w:t>impacts associated with these closures are diminishing as historic preservation review offices resume operations but many urgently needed deployments remain delayed.  ACHP’s regulations include provisions to allow certain critical infrastructure projects to proceed under expedited Section 106 review during emergencies such as the COVID-19 crisis.</w:t>
      </w:r>
      <w:r>
        <w:rPr>
          <w:rStyle w:val="FootnoteReference"/>
        </w:rPr>
        <w:footnoteReference w:id="4"/>
      </w:r>
      <w:r>
        <w:t xml:space="preserve">  In addition, the Commission may issue emergency authorizations for infrastructure projects </w:t>
      </w:r>
      <w:r w:rsidRPr="00B5181B">
        <w:t>critical for responding to emergency situations</w:t>
      </w:r>
      <w:r>
        <w:t>.</w:t>
      </w:r>
      <w:r>
        <w:rPr>
          <w:rStyle w:val="FootnoteReference"/>
        </w:rPr>
        <w:footnoteReference w:id="5"/>
      </w:r>
      <w:r>
        <w:t xml:space="preserve">  By this Public Notice, the Wireless Telecommunications Bureau (WTB) announces an electronic process for FCC licensees to apply for expedited Section 106 review or for emergency authorization to resume standard review for qualifying critical infrastructure projects during this crisis.</w:t>
      </w:r>
      <w:r>
        <w:rPr>
          <w:rStyle w:val="FootnoteReference"/>
        </w:rPr>
        <w:footnoteReference w:id="6"/>
      </w:r>
      <w:r>
        <w:t xml:space="preserve">  </w:t>
      </w:r>
    </w:p>
    <w:p w:rsidR="008C14AC" w:rsidRPr="00F02E5E" w:rsidP="008C14AC" w14:paraId="5A67D1A0" w14:textId="77777777">
      <w:pPr>
        <w:pStyle w:val="ParaNum"/>
        <w:widowControl/>
        <w:numPr>
          <w:ilvl w:val="0"/>
          <w:numId w:val="0"/>
        </w:numPr>
        <w:rPr>
          <w:szCs w:val="22"/>
        </w:rPr>
      </w:pPr>
      <w:r>
        <w:rPr>
          <w:i/>
          <w:iCs/>
        </w:rPr>
        <w:t xml:space="preserve">Expedited Review Under </w:t>
      </w:r>
      <w:r w:rsidRPr="00A07E13">
        <w:rPr>
          <w:i/>
          <w:iCs/>
        </w:rPr>
        <w:t xml:space="preserve">ACHP </w:t>
      </w:r>
      <w:r>
        <w:rPr>
          <w:i/>
          <w:iCs/>
        </w:rPr>
        <w:t xml:space="preserve">Rules on </w:t>
      </w:r>
      <w:r w:rsidRPr="00A07E13">
        <w:rPr>
          <w:i/>
          <w:iCs/>
        </w:rPr>
        <w:t>Emergency Situations</w:t>
      </w:r>
      <w:r>
        <w:t>.  Section 800.12(b) of the ACHP rules provides an expedited “seven-day” Section 106 review mechanism for “essential and immediate” projects that directly respond to a declared disaster or emergency.</w:t>
      </w:r>
      <w:r>
        <w:rPr>
          <w:rStyle w:val="FootnoteReference"/>
        </w:rPr>
        <w:footnoteReference w:id="7"/>
      </w:r>
      <w:r>
        <w:t xml:space="preserve">  </w:t>
      </w:r>
      <w:r w:rsidRPr="005F5FFA">
        <w:t xml:space="preserve">The pausing of Section 106 reviews does not apply to reviews under </w:t>
      </w:r>
      <w:r>
        <w:t>Section</w:t>
      </w:r>
      <w:r w:rsidRPr="005F5FFA">
        <w:t xml:space="preserve"> 800.12</w:t>
      </w:r>
      <w:r>
        <w:t>(b)</w:t>
      </w:r>
      <w:r w:rsidRPr="005F5FFA">
        <w:t>.</w:t>
      </w:r>
      <w:r>
        <w:rPr>
          <w:rStyle w:val="FootnoteReference"/>
        </w:rPr>
        <w:footnoteReference w:id="8"/>
      </w:r>
      <w:r w:rsidRPr="005F5FFA">
        <w:t xml:space="preserve">  </w:t>
      </w:r>
      <w:r w:rsidRPr="005F5FFA">
        <w:rPr>
          <w:szCs w:val="22"/>
        </w:rPr>
        <w:t xml:space="preserve">A licensee seeking expedited review under </w:t>
      </w:r>
      <w:r>
        <w:rPr>
          <w:szCs w:val="22"/>
        </w:rPr>
        <w:t xml:space="preserve">Section </w:t>
      </w:r>
      <w:r w:rsidRPr="005F5FFA">
        <w:rPr>
          <w:szCs w:val="22"/>
        </w:rPr>
        <w:t xml:space="preserve">800.12(b) must so indicate in its filing and </w:t>
      </w:r>
      <w:r>
        <w:rPr>
          <w:szCs w:val="22"/>
        </w:rPr>
        <w:t xml:space="preserve">must </w:t>
      </w:r>
      <w:r w:rsidRPr="005F5FFA">
        <w:rPr>
          <w:szCs w:val="22"/>
        </w:rPr>
        <w:t>demonstrate how</w:t>
      </w:r>
      <w:r>
        <w:rPr>
          <w:szCs w:val="22"/>
        </w:rPr>
        <w:t xml:space="preserve"> the project meets the “essential and immediate” standard.  Application of Section 800.12(b) requires the FCC to coordinate with the ACHP on each project for which expedited treatment is requested; licensees are encouraged to consult ACHP’s guidance regarding the application of Section 800.12(b) for projects that respond to COVID-19 emergencies or disaster declarations.</w:t>
      </w:r>
      <w:r>
        <w:rPr>
          <w:rStyle w:val="FootnoteReference"/>
          <w:szCs w:val="22"/>
        </w:rPr>
        <w:footnoteReference w:id="9"/>
      </w:r>
      <w:r>
        <w:rPr>
          <w:szCs w:val="22"/>
        </w:rPr>
        <w:t xml:space="preserve">  </w:t>
      </w:r>
    </w:p>
    <w:p w:rsidR="008C14AC" w:rsidP="008C14AC" w14:paraId="5BE1CBC1" w14:textId="77777777">
      <w:pPr>
        <w:pStyle w:val="ParaNum"/>
        <w:widowControl/>
        <w:numPr>
          <w:ilvl w:val="0"/>
          <w:numId w:val="0"/>
        </w:numPr>
        <w:rPr>
          <w:szCs w:val="22"/>
        </w:rPr>
      </w:pPr>
      <w:r w:rsidRPr="005C73F8">
        <w:rPr>
          <w:i/>
          <w:iCs/>
        </w:rPr>
        <w:t>FCC Emergency Authorization</w:t>
      </w:r>
      <w:r>
        <w:t>. Section VIII of the Wireless Facilities Nationwide Programmatic Agreement (NPA) permits the Commission to issue an emergency authorization for infrastructure projects critical for responding to emergency situations.</w:t>
      </w:r>
      <w:r w:rsidRPr="00727E91">
        <w:rPr>
          <w:rStyle w:val="FootnoteReference"/>
        </w:rPr>
        <w:t xml:space="preserve"> </w:t>
      </w:r>
      <w:r>
        <w:rPr>
          <w:rStyle w:val="FootnoteReference"/>
        </w:rPr>
        <w:footnoteReference w:id="10"/>
      </w:r>
      <w:r>
        <w:t xml:space="preserve">  </w:t>
      </w:r>
      <w:r>
        <w:rPr>
          <w:szCs w:val="22"/>
        </w:rPr>
        <w:t>FCC licensees</w:t>
      </w:r>
      <w:r w:rsidRPr="00F02E5E">
        <w:rPr>
          <w:szCs w:val="22"/>
        </w:rPr>
        <w:t xml:space="preserve"> </w:t>
      </w:r>
      <w:r>
        <w:rPr>
          <w:szCs w:val="22"/>
        </w:rPr>
        <w:t>may</w:t>
      </w:r>
      <w:r w:rsidRPr="00F02E5E">
        <w:rPr>
          <w:szCs w:val="22"/>
        </w:rPr>
        <w:t xml:space="preserve"> request </w:t>
      </w:r>
      <w:r>
        <w:rPr>
          <w:szCs w:val="22"/>
        </w:rPr>
        <w:t xml:space="preserve">an “emergency authorization” under this provision </w:t>
      </w:r>
      <w:r w:rsidRPr="005F5FFA">
        <w:rPr>
          <w:szCs w:val="22"/>
        </w:rPr>
        <w:t>if a project addresses one of the following: (1) network congestion due to COVID-19 effects; (2) needs of unserved/underserved areas d</w:t>
      </w:r>
      <w:r w:rsidRPr="00030BB8">
        <w:rPr>
          <w:szCs w:val="22"/>
        </w:rPr>
        <w:t>ue to COVID-19 effects; or (3) s</w:t>
      </w:r>
      <w:r w:rsidRPr="0053196A">
        <w:rPr>
          <w:szCs w:val="22"/>
        </w:rPr>
        <w:t xml:space="preserve">upport of public safety initiatives (e.g. public safety network deployments) </w:t>
      </w:r>
      <w:r w:rsidRPr="005F5FFA">
        <w:rPr>
          <w:szCs w:val="22"/>
        </w:rPr>
        <w:t>or critical infrastructure initiatives (e.g., transportation and utilities) prioritized by Federal, State, or local</w:t>
      </w:r>
      <w:r w:rsidRPr="00C407C4">
        <w:rPr>
          <w:szCs w:val="22"/>
        </w:rPr>
        <w:t xml:space="preserve"> governments or by public safety authorities to meet communications needs during the COVID-19 </w:t>
      </w:r>
      <w:r>
        <w:rPr>
          <w:szCs w:val="22"/>
        </w:rPr>
        <w:t>crisis</w:t>
      </w:r>
      <w:r w:rsidRPr="00C407C4">
        <w:rPr>
          <w:szCs w:val="22"/>
        </w:rPr>
        <w:t xml:space="preserve">. </w:t>
      </w:r>
      <w:r>
        <w:rPr>
          <w:szCs w:val="22"/>
        </w:rPr>
        <w:t xml:space="preserve"> </w:t>
      </w:r>
      <w:r w:rsidRPr="005C73F8">
        <w:t xml:space="preserve">An emergency authorization will </w:t>
      </w:r>
      <w:r>
        <w:t>enable</w:t>
      </w:r>
      <w:r w:rsidRPr="005C73F8">
        <w:t xml:space="preserve"> approved projects to proceed within the Tower Construction Notification System</w:t>
      </w:r>
      <w:r>
        <w:t xml:space="preserve"> </w:t>
      </w:r>
      <w:r w:rsidRPr="77187C35">
        <w:t xml:space="preserve">after the standard </w:t>
      </w:r>
      <w:r>
        <w:t xml:space="preserve">Section 106 </w:t>
      </w:r>
      <w:r w:rsidRPr="77187C35">
        <w:t>review period</w:t>
      </w:r>
      <w:r>
        <w:t xml:space="preserve"> has concluded</w:t>
      </w:r>
      <w:r w:rsidRPr="77187C35">
        <w:t xml:space="preserve"> and in accordance with the procedures established in the </w:t>
      </w:r>
      <w:r w:rsidRPr="6958CC7D">
        <w:rPr>
          <w:i/>
          <w:iCs/>
        </w:rPr>
        <w:t>Second Report and Order</w:t>
      </w:r>
      <w:r>
        <w:rPr>
          <w:szCs w:val="22"/>
        </w:rPr>
        <w:t>, notwithstanding State or Tribal Historic Preservation Office closures</w:t>
      </w:r>
      <w:r w:rsidRPr="77187C35">
        <w:rPr>
          <w:rStyle w:val="FootnoteReference"/>
        </w:rPr>
        <w:t xml:space="preserve"> </w:t>
      </w:r>
      <w:r>
        <w:t>.</w:t>
      </w:r>
      <w:r>
        <w:rPr>
          <w:rStyle w:val="FootnoteReference"/>
        </w:rPr>
        <w:footnoteReference w:id="11"/>
      </w:r>
    </w:p>
    <w:p w:rsidR="008C14AC" w:rsidRPr="00F02E5E" w:rsidP="008C14AC" w14:paraId="005282C9" w14:textId="42C652AB">
      <w:pPr>
        <w:pStyle w:val="ParaNum"/>
        <w:widowControl/>
        <w:numPr>
          <w:ilvl w:val="0"/>
          <w:numId w:val="0"/>
        </w:numPr>
        <w:rPr>
          <w:szCs w:val="22"/>
        </w:rPr>
      </w:pPr>
      <w:r w:rsidRPr="00F02E5E">
        <w:rPr>
          <w:szCs w:val="22"/>
        </w:rPr>
        <w:t xml:space="preserve">WTB </w:t>
      </w:r>
      <w:r>
        <w:rPr>
          <w:szCs w:val="22"/>
        </w:rPr>
        <w:t>has established</w:t>
      </w:r>
      <w:r w:rsidRPr="00F02E5E">
        <w:rPr>
          <w:szCs w:val="22"/>
        </w:rPr>
        <w:t xml:space="preserve"> an ECFS non-docketed</w:t>
      </w:r>
      <w:r>
        <w:rPr>
          <w:szCs w:val="22"/>
        </w:rPr>
        <w:t xml:space="preserve"> proceeding</w:t>
      </w:r>
      <w:r w:rsidRPr="00F02E5E">
        <w:rPr>
          <w:szCs w:val="22"/>
        </w:rPr>
        <w:t xml:space="preserve"> </w:t>
      </w:r>
      <w:r>
        <w:rPr>
          <w:szCs w:val="22"/>
        </w:rPr>
        <w:t>for licensees to request, electronically, that</w:t>
      </w:r>
      <w:r w:rsidR="0045731E">
        <w:rPr>
          <w:szCs w:val="22"/>
        </w:rPr>
        <w:t xml:space="preserve">: </w:t>
      </w:r>
      <w:r>
        <w:rPr>
          <w:szCs w:val="22"/>
        </w:rPr>
        <w:t>(1) the FCC, in coordination with the ACHP, permit expedited review under 36 CFR § 800.12(b) of the ACHP’s rules; or (2) the FCC issue an emergency authorization under Section VIII of the Wireless Faculties NPA to permit standard review under Section 106 to continue</w:t>
      </w:r>
      <w:r w:rsidRPr="00F02E5E">
        <w:rPr>
          <w:szCs w:val="22"/>
        </w:rPr>
        <w:t xml:space="preserve">.  </w:t>
      </w:r>
      <w:r>
        <w:rPr>
          <w:szCs w:val="22"/>
        </w:rPr>
        <w:t>Filing instructions and requirements</w:t>
      </w:r>
      <w:r w:rsidRPr="00F02E5E">
        <w:rPr>
          <w:szCs w:val="22"/>
        </w:rPr>
        <w:t xml:space="preserve"> are attached to this Public Notice.</w:t>
      </w:r>
    </w:p>
    <w:p w:rsidR="008C14AC" w:rsidRPr="00F02E5E" w:rsidP="008C14AC" w14:paraId="786FFA0F" w14:textId="77777777">
      <w:pPr>
        <w:pStyle w:val="ParaNum"/>
        <w:widowControl/>
        <w:numPr>
          <w:ilvl w:val="0"/>
          <w:numId w:val="0"/>
        </w:numPr>
        <w:rPr>
          <w:szCs w:val="22"/>
        </w:rPr>
      </w:pPr>
      <w:r w:rsidRPr="00F02E5E">
        <w:rPr>
          <w:szCs w:val="22"/>
        </w:rPr>
        <w:t xml:space="preserve">For questions regarding this Public Notice, please contact </w:t>
      </w:r>
      <w:r>
        <w:rPr>
          <w:szCs w:val="22"/>
        </w:rPr>
        <w:t>Leon Jackler</w:t>
      </w:r>
      <w:r w:rsidRPr="00F02E5E">
        <w:rPr>
          <w:szCs w:val="22"/>
        </w:rPr>
        <w:t xml:space="preserve">, Competition and Infrastructure Policy Division, Wireless Telecommunications Bureau, at </w:t>
      </w:r>
      <w:r w:rsidRPr="007C6778">
        <w:rPr>
          <w:szCs w:val="22"/>
        </w:rPr>
        <w:t>Leon.Jackler@fcc.gov</w:t>
      </w:r>
      <w:r w:rsidRPr="00F02E5E">
        <w:rPr>
          <w:szCs w:val="22"/>
        </w:rPr>
        <w:t>.</w:t>
      </w:r>
    </w:p>
    <w:p w:rsidR="008C14AC" w:rsidP="008C14AC" w14:paraId="7AD9159F" w14:textId="77777777">
      <w:pPr>
        <w:spacing w:after="120"/>
        <w:jc w:val="center"/>
      </w:pPr>
      <w:r w:rsidRPr="00F02E5E">
        <w:rPr>
          <w:szCs w:val="22"/>
        </w:rPr>
        <w:t xml:space="preserve">- </w:t>
      </w:r>
      <w:r w:rsidRPr="00F02E5E">
        <w:rPr>
          <w:b/>
          <w:szCs w:val="22"/>
        </w:rPr>
        <w:t>FCC</w:t>
      </w:r>
      <w:r>
        <w:rPr>
          <w:b/>
          <w:szCs w:val="22"/>
        </w:rPr>
        <w:t>-</w:t>
      </w:r>
      <w:r w:rsidRPr="00F02E5E">
        <w:rPr>
          <w:szCs w:val="22"/>
        </w:rPr>
        <w:t xml:space="preserve"> </w:t>
      </w:r>
    </w:p>
    <w:p w:rsidR="008C14AC" w:rsidP="008C14AC" w14:paraId="751F6CDE" w14:textId="77777777">
      <w:r>
        <w:br w:type="page"/>
      </w:r>
    </w:p>
    <w:p w:rsidR="008C14AC" w:rsidP="008C14AC" w14:paraId="51A08772" w14:textId="77777777">
      <w:pPr>
        <w:jc w:val="center"/>
        <w:rPr>
          <w:b/>
          <w:bCs/>
          <w:sz w:val="24"/>
          <w:szCs w:val="24"/>
          <w:u w:val="single"/>
        </w:rPr>
      </w:pPr>
      <w:r w:rsidRPr="25D36D07">
        <w:rPr>
          <w:b/>
          <w:bCs/>
          <w:sz w:val="24"/>
          <w:szCs w:val="24"/>
          <w:u w:val="single"/>
        </w:rPr>
        <w:t>Attachment</w:t>
      </w:r>
    </w:p>
    <w:p w:rsidR="008C14AC" w:rsidP="008C14AC" w14:paraId="1678F190" w14:textId="77777777">
      <w:pPr>
        <w:jc w:val="center"/>
        <w:rPr>
          <w:b/>
          <w:bCs/>
          <w:sz w:val="24"/>
          <w:szCs w:val="24"/>
          <w:u w:val="single"/>
        </w:rPr>
      </w:pPr>
      <w:r w:rsidRPr="25D36D07">
        <w:rPr>
          <w:b/>
          <w:bCs/>
          <w:sz w:val="24"/>
          <w:szCs w:val="24"/>
          <w:u w:val="single"/>
        </w:rPr>
        <w:t>Wireless Telecommunications Bureau ECFS Non-docketed Filing Solution</w:t>
      </w:r>
    </w:p>
    <w:p w:rsidR="008C14AC" w:rsidP="008C14AC" w14:paraId="38D7F04A" w14:textId="77777777">
      <w:pPr>
        <w:jc w:val="center"/>
        <w:rPr>
          <w:b/>
          <w:bCs/>
          <w:sz w:val="24"/>
          <w:szCs w:val="24"/>
          <w:u w:val="single"/>
        </w:rPr>
      </w:pPr>
    </w:p>
    <w:p w:rsidR="008C14AC" w:rsidP="008C14AC" w14:paraId="4F2A0B97" w14:textId="77777777">
      <w:pPr>
        <w:spacing w:line="257" w:lineRule="auto"/>
        <w:rPr>
          <w:b/>
          <w:bCs/>
          <w:sz w:val="24"/>
          <w:szCs w:val="24"/>
        </w:rPr>
      </w:pPr>
    </w:p>
    <w:p w:rsidR="008C14AC" w:rsidRPr="00FD5754" w:rsidP="008C14AC" w14:paraId="1B0B8F5A" w14:textId="77777777">
      <w:pPr>
        <w:pStyle w:val="ListParagraph"/>
        <w:numPr>
          <w:ilvl w:val="0"/>
          <w:numId w:val="9"/>
        </w:numPr>
        <w:spacing w:line="257" w:lineRule="auto"/>
        <w:rPr>
          <w:sz w:val="24"/>
          <w:szCs w:val="24"/>
        </w:rPr>
      </w:pPr>
      <w:r>
        <w:rPr>
          <w:b/>
          <w:bCs/>
          <w:sz w:val="24"/>
          <w:szCs w:val="24"/>
        </w:rPr>
        <w:t>Licensees</w:t>
      </w:r>
      <w:r w:rsidRPr="00FD5754">
        <w:rPr>
          <w:b/>
          <w:bCs/>
          <w:sz w:val="24"/>
          <w:szCs w:val="24"/>
        </w:rPr>
        <w:t xml:space="preserve"> must use the ECFS non-docketed filing portal for submitting a request for </w:t>
      </w:r>
      <w:r>
        <w:rPr>
          <w:b/>
          <w:bCs/>
          <w:sz w:val="24"/>
          <w:szCs w:val="24"/>
        </w:rPr>
        <w:t xml:space="preserve">expedited review or </w:t>
      </w:r>
      <w:r w:rsidRPr="00FD5754">
        <w:rPr>
          <w:b/>
          <w:bCs/>
          <w:sz w:val="24"/>
          <w:szCs w:val="24"/>
        </w:rPr>
        <w:t xml:space="preserve">emergency authorization to </w:t>
      </w:r>
      <w:r>
        <w:rPr>
          <w:b/>
          <w:bCs/>
          <w:sz w:val="24"/>
          <w:szCs w:val="24"/>
        </w:rPr>
        <w:t>proceed with Section 106 review during the COVID-19 crisis notwithstanding SHPO or THPO office closures.  The request must include the following:</w:t>
      </w:r>
    </w:p>
    <w:p w:rsidR="008C14AC" w:rsidRPr="00437896" w:rsidP="008C14AC" w14:paraId="25872DF6" w14:textId="77777777">
      <w:pPr>
        <w:pStyle w:val="ListParagraph"/>
        <w:numPr>
          <w:ilvl w:val="1"/>
          <w:numId w:val="9"/>
        </w:numPr>
        <w:spacing w:line="257" w:lineRule="auto"/>
        <w:rPr>
          <w:sz w:val="24"/>
          <w:szCs w:val="24"/>
        </w:rPr>
      </w:pPr>
      <w:r>
        <w:rPr>
          <w:b/>
          <w:bCs/>
          <w:sz w:val="24"/>
          <w:szCs w:val="24"/>
        </w:rPr>
        <w:t>The name and contact information for the licensee;</w:t>
      </w:r>
    </w:p>
    <w:p w:rsidR="008C14AC" w:rsidRPr="00936131" w:rsidP="008C14AC" w14:paraId="4DFB0E08" w14:textId="77777777">
      <w:pPr>
        <w:pStyle w:val="ListParagraph"/>
        <w:numPr>
          <w:ilvl w:val="1"/>
          <w:numId w:val="9"/>
        </w:numPr>
        <w:spacing w:line="257" w:lineRule="auto"/>
        <w:rPr>
          <w:b/>
          <w:sz w:val="24"/>
        </w:rPr>
      </w:pPr>
      <w:r w:rsidRPr="00FB2D4B">
        <w:rPr>
          <w:b/>
          <w:bCs/>
          <w:sz w:val="24"/>
          <w:szCs w:val="24"/>
        </w:rPr>
        <w:t>The T</w:t>
      </w:r>
      <w:r>
        <w:rPr>
          <w:b/>
          <w:bCs/>
          <w:sz w:val="24"/>
          <w:szCs w:val="24"/>
        </w:rPr>
        <w:t xml:space="preserve">ower Construction Notification System </w:t>
      </w:r>
      <w:r w:rsidRPr="00FB2D4B">
        <w:rPr>
          <w:b/>
          <w:bCs/>
          <w:sz w:val="24"/>
          <w:szCs w:val="24"/>
        </w:rPr>
        <w:t xml:space="preserve">filing number and date </w:t>
      </w:r>
      <w:r>
        <w:rPr>
          <w:b/>
          <w:bCs/>
          <w:sz w:val="24"/>
          <w:szCs w:val="24"/>
        </w:rPr>
        <w:t>of filing;</w:t>
      </w:r>
    </w:p>
    <w:p w:rsidR="008C14AC" w:rsidRPr="00FD5754" w:rsidP="008C14AC" w14:paraId="335636AD" w14:textId="77777777">
      <w:pPr>
        <w:pStyle w:val="ListParagraph"/>
        <w:numPr>
          <w:ilvl w:val="1"/>
          <w:numId w:val="9"/>
        </w:numPr>
        <w:spacing w:line="257" w:lineRule="auto"/>
        <w:rPr>
          <w:sz w:val="24"/>
          <w:szCs w:val="24"/>
        </w:rPr>
      </w:pPr>
      <w:r>
        <w:rPr>
          <w:b/>
          <w:bCs/>
          <w:sz w:val="24"/>
          <w:szCs w:val="24"/>
        </w:rPr>
        <w:t>A description and location (address including county and state) of the infrastructure project;</w:t>
      </w:r>
    </w:p>
    <w:p w:rsidR="008C14AC" w:rsidRPr="00437896" w:rsidP="008C14AC" w14:paraId="0D7C68A9" w14:textId="77777777">
      <w:pPr>
        <w:pStyle w:val="ListParagraph"/>
        <w:numPr>
          <w:ilvl w:val="1"/>
          <w:numId w:val="9"/>
        </w:numPr>
        <w:spacing w:line="257" w:lineRule="auto"/>
        <w:rPr>
          <w:sz w:val="24"/>
          <w:szCs w:val="24"/>
        </w:rPr>
      </w:pPr>
      <w:r>
        <w:rPr>
          <w:b/>
          <w:bCs/>
          <w:sz w:val="24"/>
          <w:szCs w:val="24"/>
        </w:rPr>
        <w:t>For an emergency authorization, a detailed description of how the project qualifies for one of the three categories of critical infrastructure projects eligible for emergency authorization; for expedited review under 36 CFR § 800.12, a detailed description of how the project qualifies under that standard and ACHP guidance.</w:t>
      </w:r>
    </w:p>
    <w:p w:rsidR="008C14AC" w:rsidRPr="00C37DF0" w:rsidP="008C14AC" w14:paraId="78C7DEC0" w14:textId="77777777">
      <w:pPr>
        <w:pStyle w:val="ListParagraph"/>
        <w:numPr>
          <w:ilvl w:val="1"/>
          <w:numId w:val="9"/>
        </w:numPr>
        <w:spacing w:line="257" w:lineRule="auto"/>
        <w:rPr>
          <w:sz w:val="24"/>
          <w:szCs w:val="24"/>
        </w:rPr>
      </w:pPr>
      <w:r>
        <w:rPr>
          <w:b/>
          <w:bCs/>
          <w:sz w:val="24"/>
          <w:szCs w:val="24"/>
        </w:rPr>
        <w:t>For an</w:t>
      </w:r>
      <w:r w:rsidRPr="00C37DF0">
        <w:rPr>
          <w:b/>
          <w:bCs/>
          <w:sz w:val="24"/>
          <w:szCs w:val="24"/>
        </w:rPr>
        <w:t xml:space="preserve"> emergency authorization, </w:t>
      </w:r>
      <w:r>
        <w:rPr>
          <w:b/>
          <w:bCs/>
          <w:sz w:val="24"/>
          <w:szCs w:val="24"/>
        </w:rPr>
        <w:t>a</w:t>
      </w:r>
      <w:r w:rsidRPr="00C37DF0">
        <w:rPr>
          <w:b/>
          <w:bCs/>
          <w:sz w:val="24"/>
          <w:szCs w:val="24"/>
        </w:rPr>
        <w:t xml:space="preserve"> list the</w:t>
      </w:r>
      <w:r>
        <w:rPr>
          <w:b/>
          <w:bCs/>
          <w:sz w:val="24"/>
          <w:szCs w:val="24"/>
        </w:rPr>
        <w:t xml:space="preserve"> </w:t>
      </w:r>
      <w:r w:rsidRPr="00C37DF0">
        <w:rPr>
          <w:b/>
          <w:bCs/>
          <w:sz w:val="24"/>
          <w:szCs w:val="24"/>
        </w:rPr>
        <w:t xml:space="preserve">State Historic Preservation Office and all Tribal Historic Preservation Offices closures impacting the project. </w:t>
      </w:r>
    </w:p>
    <w:p w:rsidR="008C14AC" w:rsidRPr="00FD5754" w:rsidP="008C14AC" w14:paraId="26B97745" w14:textId="77777777">
      <w:pPr>
        <w:pStyle w:val="ListParagraph"/>
        <w:spacing w:line="257" w:lineRule="auto"/>
        <w:rPr>
          <w:sz w:val="24"/>
          <w:szCs w:val="24"/>
        </w:rPr>
      </w:pPr>
    </w:p>
    <w:p w:rsidR="008C14AC" w:rsidP="008C14AC" w14:paraId="34214DEF" w14:textId="77777777">
      <w:pPr>
        <w:pStyle w:val="ListParagraph"/>
        <w:numPr>
          <w:ilvl w:val="0"/>
          <w:numId w:val="8"/>
        </w:numPr>
        <w:rPr>
          <w:b/>
          <w:bCs/>
          <w:sz w:val="24"/>
          <w:szCs w:val="24"/>
        </w:rPr>
      </w:pPr>
      <w:r w:rsidRPr="0095101C">
        <w:rPr>
          <w:b/>
          <w:bCs/>
          <w:sz w:val="24"/>
          <w:szCs w:val="24"/>
        </w:rPr>
        <w:t>Do not use the ECFS non-docketed filing portal to submit any confidential documents, as all documents uploaded via ECFS are available to the public.  If an application requires the submission of confidential information, please coordinate with FCC staff regarding its submission</w:t>
      </w:r>
      <w:r>
        <w:rPr>
          <w:b/>
          <w:bCs/>
          <w:sz w:val="24"/>
          <w:szCs w:val="24"/>
        </w:rPr>
        <w:t>.</w:t>
      </w:r>
    </w:p>
    <w:p w:rsidR="008C14AC" w:rsidRPr="0095101C" w:rsidP="008C14AC" w14:paraId="7CB7A8AE" w14:textId="77777777">
      <w:pPr>
        <w:pStyle w:val="ListParagraph"/>
        <w:rPr>
          <w:b/>
          <w:bCs/>
          <w:sz w:val="24"/>
          <w:szCs w:val="24"/>
        </w:rPr>
      </w:pPr>
    </w:p>
    <w:p w:rsidR="008C14AC" w:rsidP="008C14AC" w14:paraId="2CCF19C4" w14:textId="77777777">
      <w:pPr>
        <w:rPr>
          <w:b/>
          <w:bCs/>
          <w:sz w:val="24"/>
          <w:szCs w:val="24"/>
          <w:u w:val="single"/>
        </w:rPr>
      </w:pPr>
      <w:r w:rsidRPr="25D36D07">
        <w:rPr>
          <w:b/>
          <w:bCs/>
          <w:sz w:val="24"/>
          <w:szCs w:val="24"/>
          <w:u w:val="single"/>
        </w:rPr>
        <w:t>Filing instructions:</w:t>
      </w:r>
    </w:p>
    <w:p w:rsidR="008C14AC" w:rsidP="008C14AC" w14:paraId="201C461A" w14:textId="77777777">
      <w:pPr>
        <w:pStyle w:val="ListParagraph"/>
        <w:numPr>
          <w:ilvl w:val="0"/>
          <w:numId w:val="7"/>
        </w:numPr>
        <w:rPr>
          <w:sz w:val="24"/>
          <w:szCs w:val="24"/>
        </w:rPr>
      </w:pPr>
      <w:r>
        <w:rPr>
          <w:sz w:val="24"/>
          <w:szCs w:val="24"/>
        </w:rPr>
        <w:t>Access</w:t>
      </w:r>
      <w:r w:rsidRPr="25D36D07">
        <w:rPr>
          <w:sz w:val="24"/>
          <w:szCs w:val="24"/>
        </w:rPr>
        <w:t xml:space="preserve"> the ECFS filing portal at </w:t>
      </w:r>
      <w:hyperlink r:id="rId5" w:history="1">
        <w:r w:rsidRPr="25D36D07">
          <w:rPr>
            <w:rStyle w:val="Hyperlink"/>
            <w:sz w:val="24"/>
            <w:szCs w:val="24"/>
          </w:rPr>
          <w:t>https://www.fcc.gov/ecfs/filings</w:t>
        </w:r>
      </w:hyperlink>
      <w:r w:rsidRPr="25D36D07">
        <w:rPr>
          <w:color w:val="0000FF"/>
          <w:sz w:val="24"/>
          <w:szCs w:val="24"/>
          <w:u w:val="single"/>
        </w:rPr>
        <w:t>.</w:t>
      </w:r>
      <w:r w:rsidRPr="25D36D07">
        <w:rPr>
          <w:sz w:val="24"/>
          <w:szCs w:val="24"/>
        </w:rPr>
        <w:t xml:space="preserve"> </w:t>
      </w:r>
    </w:p>
    <w:p w:rsidR="008C14AC" w:rsidP="008C14AC" w14:paraId="77BA1B60" w14:textId="77777777">
      <w:pPr>
        <w:pStyle w:val="ListParagraph"/>
        <w:numPr>
          <w:ilvl w:val="0"/>
          <w:numId w:val="7"/>
        </w:numPr>
        <w:rPr>
          <w:sz w:val="24"/>
          <w:szCs w:val="24"/>
        </w:rPr>
      </w:pPr>
      <w:r w:rsidRPr="25D36D07">
        <w:rPr>
          <w:sz w:val="24"/>
          <w:szCs w:val="24"/>
        </w:rPr>
        <w:t>Click on the blue header labeled “Non-Docketed Filing.”</w:t>
      </w:r>
    </w:p>
    <w:p w:rsidR="008C14AC" w:rsidP="008C14AC" w14:paraId="39B91A1A" w14:textId="77777777">
      <w:pPr>
        <w:pStyle w:val="ListParagraph"/>
        <w:numPr>
          <w:ilvl w:val="0"/>
          <w:numId w:val="7"/>
        </w:numPr>
        <w:rPr>
          <w:sz w:val="24"/>
          <w:szCs w:val="24"/>
        </w:rPr>
      </w:pPr>
      <w:r w:rsidRPr="25D36D07">
        <w:rPr>
          <w:sz w:val="24"/>
          <w:szCs w:val="24"/>
        </w:rPr>
        <w:t>From the field labeled “FCC Inbox,” use the drop-down menu to select the appropriate inbox for the intended filing.  The following WTB inbox has been established for applicable filings:</w:t>
      </w:r>
    </w:p>
    <w:p w:rsidR="008C14AC" w:rsidP="008C14AC" w14:paraId="0D2B2466" w14:textId="77777777">
      <w:pPr>
        <w:spacing w:line="257" w:lineRule="auto"/>
        <w:ind w:left="1440"/>
        <w:rPr>
          <w:sz w:val="24"/>
          <w:szCs w:val="24"/>
        </w:rPr>
      </w:pPr>
      <w:r w:rsidRPr="25D36D07">
        <w:rPr>
          <w:sz w:val="24"/>
          <w:szCs w:val="24"/>
        </w:rPr>
        <w:t xml:space="preserve">INBOX – </w:t>
      </w:r>
      <w:r>
        <w:rPr>
          <w:sz w:val="24"/>
          <w:szCs w:val="24"/>
        </w:rPr>
        <w:t>106</w:t>
      </w:r>
      <w:r w:rsidRPr="25D36D07">
        <w:rPr>
          <w:sz w:val="24"/>
          <w:szCs w:val="24"/>
        </w:rPr>
        <w:t xml:space="preserve"> Section 106 Emergency Authorizations</w:t>
      </w:r>
    </w:p>
    <w:p w:rsidR="008C14AC" w:rsidP="008C14AC" w14:paraId="4B20256F" w14:textId="77777777">
      <w:pPr>
        <w:pStyle w:val="ListParagraph"/>
        <w:numPr>
          <w:ilvl w:val="0"/>
          <w:numId w:val="7"/>
        </w:numPr>
        <w:spacing w:line="259" w:lineRule="auto"/>
        <w:rPr>
          <w:sz w:val="24"/>
          <w:szCs w:val="24"/>
        </w:rPr>
      </w:pPr>
      <w:r w:rsidRPr="25D36D07">
        <w:rPr>
          <w:sz w:val="24"/>
          <w:szCs w:val="24"/>
        </w:rPr>
        <w:t xml:space="preserve">Complete the necessary fields regarding filer information </w:t>
      </w:r>
    </w:p>
    <w:p w:rsidR="008C14AC" w:rsidP="008C14AC" w14:paraId="2B48FEFF" w14:textId="77777777">
      <w:pPr>
        <w:pStyle w:val="ListParagraph"/>
        <w:numPr>
          <w:ilvl w:val="0"/>
          <w:numId w:val="7"/>
        </w:numPr>
        <w:rPr>
          <w:sz w:val="24"/>
          <w:szCs w:val="24"/>
        </w:rPr>
      </w:pPr>
      <w:r w:rsidRPr="25D36D07">
        <w:rPr>
          <w:sz w:val="24"/>
          <w:szCs w:val="24"/>
        </w:rPr>
        <w:t xml:space="preserve">In the “Upload Documents” field, click to upload the appropriate document or drag and drop the document in the perforated box. </w:t>
      </w:r>
    </w:p>
    <w:p w:rsidR="008C14AC" w:rsidP="008C14AC" w14:paraId="2A6B5727" w14:textId="77777777">
      <w:pPr>
        <w:pStyle w:val="ListParagraph"/>
        <w:numPr>
          <w:ilvl w:val="1"/>
          <w:numId w:val="7"/>
        </w:numPr>
        <w:rPr>
          <w:sz w:val="24"/>
          <w:szCs w:val="24"/>
        </w:rPr>
      </w:pPr>
      <w:r w:rsidRPr="25D36D07">
        <w:rPr>
          <w:sz w:val="24"/>
          <w:szCs w:val="24"/>
        </w:rPr>
        <w:t xml:space="preserve">Filers must include an electronic copy of their completed </w:t>
      </w:r>
      <w:r>
        <w:rPr>
          <w:sz w:val="24"/>
          <w:szCs w:val="24"/>
        </w:rPr>
        <w:t>submission</w:t>
      </w:r>
      <w:r w:rsidRPr="25D36D07">
        <w:rPr>
          <w:sz w:val="24"/>
          <w:szCs w:val="24"/>
        </w:rPr>
        <w:t xml:space="preserve"> signed pursuant to section 1.52 of the Commission’s rules, as well as any associated attachments.</w:t>
      </w:r>
    </w:p>
    <w:p w:rsidR="008C14AC" w:rsidRPr="00045390" w:rsidP="008C14AC" w14:paraId="72FB36D3" w14:textId="77777777">
      <w:pPr>
        <w:pStyle w:val="ListParagraph"/>
        <w:numPr>
          <w:ilvl w:val="1"/>
          <w:numId w:val="7"/>
        </w:numPr>
        <w:rPr>
          <w:sz w:val="24"/>
          <w:szCs w:val="24"/>
        </w:rPr>
      </w:pPr>
      <w:r>
        <w:rPr>
          <w:sz w:val="24"/>
          <w:szCs w:val="24"/>
        </w:rPr>
        <w:t>With</w:t>
      </w:r>
      <w:r w:rsidRPr="00D8244A">
        <w:rPr>
          <w:sz w:val="24"/>
          <w:szCs w:val="24"/>
        </w:rPr>
        <w:t xml:space="preserve"> the</w:t>
      </w:r>
      <w:r>
        <w:rPr>
          <w:sz w:val="24"/>
          <w:szCs w:val="24"/>
        </w:rPr>
        <w:t>ir</w:t>
      </w:r>
      <w:r w:rsidRPr="00D8244A">
        <w:rPr>
          <w:sz w:val="24"/>
          <w:szCs w:val="24"/>
        </w:rPr>
        <w:t xml:space="preserve"> submission, filers must include a table in the format indicated at the end of this document with all fields </w:t>
      </w:r>
      <w:r>
        <w:rPr>
          <w:sz w:val="24"/>
          <w:szCs w:val="24"/>
        </w:rPr>
        <w:t>completed</w:t>
      </w:r>
      <w:r w:rsidRPr="00D8244A">
        <w:rPr>
          <w:sz w:val="24"/>
          <w:szCs w:val="24"/>
        </w:rPr>
        <w:t xml:space="preserve">.  If filing for multiple projects, a single table may be used but </w:t>
      </w:r>
      <w:r>
        <w:rPr>
          <w:sz w:val="24"/>
          <w:szCs w:val="24"/>
        </w:rPr>
        <w:t>the information for each</w:t>
      </w:r>
      <w:r w:rsidRPr="00D8244A">
        <w:rPr>
          <w:sz w:val="24"/>
          <w:szCs w:val="24"/>
        </w:rPr>
        <w:t xml:space="preserve"> project must </w:t>
      </w:r>
      <w:r>
        <w:rPr>
          <w:sz w:val="24"/>
          <w:szCs w:val="24"/>
        </w:rPr>
        <w:t>be completed</w:t>
      </w:r>
      <w:r w:rsidRPr="00D8244A">
        <w:rPr>
          <w:sz w:val="24"/>
          <w:szCs w:val="24"/>
        </w:rPr>
        <w:t xml:space="preserve"> </w:t>
      </w:r>
      <w:r>
        <w:rPr>
          <w:sz w:val="24"/>
          <w:szCs w:val="24"/>
        </w:rPr>
        <w:t>in</w:t>
      </w:r>
      <w:r w:rsidRPr="00D8244A">
        <w:rPr>
          <w:sz w:val="24"/>
          <w:szCs w:val="24"/>
        </w:rPr>
        <w:t xml:space="preserve"> separate row</w:t>
      </w:r>
      <w:r>
        <w:rPr>
          <w:sz w:val="24"/>
          <w:szCs w:val="24"/>
        </w:rPr>
        <w:t>s</w:t>
      </w:r>
      <w:r w:rsidRPr="00D8244A">
        <w:rPr>
          <w:sz w:val="24"/>
          <w:szCs w:val="24"/>
        </w:rPr>
        <w:t xml:space="preserve">. </w:t>
      </w:r>
    </w:p>
    <w:p w:rsidR="008C14AC" w:rsidP="008C14AC" w14:paraId="2A733DAE" w14:textId="77777777">
      <w:pPr>
        <w:pStyle w:val="ListParagraph"/>
        <w:numPr>
          <w:ilvl w:val="1"/>
          <w:numId w:val="7"/>
        </w:numPr>
        <w:rPr>
          <w:sz w:val="24"/>
          <w:szCs w:val="24"/>
        </w:rPr>
      </w:pPr>
      <w:r w:rsidRPr="25D36D07">
        <w:rPr>
          <w:sz w:val="24"/>
          <w:szCs w:val="24"/>
        </w:rPr>
        <w:t xml:space="preserve">The ECFS system permits </w:t>
      </w:r>
      <w:r>
        <w:rPr>
          <w:sz w:val="24"/>
          <w:szCs w:val="24"/>
        </w:rPr>
        <w:t xml:space="preserve">uploading of </w:t>
      </w:r>
      <w:r w:rsidRPr="25D36D07">
        <w:rPr>
          <w:sz w:val="24"/>
          <w:szCs w:val="24"/>
        </w:rPr>
        <w:t xml:space="preserve">a maximum of five files per filing; </w:t>
      </w:r>
    </w:p>
    <w:p w:rsidR="008C14AC" w:rsidP="008C14AC" w14:paraId="22120DF6" w14:textId="77777777">
      <w:pPr>
        <w:pStyle w:val="ListParagraph"/>
        <w:numPr>
          <w:ilvl w:val="1"/>
          <w:numId w:val="7"/>
        </w:numPr>
        <w:rPr>
          <w:sz w:val="24"/>
          <w:szCs w:val="24"/>
        </w:rPr>
      </w:pPr>
      <w:r w:rsidRPr="25D36D07">
        <w:rPr>
          <w:sz w:val="24"/>
          <w:szCs w:val="24"/>
        </w:rPr>
        <w:t xml:space="preserve">Filing types accepted are PDF, text, ppt, pptx, docx, </w:t>
      </w:r>
      <w:r w:rsidRPr="25D36D07">
        <w:rPr>
          <w:sz w:val="24"/>
          <w:szCs w:val="24"/>
        </w:rPr>
        <w:t>xlxs</w:t>
      </w:r>
      <w:r w:rsidRPr="25D36D07">
        <w:rPr>
          <w:sz w:val="24"/>
          <w:szCs w:val="24"/>
        </w:rPr>
        <w:t xml:space="preserve">, doc, </w:t>
      </w:r>
      <w:r w:rsidRPr="25D36D07">
        <w:rPr>
          <w:sz w:val="24"/>
          <w:szCs w:val="24"/>
        </w:rPr>
        <w:t>xls</w:t>
      </w:r>
      <w:r w:rsidRPr="25D36D07">
        <w:rPr>
          <w:sz w:val="24"/>
          <w:szCs w:val="24"/>
        </w:rPr>
        <w:t>, rtf, and dwg.</w:t>
      </w:r>
    </w:p>
    <w:p w:rsidR="008C14AC" w:rsidP="008C14AC" w14:paraId="29AE505D" w14:textId="77777777">
      <w:pPr>
        <w:pStyle w:val="ListParagraph"/>
        <w:keepNext/>
        <w:widowControl/>
        <w:numPr>
          <w:ilvl w:val="0"/>
          <w:numId w:val="7"/>
        </w:numPr>
        <w:spacing w:line="259" w:lineRule="auto"/>
        <w:rPr>
          <w:sz w:val="24"/>
          <w:szCs w:val="24"/>
        </w:rPr>
      </w:pPr>
      <w:r w:rsidRPr="25D36D07">
        <w:rPr>
          <w:sz w:val="24"/>
          <w:szCs w:val="24"/>
        </w:rPr>
        <w:t xml:space="preserve">Select “continue to review screen” at bottom of screen </w:t>
      </w:r>
    </w:p>
    <w:p w:rsidR="008C14AC" w:rsidP="008C14AC" w14:paraId="1F4DC9E4" w14:textId="77777777">
      <w:pPr>
        <w:pStyle w:val="ListParagraph"/>
        <w:numPr>
          <w:ilvl w:val="1"/>
          <w:numId w:val="7"/>
        </w:numPr>
        <w:rPr>
          <w:sz w:val="24"/>
          <w:szCs w:val="24"/>
        </w:rPr>
      </w:pPr>
      <w:r w:rsidRPr="25D36D07">
        <w:rPr>
          <w:sz w:val="24"/>
          <w:szCs w:val="24"/>
        </w:rPr>
        <w:t>Review summary of information completed for accuracy.</w:t>
      </w:r>
    </w:p>
    <w:p w:rsidR="008C14AC" w:rsidP="008C14AC" w14:paraId="0646FBF6" w14:textId="77777777">
      <w:pPr>
        <w:pStyle w:val="ListParagraph"/>
        <w:numPr>
          <w:ilvl w:val="1"/>
          <w:numId w:val="7"/>
        </w:numPr>
        <w:rPr>
          <w:sz w:val="24"/>
          <w:szCs w:val="24"/>
        </w:rPr>
      </w:pPr>
      <w:r w:rsidRPr="25D36D07">
        <w:rPr>
          <w:sz w:val="24"/>
          <w:szCs w:val="24"/>
        </w:rPr>
        <w:t>If any corrections are required, filers can navigate back to the previous screen with the filer information using their browser’s back button.</w:t>
      </w:r>
    </w:p>
    <w:p w:rsidR="008C14AC" w:rsidP="008C14AC" w14:paraId="6C3CAE75" w14:textId="77777777">
      <w:pPr>
        <w:pStyle w:val="ListParagraph"/>
        <w:numPr>
          <w:ilvl w:val="0"/>
          <w:numId w:val="7"/>
        </w:numPr>
        <w:spacing w:line="259" w:lineRule="auto"/>
        <w:rPr>
          <w:sz w:val="24"/>
          <w:szCs w:val="24"/>
        </w:rPr>
      </w:pPr>
      <w:r w:rsidRPr="25D36D07">
        <w:rPr>
          <w:sz w:val="24"/>
          <w:szCs w:val="24"/>
        </w:rPr>
        <w:t xml:space="preserve">Once filers have confirmed that the information they entered is correct, click the “submit” button on the bottom of the screen. </w:t>
      </w:r>
    </w:p>
    <w:p w:rsidR="008C14AC" w:rsidP="008C14AC" w14:paraId="6EFDB124" w14:textId="77777777">
      <w:pPr>
        <w:pStyle w:val="ListParagraph"/>
        <w:numPr>
          <w:ilvl w:val="1"/>
          <w:numId w:val="7"/>
        </w:numPr>
        <w:spacing w:line="259" w:lineRule="auto"/>
        <w:rPr>
          <w:sz w:val="24"/>
          <w:szCs w:val="24"/>
        </w:rPr>
      </w:pPr>
      <w:r w:rsidRPr="25D36D07">
        <w:rPr>
          <w:sz w:val="24"/>
          <w:szCs w:val="24"/>
        </w:rPr>
        <w:t>Filer will receive a confirmation number upon submission</w:t>
      </w:r>
      <w:r>
        <w:rPr>
          <w:sz w:val="24"/>
          <w:szCs w:val="24"/>
        </w:rPr>
        <w:t>.</w:t>
      </w:r>
    </w:p>
    <w:p w:rsidR="008C14AC" w:rsidP="008C14AC" w14:paraId="1581AEFD" w14:textId="77777777">
      <w:pPr>
        <w:pStyle w:val="ListParagraph"/>
        <w:numPr>
          <w:ilvl w:val="1"/>
          <w:numId w:val="7"/>
        </w:numPr>
        <w:spacing w:line="259" w:lineRule="auto"/>
        <w:rPr>
          <w:sz w:val="24"/>
          <w:szCs w:val="24"/>
        </w:rPr>
      </w:pPr>
      <w:r w:rsidRPr="25D36D07">
        <w:rPr>
          <w:sz w:val="24"/>
          <w:szCs w:val="24"/>
        </w:rPr>
        <w:t>Please save the number for tracking purposes.</w:t>
      </w:r>
    </w:p>
    <w:p w:rsidR="008C14AC" w:rsidRPr="0045731E" w:rsidP="0045731E" w14:paraId="70E95C15" w14:textId="5D68AD75">
      <w:pPr>
        <w:pStyle w:val="ListParagraph"/>
        <w:numPr>
          <w:ilvl w:val="0"/>
          <w:numId w:val="7"/>
        </w:numPr>
        <w:spacing w:line="259" w:lineRule="auto"/>
        <w:rPr>
          <w:rStyle w:val="Hyperlink"/>
          <w:color w:val="auto"/>
          <w:sz w:val="24"/>
          <w:szCs w:val="24"/>
          <w:u w:val="none"/>
        </w:rPr>
      </w:pPr>
      <w:r w:rsidRPr="25D36D07">
        <w:rPr>
          <w:sz w:val="24"/>
          <w:szCs w:val="24"/>
        </w:rPr>
        <w:t>Please direct any questions about filed applications to WTB Staff:</w:t>
      </w:r>
      <w:r w:rsidR="0045731E">
        <w:rPr>
          <w:sz w:val="24"/>
          <w:szCs w:val="24"/>
        </w:rPr>
        <w:t xml:space="preserve"> </w:t>
      </w:r>
      <w:r w:rsidRPr="0045731E">
        <w:rPr>
          <w:sz w:val="24"/>
          <w:szCs w:val="24"/>
        </w:rPr>
        <w:t xml:space="preserve">Competition and Infrastructure Policy Division: Leon Jackler </w:t>
      </w:r>
      <w:hyperlink r:id="rId6" w:history="1">
        <w:r w:rsidRPr="0045731E">
          <w:rPr>
            <w:rStyle w:val="Hyperlink"/>
            <w:sz w:val="24"/>
            <w:szCs w:val="24"/>
          </w:rPr>
          <w:t>Leon.Jackler@fcc.gov</w:t>
        </w:r>
      </w:hyperlink>
      <w:r w:rsidRPr="0045731E">
        <w:rPr>
          <w:rStyle w:val="Hyperlink"/>
          <w:sz w:val="24"/>
          <w:szCs w:val="24"/>
          <w:u w:val="none"/>
        </w:rPr>
        <w:t>.</w:t>
      </w:r>
    </w:p>
    <w:p w:rsidR="008C14AC" w:rsidRPr="0045731E" w:rsidP="0045731E" w14:paraId="6A991F85" w14:textId="4EDE770E">
      <w:pPr>
        <w:pStyle w:val="ListParagraph"/>
        <w:numPr>
          <w:ilvl w:val="0"/>
          <w:numId w:val="7"/>
        </w:numPr>
        <w:spacing w:line="259" w:lineRule="auto"/>
        <w:rPr>
          <w:sz w:val="24"/>
          <w:szCs w:val="24"/>
        </w:rPr>
      </w:pPr>
      <w:r w:rsidRPr="25D36D07">
        <w:rPr>
          <w:sz w:val="24"/>
          <w:szCs w:val="24"/>
        </w:rPr>
        <w:t xml:space="preserve"> Technical Assistance:</w:t>
      </w:r>
      <w:r w:rsidR="0045731E">
        <w:rPr>
          <w:sz w:val="24"/>
          <w:szCs w:val="24"/>
        </w:rPr>
        <w:t xml:space="preserve"> </w:t>
      </w:r>
      <w:r w:rsidRPr="0045731E">
        <w:rPr>
          <w:sz w:val="24"/>
          <w:szCs w:val="24"/>
        </w:rPr>
        <w:t xml:space="preserve">For technical assistance with ECFS, please contact the ECFS Help Desk at 202-418-0193 or </w:t>
      </w:r>
      <w:hyperlink r:id="rId7" w:history="1">
        <w:r w:rsidRPr="0045731E">
          <w:rPr>
            <w:rStyle w:val="Hyperlink"/>
            <w:sz w:val="24"/>
            <w:szCs w:val="24"/>
          </w:rPr>
          <w:t>ECFSHelp@fcc.gov</w:t>
        </w:r>
      </w:hyperlink>
      <w:r w:rsidRPr="0045731E">
        <w:rPr>
          <w:sz w:val="24"/>
          <w:szCs w:val="24"/>
        </w:rPr>
        <w:t>.</w:t>
      </w:r>
    </w:p>
    <w:p w:rsidR="008C14AC" w:rsidP="008C14AC" w14:paraId="0F5B1905" w14:textId="77777777">
      <w:pPr>
        <w:rPr>
          <w:szCs w:val="22"/>
        </w:rPr>
      </w:pPr>
      <w:r w:rsidRPr="25D36D07">
        <w:rPr>
          <w:szCs w:val="22"/>
        </w:rPr>
        <w:t xml:space="preserve"> </w:t>
      </w:r>
    </w:p>
    <w:p w:rsidR="008C14AC" w:rsidP="008C14AC" w14:paraId="34DB9747" w14:textId="77777777">
      <w:r>
        <w:br/>
      </w:r>
    </w:p>
    <w:p w:rsidR="008C14AC" w:rsidP="008C14AC" w14:paraId="67475D0D" w14:textId="77777777">
      <w:pPr>
        <w:widowControl/>
      </w:pPr>
    </w:p>
    <w:tbl>
      <w:tblPr>
        <w:tblStyle w:val="PlainTable1"/>
        <w:tblW w:w="9738" w:type="dxa"/>
        <w:tblLayout w:type="fixed"/>
        <w:tblLook w:val="04A0"/>
      </w:tblPr>
      <w:tblGrid>
        <w:gridCol w:w="468"/>
        <w:gridCol w:w="1080"/>
        <w:gridCol w:w="1440"/>
        <w:gridCol w:w="990"/>
        <w:gridCol w:w="900"/>
        <w:gridCol w:w="1440"/>
        <w:gridCol w:w="990"/>
        <w:gridCol w:w="1170"/>
        <w:gridCol w:w="1260"/>
      </w:tblGrid>
      <w:tr w14:paraId="007314DE" w14:textId="77777777" w:rsidTr="008C14AC">
        <w:tblPrEx>
          <w:tblW w:w="9738" w:type="dxa"/>
          <w:tblLayout w:type="fixed"/>
          <w:tblLook w:val="04A0"/>
        </w:tblPrEx>
        <w:trPr>
          <w:cantSplit/>
          <w:trHeight w:val="1108"/>
        </w:trPr>
        <w:tc>
          <w:tcPr>
            <w:tcW w:w="468" w:type="dxa"/>
          </w:tcPr>
          <w:p w:rsidR="008C14AC" w:rsidRPr="00D72070" w:rsidP="00DF4336" w14:paraId="37C9A8E5" w14:textId="77777777">
            <w:pPr>
              <w:spacing w:after="120"/>
              <w:jc w:val="center"/>
              <w:rPr>
                <w:b w:val="0"/>
                <w:bCs w:val="0"/>
              </w:rPr>
            </w:pPr>
          </w:p>
        </w:tc>
        <w:tc>
          <w:tcPr>
            <w:tcW w:w="1080" w:type="dxa"/>
            <w:noWrap/>
            <w:hideMark/>
          </w:tcPr>
          <w:p w:rsidR="008C14AC" w:rsidRPr="00D72070" w:rsidP="00DF4336" w14:paraId="4E61259E" w14:textId="77777777">
            <w:pPr>
              <w:spacing w:after="120"/>
              <w:jc w:val="center"/>
            </w:pPr>
            <w:r w:rsidRPr="00D72070">
              <w:t>Licensee Name</w:t>
            </w:r>
          </w:p>
        </w:tc>
        <w:tc>
          <w:tcPr>
            <w:tcW w:w="1440" w:type="dxa"/>
            <w:noWrap/>
            <w:hideMark/>
          </w:tcPr>
          <w:p w:rsidR="008C14AC" w:rsidRPr="00D72070" w:rsidP="00DF4336" w14:paraId="7FED02B9" w14:textId="77777777">
            <w:pPr>
              <w:spacing w:after="120"/>
              <w:jc w:val="center"/>
            </w:pPr>
            <w:r w:rsidRPr="00D72070">
              <w:t>Filer Name/</w:t>
            </w:r>
            <w:r>
              <w:t xml:space="preserve"> </w:t>
            </w:r>
            <w:r w:rsidRPr="00D72070">
              <w:t>email</w:t>
            </w:r>
          </w:p>
        </w:tc>
        <w:tc>
          <w:tcPr>
            <w:tcW w:w="990" w:type="dxa"/>
            <w:noWrap/>
            <w:hideMark/>
          </w:tcPr>
          <w:p w:rsidR="008C14AC" w:rsidRPr="00D72070" w:rsidP="00DF4336" w14:paraId="428E7BBA" w14:textId="77777777">
            <w:pPr>
              <w:spacing w:after="120"/>
              <w:jc w:val="center"/>
            </w:pPr>
            <w:r w:rsidRPr="00D72070">
              <w:t>Initial Date Filed</w:t>
            </w:r>
          </w:p>
        </w:tc>
        <w:tc>
          <w:tcPr>
            <w:tcW w:w="900" w:type="dxa"/>
            <w:noWrap/>
            <w:hideMark/>
          </w:tcPr>
          <w:p w:rsidR="008C14AC" w:rsidRPr="00D72070" w:rsidP="00DF4336" w14:paraId="6F2D669C" w14:textId="77777777">
            <w:pPr>
              <w:spacing w:after="120"/>
              <w:jc w:val="center"/>
            </w:pPr>
            <w:r w:rsidRPr="00D72070">
              <w:t>TCNS #</w:t>
            </w:r>
          </w:p>
        </w:tc>
        <w:tc>
          <w:tcPr>
            <w:tcW w:w="1440" w:type="dxa"/>
            <w:noWrap/>
            <w:hideMark/>
          </w:tcPr>
          <w:p w:rsidR="008C14AC" w:rsidRPr="00D72070" w:rsidP="00DF4336" w14:paraId="3BC658EC" w14:textId="77777777">
            <w:pPr>
              <w:spacing w:after="120"/>
              <w:jc w:val="center"/>
            </w:pPr>
            <w:r w:rsidRPr="00D72070">
              <w:t>Date of TCNS filing</w:t>
            </w:r>
          </w:p>
        </w:tc>
        <w:tc>
          <w:tcPr>
            <w:tcW w:w="990" w:type="dxa"/>
            <w:noWrap/>
            <w:hideMark/>
          </w:tcPr>
          <w:p w:rsidR="008C14AC" w:rsidRPr="00D72070" w:rsidP="00DF4336" w14:paraId="434E1F17" w14:textId="77777777">
            <w:pPr>
              <w:spacing w:after="120"/>
              <w:jc w:val="center"/>
            </w:pPr>
            <w:r w:rsidRPr="00D72070">
              <w:t>Form 620/621 filing #</w:t>
            </w:r>
          </w:p>
        </w:tc>
        <w:tc>
          <w:tcPr>
            <w:tcW w:w="1170" w:type="dxa"/>
            <w:noWrap/>
            <w:hideMark/>
          </w:tcPr>
          <w:p w:rsidR="008C14AC" w:rsidRPr="00D72070" w:rsidP="00DF4336" w14:paraId="270B8887" w14:textId="77777777">
            <w:pPr>
              <w:spacing w:after="120"/>
              <w:jc w:val="center"/>
            </w:pPr>
            <w:r w:rsidRPr="00D72070">
              <w:t>Date of 620/621</w:t>
            </w:r>
          </w:p>
        </w:tc>
        <w:tc>
          <w:tcPr>
            <w:tcW w:w="1260" w:type="dxa"/>
            <w:noWrap/>
            <w:hideMark/>
          </w:tcPr>
          <w:p w:rsidR="008C14AC" w:rsidRPr="008C14AC" w:rsidP="008C14AC" w14:paraId="00816E5A" w14:textId="561A6C0D">
            <w:pPr>
              <w:spacing w:after="120"/>
              <w:jc w:val="center"/>
              <w:rPr>
                <w:b w:val="0"/>
                <w:bCs w:val="0"/>
              </w:rPr>
            </w:pPr>
            <w:r>
              <w:t>SHPO/</w:t>
            </w:r>
            <w:r>
              <w:rPr>
                <w:b w:val="0"/>
                <w:bCs w:val="0"/>
              </w:rPr>
              <w:t xml:space="preserve"> </w:t>
            </w:r>
            <w:r w:rsidRPr="00D72070">
              <w:t>THPO Closure Impacting Project</w:t>
            </w:r>
          </w:p>
        </w:tc>
      </w:tr>
      <w:tr w14:paraId="51337EC9" w14:textId="77777777" w:rsidTr="008C14AC">
        <w:tblPrEx>
          <w:tblW w:w="9738" w:type="dxa"/>
          <w:tblLayout w:type="fixed"/>
          <w:tblLook w:val="04A0"/>
        </w:tblPrEx>
        <w:trPr>
          <w:cantSplit/>
          <w:trHeight w:val="1108"/>
        </w:trPr>
        <w:tc>
          <w:tcPr>
            <w:tcW w:w="468" w:type="dxa"/>
          </w:tcPr>
          <w:p w:rsidR="008C14AC" w:rsidP="00DF4336" w14:paraId="59F43588" w14:textId="77777777">
            <w:pPr>
              <w:spacing w:after="120"/>
              <w:jc w:val="center"/>
            </w:pPr>
          </w:p>
          <w:p w:rsidR="008C14AC" w:rsidP="00DF4336" w14:paraId="08B6802E" w14:textId="77777777">
            <w:pPr>
              <w:spacing w:after="120"/>
              <w:jc w:val="center"/>
            </w:pPr>
          </w:p>
          <w:p w:rsidR="008C14AC" w:rsidRPr="00D72070" w:rsidP="00DF4336" w14:paraId="5C6020CD" w14:textId="77777777">
            <w:pPr>
              <w:spacing w:after="120"/>
              <w:jc w:val="center"/>
              <w:rPr>
                <w:b w:val="0"/>
                <w:bCs w:val="0"/>
              </w:rPr>
            </w:pPr>
            <w:r>
              <w:rPr>
                <w:b w:val="0"/>
                <w:bCs w:val="0"/>
              </w:rPr>
              <w:t>1.</w:t>
            </w:r>
          </w:p>
        </w:tc>
        <w:tc>
          <w:tcPr>
            <w:tcW w:w="1080" w:type="dxa"/>
            <w:noWrap/>
            <w:hideMark/>
          </w:tcPr>
          <w:p w:rsidR="008C14AC" w:rsidRPr="00D72070" w:rsidP="00DF4336" w14:paraId="6ED74C3C" w14:textId="77777777">
            <w:pPr>
              <w:spacing w:after="120"/>
              <w:jc w:val="center"/>
              <w:rPr>
                <w:b/>
                <w:bCs/>
              </w:rPr>
            </w:pPr>
          </w:p>
        </w:tc>
        <w:tc>
          <w:tcPr>
            <w:tcW w:w="1440" w:type="dxa"/>
            <w:noWrap/>
            <w:hideMark/>
          </w:tcPr>
          <w:p w:rsidR="008C14AC" w:rsidRPr="00D72070" w:rsidP="00DF4336" w14:paraId="54948BFD" w14:textId="77777777">
            <w:pPr>
              <w:spacing w:after="120"/>
              <w:jc w:val="center"/>
            </w:pPr>
          </w:p>
        </w:tc>
        <w:tc>
          <w:tcPr>
            <w:tcW w:w="990" w:type="dxa"/>
            <w:noWrap/>
            <w:hideMark/>
          </w:tcPr>
          <w:p w:rsidR="008C14AC" w:rsidRPr="00D72070" w:rsidP="00DF4336" w14:paraId="61CB3BDB" w14:textId="77777777">
            <w:pPr>
              <w:spacing w:after="120"/>
              <w:jc w:val="center"/>
            </w:pPr>
          </w:p>
        </w:tc>
        <w:tc>
          <w:tcPr>
            <w:tcW w:w="900" w:type="dxa"/>
            <w:noWrap/>
            <w:hideMark/>
          </w:tcPr>
          <w:p w:rsidR="008C14AC" w:rsidRPr="00D72070" w:rsidP="00DF4336" w14:paraId="4CC41D52" w14:textId="77777777">
            <w:pPr>
              <w:spacing w:after="120"/>
              <w:jc w:val="center"/>
            </w:pPr>
          </w:p>
        </w:tc>
        <w:tc>
          <w:tcPr>
            <w:tcW w:w="1440" w:type="dxa"/>
            <w:noWrap/>
            <w:hideMark/>
          </w:tcPr>
          <w:p w:rsidR="008C14AC" w:rsidRPr="00D72070" w:rsidP="00DF4336" w14:paraId="1AA5A7AF" w14:textId="77777777">
            <w:pPr>
              <w:spacing w:after="120"/>
              <w:jc w:val="center"/>
            </w:pPr>
          </w:p>
        </w:tc>
        <w:tc>
          <w:tcPr>
            <w:tcW w:w="990" w:type="dxa"/>
            <w:noWrap/>
            <w:hideMark/>
          </w:tcPr>
          <w:p w:rsidR="008C14AC" w:rsidRPr="00D72070" w:rsidP="00DF4336" w14:paraId="601EB6B2" w14:textId="77777777">
            <w:pPr>
              <w:spacing w:after="120"/>
              <w:jc w:val="center"/>
            </w:pPr>
          </w:p>
        </w:tc>
        <w:tc>
          <w:tcPr>
            <w:tcW w:w="1170" w:type="dxa"/>
            <w:noWrap/>
            <w:hideMark/>
          </w:tcPr>
          <w:p w:rsidR="008C14AC" w:rsidRPr="00D72070" w:rsidP="00DF4336" w14:paraId="1553A781" w14:textId="77777777">
            <w:pPr>
              <w:spacing w:after="120"/>
              <w:jc w:val="center"/>
            </w:pPr>
          </w:p>
        </w:tc>
        <w:tc>
          <w:tcPr>
            <w:tcW w:w="1260" w:type="dxa"/>
            <w:noWrap/>
            <w:hideMark/>
          </w:tcPr>
          <w:p w:rsidR="008C14AC" w:rsidRPr="00D72070" w:rsidP="00DF4336" w14:paraId="454DB55D" w14:textId="77777777">
            <w:pPr>
              <w:spacing w:after="120"/>
              <w:jc w:val="center"/>
            </w:pPr>
          </w:p>
        </w:tc>
      </w:tr>
    </w:tbl>
    <w:p w:rsidR="008C14AC" w:rsidRPr="00D72070" w:rsidP="008C14AC" w14:paraId="3F93C23B" w14:textId="77777777">
      <w:pPr>
        <w:spacing w:after="120"/>
        <w:jc w:val="center"/>
      </w:pPr>
    </w:p>
    <w:bookmarkEnd w:id="2"/>
    <w:p w:rsidR="008C14AC" w:rsidP="008C14AC" w14:paraId="228F29C7" w14:textId="77777777">
      <w:pPr>
        <w:spacing w:after="120"/>
        <w:jc w:val="center"/>
      </w:pPr>
    </w:p>
    <w:p w:rsidR="00930ECF" w:rsidRPr="00930ECF" w:rsidP="00F96F63" w14:paraId="5C8FA55E"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7CB4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E37D8D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39556C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054EA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1315" w14:paraId="3EEAF11C" w14:textId="77777777">
      <w:r>
        <w:separator/>
      </w:r>
    </w:p>
  </w:footnote>
  <w:footnote w:type="continuationSeparator" w:id="1">
    <w:p w:rsidR="00691315" w14:paraId="1E545D54" w14:textId="77777777">
      <w:pPr>
        <w:rPr>
          <w:sz w:val="20"/>
        </w:rPr>
      </w:pPr>
      <w:r>
        <w:rPr>
          <w:sz w:val="20"/>
        </w:rPr>
        <w:t xml:space="preserve">(Continued from previous page)  </w:t>
      </w:r>
      <w:r>
        <w:rPr>
          <w:sz w:val="20"/>
        </w:rPr>
        <w:separator/>
      </w:r>
    </w:p>
  </w:footnote>
  <w:footnote w:type="continuationNotice" w:id="2">
    <w:p w:rsidR="00691315" w:rsidP="00910F12" w14:paraId="332968E6" w14:textId="77777777">
      <w:pPr>
        <w:jc w:val="right"/>
        <w:rPr>
          <w:sz w:val="20"/>
        </w:rPr>
      </w:pPr>
      <w:r>
        <w:rPr>
          <w:sz w:val="20"/>
        </w:rPr>
        <w:t>(continued….)</w:t>
      </w:r>
    </w:p>
  </w:footnote>
  <w:footnote w:id="3">
    <w:p w:rsidR="008C14AC" w:rsidP="008C14AC" w14:paraId="694270B0" w14:textId="77777777">
      <w:pPr>
        <w:pStyle w:val="FootnoteText"/>
      </w:pPr>
      <w:r>
        <w:rPr>
          <w:rStyle w:val="FootnoteReference"/>
        </w:rPr>
        <w:footnoteRef/>
      </w:r>
      <w:r>
        <w:t xml:space="preserve"> </w:t>
      </w:r>
      <w:r w:rsidRPr="00A6118E">
        <w:rPr>
          <w:i/>
          <w:iCs/>
        </w:rPr>
        <w:t xml:space="preserve">See </w:t>
      </w:r>
      <w:r w:rsidRPr="00045390">
        <w:rPr>
          <w:i/>
          <w:iCs/>
        </w:rPr>
        <w:t>Section 106 and Coronavirus Impacts</w:t>
      </w:r>
      <w:r w:rsidRPr="00A6118E">
        <w:t xml:space="preserve"> </w:t>
      </w:r>
      <w:r>
        <w:t>(</w:t>
      </w:r>
      <w:r w:rsidRPr="00A6118E">
        <w:t>May 13, 2020</w:t>
      </w:r>
      <w:r>
        <w:t>)</w:t>
      </w:r>
      <w:r w:rsidRPr="00A6118E">
        <w:t xml:space="preserve">, </w:t>
      </w:r>
      <w:hyperlink r:id="rId1" w:history="1">
        <w:r w:rsidRPr="007703E7">
          <w:rPr>
            <w:rStyle w:val="Hyperlink"/>
          </w:rPr>
          <w:t>https://www.achp.gov/digital-library-section-106-landing/section-106-and-coronavirus-impacts</w:t>
        </w:r>
      </w:hyperlink>
      <w:r>
        <w:t>.</w:t>
      </w:r>
    </w:p>
  </w:footnote>
  <w:footnote w:id="4">
    <w:p w:rsidR="008C14AC" w:rsidP="008C14AC" w14:paraId="34E9EF06" w14:textId="77777777">
      <w:pPr>
        <w:pStyle w:val="FootnoteText"/>
      </w:pPr>
      <w:r>
        <w:rPr>
          <w:rStyle w:val="FootnoteReference"/>
        </w:rPr>
        <w:footnoteRef/>
      </w:r>
      <w:r>
        <w:t xml:space="preserve"> </w:t>
      </w:r>
      <w:r>
        <w:rPr>
          <w:i/>
          <w:iCs/>
        </w:rPr>
        <w:t xml:space="preserve">See </w:t>
      </w:r>
      <w:r>
        <w:t>36 CFR § 800.12(b) (expedited seven-day process for Section 106 reviews).</w:t>
      </w:r>
    </w:p>
  </w:footnote>
  <w:footnote w:id="5">
    <w:p w:rsidR="008C14AC" w:rsidP="008C14AC" w14:paraId="0D837FEA" w14:textId="77777777">
      <w:pPr>
        <w:pStyle w:val="FootnoteText"/>
      </w:pPr>
      <w:r>
        <w:rPr>
          <w:rStyle w:val="FootnoteReference"/>
        </w:rPr>
        <w:footnoteRef/>
      </w:r>
      <w:r>
        <w:t xml:space="preserve"> 47 CFR Part 1, App. C, Section VIII (permitting the Commission to issue an emergency authorization for qualifying projects).</w:t>
      </w:r>
    </w:p>
  </w:footnote>
  <w:footnote w:id="6">
    <w:p w:rsidR="008C14AC" w:rsidP="008C14AC" w14:paraId="08CEF978" w14:textId="77777777">
      <w:pPr>
        <w:pStyle w:val="FootnoteText"/>
      </w:pPr>
      <w:r>
        <w:rPr>
          <w:rStyle w:val="FootnoteReference"/>
        </w:rPr>
        <w:footnoteRef/>
      </w:r>
      <w:r>
        <w:t xml:space="preserve"> </w:t>
      </w:r>
      <w:r w:rsidRPr="005F5FFA">
        <w:t>Section 106 of the National Historic Preservation Act of 1966, as amended, 54 U.S.C. §</w:t>
      </w:r>
      <w:r>
        <w:t xml:space="preserve"> </w:t>
      </w:r>
      <w:r w:rsidRPr="005F5FFA">
        <w:t>306108.</w:t>
      </w:r>
    </w:p>
  </w:footnote>
  <w:footnote w:id="7">
    <w:p w:rsidR="008C14AC" w:rsidRPr="007576CB" w:rsidP="008C14AC" w14:paraId="074532AF" w14:textId="77777777">
      <w:pPr>
        <w:pStyle w:val="FootnoteText"/>
        <w:rPr>
          <w:i/>
          <w:iCs/>
        </w:rPr>
      </w:pPr>
      <w:r>
        <w:rPr>
          <w:rStyle w:val="FootnoteReference"/>
        </w:rPr>
        <w:footnoteRef/>
      </w:r>
      <w:r>
        <w:t xml:space="preserve"> </w:t>
      </w:r>
      <w:r>
        <w:rPr>
          <w:i/>
          <w:iCs/>
        </w:rPr>
        <w:t xml:space="preserve">See </w:t>
      </w:r>
      <w:r>
        <w:t xml:space="preserve">36 CFR § 800.12(b).  </w:t>
      </w:r>
      <w:r w:rsidRPr="005F5FFA">
        <w:t>Section 800.12(b) provides for a seven-day period for affected parties to comment on the project or, if the agency determines that circumstances do not permit seven days for comment, a lesser amount of time as available.</w:t>
      </w:r>
      <w:r>
        <w:t xml:space="preserve">  </w:t>
      </w:r>
    </w:p>
  </w:footnote>
  <w:footnote w:id="8">
    <w:p w:rsidR="008C14AC" w:rsidP="008C14AC" w14:paraId="04B61EFF" w14:textId="77777777">
      <w:pPr>
        <w:pStyle w:val="FootnoteText"/>
      </w:pPr>
      <w:r w:rsidRPr="00A6118E">
        <w:rPr>
          <w:rStyle w:val="FootnoteReference"/>
        </w:rPr>
        <w:footnoteRef/>
      </w:r>
      <w:r w:rsidRPr="00A6118E">
        <w:t xml:space="preserve"> </w:t>
      </w:r>
      <w:r w:rsidRPr="00A6118E">
        <w:rPr>
          <w:i/>
          <w:iCs/>
        </w:rPr>
        <w:t xml:space="preserve">See </w:t>
      </w:r>
      <w:r w:rsidRPr="008673C1">
        <w:rPr>
          <w:i/>
          <w:iCs/>
        </w:rPr>
        <w:t>Section 106 and Coronavirus Impacts</w:t>
      </w:r>
      <w:r w:rsidRPr="00A6118E">
        <w:t xml:space="preserve"> </w:t>
      </w:r>
      <w:r>
        <w:t>(</w:t>
      </w:r>
      <w:r w:rsidRPr="00A6118E">
        <w:t>May 13, 2020</w:t>
      </w:r>
      <w:r>
        <w:t>)</w:t>
      </w:r>
      <w:r w:rsidRPr="00A6118E">
        <w:t xml:space="preserve">, </w:t>
      </w:r>
      <w:hyperlink r:id="rId1" w:history="1">
        <w:r w:rsidRPr="00A6118E">
          <w:rPr>
            <w:rStyle w:val="Hyperlink"/>
          </w:rPr>
          <w:t>https://www.achp.gov/digital-library-section-106-landing/section-106-and-coronavirus-impacts</w:t>
        </w:r>
      </w:hyperlink>
      <w:r w:rsidRPr="00A6118E">
        <w:t xml:space="preserve"> (noting that pausing of review timelines is inapplicable when the 36 </w:t>
      </w:r>
      <w:r w:rsidRPr="006C5FB8">
        <w:t>CFR § 800.12(b) review procedures apply).</w:t>
      </w:r>
      <w:r w:rsidRPr="00A6118E">
        <w:t xml:space="preserve"> </w:t>
      </w:r>
    </w:p>
  </w:footnote>
  <w:footnote w:id="9">
    <w:p w:rsidR="008C14AC" w:rsidP="008C14AC" w14:paraId="59CFD1AF" w14:textId="77777777">
      <w:pPr>
        <w:pStyle w:val="FootnoteText"/>
      </w:pPr>
      <w:r>
        <w:rPr>
          <w:rStyle w:val="FootnoteReference"/>
        </w:rPr>
        <w:footnoteRef/>
      </w:r>
      <w:r>
        <w:t xml:space="preserve"> Amendment to Blanket </w:t>
      </w:r>
      <w:r w:rsidRPr="00CE1BC3">
        <w:t>Extension Regarding Section 106 Review of Undertakings Responding to COVID-19 Emergency and Disaster Declarations</w:t>
      </w:r>
      <w:r>
        <w:t xml:space="preserve"> (May 22, </w:t>
      </w:r>
      <w:r w:rsidRPr="005F5FFA">
        <w:t>2020</w:t>
      </w:r>
      <w:r>
        <w:t>)</w:t>
      </w:r>
      <w:r w:rsidRPr="005F5FFA">
        <w:t xml:space="preserve">, </w:t>
      </w:r>
      <w:hyperlink r:id="rId2" w:history="1">
        <w:r w:rsidRPr="007703E7">
          <w:rPr>
            <w:rStyle w:val="Hyperlink"/>
          </w:rPr>
          <w:t>https://www.achp.gov/sites/default/files/2020-05/Blanket%20Extension%205-22-10.pdf</w:t>
        </w:r>
      </w:hyperlink>
      <w:r>
        <w:t xml:space="preserve">. </w:t>
      </w:r>
      <w:r w:rsidRPr="005F5FFA">
        <w:t xml:space="preserve">  </w:t>
      </w:r>
      <w:r w:rsidRPr="005F5FFA">
        <w:rPr>
          <w:szCs w:val="22"/>
        </w:rPr>
        <w:t xml:space="preserve">This expedited review is only available until </w:t>
      </w:r>
      <w:r>
        <w:rPr>
          <w:szCs w:val="22"/>
        </w:rPr>
        <w:t>July 31</w:t>
      </w:r>
      <w:r w:rsidRPr="005F5FFA">
        <w:rPr>
          <w:szCs w:val="22"/>
        </w:rPr>
        <w:t xml:space="preserve">, 2020 or </w:t>
      </w:r>
      <w:r>
        <w:rPr>
          <w:szCs w:val="22"/>
        </w:rPr>
        <w:t xml:space="preserve">to the date specified in </w:t>
      </w:r>
      <w:r w:rsidRPr="005F5FFA">
        <w:rPr>
          <w:szCs w:val="22"/>
        </w:rPr>
        <w:t>any subsequent extension granted by the ACHP.</w:t>
      </w:r>
    </w:p>
  </w:footnote>
  <w:footnote w:id="10">
    <w:p w:rsidR="008C14AC" w:rsidP="008C14AC" w14:paraId="14AC177E" w14:textId="77777777">
      <w:pPr>
        <w:pStyle w:val="FootnoteText"/>
      </w:pPr>
      <w:r>
        <w:rPr>
          <w:rStyle w:val="FootnoteReference"/>
        </w:rPr>
        <w:footnoteRef/>
      </w:r>
      <w:r>
        <w:t xml:space="preserve"> 47 CFR Part 1, App. C, Section VIII.  Emergency authorizations under Section VIII of the Wireless Facilities NPA are not available for projects proposed on tribal lands unless the tribal government elects to follow the NPA in accordance with Section I.D. of the NPA.  47 CFR Part 1, App. C, Section I.D.</w:t>
      </w:r>
    </w:p>
  </w:footnote>
  <w:footnote w:id="11">
    <w:p w:rsidR="008C14AC" w:rsidP="008C14AC" w14:paraId="290E0C59" w14:textId="77777777">
      <w:pPr>
        <w:pStyle w:val="FootnoteText"/>
      </w:pPr>
      <w:r>
        <w:rPr>
          <w:rStyle w:val="FootnoteReference"/>
        </w:rPr>
        <w:footnoteRef/>
      </w:r>
      <w:r>
        <w:t xml:space="preserve"> </w:t>
      </w:r>
      <w:r w:rsidRPr="00EA4A12">
        <w:rPr>
          <w:i/>
          <w:iCs/>
        </w:rPr>
        <w:t>Accelerating Wireless Broadband Deployment by Removing Barriers to Infrastructure Investment</w:t>
      </w:r>
      <w:r>
        <w:t xml:space="preserve">, Second Report and Order, 33 FCC </w:t>
      </w:r>
      <w:r>
        <w:t>Rcd</w:t>
      </w:r>
      <w:r>
        <w:t xml:space="preserve"> 3102, 3151, para. 111 (2018) (</w:t>
      </w:r>
      <w:r w:rsidRPr="00EA4A12">
        <w:rPr>
          <w:i/>
        </w:rPr>
        <w:t>Second Report and Order</w:t>
      </w:r>
      <w:r>
        <w:t xml:space="preserve">), remanded in part sub nom., </w:t>
      </w:r>
      <w:r w:rsidRPr="00EA4A12">
        <w:rPr>
          <w:i/>
          <w:iCs/>
        </w:rPr>
        <w:t>United Keetoowah Band of Cherokee Indians v. FCC</w:t>
      </w:r>
      <w:r>
        <w:t>, No. 18-1129, 2019 WL 3756373 (D.C. Cir Aug. 9,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3F5E84" w14:textId="22F85142">
    <w:pPr>
      <w:tabs>
        <w:tab w:val="center" w:pos="4680"/>
        <w:tab w:val="right" w:pos="9360"/>
      </w:tabs>
    </w:pPr>
    <w:r w:rsidRPr="009838BC">
      <w:rPr>
        <w:b/>
      </w:rPr>
      <w:tab/>
      <w:t>Federal Communications Commission</w:t>
    </w:r>
    <w:r w:rsidRPr="009838BC">
      <w:rPr>
        <w:b/>
      </w:rPr>
      <w:tab/>
    </w:r>
    <w:r w:rsidR="008C14AC">
      <w:rPr>
        <w:b/>
      </w:rPr>
      <w:t>DA 20-</w:t>
    </w:r>
    <w:r w:rsidR="00147A63">
      <w:rPr>
        <w:b/>
      </w:rPr>
      <w:t>668</w:t>
    </w:r>
  </w:p>
  <w:p w:rsidR="009838BC" w:rsidRPr="009838BC" w:rsidP="009838BC" w14:paraId="6219E34A" w14:textId="178283A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63178F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D195125" w14:textId="70F18EE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506B2591" w14:textId="77777777">
                    <w:pPr>
                      <w:rPr>
                        <w:rFonts w:ascii="Arial" w:hAnsi="Arial"/>
                        <w:b/>
                      </w:rPr>
                    </w:pPr>
                    <w:r>
                      <w:rPr>
                        <w:rFonts w:ascii="Arial" w:hAnsi="Arial"/>
                        <w:b/>
                      </w:rPr>
                      <w:t>Federal Communications Commission</w:t>
                    </w:r>
                  </w:p>
                  <w:p w:rsidR="009838BC" w:rsidP="009838BC" w14:paraId="398D1D3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5A5C1C1"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93868"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F4AD38D" w14:textId="620CE266">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03C7753" w14:textId="77777777">
                    <w:pPr>
                      <w:spacing w:before="40"/>
                      <w:jc w:val="right"/>
                      <w:rPr>
                        <w:rFonts w:ascii="Arial" w:hAnsi="Arial"/>
                        <w:b/>
                        <w:sz w:val="16"/>
                      </w:rPr>
                    </w:pPr>
                    <w:r>
                      <w:rPr>
                        <w:rFonts w:ascii="Arial" w:hAnsi="Arial"/>
                        <w:b/>
                        <w:sz w:val="16"/>
                      </w:rPr>
                      <w:t>News Media Information 202 / 418-0500</w:t>
                    </w:r>
                  </w:p>
                  <w:p w:rsidR="009838BC" w:rsidP="009838BC" w14:paraId="5ABAA403"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532E07B" w14:textId="77777777">
                    <w:pPr>
                      <w:jc w:val="right"/>
                    </w:pPr>
                    <w:r>
                      <w:rPr>
                        <w:rFonts w:ascii="Arial" w:hAnsi="Arial"/>
                        <w:b/>
                        <w:sz w:val="16"/>
                      </w:rPr>
                      <w:t>TTY: 1-888-835-5322</w:t>
                    </w:r>
                  </w:p>
                </w:txbxContent>
              </v:textbox>
            </v:shape>
          </w:pict>
        </mc:Fallback>
      </mc:AlternateContent>
    </w:r>
  </w:p>
  <w:p w:rsidR="006F7393" w:rsidRPr="009838BC" w:rsidP="009838BC" w14:paraId="54A2C3A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8DA1CCD"/>
    <w:multiLevelType w:val="hybridMultilevel"/>
    <w:tmpl w:val="2878EF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05318D6"/>
    <w:multiLevelType w:val="hybridMultilevel"/>
    <w:tmpl w:val="ED5C7A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FAE6ABC"/>
    <w:multiLevelType w:val="hybridMultilevel"/>
    <w:tmpl w:val="195AF60E"/>
    <w:lvl w:ilvl="0">
      <w:start w:val="1"/>
      <w:numFmt w:val="decimal"/>
      <w:lvlText w:val="%1."/>
      <w:lvlJc w:val="left"/>
      <w:pPr>
        <w:ind w:left="72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AC"/>
    <w:rsid w:val="000072CE"/>
    <w:rsid w:val="00013A8B"/>
    <w:rsid w:val="00021445"/>
    <w:rsid w:val="00030BB8"/>
    <w:rsid w:val="00036039"/>
    <w:rsid w:val="00037F90"/>
    <w:rsid w:val="00045390"/>
    <w:rsid w:val="000875BF"/>
    <w:rsid w:val="00096D8C"/>
    <w:rsid w:val="000C0B65"/>
    <w:rsid w:val="000E3D42"/>
    <w:rsid w:val="000E5884"/>
    <w:rsid w:val="00122BD5"/>
    <w:rsid w:val="00147A63"/>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37896"/>
    <w:rsid w:val="00445A00"/>
    <w:rsid w:val="00451B0F"/>
    <w:rsid w:val="00451C09"/>
    <w:rsid w:val="0045731E"/>
    <w:rsid w:val="0046125F"/>
    <w:rsid w:val="00487524"/>
    <w:rsid w:val="00496106"/>
    <w:rsid w:val="004C12D0"/>
    <w:rsid w:val="004C2EE3"/>
    <w:rsid w:val="004E4A22"/>
    <w:rsid w:val="00511968"/>
    <w:rsid w:val="0053196A"/>
    <w:rsid w:val="0055614C"/>
    <w:rsid w:val="005C73F8"/>
    <w:rsid w:val="005F5FFA"/>
    <w:rsid w:val="00607BA5"/>
    <w:rsid w:val="00626EB6"/>
    <w:rsid w:val="006353A3"/>
    <w:rsid w:val="00655D03"/>
    <w:rsid w:val="00683F84"/>
    <w:rsid w:val="00691315"/>
    <w:rsid w:val="006A6A81"/>
    <w:rsid w:val="006C5FB8"/>
    <w:rsid w:val="006E26AF"/>
    <w:rsid w:val="006F6027"/>
    <w:rsid w:val="006F7393"/>
    <w:rsid w:val="0070224F"/>
    <w:rsid w:val="007115F7"/>
    <w:rsid w:val="00727E91"/>
    <w:rsid w:val="007576CB"/>
    <w:rsid w:val="007703E7"/>
    <w:rsid w:val="00785689"/>
    <w:rsid w:val="0079754B"/>
    <w:rsid w:val="007A1E6D"/>
    <w:rsid w:val="007C6778"/>
    <w:rsid w:val="00822CE0"/>
    <w:rsid w:val="00837C62"/>
    <w:rsid w:val="00841AB1"/>
    <w:rsid w:val="008673C1"/>
    <w:rsid w:val="008C14AC"/>
    <w:rsid w:val="008C22FD"/>
    <w:rsid w:val="00910F12"/>
    <w:rsid w:val="00926503"/>
    <w:rsid w:val="00930ECF"/>
    <w:rsid w:val="00936131"/>
    <w:rsid w:val="0095101C"/>
    <w:rsid w:val="009838BC"/>
    <w:rsid w:val="00A07E13"/>
    <w:rsid w:val="00A45F4F"/>
    <w:rsid w:val="00A600A9"/>
    <w:rsid w:val="00A6118E"/>
    <w:rsid w:val="00A866AC"/>
    <w:rsid w:val="00AA55B7"/>
    <w:rsid w:val="00AA5B9E"/>
    <w:rsid w:val="00AB2407"/>
    <w:rsid w:val="00AB53DF"/>
    <w:rsid w:val="00B07E5C"/>
    <w:rsid w:val="00B326E3"/>
    <w:rsid w:val="00B5181B"/>
    <w:rsid w:val="00B811F7"/>
    <w:rsid w:val="00BA5DC6"/>
    <w:rsid w:val="00BA6196"/>
    <w:rsid w:val="00BC6D8C"/>
    <w:rsid w:val="00C16AF2"/>
    <w:rsid w:val="00C34006"/>
    <w:rsid w:val="00C37DF0"/>
    <w:rsid w:val="00C407C4"/>
    <w:rsid w:val="00C426B1"/>
    <w:rsid w:val="00C82B6B"/>
    <w:rsid w:val="00C90D6A"/>
    <w:rsid w:val="00CC72B6"/>
    <w:rsid w:val="00CE1BC3"/>
    <w:rsid w:val="00D0218D"/>
    <w:rsid w:val="00D216CD"/>
    <w:rsid w:val="00D72070"/>
    <w:rsid w:val="00D8244A"/>
    <w:rsid w:val="00DA2529"/>
    <w:rsid w:val="00DB130A"/>
    <w:rsid w:val="00DB48C2"/>
    <w:rsid w:val="00DC10A1"/>
    <w:rsid w:val="00DC655F"/>
    <w:rsid w:val="00DD369E"/>
    <w:rsid w:val="00DD7EBD"/>
    <w:rsid w:val="00DF2982"/>
    <w:rsid w:val="00DF4336"/>
    <w:rsid w:val="00DF62B6"/>
    <w:rsid w:val="00E07225"/>
    <w:rsid w:val="00E155B7"/>
    <w:rsid w:val="00E20A40"/>
    <w:rsid w:val="00E5409F"/>
    <w:rsid w:val="00EA4A12"/>
    <w:rsid w:val="00EC0185"/>
    <w:rsid w:val="00EE7318"/>
    <w:rsid w:val="00F021FA"/>
    <w:rsid w:val="00F02E5E"/>
    <w:rsid w:val="00F57ACA"/>
    <w:rsid w:val="00F62E97"/>
    <w:rsid w:val="00F64209"/>
    <w:rsid w:val="00F93BF5"/>
    <w:rsid w:val="00F96F63"/>
    <w:rsid w:val="00FB2D4B"/>
    <w:rsid w:val="00FD5754"/>
    <w:rsid w:val="25D36D07"/>
    <w:rsid w:val="6958CC7D"/>
    <w:rsid w:val="77187C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E56331D-FF53-4B18-A0B4-7F397C2F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1E"/>
    <w:pPr>
      <w:widowControl w:val="0"/>
    </w:pPr>
    <w:rPr>
      <w:snapToGrid w:val="0"/>
      <w:kern w:val="28"/>
      <w:sz w:val="22"/>
    </w:rPr>
  </w:style>
  <w:style w:type="paragraph" w:styleId="Heading1">
    <w:name w:val="heading 1"/>
    <w:basedOn w:val="Normal"/>
    <w:next w:val="ParaNum"/>
    <w:qFormat/>
    <w:rsid w:val="0045731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731E"/>
    <w:pPr>
      <w:keepNext/>
      <w:numPr>
        <w:ilvl w:val="1"/>
        <w:numId w:val="3"/>
      </w:numPr>
      <w:spacing w:after="120"/>
      <w:outlineLvl w:val="1"/>
    </w:pPr>
    <w:rPr>
      <w:b/>
    </w:rPr>
  </w:style>
  <w:style w:type="paragraph" w:styleId="Heading3">
    <w:name w:val="heading 3"/>
    <w:basedOn w:val="Normal"/>
    <w:next w:val="ParaNum"/>
    <w:qFormat/>
    <w:rsid w:val="0045731E"/>
    <w:pPr>
      <w:keepNext/>
      <w:numPr>
        <w:ilvl w:val="2"/>
        <w:numId w:val="3"/>
      </w:numPr>
      <w:tabs>
        <w:tab w:val="left" w:pos="2160"/>
      </w:tabs>
      <w:spacing w:after="120"/>
      <w:outlineLvl w:val="2"/>
    </w:pPr>
    <w:rPr>
      <w:b/>
    </w:rPr>
  </w:style>
  <w:style w:type="paragraph" w:styleId="Heading4">
    <w:name w:val="heading 4"/>
    <w:basedOn w:val="Normal"/>
    <w:next w:val="ParaNum"/>
    <w:qFormat/>
    <w:rsid w:val="0045731E"/>
    <w:pPr>
      <w:keepNext/>
      <w:numPr>
        <w:ilvl w:val="3"/>
        <w:numId w:val="3"/>
      </w:numPr>
      <w:tabs>
        <w:tab w:val="left" w:pos="2880"/>
      </w:tabs>
      <w:spacing w:after="120"/>
      <w:outlineLvl w:val="3"/>
    </w:pPr>
    <w:rPr>
      <w:b/>
    </w:rPr>
  </w:style>
  <w:style w:type="paragraph" w:styleId="Heading5">
    <w:name w:val="heading 5"/>
    <w:basedOn w:val="Normal"/>
    <w:next w:val="ParaNum"/>
    <w:qFormat/>
    <w:rsid w:val="0045731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5731E"/>
    <w:pPr>
      <w:numPr>
        <w:ilvl w:val="5"/>
        <w:numId w:val="3"/>
      </w:numPr>
      <w:tabs>
        <w:tab w:val="left" w:pos="4320"/>
      </w:tabs>
      <w:spacing w:after="120"/>
      <w:outlineLvl w:val="5"/>
    </w:pPr>
    <w:rPr>
      <w:b/>
    </w:rPr>
  </w:style>
  <w:style w:type="paragraph" w:styleId="Heading7">
    <w:name w:val="heading 7"/>
    <w:basedOn w:val="Normal"/>
    <w:next w:val="ParaNum"/>
    <w:qFormat/>
    <w:rsid w:val="0045731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5731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5731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45731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5731E"/>
  </w:style>
  <w:style w:type="paragraph" w:customStyle="1" w:styleId="ParaNum">
    <w:name w:val="ParaNum"/>
    <w:basedOn w:val="Normal"/>
    <w:link w:val="ParaNumChar"/>
    <w:rsid w:val="0045731E"/>
    <w:pPr>
      <w:numPr>
        <w:numId w:val="2"/>
      </w:numPr>
      <w:tabs>
        <w:tab w:val="clear" w:pos="1080"/>
        <w:tab w:val="num" w:pos="1440"/>
      </w:tabs>
      <w:spacing w:after="120"/>
    </w:pPr>
  </w:style>
  <w:style w:type="paragraph" w:styleId="EndnoteText">
    <w:name w:val="endnote text"/>
    <w:basedOn w:val="Normal"/>
    <w:semiHidden/>
    <w:rsid w:val="0045731E"/>
    <w:rPr>
      <w:sz w:val="20"/>
    </w:rPr>
  </w:style>
  <w:style w:type="character" w:styleId="EndnoteReference">
    <w:name w:val="endnote reference"/>
    <w:semiHidden/>
    <w:rsid w:val="0045731E"/>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rsid w:val="0045731E"/>
    <w:pPr>
      <w:spacing w:after="120"/>
    </w:pPr>
  </w:style>
  <w:style w:type="character" w:styleId="FootnoteReference">
    <w:name w:val="footnote reference"/>
    <w:aliases w:val="(NECG) Footnote Reference,A,Appel note de bas de p,FR,Footnote Reference/,Footnote Reference1,Style 12,Style 124,Style 13,Style 17,Style 3,Style 34,Style 4,Style 6,Style 7,Style 9,fr,o"/>
    <w:rsid w:val="0045731E"/>
    <w:rPr>
      <w:rFonts w:ascii="Times New Roman" w:hAnsi="Times New Roman"/>
      <w:dstrike w:val="0"/>
      <w:color w:val="auto"/>
      <w:sz w:val="22"/>
      <w:vertAlign w:val="superscript"/>
    </w:rPr>
  </w:style>
  <w:style w:type="paragraph" w:styleId="TOC1">
    <w:name w:val="toc 1"/>
    <w:basedOn w:val="Normal"/>
    <w:next w:val="Normal"/>
    <w:uiPriority w:val="39"/>
    <w:rsid w:val="0045731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731E"/>
    <w:pPr>
      <w:tabs>
        <w:tab w:val="left" w:pos="720"/>
        <w:tab w:val="right" w:leader="dot" w:pos="9360"/>
      </w:tabs>
      <w:suppressAutoHyphens/>
      <w:ind w:left="720" w:right="720" w:hanging="360"/>
    </w:pPr>
    <w:rPr>
      <w:noProof/>
    </w:rPr>
  </w:style>
  <w:style w:type="paragraph" w:styleId="TOC3">
    <w:name w:val="toc 3"/>
    <w:basedOn w:val="Normal"/>
    <w:next w:val="Normal"/>
    <w:semiHidden/>
    <w:rsid w:val="0045731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731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731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731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731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731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731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731E"/>
    <w:pPr>
      <w:tabs>
        <w:tab w:val="right" w:pos="9360"/>
      </w:tabs>
      <w:suppressAutoHyphens/>
    </w:pPr>
  </w:style>
  <w:style w:type="character" w:customStyle="1" w:styleId="EquationCaption">
    <w:name w:val="_Equation Caption"/>
    <w:rsid w:val="0045731E"/>
  </w:style>
  <w:style w:type="paragraph" w:styleId="Header">
    <w:name w:val="header"/>
    <w:basedOn w:val="Normal"/>
    <w:autoRedefine/>
    <w:rsid w:val="0045731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5731E"/>
    <w:pPr>
      <w:tabs>
        <w:tab w:val="center" w:pos="4320"/>
        <w:tab w:val="right" w:pos="8640"/>
      </w:tabs>
    </w:pPr>
  </w:style>
  <w:style w:type="character" w:styleId="PageNumber">
    <w:name w:val="page number"/>
    <w:basedOn w:val="DefaultParagraphFont"/>
    <w:rsid w:val="0045731E"/>
  </w:style>
  <w:style w:type="paragraph" w:styleId="BlockText">
    <w:name w:val="Block Text"/>
    <w:basedOn w:val="Normal"/>
    <w:rsid w:val="0045731E"/>
    <w:pPr>
      <w:spacing w:after="240"/>
      <w:ind w:left="1440" w:right="1440"/>
    </w:pPr>
  </w:style>
  <w:style w:type="paragraph" w:customStyle="1" w:styleId="Paratitle">
    <w:name w:val="Para title"/>
    <w:basedOn w:val="Normal"/>
    <w:rsid w:val="0045731E"/>
    <w:pPr>
      <w:tabs>
        <w:tab w:val="center" w:pos="9270"/>
      </w:tabs>
      <w:spacing w:after="240"/>
    </w:pPr>
    <w:rPr>
      <w:spacing w:val="-2"/>
    </w:rPr>
  </w:style>
  <w:style w:type="paragraph" w:customStyle="1" w:styleId="Bullet">
    <w:name w:val="Bullet"/>
    <w:basedOn w:val="Normal"/>
    <w:rsid w:val="0045731E"/>
    <w:pPr>
      <w:numPr>
        <w:numId w:val="1"/>
      </w:numPr>
      <w:tabs>
        <w:tab w:val="clear" w:pos="360"/>
        <w:tab w:val="left" w:pos="2160"/>
      </w:tabs>
      <w:spacing w:after="220"/>
      <w:ind w:left="2160" w:hanging="720"/>
    </w:pPr>
  </w:style>
  <w:style w:type="paragraph" w:customStyle="1" w:styleId="TableFormat">
    <w:name w:val="TableFormat"/>
    <w:basedOn w:val="Bullet"/>
    <w:rsid w:val="0045731E"/>
    <w:pPr>
      <w:numPr>
        <w:numId w:val="0"/>
      </w:numPr>
      <w:tabs>
        <w:tab w:val="clear" w:pos="2160"/>
        <w:tab w:val="left" w:pos="5040"/>
      </w:tabs>
      <w:ind w:left="5040" w:hanging="3600"/>
    </w:pPr>
  </w:style>
  <w:style w:type="paragraph" w:customStyle="1" w:styleId="TOCTitle">
    <w:name w:val="TOC Title"/>
    <w:basedOn w:val="Normal"/>
    <w:rsid w:val="0045731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731E"/>
    <w:pPr>
      <w:jc w:val="center"/>
    </w:pPr>
    <w:rPr>
      <w:rFonts w:ascii="Times New Roman Bold" w:hAnsi="Times New Roman Bold"/>
      <w:b/>
      <w:bCs/>
      <w:caps/>
      <w:szCs w:val="22"/>
    </w:rPr>
  </w:style>
  <w:style w:type="character" w:styleId="Hyperlink">
    <w:name w:val="Hyperlink"/>
    <w:rsid w:val="0045731E"/>
    <w:rPr>
      <w:color w:val="0000FF"/>
      <w:u w:val="single"/>
    </w:rPr>
  </w:style>
  <w:style w:type="character" w:customStyle="1" w:styleId="FooterChar">
    <w:name w:val="Footer Char"/>
    <w:link w:val="Footer"/>
    <w:uiPriority w:val="99"/>
    <w:rsid w:val="0045731E"/>
    <w:rPr>
      <w:snapToGrid w:val="0"/>
      <w:kern w:val="28"/>
      <w:sz w:val="22"/>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8C14AC"/>
  </w:style>
  <w:style w:type="paragraph" w:styleId="ListParagraph">
    <w:name w:val="List Paragraph"/>
    <w:basedOn w:val="Normal"/>
    <w:uiPriority w:val="34"/>
    <w:qFormat/>
    <w:rsid w:val="008C14AC"/>
    <w:pPr>
      <w:ind w:left="720"/>
      <w:contextualSpacing/>
    </w:pPr>
  </w:style>
  <w:style w:type="character" w:customStyle="1" w:styleId="ParaNumChar">
    <w:name w:val="ParaNum Char"/>
    <w:link w:val="ParaNum"/>
    <w:locked/>
    <w:rsid w:val="008C14AC"/>
    <w:rPr>
      <w:snapToGrid w:val="0"/>
      <w:kern w:val="28"/>
      <w:sz w:val="22"/>
    </w:rPr>
  </w:style>
  <w:style w:type="table" w:styleId="PlainTable1">
    <w:name w:val="Plain Table 1"/>
    <w:basedOn w:val="TableNormal"/>
    <w:uiPriority w:val="41"/>
    <w:rsid w:val="008C14A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Leon.Jackler@fcc.gov" TargetMode="External" /><Relationship Id="rId7" Type="http://schemas.openxmlformats.org/officeDocument/2006/relationships/hyperlink" Target="mailto:ECFSHelp@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achp.gov/digital-library-section-106-landing/section-106-and-coronavirus-impacts" TargetMode="External" /><Relationship Id="rId2" Type="http://schemas.openxmlformats.org/officeDocument/2006/relationships/hyperlink" Target="https://www.achp.gov/sites/default/files/2020-05/Blanket%20Extension%205-22-10.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