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27C73" w:rsidRPr="00427C73" w:rsidP="00427C73" w14:paraId="6F0929FF" w14:textId="77777777">
      <w:pPr>
        <w:jc w:val="center"/>
        <w:rPr>
          <w:b/>
        </w:rPr>
      </w:pPr>
      <w:r w:rsidRPr="00427C73">
        <w:rPr>
          <w:rFonts w:ascii="Times New Roman Bold" w:hAnsi="Times New Roman Bold"/>
          <w:b/>
          <w:kern w:val="0"/>
          <w:szCs w:val="22"/>
        </w:rPr>
        <w:t>Before</w:t>
      </w:r>
      <w:r w:rsidRPr="00427C73">
        <w:rPr>
          <w:b/>
        </w:rPr>
        <w:t xml:space="preserve"> the</w:t>
      </w:r>
      <w:bookmarkStart w:id="0" w:name="_GoBack"/>
      <w:bookmarkEnd w:id="0"/>
    </w:p>
    <w:p w:rsidR="00427C73" w:rsidRPr="00427C73" w:rsidP="00427C73" w14:paraId="4D9CFE18" w14:textId="77777777">
      <w:pPr>
        <w:jc w:val="center"/>
        <w:rPr>
          <w:rFonts w:ascii="Times New Roman Bold" w:hAnsi="Times New Roman Bold"/>
          <w:b/>
          <w:bCs/>
          <w:caps/>
          <w:szCs w:val="22"/>
        </w:rPr>
      </w:pPr>
      <w:r w:rsidRPr="00427C73">
        <w:rPr>
          <w:rFonts w:ascii="Times New Roman Bold" w:hAnsi="Times New Roman Bold"/>
          <w:b/>
          <w:bCs/>
          <w:caps/>
          <w:szCs w:val="22"/>
        </w:rPr>
        <w:t>F</w:t>
      </w:r>
      <w:r w:rsidRPr="00427C73">
        <w:rPr>
          <w:rFonts w:ascii="Times New Roman Bold" w:hAnsi="Times New Roman Bold"/>
          <w:b/>
          <w:bCs/>
          <w:szCs w:val="22"/>
        </w:rPr>
        <w:t>ederal Communications Commission</w:t>
      </w:r>
    </w:p>
    <w:p w:rsidR="00427C73" w:rsidRPr="00427C73" w:rsidP="00427C73" w14:paraId="1ACCAC46" w14:textId="77777777">
      <w:pPr>
        <w:jc w:val="center"/>
        <w:rPr>
          <w:rFonts w:ascii="Times New Roman Bold" w:hAnsi="Times New Roman Bold"/>
          <w:b/>
          <w:bCs/>
          <w:caps/>
          <w:szCs w:val="22"/>
        </w:rPr>
      </w:pPr>
      <w:r w:rsidRPr="00427C73">
        <w:rPr>
          <w:rFonts w:ascii="Times New Roman Bold" w:hAnsi="Times New Roman Bold"/>
          <w:b/>
          <w:bCs/>
          <w:szCs w:val="22"/>
        </w:rPr>
        <w:t>Washington, D.C. 20554</w:t>
      </w:r>
    </w:p>
    <w:p w:rsidR="00427C73" w:rsidRPr="00427C73" w:rsidP="00427C73" w14:paraId="38F9ACD5" w14:textId="77777777"/>
    <w:p w:rsidR="00427C73" w:rsidRPr="00427C73" w:rsidP="00427C73" w14:paraId="5D683215" w14:textId="77777777"/>
    <w:tbl>
      <w:tblPr>
        <w:tblW w:w="0" w:type="auto"/>
        <w:tblLayout w:type="fixed"/>
        <w:tblLook w:val="0000"/>
      </w:tblPr>
      <w:tblGrid>
        <w:gridCol w:w="4698"/>
        <w:gridCol w:w="630"/>
        <w:gridCol w:w="4248"/>
      </w:tblGrid>
      <w:tr w14:paraId="653768E7" w14:textId="77777777" w:rsidTr="002C4568">
        <w:tblPrEx>
          <w:tblW w:w="0" w:type="auto"/>
          <w:tblLayout w:type="fixed"/>
          <w:tblLook w:val="0000"/>
        </w:tblPrEx>
        <w:tc>
          <w:tcPr>
            <w:tcW w:w="4698" w:type="dxa"/>
          </w:tcPr>
          <w:p w:rsidR="00427C73" w:rsidRPr="00427C73" w:rsidP="00427C73" w14:paraId="01562D25" w14:textId="77777777">
            <w:pPr>
              <w:tabs>
                <w:tab w:val="center" w:pos="4680"/>
              </w:tabs>
              <w:suppressAutoHyphens/>
              <w:rPr>
                <w:spacing w:val="-2"/>
              </w:rPr>
            </w:pPr>
            <w:r w:rsidRPr="00427C73">
              <w:rPr>
                <w:spacing w:val="-2"/>
              </w:rPr>
              <w:t>In the Matter of</w:t>
            </w:r>
          </w:p>
          <w:p w:rsidR="00427C73" w:rsidRPr="00427C73" w:rsidP="00427C73" w14:paraId="620E8BED" w14:textId="77777777">
            <w:pPr>
              <w:tabs>
                <w:tab w:val="center" w:pos="4680"/>
              </w:tabs>
              <w:suppressAutoHyphens/>
              <w:rPr>
                <w:spacing w:val="-2"/>
              </w:rPr>
            </w:pPr>
          </w:p>
          <w:p w:rsidR="00427C73" w:rsidRPr="00427C73" w:rsidP="00427C73" w14:paraId="631AF8BC" w14:textId="77777777">
            <w:pPr>
              <w:tabs>
                <w:tab w:val="center" w:pos="4680"/>
              </w:tabs>
              <w:suppressAutoHyphens/>
              <w:rPr>
                <w:spacing w:val="-2"/>
              </w:rPr>
            </w:pPr>
            <w:r w:rsidRPr="00427C73">
              <w:rPr>
                <w:spacing w:val="-2"/>
              </w:rPr>
              <w:t>Rules and Regulations Implementing the</w:t>
            </w:r>
          </w:p>
          <w:p w:rsidR="00427C73" w:rsidRPr="00427C73" w:rsidP="00427C73" w14:paraId="1CC53059" w14:textId="77777777">
            <w:pPr>
              <w:tabs>
                <w:tab w:val="center" w:pos="4680"/>
              </w:tabs>
              <w:suppressAutoHyphens/>
              <w:rPr>
                <w:spacing w:val="-2"/>
              </w:rPr>
            </w:pPr>
            <w:r w:rsidRPr="00427C73">
              <w:rPr>
                <w:spacing w:val="-2"/>
              </w:rPr>
              <w:t>Telephone Consumer Protection Act of 1991</w:t>
            </w:r>
          </w:p>
          <w:p w:rsidR="00427C73" w:rsidRPr="00427C73" w:rsidP="00427C73" w14:paraId="53DC76F6" w14:textId="77777777">
            <w:pPr>
              <w:tabs>
                <w:tab w:val="center" w:pos="4680"/>
              </w:tabs>
              <w:suppressAutoHyphens/>
              <w:rPr>
                <w:spacing w:val="-2"/>
              </w:rPr>
            </w:pPr>
          </w:p>
          <w:p w:rsidR="00427C73" w:rsidRPr="00427C73" w:rsidP="00427C73" w14:paraId="4BCC90C9" w14:textId="77777777">
            <w:pPr>
              <w:tabs>
                <w:tab w:val="center" w:pos="4680"/>
              </w:tabs>
              <w:suppressAutoHyphens/>
              <w:rPr>
                <w:spacing w:val="-2"/>
              </w:rPr>
            </w:pPr>
            <w:r w:rsidRPr="00427C73">
              <w:rPr>
                <w:spacing w:val="-2"/>
              </w:rPr>
              <w:t>Anthem, Inc.</w:t>
            </w:r>
          </w:p>
          <w:p w:rsidR="00427C73" w:rsidRPr="00427C73" w:rsidP="00427C73" w14:paraId="01DB4B8F" w14:textId="77777777">
            <w:pPr>
              <w:tabs>
                <w:tab w:val="center" w:pos="4680"/>
              </w:tabs>
              <w:suppressAutoHyphens/>
              <w:rPr>
                <w:spacing w:val="-2"/>
              </w:rPr>
            </w:pPr>
            <w:r w:rsidRPr="00427C73">
              <w:rPr>
                <w:spacing w:val="-2"/>
              </w:rPr>
              <w:t>Petition for Declaratory Ruling and Exemption</w:t>
            </w:r>
          </w:p>
        </w:tc>
        <w:tc>
          <w:tcPr>
            <w:tcW w:w="630" w:type="dxa"/>
          </w:tcPr>
          <w:p w:rsidR="00427C73" w:rsidRPr="00427C73" w:rsidP="00427C73" w14:paraId="54EE6CF0" w14:textId="77777777">
            <w:pPr>
              <w:tabs>
                <w:tab w:val="center" w:pos="4680"/>
              </w:tabs>
              <w:suppressAutoHyphens/>
              <w:rPr>
                <w:b/>
                <w:spacing w:val="-2"/>
              </w:rPr>
            </w:pPr>
            <w:r w:rsidRPr="00427C73">
              <w:rPr>
                <w:b/>
                <w:spacing w:val="-2"/>
              </w:rPr>
              <w:t>)</w:t>
            </w:r>
          </w:p>
          <w:p w:rsidR="00427C73" w:rsidRPr="00427C73" w:rsidP="00427C73" w14:paraId="59D611AC" w14:textId="77777777">
            <w:pPr>
              <w:tabs>
                <w:tab w:val="center" w:pos="4680"/>
              </w:tabs>
              <w:suppressAutoHyphens/>
              <w:rPr>
                <w:b/>
                <w:spacing w:val="-2"/>
              </w:rPr>
            </w:pPr>
            <w:r w:rsidRPr="00427C73">
              <w:rPr>
                <w:b/>
                <w:spacing w:val="-2"/>
              </w:rPr>
              <w:t>)</w:t>
            </w:r>
          </w:p>
          <w:p w:rsidR="00427C73" w:rsidRPr="00427C73" w:rsidP="00427C73" w14:paraId="0470E634" w14:textId="77777777">
            <w:pPr>
              <w:tabs>
                <w:tab w:val="center" w:pos="4680"/>
              </w:tabs>
              <w:suppressAutoHyphens/>
              <w:rPr>
                <w:b/>
                <w:spacing w:val="-2"/>
              </w:rPr>
            </w:pPr>
            <w:r w:rsidRPr="00427C73">
              <w:rPr>
                <w:b/>
                <w:spacing w:val="-2"/>
              </w:rPr>
              <w:t>)</w:t>
            </w:r>
          </w:p>
          <w:p w:rsidR="00427C73" w:rsidRPr="00427C73" w:rsidP="00427C73" w14:paraId="7A3C0FE3" w14:textId="77777777">
            <w:pPr>
              <w:tabs>
                <w:tab w:val="center" w:pos="4680"/>
              </w:tabs>
              <w:suppressAutoHyphens/>
              <w:rPr>
                <w:b/>
                <w:spacing w:val="-2"/>
              </w:rPr>
            </w:pPr>
            <w:r w:rsidRPr="00427C73">
              <w:rPr>
                <w:b/>
                <w:spacing w:val="-2"/>
              </w:rPr>
              <w:t>)</w:t>
            </w:r>
          </w:p>
          <w:p w:rsidR="00427C73" w:rsidRPr="00427C73" w:rsidP="00427C73" w14:paraId="6D3A5DBD" w14:textId="77777777">
            <w:pPr>
              <w:tabs>
                <w:tab w:val="center" w:pos="4680"/>
              </w:tabs>
              <w:suppressAutoHyphens/>
              <w:rPr>
                <w:b/>
                <w:spacing w:val="-2"/>
              </w:rPr>
            </w:pPr>
            <w:r w:rsidRPr="00427C73">
              <w:rPr>
                <w:b/>
                <w:spacing w:val="-2"/>
              </w:rPr>
              <w:t>)</w:t>
            </w:r>
          </w:p>
          <w:p w:rsidR="00427C73" w:rsidRPr="00427C73" w:rsidP="00427C73" w14:paraId="732B199D" w14:textId="77777777">
            <w:pPr>
              <w:tabs>
                <w:tab w:val="center" w:pos="4680"/>
              </w:tabs>
              <w:suppressAutoHyphens/>
              <w:rPr>
                <w:b/>
                <w:spacing w:val="-2"/>
              </w:rPr>
            </w:pPr>
            <w:r w:rsidRPr="00427C73">
              <w:rPr>
                <w:b/>
                <w:spacing w:val="-2"/>
              </w:rPr>
              <w:t>)</w:t>
            </w:r>
          </w:p>
          <w:p w:rsidR="00427C73" w:rsidRPr="00427C73" w:rsidP="00B76DFD" w14:paraId="578282E9" w14:textId="77777777">
            <w:pPr>
              <w:tabs>
                <w:tab w:val="center" w:pos="4680"/>
              </w:tabs>
              <w:suppressAutoHyphens/>
              <w:rPr>
                <w:spacing w:val="-2"/>
              </w:rPr>
            </w:pPr>
            <w:r w:rsidRPr="00427C73">
              <w:rPr>
                <w:b/>
                <w:spacing w:val="-2"/>
              </w:rPr>
              <w:t>)</w:t>
            </w:r>
          </w:p>
        </w:tc>
        <w:tc>
          <w:tcPr>
            <w:tcW w:w="4248" w:type="dxa"/>
          </w:tcPr>
          <w:p w:rsidR="00427C73" w:rsidRPr="00427C73" w:rsidP="00427C73" w14:paraId="44E50D9E" w14:textId="77777777">
            <w:pPr>
              <w:tabs>
                <w:tab w:val="center" w:pos="4680"/>
              </w:tabs>
              <w:suppressAutoHyphens/>
              <w:rPr>
                <w:spacing w:val="-2"/>
              </w:rPr>
            </w:pPr>
          </w:p>
          <w:p w:rsidR="00427C73" w:rsidRPr="00427C73" w:rsidP="00427C73" w14:paraId="22485299" w14:textId="77777777">
            <w:pPr>
              <w:tabs>
                <w:tab w:val="center" w:pos="4680"/>
              </w:tabs>
              <w:suppressAutoHyphens/>
              <w:rPr>
                <w:spacing w:val="-2"/>
              </w:rPr>
            </w:pPr>
          </w:p>
          <w:p w:rsidR="00427C73" w:rsidRPr="00427C73" w:rsidP="00427C73" w14:paraId="4B957626" w14:textId="77777777">
            <w:pPr>
              <w:tabs>
                <w:tab w:val="center" w:pos="4680"/>
              </w:tabs>
              <w:suppressAutoHyphens/>
              <w:rPr>
                <w:spacing w:val="-2"/>
              </w:rPr>
            </w:pPr>
            <w:r w:rsidRPr="00427C73">
              <w:rPr>
                <w:spacing w:val="-2"/>
              </w:rPr>
              <w:t>CG Docket No. 02-278</w:t>
            </w:r>
          </w:p>
          <w:p w:rsidR="00427C73" w:rsidRPr="00427C73" w:rsidP="00427C73" w14:paraId="3FE25CFB" w14:textId="77777777">
            <w:pPr>
              <w:tabs>
                <w:tab w:val="center" w:pos="4680"/>
              </w:tabs>
              <w:suppressAutoHyphens/>
              <w:rPr>
                <w:spacing w:val="-2"/>
              </w:rPr>
            </w:pPr>
          </w:p>
          <w:p w:rsidR="00427C73" w:rsidRPr="00427C73" w:rsidP="00427C73" w14:paraId="6A15E678" w14:textId="77777777">
            <w:pPr>
              <w:tabs>
                <w:tab w:val="center" w:pos="4680"/>
              </w:tabs>
              <w:suppressAutoHyphens/>
              <w:rPr>
                <w:spacing w:val="-2"/>
              </w:rPr>
            </w:pPr>
          </w:p>
        </w:tc>
      </w:tr>
    </w:tbl>
    <w:p w:rsidR="00427C73" w:rsidRPr="00427C73" w:rsidP="00427C73" w14:paraId="19C0418F" w14:textId="77777777"/>
    <w:p w:rsidR="00427C73" w:rsidRPr="00427C73" w:rsidP="00427C73" w14:paraId="7F9FC40B" w14:textId="77777777">
      <w:pPr>
        <w:jc w:val="center"/>
        <w:rPr>
          <w:rFonts w:ascii="Times New Roman Bold" w:hAnsi="Times New Roman Bold"/>
          <w:b/>
          <w:bCs/>
          <w:caps/>
          <w:szCs w:val="22"/>
        </w:rPr>
      </w:pPr>
      <w:r w:rsidRPr="00427C73">
        <w:rPr>
          <w:rFonts w:ascii="Times New Roman Bold" w:hAnsi="Times New Roman Bold"/>
          <w:b/>
          <w:bCs/>
          <w:caps/>
          <w:szCs w:val="22"/>
        </w:rPr>
        <w:t>DeclaratOry ruling and order</w:t>
      </w:r>
    </w:p>
    <w:p w:rsidR="00427C73" w:rsidRPr="00427C73" w:rsidP="00427C73" w14:paraId="2F30C392" w14:textId="77777777">
      <w:pPr>
        <w:tabs>
          <w:tab w:val="left" w:pos="-720"/>
        </w:tabs>
        <w:suppressAutoHyphens/>
        <w:spacing w:line="227" w:lineRule="auto"/>
        <w:rPr>
          <w:spacing w:val="-2"/>
        </w:rPr>
      </w:pPr>
    </w:p>
    <w:p w:rsidR="00427C73" w:rsidRPr="00427C73" w:rsidP="00427C73" w14:paraId="7CCB8F54" w14:textId="0E0450CF">
      <w:pPr>
        <w:tabs>
          <w:tab w:val="left" w:pos="720"/>
          <w:tab w:val="right" w:pos="9360"/>
        </w:tabs>
        <w:suppressAutoHyphens/>
        <w:spacing w:line="227" w:lineRule="auto"/>
        <w:rPr>
          <w:spacing w:val="-2"/>
        </w:rPr>
      </w:pPr>
      <w:r w:rsidRPr="00427C73">
        <w:rPr>
          <w:b/>
          <w:spacing w:val="-2"/>
        </w:rPr>
        <w:t xml:space="preserve">Adopted:  </w:t>
      </w:r>
      <w:r w:rsidR="004209A1">
        <w:rPr>
          <w:b/>
          <w:spacing w:val="-2"/>
        </w:rPr>
        <w:t>June 25, 2020</w:t>
      </w:r>
      <w:r w:rsidRPr="00427C73">
        <w:rPr>
          <w:b/>
          <w:spacing w:val="-2"/>
        </w:rPr>
        <w:tab/>
        <w:t xml:space="preserve">Released:  </w:t>
      </w:r>
      <w:r w:rsidR="004209A1">
        <w:rPr>
          <w:b/>
          <w:spacing w:val="-2"/>
        </w:rPr>
        <w:t>June 25, 2020</w:t>
      </w:r>
    </w:p>
    <w:p w:rsidR="00427C73" w:rsidRPr="00427C73" w:rsidP="00427C73" w14:paraId="28467ACF" w14:textId="77777777"/>
    <w:p w:rsidR="00427C73" w:rsidRPr="00427C73" w:rsidP="00427C73" w14:paraId="32E22341" w14:textId="77777777">
      <w:pPr>
        <w:rPr>
          <w:spacing w:val="-2"/>
        </w:rPr>
      </w:pPr>
      <w:r w:rsidRPr="00427C73">
        <w:t xml:space="preserve">By the </w:t>
      </w:r>
      <w:r w:rsidRPr="00427C73">
        <w:rPr>
          <w:spacing w:val="-2"/>
        </w:rPr>
        <w:t>Chief, Consumer and Governmental Affairs Bureau:</w:t>
      </w:r>
    </w:p>
    <w:p w:rsidR="00427C73" w:rsidRPr="00427C73" w:rsidP="00427C73" w14:paraId="286F361A" w14:textId="77777777">
      <w:pPr>
        <w:rPr>
          <w:spacing w:val="-2"/>
        </w:rPr>
      </w:pPr>
    </w:p>
    <w:p w:rsidR="00427C73" w:rsidRPr="00427C73" w:rsidP="00427C73" w14:paraId="4D7B53D8" w14:textId="77777777">
      <w:pPr>
        <w:keepNext/>
        <w:numPr>
          <w:ilvl w:val="0"/>
          <w:numId w:val="3"/>
        </w:numPr>
        <w:tabs>
          <w:tab w:val="left" w:pos="720"/>
        </w:tabs>
        <w:suppressAutoHyphens/>
        <w:spacing w:after="120"/>
        <w:outlineLvl w:val="0"/>
        <w:rPr>
          <w:rFonts w:ascii="Times New Roman Bold" w:hAnsi="Times New Roman Bold"/>
          <w:b/>
          <w:caps/>
        </w:rPr>
      </w:pPr>
      <w:r w:rsidRPr="00427C73">
        <w:rPr>
          <w:rFonts w:ascii="Times New Roman Bold" w:hAnsi="Times New Roman Bold"/>
          <w:b/>
          <w:caps/>
        </w:rPr>
        <w:t>introduction</w:t>
      </w:r>
    </w:p>
    <w:p w:rsidR="00427C73" w:rsidP="00D91B12" w14:paraId="0F4C5B7D" w14:textId="77777777">
      <w:pPr>
        <w:numPr>
          <w:ilvl w:val="0"/>
          <w:numId w:val="2"/>
        </w:numPr>
        <w:tabs>
          <w:tab w:val="num" w:pos="-90"/>
          <w:tab w:val="num" w:pos="0"/>
          <w:tab w:val="clear" w:pos="1080"/>
          <w:tab w:val="num" w:pos="1440"/>
        </w:tabs>
        <w:spacing w:after="120"/>
      </w:pPr>
      <w:r>
        <w:t>T</w:t>
      </w:r>
      <w:r w:rsidRPr="00427C73" w:rsidR="00A9547F">
        <w:t xml:space="preserve">he </w:t>
      </w:r>
      <w:r w:rsidR="00A9547F">
        <w:t>Telephone Consumer Protection Act</w:t>
      </w:r>
      <w:r w:rsidR="001F145F">
        <w:t xml:space="preserve"> </w:t>
      </w:r>
      <w:r w:rsidR="00C641BA">
        <w:t xml:space="preserve">(TCPA) </w:t>
      </w:r>
      <w:r w:rsidR="0027789B">
        <w:t xml:space="preserve">prohibits calls </w:t>
      </w:r>
      <w:r w:rsidR="004F78ED">
        <w:t xml:space="preserve">to wireless </w:t>
      </w:r>
      <w:r w:rsidR="009F44DD">
        <w:t>numbers</w:t>
      </w:r>
      <w:r w:rsidR="004F78ED">
        <w:t xml:space="preserve"> </w:t>
      </w:r>
      <w:r w:rsidR="0027789B">
        <w:t>made using an autodialer or an artificial or prerecorded voice unless the calls are “made for an emergency purpose or [are] made with the prior express consent of the called party.”</w:t>
      </w:r>
      <w:r>
        <w:rPr>
          <w:rStyle w:val="FootnoteReference"/>
        </w:rPr>
        <w:footnoteReference w:id="3"/>
      </w:r>
      <w:r w:rsidR="00630FC8">
        <w:t xml:space="preserve">  </w:t>
      </w:r>
      <w:r>
        <w:t xml:space="preserve">In 2015, </w:t>
      </w:r>
      <w:r w:rsidR="004D7197">
        <w:t xml:space="preserve">health benefit company </w:t>
      </w:r>
      <w:r>
        <w:t>Anthem, Inc.</w:t>
      </w:r>
      <w:r w:rsidR="004D7197">
        <w:t xml:space="preserve"> (Anthem)</w:t>
      </w:r>
      <w:r>
        <w:t xml:space="preserve"> filed a </w:t>
      </w:r>
      <w:r w:rsidRPr="00937D6E" w:rsidR="00937D6E">
        <w:t xml:space="preserve">Petition for Declaratory Ruling and Exemption </w:t>
      </w:r>
      <w:r>
        <w:t>asking the Commission</w:t>
      </w:r>
      <w:r w:rsidR="00C54B3F">
        <w:t xml:space="preserve"> </w:t>
      </w:r>
      <w:r w:rsidR="00266BE5">
        <w:t xml:space="preserve">to exempt health plans and providers from </w:t>
      </w:r>
      <w:r w:rsidR="00F90359">
        <w:t>the need to obtain</w:t>
      </w:r>
      <w:r w:rsidR="00266BE5">
        <w:t xml:space="preserve"> prior express consent before making health</w:t>
      </w:r>
      <w:r w:rsidR="00F90359">
        <w:t xml:space="preserve"> </w:t>
      </w:r>
      <w:r w:rsidR="00266BE5">
        <w:t xml:space="preserve">care-related calls and text messages to wireless telephone numbers so long as they allow consumers to opt out </w:t>
      </w:r>
      <w:r w:rsidR="00F90359">
        <w:t xml:space="preserve">of such messages </w:t>
      </w:r>
      <w:r w:rsidR="00266BE5">
        <w:t>after the fact</w:t>
      </w:r>
      <w:r w:rsidR="00F27427">
        <w:t>.</w:t>
      </w:r>
      <w:r>
        <w:rPr>
          <w:rStyle w:val="FootnoteReference"/>
        </w:rPr>
        <w:footnoteReference w:id="4"/>
      </w:r>
      <w:r w:rsidRPr="002A5B8D" w:rsidR="00DB0771">
        <w:t xml:space="preserve">  </w:t>
      </w:r>
      <w:r w:rsidRPr="002A5B8D" w:rsidR="00A85D88">
        <w:t>In other words, such health plan</w:t>
      </w:r>
      <w:r w:rsidR="00F90359">
        <w:t xml:space="preserve"> provider</w:t>
      </w:r>
      <w:r w:rsidRPr="002A5B8D" w:rsidR="00A85D88">
        <w:t xml:space="preserve">s </w:t>
      </w:r>
      <w:r w:rsidR="00F90359">
        <w:t xml:space="preserve">could enroll their customers in message programs </w:t>
      </w:r>
      <w:r w:rsidR="00D91B12">
        <w:t xml:space="preserve">without “prior express consent” </w:t>
      </w:r>
      <w:r w:rsidRPr="002A5B8D" w:rsidR="00A85D88">
        <w:t xml:space="preserve">and </w:t>
      </w:r>
      <w:r w:rsidR="00D91B12">
        <w:t xml:space="preserve">instead </w:t>
      </w:r>
      <w:r w:rsidRPr="002A5B8D" w:rsidR="00A85D88">
        <w:t>require consumers to take affirmative action to prevent such calls and text messages.</w:t>
      </w:r>
      <w:r w:rsidR="00A85D88">
        <w:t xml:space="preserve">  </w:t>
      </w:r>
      <w:r w:rsidR="007C7D46">
        <w:t xml:space="preserve">Anthem also asks that the Commission </w:t>
      </w:r>
      <w:r w:rsidR="00266BE5">
        <w:t xml:space="preserve">exempt certain </w:t>
      </w:r>
      <w:r w:rsidR="00B96451">
        <w:t>non-emergency</w:t>
      </w:r>
      <w:r w:rsidR="001830EB">
        <w:t>,</w:t>
      </w:r>
      <w:r w:rsidR="00B96451">
        <w:t xml:space="preserve"> </w:t>
      </w:r>
      <w:r w:rsidR="001830EB">
        <w:t xml:space="preserve">urgent </w:t>
      </w:r>
      <w:r w:rsidR="00266BE5">
        <w:t>health</w:t>
      </w:r>
      <w:r w:rsidR="00F90359">
        <w:t xml:space="preserve"> </w:t>
      </w:r>
      <w:r w:rsidR="00266BE5">
        <w:t>care-related calls from the requirements of the TCPA</w:t>
      </w:r>
      <w:r w:rsidR="00532AB5">
        <w:t>.</w:t>
      </w:r>
      <w:r>
        <w:rPr>
          <w:rStyle w:val="FootnoteReference"/>
        </w:rPr>
        <w:footnoteReference w:id="5"/>
      </w:r>
      <w:r w:rsidR="00DB0771">
        <w:t xml:space="preserve"> </w:t>
      </w:r>
      <w:r>
        <w:t xml:space="preserve">   </w:t>
      </w:r>
    </w:p>
    <w:p w:rsidR="00427C73" w:rsidRPr="00427C73" w:rsidP="00427C73" w14:paraId="7F5E91F7" w14:textId="77777777">
      <w:pPr>
        <w:numPr>
          <w:ilvl w:val="0"/>
          <w:numId w:val="2"/>
        </w:numPr>
        <w:tabs>
          <w:tab w:val="num" w:pos="-90"/>
          <w:tab w:val="num" w:pos="0"/>
          <w:tab w:val="clear" w:pos="1080"/>
          <w:tab w:val="num" w:pos="1440"/>
        </w:tabs>
        <w:spacing w:after="120"/>
      </w:pPr>
      <w:r w:rsidRPr="00427C73">
        <w:t xml:space="preserve">In this </w:t>
      </w:r>
      <w:r w:rsidR="00DE1BC5">
        <w:t>Declaratory Ruling and O</w:t>
      </w:r>
      <w:r w:rsidRPr="00427C73" w:rsidR="00DE1BC5">
        <w:t>rder</w:t>
      </w:r>
      <w:r w:rsidRPr="00427C73">
        <w:t xml:space="preserve">, we </w:t>
      </w:r>
      <w:r w:rsidR="008454AB">
        <w:t xml:space="preserve">affirm that callers must get consumers’ prior express consent before making </w:t>
      </w:r>
      <w:r w:rsidR="00D91B12">
        <w:t>autodialed calls or robocalls</w:t>
      </w:r>
      <w:r w:rsidR="00F90359">
        <w:t>,</w:t>
      </w:r>
      <w:r w:rsidR="007C7D46">
        <w:t xml:space="preserve"> </w:t>
      </w:r>
      <w:r w:rsidR="008454AB">
        <w:t xml:space="preserve">and thus deny </w:t>
      </w:r>
      <w:r w:rsidR="00CA30F7">
        <w:t>Anthem</w:t>
      </w:r>
      <w:r w:rsidR="008454AB">
        <w:t>’s request</w:t>
      </w:r>
      <w:r w:rsidR="00D91B12">
        <w:t>s</w:t>
      </w:r>
      <w:r w:rsidR="008454AB">
        <w:t xml:space="preserve">.  </w:t>
      </w:r>
    </w:p>
    <w:p w:rsidR="00427C73" w:rsidRPr="00427C73" w:rsidP="00427C73" w14:paraId="6A129C7A" w14:textId="77777777">
      <w:pPr>
        <w:keepNext/>
        <w:numPr>
          <w:ilvl w:val="0"/>
          <w:numId w:val="3"/>
        </w:numPr>
        <w:tabs>
          <w:tab w:val="left" w:pos="720"/>
        </w:tabs>
        <w:suppressAutoHyphens/>
        <w:spacing w:after="120"/>
        <w:outlineLvl w:val="0"/>
        <w:rPr>
          <w:rFonts w:ascii="Times New Roman Bold" w:hAnsi="Times New Roman Bold"/>
          <w:b/>
          <w:caps/>
        </w:rPr>
      </w:pPr>
      <w:bookmarkStart w:id="1" w:name="_Toc424289556"/>
      <w:r w:rsidRPr="00427C73">
        <w:rPr>
          <w:rFonts w:ascii="Times New Roman Bold" w:hAnsi="Times New Roman Bold"/>
          <w:b/>
          <w:caps/>
        </w:rPr>
        <w:t>Background</w:t>
      </w:r>
      <w:bookmarkEnd w:id="1"/>
    </w:p>
    <w:p w:rsidR="00427C73" w:rsidRPr="00427C73" w:rsidP="00DD20FF" w14:paraId="6709D5F3" w14:textId="77777777">
      <w:pPr>
        <w:numPr>
          <w:ilvl w:val="0"/>
          <w:numId w:val="2"/>
        </w:numPr>
        <w:tabs>
          <w:tab w:val="num" w:pos="-90"/>
          <w:tab w:val="num" w:pos="0"/>
          <w:tab w:val="clear" w:pos="1080"/>
          <w:tab w:val="num" w:pos="1440"/>
        </w:tabs>
        <w:spacing w:after="120"/>
      </w:pPr>
      <w:r w:rsidRPr="00427C73">
        <w:t>In relevant part, the TCPA prohibits calls made using an autodialer or an artificial or prerecorded voice to wireless telephone numbers except when made: (1) for an emergency purpose; (2)</w:t>
      </w:r>
      <w:r w:rsidR="00D91B12">
        <w:t> </w:t>
      </w:r>
      <w:r w:rsidRPr="00427C73">
        <w:t>with the prior express consent of the called party; (3) pursuant to a Commission-granted exemption; or (4) solely for the collection of a debt owed to or guaranteed by the United States.</w:t>
      </w:r>
      <w:r>
        <w:rPr>
          <w:vertAlign w:val="superscript"/>
        </w:rPr>
        <w:footnoteReference w:id="6"/>
      </w:r>
      <w:r w:rsidRPr="00427C73">
        <w:t xml:space="preserve"> </w:t>
      </w:r>
      <w:bookmarkStart w:id="2" w:name="_Hlk27042839"/>
      <w:r w:rsidR="008454AB">
        <w:t xml:space="preserve"> For </w:t>
      </w:r>
      <w:r w:rsidR="009A715B">
        <w:t>the third of these exceptions</w:t>
      </w:r>
      <w:r w:rsidR="008454AB">
        <w:t>, t</w:t>
      </w:r>
      <w:bookmarkStart w:id="3" w:name="_Hlk25329891"/>
      <w:r w:rsidRPr="00427C73">
        <w:t xml:space="preserve">he </w:t>
      </w:r>
      <w:bookmarkEnd w:id="2"/>
      <w:r w:rsidR="008454AB">
        <w:t xml:space="preserve">TCPA gives </w:t>
      </w:r>
      <w:r w:rsidR="002A3743">
        <w:t xml:space="preserve">the </w:t>
      </w:r>
      <w:r w:rsidRPr="00427C73">
        <w:t xml:space="preserve">Commission </w:t>
      </w:r>
      <w:r w:rsidR="002A3743">
        <w:t xml:space="preserve">the </w:t>
      </w:r>
      <w:r w:rsidR="008454AB">
        <w:t xml:space="preserve">authority to </w:t>
      </w:r>
      <w:r w:rsidRPr="00427C73">
        <w:t xml:space="preserve">exempt from the </w:t>
      </w:r>
      <w:r w:rsidRPr="00427C73" w:rsidR="00CA30F7">
        <w:t>prior</w:t>
      </w:r>
      <w:r w:rsidR="00CA30F7">
        <w:t>-</w:t>
      </w:r>
      <w:r w:rsidRPr="00427C73" w:rsidR="00CA30F7">
        <w:t>express</w:t>
      </w:r>
      <w:r w:rsidR="00CA30F7">
        <w:t>-</w:t>
      </w:r>
      <w:r w:rsidRPr="00427C73">
        <w:t xml:space="preserve">consent </w:t>
      </w:r>
      <w:r w:rsidRPr="00427C73">
        <w:t xml:space="preserve">requirement </w:t>
      </w:r>
      <w:r w:rsidR="00824A40">
        <w:t xml:space="preserve">only </w:t>
      </w:r>
      <w:r w:rsidRPr="00427C73">
        <w:t xml:space="preserve">calls to wireless telephone numbers </w:t>
      </w:r>
      <w:r w:rsidR="00824A40">
        <w:t>“</w:t>
      </w:r>
      <w:r w:rsidRPr="00427C73">
        <w:t>that are not charged to the called party,</w:t>
      </w:r>
      <w:r w:rsidR="00824A40">
        <w:t>”</w:t>
      </w:r>
      <w:r w:rsidRPr="00427C73">
        <w:t xml:space="preserve"> subject to conditions the Commission may prescribe “as necessary in the interest of the privacy rights [the TCPA] is intended to protect.”</w:t>
      </w:r>
      <w:r>
        <w:rPr>
          <w:vertAlign w:val="superscript"/>
        </w:rPr>
        <w:footnoteReference w:id="7"/>
      </w:r>
      <w:r w:rsidRPr="00427C73">
        <w:t xml:space="preserve"> </w:t>
      </w:r>
      <w:bookmarkEnd w:id="3"/>
    </w:p>
    <w:p w:rsidR="00427C73" w:rsidP="00022093" w14:paraId="7F61BF1D" w14:textId="77777777">
      <w:pPr>
        <w:numPr>
          <w:ilvl w:val="0"/>
          <w:numId w:val="2"/>
        </w:numPr>
        <w:tabs>
          <w:tab w:val="num" w:pos="-90"/>
          <w:tab w:val="num" w:pos="0"/>
          <w:tab w:val="clear" w:pos="1080"/>
          <w:tab w:val="num" w:pos="1440"/>
        </w:tabs>
        <w:spacing w:after="120"/>
      </w:pPr>
      <w:r w:rsidRPr="00427C73">
        <w:t xml:space="preserve">On June 10, 2015, Anthem filed a petition asking the Commission to clarify that </w:t>
      </w:r>
      <w:r w:rsidR="007C7D46">
        <w:t>the TCPA’s prior</w:t>
      </w:r>
      <w:r w:rsidR="001C201E">
        <w:t>-</w:t>
      </w:r>
      <w:r w:rsidR="007C7D46">
        <w:t>express</w:t>
      </w:r>
      <w:r w:rsidR="001C201E">
        <w:t>-</w:t>
      </w:r>
      <w:r w:rsidR="007C7D46">
        <w:t>consent requirement do</w:t>
      </w:r>
      <w:r w:rsidR="00F2241D">
        <w:t>es</w:t>
      </w:r>
      <w:r w:rsidR="007C7D46">
        <w:t xml:space="preserve"> not apply to its calls.  </w:t>
      </w:r>
      <w:r w:rsidRPr="00427C73">
        <w:t>Anthem</w:t>
      </w:r>
      <w:r w:rsidR="008525B4">
        <w:t xml:space="preserve"> asks us to exempt health </w:t>
      </w:r>
      <w:r w:rsidR="00F90359">
        <w:t xml:space="preserve">care </w:t>
      </w:r>
      <w:r w:rsidR="008525B4">
        <w:t xml:space="preserve">plans and providers from </w:t>
      </w:r>
      <w:r w:rsidR="00F90359">
        <w:t>the need to obtain</w:t>
      </w:r>
      <w:r w:rsidR="008525B4">
        <w:t xml:space="preserve"> prior express consent before making health</w:t>
      </w:r>
      <w:r w:rsidR="00F90359">
        <w:t xml:space="preserve"> </w:t>
      </w:r>
      <w:r w:rsidR="008525B4">
        <w:t>care-related calls and text messages to wireless telephone numbers so long as they allow consumers to opt out after the fact</w:t>
      </w:r>
      <w:r w:rsidR="008454AB">
        <w:t>.</w:t>
      </w:r>
      <w:r>
        <w:rPr>
          <w:rStyle w:val="FootnoteReference"/>
        </w:rPr>
        <w:footnoteReference w:id="8"/>
      </w:r>
      <w:r w:rsidR="008454AB">
        <w:t xml:space="preserve">  </w:t>
      </w:r>
      <w:r w:rsidR="008525B4">
        <w:t>Anthem also asks us to exempt certain non-emergency, health</w:t>
      </w:r>
      <w:r w:rsidR="00F90359">
        <w:t xml:space="preserve"> </w:t>
      </w:r>
      <w:r w:rsidR="008525B4">
        <w:t>care-related calls that are purportedly “urgent” from the requirements of the TCPA.</w:t>
      </w:r>
      <w:r>
        <w:rPr>
          <w:sz w:val="20"/>
          <w:vertAlign w:val="superscript"/>
        </w:rPr>
        <w:footnoteReference w:id="9"/>
      </w:r>
      <w:r w:rsidRPr="00427C73">
        <w:t xml:space="preserve">  </w:t>
      </w:r>
      <w:r w:rsidR="00504044">
        <w:t>Anthem c</w:t>
      </w:r>
      <w:r w:rsidR="007C7D46">
        <w:t xml:space="preserve">haracterizes </w:t>
      </w:r>
      <w:r w:rsidR="00504044">
        <w:t>these “specific calls and texts” as case management calls, preventative medicine calls, and calls regarding the use and maintenance of medical benefits.</w:t>
      </w:r>
      <w:r>
        <w:rPr>
          <w:rStyle w:val="FootnoteReference"/>
        </w:rPr>
        <w:footnoteReference w:id="10"/>
      </w:r>
      <w:r w:rsidR="00504044">
        <w:t xml:space="preserve">  </w:t>
      </w:r>
      <w:r w:rsidR="00456238">
        <w:t xml:space="preserve">Anthem makes several policy arguments as well, including that the calls benefit consumers, </w:t>
      </w:r>
      <w:r w:rsidR="00194166">
        <w:t xml:space="preserve">are </w:t>
      </w:r>
      <w:r w:rsidR="00456238">
        <w:t>welcomed by consumers</w:t>
      </w:r>
      <w:r w:rsidR="00AF506D">
        <w:t>,</w:t>
      </w:r>
      <w:r w:rsidR="00456238">
        <w:t xml:space="preserve"> and are otherwise regulated</w:t>
      </w:r>
      <w:r w:rsidR="007E0D20">
        <w:t>,</w:t>
      </w:r>
      <w:r w:rsidR="00456238">
        <w:t xml:space="preserve"> which</w:t>
      </w:r>
      <w:r w:rsidR="00D149E0">
        <w:t xml:space="preserve"> it asserts</w:t>
      </w:r>
      <w:r w:rsidR="00456238">
        <w:t xml:space="preserve"> should allay any TCPA-related concerns</w:t>
      </w:r>
      <w:r w:rsidR="00ED4B2A">
        <w:t>.</w:t>
      </w:r>
      <w:r>
        <w:rPr>
          <w:rStyle w:val="FootnoteReference"/>
        </w:rPr>
        <w:footnoteReference w:id="11"/>
      </w:r>
    </w:p>
    <w:p w:rsidR="00427C73" w:rsidP="00A270BE" w14:paraId="63EDB4B1" w14:textId="77777777">
      <w:pPr>
        <w:numPr>
          <w:ilvl w:val="0"/>
          <w:numId w:val="2"/>
        </w:numPr>
        <w:tabs>
          <w:tab w:val="num" w:pos="-90"/>
          <w:tab w:val="num" w:pos="0"/>
          <w:tab w:val="clear" w:pos="1080"/>
          <w:tab w:val="num" w:pos="1440"/>
        </w:tabs>
        <w:spacing w:after="120"/>
      </w:pPr>
      <w:r w:rsidRPr="00427C73">
        <w:t>The Consumer and Governmental Affairs Bureau (Bureau)</w:t>
      </w:r>
      <w:r w:rsidR="00824229">
        <w:t xml:space="preserve"> </w:t>
      </w:r>
      <w:r w:rsidRPr="00427C73">
        <w:t>sought comment on the Anthem Petition.</w:t>
      </w:r>
      <w:r>
        <w:rPr>
          <w:sz w:val="20"/>
          <w:vertAlign w:val="superscript"/>
        </w:rPr>
        <w:footnoteReference w:id="12"/>
      </w:r>
      <w:r w:rsidRPr="00427C73">
        <w:t xml:space="preserve">  Four </w:t>
      </w:r>
      <w:r w:rsidR="00F27427">
        <w:t>commenters</w:t>
      </w:r>
      <w:r w:rsidRPr="00427C73">
        <w:t xml:space="preserve">, </w:t>
      </w:r>
      <w:r w:rsidR="007C7D46">
        <w:t xml:space="preserve">including </w:t>
      </w:r>
      <w:r w:rsidRPr="00427C73">
        <w:t>health</w:t>
      </w:r>
      <w:r w:rsidR="00ED1D5D">
        <w:t xml:space="preserve"> </w:t>
      </w:r>
      <w:r w:rsidRPr="00427C73">
        <w:t xml:space="preserve">care providers, national retail drug store chains, and a health benefits coordinator, filed comments supporting </w:t>
      </w:r>
      <w:r w:rsidR="00ED4B2A">
        <w:t>Anthem</w:t>
      </w:r>
      <w:r w:rsidRPr="00427C73">
        <w:t>.</w:t>
      </w:r>
      <w:r>
        <w:rPr>
          <w:sz w:val="20"/>
          <w:vertAlign w:val="superscript"/>
        </w:rPr>
        <w:footnoteReference w:id="13"/>
      </w:r>
      <w:r w:rsidRPr="00427C73">
        <w:t xml:space="preserve">  These commenters argue that the </w:t>
      </w:r>
      <w:r w:rsidR="00D83B76">
        <w:t xml:space="preserve">Commission should exempt from the TCPA’s </w:t>
      </w:r>
      <w:r w:rsidR="000D7672">
        <w:t>prior-express-</w:t>
      </w:r>
      <w:r w:rsidR="00D83B76">
        <w:t xml:space="preserve">consent requirement the </w:t>
      </w:r>
      <w:r w:rsidRPr="00427C73">
        <w:t xml:space="preserve">calls </w:t>
      </w:r>
      <w:r w:rsidR="00D83B76">
        <w:t xml:space="preserve">Anthem </w:t>
      </w:r>
      <w:r w:rsidRPr="00427C73">
        <w:t>identifi</w:t>
      </w:r>
      <w:r w:rsidR="00D83B76">
        <w:t xml:space="preserve">es </w:t>
      </w:r>
      <w:r w:rsidRPr="00427C73">
        <w:t>because they have the potential to “improve medical treatment compliance, medication adherence and appointment attendance.”</w:t>
      </w:r>
      <w:r>
        <w:rPr>
          <w:sz w:val="20"/>
          <w:vertAlign w:val="superscript"/>
        </w:rPr>
        <w:footnoteReference w:id="14"/>
      </w:r>
      <w:r w:rsidRPr="00427C73">
        <w:t xml:space="preserve"> </w:t>
      </w:r>
      <w:r w:rsidR="00D83B76">
        <w:t xml:space="preserve"> </w:t>
      </w:r>
      <w:r w:rsidRPr="00427C73">
        <w:t xml:space="preserve">One consumer filed an </w:t>
      </w:r>
      <w:r w:rsidRPr="00A270BE">
        <w:rPr>
          <w:i/>
        </w:rPr>
        <w:t xml:space="preserve">ex </w:t>
      </w:r>
      <w:r w:rsidRPr="00A270BE">
        <w:rPr>
          <w:i/>
        </w:rPr>
        <w:t>parte</w:t>
      </w:r>
      <w:r w:rsidRPr="00427C73">
        <w:t xml:space="preserve"> comment opposing the petition</w:t>
      </w:r>
      <w:r w:rsidR="00D83B76">
        <w:t xml:space="preserve">, </w:t>
      </w:r>
      <w:r w:rsidRPr="00427C73">
        <w:t>assert</w:t>
      </w:r>
      <w:r w:rsidR="00D83B76">
        <w:t>ing</w:t>
      </w:r>
      <w:r w:rsidRPr="00427C73">
        <w:t xml:space="preserve"> that Anthem</w:t>
      </w:r>
      <w:r w:rsidR="00D83B76">
        <w:t xml:space="preserve">’s calls are not </w:t>
      </w:r>
      <w:r w:rsidRPr="00427C73">
        <w:t xml:space="preserve">“emergency” </w:t>
      </w:r>
      <w:r w:rsidR="00D83B76">
        <w:t xml:space="preserve">calls </w:t>
      </w:r>
      <w:r w:rsidRPr="00427C73">
        <w:t>and that content-based exemptions to the TCPA are not appropriate.</w:t>
      </w:r>
      <w:r w:rsidRPr="00A270BE" w:rsidR="00D83B76">
        <w:rPr>
          <w:sz w:val="20"/>
          <w:vertAlign w:val="superscript"/>
        </w:rPr>
        <w:t xml:space="preserve"> </w:t>
      </w:r>
      <w:r>
        <w:rPr>
          <w:sz w:val="20"/>
          <w:vertAlign w:val="superscript"/>
        </w:rPr>
        <w:footnoteReference w:id="15"/>
      </w:r>
      <w:r w:rsidRPr="00427C73">
        <w:t xml:space="preserve">  </w:t>
      </w:r>
    </w:p>
    <w:p w:rsidR="009422C0" w:rsidP="00A270BE" w14:paraId="3139DF91" w14:textId="0BD9E5B8">
      <w:pPr>
        <w:numPr>
          <w:ilvl w:val="0"/>
          <w:numId w:val="2"/>
        </w:numPr>
        <w:tabs>
          <w:tab w:val="num" w:pos="-90"/>
          <w:tab w:val="num" w:pos="0"/>
          <w:tab w:val="clear" w:pos="1080"/>
          <w:tab w:val="num" w:pos="1440"/>
        </w:tabs>
        <w:spacing w:after="120"/>
      </w:pPr>
      <w:r>
        <w:t>On March 20, 2020</w:t>
      </w:r>
      <w:r w:rsidR="001D5BAA">
        <w:t>,</w:t>
      </w:r>
      <w:r>
        <w:t xml:space="preserve"> the Bureau</w:t>
      </w:r>
      <w:r w:rsidR="001D5BAA">
        <w:t>, in response to the COVID-19 pandemic, issued a declaratory ruling offering clarification regarding “emergency purposes” calls and the TCPA.</w:t>
      </w:r>
      <w:r>
        <w:rPr>
          <w:rStyle w:val="FootnoteReference"/>
        </w:rPr>
        <w:footnoteReference w:id="16"/>
      </w:r>
      <w:r w:rsidR="001D5BAA">
        <w:t xml:space="preserve">  The Bureau clarified that </w:t>
      </w:r>
      <w:r w:rsidRPr="00E106AF" w:rsidR="001D5BAA">
        <w:t>government official</w:t>
      </w:r>
      <w:r w:rsidR="001D5BAA">
        <w:t>s</w:t>
      </w:r>
      <w:r w:rsidRPr="00E106AF" w:rsidR="001D5BAA">
        <w:t xml:space="preserve"> </w:t>
      </w:r>
      <w:r w:rsidR="001D5BAA">
        <w:t>and public health care authorities</w:t>
      </w:r>
      <w:r w:rsidR="00934298">
        <w:t>,</w:t>
      </w:r>
      <w:r w:rsidR="001D5BAA">
        <w:t xml:space="preserve"> </w:t>
      </w:r>
      <w:r w:rsidRPr="00732CA0" w:rsidR="001D5BAA">
        <w:t xml:space="preserve">as well as a person under the </w:t>
      </w:r>
      <w:r w:rsidRPr="00732CA0" w:rsidR="001D5BAA">
        <w:t xml:space="preserve">express direction of such </w:t>
      </w:r>
      <w:r w:rsidR="001D5BAA">
        <w:t xml:space="preserve">an </w:t>
      </w:r>
      <w:r w:rsidRPr="00732CA0" w:rsidR="001D5BAA">
        <w:t>organization and acting on its behalf</w:t>
      </w:r>
      <w:r w:rsidR="00934298">
        <w:t>,</w:t>
      </w:r>
      <w:r w:rsidRPr="00732CA0" w:rsidR="001D5BAA">
        <w:t xml:space="preserve"> </w:t>
      </w:r>
      <w:r w:rsidR="001D5BAA">
        <w:t>can make</w:t>
      </w:r>
      <w:r w:rsidRPr="008A78B6" w:rsidR="001D5BAA">
        <w:rPr>
          <w:snapToGrid w:val="0"/>
        </w:rPr>
        <w:t xml:space="preserve"> automated calls </w:t>
      </w:r>
      <w:r w:rsidRPr="00E106AF" w:rsidR="001D5BAA">
        <w:t>directly related to th</w:t>
      </w:r>
      <w:r w:rsidR="001D5BAA">
        <w:t>e</w:t>
      </w:r>
      <w:r w:rsidRPr="00E106AF" w:rsidR="001D5BAA">
        <w:t xml:space="preserve"> health or safety risk</w:t>
      </w:r>
      <w:r w:rsidR="001D5BAA">
        <w:t>s</w:t>
      </w:r>
      <w:r w:rsidRPr="00E106AF" w:rsidR="001D5BAA">
        <w:t xml:space="preserve"> arising out of the COVID-19 outbreak</w:t>
      </w:r>
      <w:r w:rsidR="001D5BAA">
        <w:t xml:space="preserve"> pursuant to the TCPA’s “emergency purpose” exception.</w:t>
      </w:r>
      <w:r>
        <w:rPr>
          <w:rStyle w:val="FootnoteReference"/>
        </w:rPr>
        <w:footnoteReference w:id="17"/>
      </w:r>
      <w:r w:rsidR="001D5BAA">
        <w:t xml:space="preserve">  Such emergency calls are permissible under the TCPA and the Commission’s implementing rules even without the prior express consent of the called party.</w:t>
      </w:r>
    </w:p>
    <w:p w:rsidR="00427C73" w:rsidRPr="00DF5970" w:rsidP="00DF5970" w14:paraId="14427B6B" w14:textId="77777777">
      <w:pPr>
        <w:keepNext/>
        <w:numPr>
          <w:ilvl w:val="0"/>
          <w:numId w:val="3"/>
        </w:numPr>
        <w:tabs>
          <w:tab w:val="left" w:pos="720"/>
        </w:tabs>
        <w:suppressAutoHyphens/>
        <w:spacing w:after="120"/>
        <w:outlineLvl w:val="0"/>
        <w:rPr>
          <w:rFonts w:ascii="Times New Roman Bold" w:hAnsi="Times New Roman Bold"/>
          <w:b/>
          <w:caps/>
        </w:rPr>
      </w:pPr>
      <w:r w:rsidRPr="00427C73">
        <w:rPr>
          <w:rFonts w:ascii="Times New Roman Bold" w:hAnsi="Times New Roman Bold"/>
          <w:b/>
          <w:caps/>
        </w:rPr>
        <w:t>discussion</w:t>
      </w:r>
    </w:p>
    <w:p w:rsidR="006603F4" w:rsidP="00DA5F02" w14:paraId="5585851F" w14:textId="5A46AE90">
      <w:pPr>
        <w:numPr>
          <w:ilvl w:val="0"/>
          <w:numId w:val="2"/>
        </w:numPr>
        <w:tabs>
          <w:tab w:val="num" w:pos="-90"/>
          <w:tab w:val="num" w:pos="0"/>
          <w:tab w:val="clear" w:pos="1080"/>
          <w:tab w:val="num" w:pos="1440"/>
        </w:tabs>
        <w:spacing w:after="120"/>
      </w:pPr>
      <w:r>
        <w:t xml:space="preserve">In this </w:t>
      </w:r>
      <w:r w:rsidR="00692C4F">
        <w:t>O</w:t>
      </w:r>
      <w:r>
        <w:t xml:space="preserve">rder, we affirm that makers of robocalls </w:t>
      </w:r>
      <w:r w:rsidR="0056136F">
        <w:t xml:space="preserve">generally </w:t>
      </w:r>
      <w:r>
        <w:t xml:space="preserve">must </w:t>
      </w:r>
      <w:r w:rsidR="00F540DE">
        <w:t xml:space="preserve">obtain </w:t>
      </w:r>
      <w:r>
        <w:t xml:space="preserve">a consumer’s prior express consent </w:t>
      </w:r>
      <w:r w:rsidRPr="00CD56A8">
        <w:rPr>
          <w:i/>
          <w:iCs/>
        </w:rPr>
        <w:t>before</w:t>
      </w:r>
      <w:r>
        <w:t xml:space="preserve"> making calls</w:t>
      </w:r>
      <w:r w:rsidR="007C7D46">
        <w:t xml:space="preserve"> to </w:t>
      </w:r>
      <w:r w:rsidR="000D7672">
        <w:t xml:space="preserve">the </w:t>
      </w:r>
      <w:r w:rsidR="007C7D46">
        <w:t>consumer</w:t>
      </w:r>
      <w:r w:rsidR="000D7672">
        <w:t>’</w:t>
      </w:r>
      <w:r w:rsidR="007C7D46">
        <w:t>s wireless phone</w:t>
      </w:r>
      <w:r w:rsidR="000D7672">
        <w:t xml:space="preserve"> number</w:t>
      </w:r>
      <w:r>
        <w:t>.</w:t>
      </w:r>
      <w:r>
        <w:rPr>
          <w:rStyle w:val="FootnoteReference"/>
        </w:rPr>
        <w:footnoteReference w:id="18"/>
      </w:r>
      <w:r>
        <w:t xml:space="preserve">  </w:t>
      </w:r>
      <w:r w:rsidR="00444C06">
        <w:t>And we note that</w:t>
      </w:r>
      <w:r w:rsidR="00F540DE">
        <w:t>,</w:t>
      </w:r>
      <w:r w:rsidR="00E009E9">
        <w:t xml:space="preserve"> to the extent that </w:t>
      </w:r>
      <w:r w:rsidR="00444C06">
        <w:t xml:space="preserve">calls </w:t>
      </w:r>
      <w:r w:rsidR="00E009E9">
        <w:t xml:space="preserve">are </w:t>
      </w:r>
      <w:r w:rsidR="00444C06">
        <w:t xml:space="preserve">welcomed by consumers, callers should be able to easily obtain prior express consent for them.  </w:t>
      </w:r>
    </w:p>
    <w:p w:rsidR="00444C06" w:rsidRPr="00A270BE" w:rsidP="00231FF2" w14:paraId="7E50DA83" w14:textId="77777777">
      <w:pPr>
        <w:numPr>
          <w:ilvl w:val="0"/>
          <w:numId w:val="2"/>
        </w:numPr>
        <w:tabs>
          <w:tab w:val="num" w:pos="-90"/>
          <w:tab w:val="num" w:pos="0"/>
          <w:tab w:val="clear" w:pos="1080"/>
          <w:tab w:val="num" w:pos="1440"/>
        </w:tabs>
        <w:spacing w:after="120"/>
      </w:pPr>
      <w:r>
        <w:rPr>
          <w:iCs/>
        </w:rPr>
        <w:t>Congress was clear in enacting the TCPA</w:t>
      </w:r>
      <w:r>
        <w:rPr>
          <w:iCs/>
        </w:rPr>
        <w:t xml:space="preserve"> that consumers should be </w:t>
      </w:r>
      <w:r>
        <w:rPr>
          <w:iCs/>
        </w:rPr>
        <w:t xml:space="preserve">protected </w:t>
      </w:r>
      <w:r>
        <w:rPr>
          <w:iCs/>
        </w:rPr>
        <w:t>from unwanted robocalls.</w:t>
      </w:r>
      <w:r>
        <w:rPr>
          <w:rStyle w:val="FootnoteReference"/>
          <w:iCs/>
        </w:rPr>
        <w:footnoteReference w:id="19"/>
      </w:r>
      <w:r w:rsidRPr="001E6D55" w:rsidR="00A35B99">
        <w:t xml:space="preserve"> </w:t>
      </w:r>
      <w:r w:rsidRPr="001E6D55">
        <w:t xml:space="preserve"> </w:t>
      </w:r>
      <w:r w:rsidRPr="00705032">
        <w:rPr>
          <w:iCs/>
        </w:rPr>
        <w:t>Con</w:t>
      </w:r>
      <w:r w:rsidRPr="00705032" w:rsidR="00A270BE">
        <w:rPr>
          <w:iCs/>
        </w:rPr>
        <w:t>s</w:t>
      </w:r>
      <w:r w:rsidRPr="00705032">
        <w:rPr>
          <w:iCs/>
        </w:rPr>
        <w:t>umers</w:t>
      </w:r>
      <w:r>
        <w:rPr>
          <w:iCs/>
        </w:rPr>
        <w:t xml:space="preserve"> consistently tell the Commission that unwanted calls are their top concern, a fact that prompted recent enactment of the </w:t>
      </w:r>
      <w:r w:rsidRPr="00692C4F" w:rsidR="00692C4F">
        <w:rPr>
          <w:iCs/>
        </w:rPr>
        <w:t>Telephone Robocall Abuse Criminal Enforcement and Deterrence Act</w:t>
      </w:r>
      <w:r w:rsidR="00692C4F">
        <w:rPr>
          <w:iCs/>
        </w:rPr>
        <w:t xml:space="preserve"> (</w:t>
      </w:r>
      <w:r>
        <w:rPr>
          <w:iCs/>
        </w:rPr>
        <w:t>TRACED</w:t>
      </w:r>
      <w:r w:rsidR="00692C4F">
        <w:rPr>
          <w:iCs/>
        </w:rPr>
        <w:t>)</w:t>
      </w:r>
      <w:r>
        <w:rPr>
          <w:iCs/>
        </w:rPr>
        <w:t xml:space="preserve"> Act.</w:t>
      </w:r>
      <w:r>
        <w:rPr>
          <w:rStyle w:val="FootnoteReference"/>
          <w:iCs/>
        </w:rPr>
        <w:footnoteReference w:id="20"/>
      </w:r>
      <w:r>
        <w:rPr>
          <w:iCs/>
        </w:rPr>
        <w:t xml:space="preserve">  </w:t>
      </w:r>
      <w:r w:rsidR="00824A40">
        <w:rPr>
          <w:iCs/>
        </w:rPr>
        <w:t>For wireless calls, t</w:t>
      </w:r>
      <w:r>
        <w:rPr>
          <w:iCs/>
        </w:rPr>
        <w:t xml:space="preserve">he TCPA contains </w:t>
      </w:r>
      <w:r w:rsidR="00FB0DCA">
        <w:rPr>
          <w:iCs/>
        </w:rPr>
        <w:t xml:space="preserve">clear, </w:t>
      </w:r>
      <w:r>
        <w:rPr>
          <w:iCs/>
        </w:rPr>
        <w:t>specific ex</w:t>
      </w:r>
      <w:r w:rsidR="00C847B6">
        <w:rPr>
          <w:iCs/>
        </w:rPr>
        <w:t>c</w:t>
      </w:r>
      <w:r>
        <w:rPr>
          <w:iCs/>
        </w:rPr>
        <w:t xml:space="preserve">eptions for </w:t>
      </w:r>
      <w:r w:rsidR="00501A8E">
        <w:rPr>
          <w:iCs/>
        </w:rPr>
        <w:t xml:space="preserve">the narrow set </w:t>
      </w:r>
      <w:r w:rsidR="0099440B">
        <w:rPr>
          <w:iCs/>
        </w:rPr>
        <w:t xml:space="preserve">of </w:t>
      </w:r>
      <w:r>
        <w:rPr>
          <w:iCs/>
        </w:rPr>
        <w:t xml:space="preserve">calls consumers </w:t>
      </w:r>
      <w:r>
        <w:rPr>
          <w:iCs/>
        </w:rPr>
        <w:t xml:space="preserve">are likely to </w:t>
      </w:r>
      <w:r w:rsidR="00501A8E">
        <w:rPr>
          <w:iCs/>
        </w:rPr>
        <w:t xml:space="preserve">want </w:t>
      </w:r>
      <w:r>
        <w:rPr>
          <w:iCs/>
        </w:rPr>
        <w:t>to receive</w:t>
      </w:r>
      <w:r w:rsidR="000D7672">
        <w:rPr>
          <w:iCs/>
        </w:rPr>
        <w:t>—</w:t>
      </w:r>
      <w:r>
        <w:rPr>
          <w:iCs/>
        </w:rPr>
        <w:t>such as emergency calls</w:t>
      </w:r>
      <w:r w:rsidR="000D7672">
        <w:rPr>
          <w:iCs/>
        </w:rPr>
        <w:t>—</w:t>
      </w:r>
      <w:r>
        <w:rPr>
          <w:iCs/>
        </w:rPr>
        <w:t xml:space="preserve">but </w:t>
      </w:r>
      <w:r>
        <w:rPr>
          <w:iCs/>
        </w:rPr>
        <w:t>does not authorize a broad</w:t>
      </w:r>
      <w:r>
        <w:rPr>
          <w:iCs/>
        </w:rPr>
        <w:t xml:space="preserve"> exception for health</w:t>
      </w:r>
      <w:r w:rsidR="00C847B6">
        <w:rPr>
          <w:iCs/>
        </w:rPr>
        <w:t xml:space="preserve"> </w:t>
      </w:r>
      <w:r>
        <w:rPr>
          <w:iCs/>
        </w:rPr>
        <w:t>care</w:t>
      </w:r>
      <w:r w:rsidR="008917BE">
        <w:rPr>
          <w:iCs/>
        </w:rPr>
        <w:t>-related</w:t>
      </w:r>
      <w:r>
        <w:rPr>
          <w:iCs/>
        </w:rPr>
        <w:t xml:space="preserve"> calls.</w:t>
      </w:r>
      <w:r w:rsidR="00840DAA">
        <w:rPr>
          <w:iCs/>
        </w:rPr>
        <w:t xml:space="preserve">  </w:t>
      </w:r>
      <w:r>
        <w:rPr>
          <w:iCs/>
        </w:rPr>
        <w:t xml:space="preserve">We therefore </w:t>
      </w:r>
      <w:r w:rsidR="00B76DFD">
        <w:rPr>
          <w:iCs/>
        </w:rPr>
        <w:t xml:space="preserve">reiterate the statutory requirement </w:t>
      </w:r>
      <w:r>
        <w:rPr>
          <w:iCs/>
        </w:rPr>
        <w:t xml:space="preserve">that callers must obtain consumers’ </w:t>
      </w:r>
      <w:r w:rsidRPr="00CD56A8">
        <w:rPr>
          <w:i/>
        </w:rPr>
        <w:t>prior</w:t>
      </w:r>
      <w:r>
        <w:rPr>
          <w:iCs/>
        </w:rPr>
        <w:t xml:space="preserve"> express consent for </w:t>
      </w:r>
      <w:r w:rsidR="001E34D5">
        <w:rPr>
          <w:iCs/>
        </w:rPr>
        <w:t>such</w:t>
      </w:r>
      <w:r>
        <w:rPr>
          <w:iCs/>
        </w:rPr>
        <w:t xml:space="preserve"> calls and may not instead require consumers to affirmatively opt out of them</w:t>
      </w:r>
      <w:r w:rsidR="00B76DFD">
        <w:rPr>
          <w:iCs/>
        </w:rPr>
        <w:t xml:space="preserve"> after the fact</w:t>
      </w:r>
      <w:r>
        <w:rPr>
          <w:iCs/>
        </w:rPr>
        <w:t>.</w:t>
      </w:r>
      <w:r>
        <w:rPr>
          <w:rStyle w:val="FootnoteReference"/>
          <w:iCs/>
        </w:rPr>
        <w:footnoteReference w:id="21"/>
      </w:r>
    </w:p>
    <w:p w:rsidR="00CE5C40" w:rsidRPr="00FB0DCA" w:rsidP="00231FF2" w14:paraId="7EDBD523" w14:textId="79412B45">
      <w:pPr>
        <w:numPr>
          <w:ilvl w:val="0"/>
          <w:numId w:val="2"/>
        </w:numPr>
        <w:tabs>
          <w:tab w:val="num" w:pos="-90"/>
          <w:tab w:val="num" w:pos="0"/>
          <w:tab w:val="clear" w:pos="1080"/>
          <w:tab w:val="num" w:pos="1440"/>
        </w:tabs>
        <w:spacing w:after="120"/>
      </w:pPr>
      <w:r>
        <w:rPr>
          <w:iCs/>
        </w:rPr>
        <w:t xml:space="preserve">In reaching our conclusion, we reject Anthem’s </w:t>
      </w:r>
      <w:r w:rsidR="001E6D55">
        <w:rPr>
          <w:iCs/>
        </w:rPr>
        <w:t xml:space="preserve">various </w:t>
      </w:r>
      <w:r>
        <w:rPr>
          <w:iCs/>
        </w:rPr>
        <w:t xml:space="preserve">arguments.  </w:t>
      </w:r>
      <w:r w:rsidR="00B76DFD">
        <w:rPr>
          <w:iCs/>
        </w:rPr>
        <w:t>W</w:t>
      </w:r>
      <w:r w:rsidR="00B03A3C">
        <w:rPr>
          <w:iCs/>
        </w:rPr>
        <w:t>e disagree</w:t>
      </w:r>
      <w:r w:rsidR="00363252">
        <w:rPr>
          <w:iCs/>
        </w:rPr>
        <w:t xml:space="preserve"> that health</w:t>
      </w:r>
      <w:r w:rsidR="00C847B6">
        <w:rPr>
          <w:iCs/>
        </w:rPr>
        <w:t xml:space="preserve"> </w:t>
      </w:r>
      <w:r w:rsidR="008C37E9">
        <w:rPr>
          <w:iCs/>
        </w:rPr>
        <w:t>care-</w:t>
      </w:r>
      <w:r w:rsidR="00363252">
        <w:rPr>
          <w:iCs/>
        </w:rPr>
        <w:t xml:space="preserve">related </w:t>
      </w:r>
      <w:r w:rsidR="00824A40">
        <w:rPr>
          <w:iCs/>
        </w:rPr>
        <w:t xml:space="preserve">wireless </w:t>
      </w:r>
      <w:r w:rsidR="00363252">
        <w:rPr>
          <w:iCs/>
        </w:rPr>
        <w:t xml:space="preserve">calls should </w:t>
      </w:r>
      <w:r w:rsidR="00D46E18">
        <w:rPr>
          <w:iCs/>
        </w:rPr>
        <w:t xml:space="preserve">be exempt from the </w:t>
      </w:r>
      <w:r w:rsidR="003B7BDC">
        <w:rPr>
          <w:iCs/>
        </w:rPr>
        <w:t>prior-express-</w:t>
      </w:r>
      <w:r w:rsidR="00D46E18">
        <w:rPr>
          <w:iCs/>
        </w:rPr>
        <w:t>consent requirement so long as consumers are allowed to opt out</w:t>
      </w:r>
      <w:r w:rsidR="00363252">
        <w:rPr>
          <w:iCs/>
        </w:rPr>
        <w:t xml:space="preserve"> </w:t>
      </w:r>
      <w:r w:rsidR="00CF34D1">
        <w:rPr>
          <w:iCs/>
        </w:rPr>
        <w:t xml:space="preserve">because </w:t>
      </w:r>
      <w:r w:rsidR="00363252">
        <w:rPr>
          <w:iCs/>
        </w:rPr>
        <w:t>there is a pre-existing relations</w:t>
      </w:r>
      <w:r w:rsidR="00A270BE">
        <w:rPr>
          <w:iCs/>
        </w:rPr>
        <w:t>h</w:t>
      </w:r>
      <w:r w:rsidR="00363252">
        <w:rPr>
          <w:iCs/>
        </w:rPr>
        <w:t>ip between the consumer and the caller (</w:t>
      </w:r>
      <w:r w:rsidR="00810C8A">
        <w:rPr>
          <w:iCs/>
        </w:rPr>
        <w:t>the consumer’s</w:t>
      </w:r>
      <w:r w:rsidR="00363252">
        <w:rPr>
          <w:iCs/>
        </w:rPr>
        <w:t xml:space="preserve"> health</w:t>
      </w:r>
      <w:r w:rsidR="000579A5">
        <w:rPr>
          <w:iCs/>
        </w:rPr>
        <w:t xml:space="preserve"> </w:t>
      </w:r>
      <w:r w:rsidR="00363252">
        <w:rPr>
          <w:iCs/>
        </w:rPr>
        <w:t>care provider or health</w:t>
      </w:r>
      <w:r w:rsidR="000579A5">
        <w:rPr>
          <w:iCs/>
        </w:rPr>
        <w:t xml:space="preserve"> </w:t>
      </w:r>
      <w:r w:rsidR="00363252">
        <w:rPr>
          <w:iCs/>
        </w:rPr>
        <w:t>care plan)</w:t>
      </w:r>
      <w:r w:rsidR="00CF34D1">
        <w:rPr>
          <w:iCs/>
        </w:rPr>
        <w:t xml:space="preserve"> that constitutes consent</w:t>
      </w:r>
      <w:r w:rsidR="00363252">
        <w:rPr>
          <w:iCs/>
        </w:rPr>
        <w:t>.</w:t>
      </w:r>
      <w:r>
        <w:rPr>
          <w:rStyle w:val="FootnoteReference"/>
        </w:rPr>
        <w:footnoteReference w:id="22"/>
      </w:r>
      <w:r w:rsidR="00363252">
        <w:rPr>
          <w:iCs/>
        </w:rPr>
        <w:t xml:space="preserve"> </w:t>
      </w:r>
      <w:r w:rsidR="00A270BE">
        <w:rPr>
          <w:iCs/>
        </w:rPr>
        <w:t xml:space="preserve"> </w:t>
      </w:r>
      <w:r w:rsidR="00B03A3C">
        <w:rPr>
          <w:iCs/>
        </w:rPr>
        <w:t>T</w:t>
      </w:r>
      <w:r w:rsidR="00A270BE">
        <w:rPr>
          <w:iCs/>
        </w:rPr>
        <w:t xml:space="preserve">he mere existence of a </w:t>
      </w:r>
      <w:r w:rsidR="003D75FD">
        <w:rPr>
          <w:iCs/>
        </w:rPr>
        <w:t>caller-c</w:t>
      </w:r>
      <w:r w:rsidR="00925712">
        <w:rPr>
          <w:iCs/>
        </w:rPr>
        <w:t>onsumer</w:t>
      </w:r>
      <w:r w:rsidR="003D75FD">
        <w:rPr>
          <w:iCs/>
        </w:rPr>
        <w:t xml:space="preserve"> </w:t>
      </w:r>
      <w:r w:rsidR="00A270BE">
        <w:rPr>
          <w:iCs/>
        </w:rPr>
        <w:t xml:space="preserve">relationship </w:t>
      </w:r>
      <w:r w:rsidR="00B03A3C">
        <w:rPr>
          <w:iCs/>
        </w:rPr>
        <w:t>does not</w:t>
      </w:r>
      <w:r w:rsidR="00A270BE">
        <w:rPr>
          <w:iCs/>
        </w:rPr>
        <w:t xml:space="preserve"> satisfy the </w:t>
      </w:r>
      <w:r w:rsidR="008C37E9">
        <w:rPr>
          <w:iCs/>
        </w:rPr>
        <w:t>prior-express-</w:t>
      </w:r>
      <w:r w:rsidR="00A270BE">
        <w:rPr>
          <w:iCs/>
        </w:rPr>
        <w:t>consent requirement</w:t>
      </w:r>
      <w:r w:rsidR="003A1135">
        <w:rPr>
          <w:iCs/>
        </w:rPr>
        <w:t xml:space="preserve"> for calls to wireless </w:t>
      </w:r>
      <w:r w:rsidR="00BA1A8E">
        <w:rPr>
          <w:iCs/>
        </w:rPr>
        <w:t>numbers</w:t>
      </w:r>
      <w:r w:rsidR="00B03A3C">
        <w:rPr>
          <w:iCs/>
        </w:rPr>
        <w:t>, nor does it create an exception to this requirement</w:t>
      </w:r>
      <w:r w:rsidR="00A270BE">
        <w:rPr>
          <w:iCs/>
        </w:rPr>
        <w:t>.</w:t>
      </w:r>
      <w:r>
        <w:rPr>
          <w:rStyle w:val="FootnoteReference"/>
        </w:rPr>
        <w:footnoteReference w:id="23"/>
      </w:r>
      <w:r w:rsidR="00A270BE">
        <w:rPr>
          <w:iCs/>
        </w:rPr>
        <w:t xml:space="preserve">  </w:t>
      </w:r>
    </w:p>
    <w:p w:rsidR="004A5C73" w:rsidP="00231FF2" w14:paraId="528CA22A" w14:textId="4F5167A5">
      <w:pPr>
        <w:numPr>
          <w:ilvl w:val="0"/>
          <w:numId w:val="2"/>
        </w:numPr>
        <w:tabs>
          <w:tab w:val="num" w:pos="-90"/>
          <w:tab w:val="num" w:pos="0"/>
          <w:tab w:val="clear" w:pos="1080"/>
          <w:tab w:val="num" w:pos="1440"/>
        </w:tabs>
        <w:spacing w:after="120"/>
      </w:pPr>
      <w:r>
        <w:rPr>
          <w:iCs/>
        </w:rPr>
        <w:t xml:space="preserve">We also reject </w:t>
      </w:r>
      <w:r w:rsidR="00EA77DB">
        <w:rPr>
          <w:iCs/>
        </w:rPr>
        <w:t>Anthem</w:t>
      </w:r>
      <w:r>
        <w:rPr>
          <w:iCs/>
        </w:rPr>
        <w:t>’s request</w:t>
      </w:r>
      <w:r w:rsidR="00EA77DB">
        <w:rPr>
          <w:iCs/>
        </w:rPr>
        <w:t xml:space="preserve"> </w:t>
      </w:r>
      <w:r>
        <w:rPr>
          <w:iCs/>
        </w:rPr>
        <w:t xml:space="preserve">that we </w:t>
      </w:r>
      <w:r w:rsidR="00EA77DB">
        <w:rPr>
          <w:iCs/>
        </w:rPr>
        <w:t>exempt certain non-emergency, health</w:t>
      </w:r>
      <w:r w:rsidR="00225CB0">
        <w:rPr>
          <w:iCs/>
        </w:rPr>
        <w:t xml:space="preserve"> </w:t>
      </w:r>
      <w:r w:rsidR="00EA77DB">
        <w:rPr>
          <w:iCs/>
        </w:rPr>
        <w:t xml:space="preserve">care-related calls that </w:t>
      </w:r>
      <w:r w:rsidR="00937C28">
        <w:rPr>
          <w:iCs/>
        </w:rPr>
        <w:t xml:space="preserve">it claims </w:t>
      </w:r>
      <w:r w:rsidR="00EA77DB">
        <w:rPr>
          <w:iCs/>
        </w:rPr>
        <w:t>are “urgent” from the requirements of the TCP</w:t>
      </w:r>
      <w:r w:rsidR="00C473F3">
        <w:rPr>
          <w:iCs/>
        </w:rPr>
        <w:t>A</w:t>
      </w:r>
      <w:r w:rsidR="00EA77DB">
        <w:rPr>
          <w:iCs/>
        </w:rPr>
        <w:t xml:space="preserve">.  </w:t>
      </w:r>
      <w:r w:rsidR="00362304">
        <w:t xml:space="preserve">Anthem cites </w:t>
      </w:r>
      <w:r w:rsidR="00C22995">
        <w:t xml:space="preserve">no statutory authority </w:t>
      </w:r>
      <w:r w:rsidR="00181252">
        <w:t xml:space="preserve">to support </w:t>
      </w:r>
      <w:r w:rsidR="00BC7136">
        <w:t xml:space="preserve">its request </w:t>
      </w:r>
      <w:r w:rsidR="00FF6AA3">
        <w:t xml:space="preserve">that </w:t>
      </w:r>
      <w:r>
        <w:t>we create</w:t>
      </w:r>
      <w:r w:rsidR="00181252">
        <w:t xml:space="preserve"> an </w:t>
      </w:r>
      <w:r w:rsidR="00017613">
        <w:t xml:space="preserve">“urgent circumstances” </w:t>
      </w:r>
      <w:r w:rsidR="00181252">
        <w:t>exemption.</w:t>
      </w:r>
      <w:r>
        <w:rPr>
          <w:rStyle w:val="FootnoteReference"/>
        </w:rPr>
        <w:footnoteReference w:id="24"/>
      </w:r>
      <w:r w:rsidR="00181252">
        <w:t xml:space="preserve">  </w:t>
      </w:r>
      <w:r w:rsidR="00362304">
        <w:t xml:space="preserve">Further, we are skeptical that the types of calls Anthem would make under </w:t>
      </w:r>
      <w:r w:rsidR="002C0BDE">
        <w:t xml:space="preserve">such an </w:t>
      </w:r>
      <w:r w:rsidR="00362304">
        <w:t xml:space="preserve">exception would </w:t>
      </w:r>
      <w:r w:rsidR="00181252">
        <w:t xml:space="preserve">reasonably be </w:t>
      </w:r>
      <w:r w:rsidR="00362304">
        <w:t>consider</w:t>
      </w:r>
      <w:r w:rsidR="00181252">
        <w:t>ed</w:t>
      </w:r>
      <w:r w:rsidR="00362304">
        <w:t xml:space="preserve"> “urgent”</w:t>
      </w:r>
      <w:r w:rsidR="00181252">
        <w:t xml:space="preserve"> by consumers.</w:t>
      </w:r>
      <w:r w:rsidR="00362304">
        <w:t xml:space="preserve">  For example, calls to “educate members about available services and benefits” </w:t>
      </w:r>
      <w:r w:rsidR="00181252">
        <w:t xml:space="preserve">are not likely to </w:t>
      </w:r>
      <w:r w:rsidR="00362304">
        <w:t>be so time-sensitive and critical to justify bypassing consumer consent.</w:t>
      </w:r>
      <w:r>
        <w:rPr>
          <w:rStyle w:val="FootnoteReference"/>
        </w:rPr>
        <w:footnoteReference w:id="25"/>
      </w:r>
      <w:r w:rsidR="00EB2836">
        <w:t xml:space="preserve">  </w:t>
      </w:r>
      <w:r w:rsidR="00276439">
        <w:t xml:space="preserve">And unlike the </w:t>
      </w:r>
      <w:r w:rsidR="00B47949">
        <w:t xml:space="preserve">automated </w:t>
      </w:r>
      <w:r w:rsidR="00276439">
        <w:t xml:space="preserve">calls </w:t>
      </w:r>
      <w:r w:rsidR="00834CB4">
        <w:t xml:space="preserve">concerning the COVID-19 pandemic </w:t>
      </w:r>
      <w:r w:rsidR="00532E9D">
        <w:t xml:space="preserve">we </w:t>
      </w:r>
      <w:r w:rsidR="00276439">
        <w:t xml:space="preserve">addressed in our recent </w:t>
      </w:r>
      <w:r w:rsidRPr="00035B1C" w:rsidR="00072CDB">
        <w:rPr>
          <w:i/>
        </w:rPr>
        <w:t xml:space="preserve">COVID-19 </w:t>
      </w:r>
      <w:r w:rsidRPr="00035B1C" w:rsidR="003B7BDC">
        <w:rPr>
          <w:i/>
        </w:rPr>
        <w:t>Declaratory Ruling</w:t>
      </w:r>
      <w:r w:rsidR="00834CB4">
        <w:t>,</w:t>
      </w:r>
      <w:r w:rsidR="00276439">
        <w:t xml:space="preserve"> </w:t>
      </w:r>
      <w:r w:rsidR="00834CB4">
        <w:t xml:space="preserve">the </w:t>
      </w:r>
      <w:r w:rsidR="00EB2836">
        <w:t xml:space="preserve">calls </w:t>
      </w:r>
      <w:r w:rsidR="00532E9D">
        <w:t xml:space="preserve">Anthem </w:t>
      </w:r>
      <w:r w:rsidR="00834CB4">
        <w:t>describe</w:t>
      </w:r>
      <w:r w:rsidR="00532E9D">
        <w:t>s</w:t>
      </w:r>
      <w:r w:rsidR="00834CB4">
        <w:t xml:space="preserve"> </w:t>
      </w:r>
      <w:r w:rsidR="009E252E">
        <w:t xml:space="preserve">do </w:t>
      </w:r>
      <w:r w:rsidR="00834CB4">
        <w:t>not</w:t>
      </w:r>
      <w:r w:rsidR="009E252E">
        <w:t xml:space="preserve"> appear to</w:t>
      </w:r>
      <w:r w:rsidR="00834CB4">
        <w:t xml:space="preserve"> </w:t>
      </w:r>
      <w:r w:rsidR="00883C46">
        <w:t xml:space="preserve">be </w:t>
      </w:r>
      <w:r w:rsidR="003E0A2B">
        <w:t>“</w:t>
      </w:r>
      <w:r w:rsidRPr="00CF6797" w:rsidR="003E0A2B">
        <w:t xml:space="preserve">made necessary by incidents of imminent danger including </w:t>
      </w:r>
      <w:r w:rsidR="003E0A2B">
        <w:t>‘</w:t>
      </w:r>
      <w:r w:rsidRPr="00CF6797" w:rsidR="003E0A2B">
        <w:t>health risks</w:t>
      </w:r>
      <w:r w:rsidR="003E0A2B">
        <w:t>’</w:t>
      </w:r>
      <w:r w:rsidRPr="00CF6797" w:rsidR="003E0A2B">
        <w:t xml:space="preserve"> affecting health and safety</w:t>
      </w:r>
      <w:r w:rsidR="00B47949">
        <w:t>.</w:t>
      </w:r>
      <w:r w:rsidR="003E0A2B">
        <w:t>”</w:t>
      </w:r>
      <w:r>
        <w:rPr>
          <w:rStyle w:val="FootnoteReference"/>
        </w:rPr>
        <w:footnoteReference w:id="26"/>
      </w:r>
      <w:r w:rsidRPr="00CF6797" w:rsidR="003E0A2B">
        <w:t xml:space="preserve"> </w:t>
      </w:r>
      <w:r w:rsidR="00B47949">
        <w:t xml:space="preserve"> Such calls therefore are not made </w:t>
      </w:r>
      <w:r w:rsidR="00A8362F">
        <w:t>for an</w:t>
      </w:r>
      <w:r w:rsidR="00EB2836">
        <w:t xml:space="preserve"> </w:t>
      </w:r>
      <w:r w:rsidR="003E0A2B">
        <w:t>“</w:t>
      </w:r>
      <w:r w:rsidRPr="0041751F" w:rsidR="00EB2836">
        <w:t>emergency purpose</w:t>
      </w:r>
      <w:r w:rsidR="003E0A2B">
        <w:t>”</w:t>
      </w:r>
      <w:r w:rsidR="00A8362F">
        <w:t xml:space="preserve"> as defined by the Commission’s rules.</w:t>
      </w:r>
      <w:r>
        <w:rPr>
          <w:rStyle w:val="FootnoteReference"/>
        </w:rPr>
        <w:footnoteReference w:id="27"/>
      </w:r>
      <w:r w:rsidR="00362304">
        <w:t xml:space="preserve">  </w:t>
      </w:r>
      <w:r w:rsidR="009E252E">
        <w:t xml:space="preserve">We note, however, that to the extent any calls covered by Anthem’s petition would </w:t>
      </w:r>
      <w:r w:rsidR="00937C28">
        <w:t xml:space="preserve">meet </w:t>
      </w:r>
      <w:r w:rsidR="009E252E">
        <w:t xml:space="preserve">the criteria set forth in the recent </w:t>
      </w:r>
      <w:r w:rsidRPr="00B7106D" w:rsidR="009E252E">
        <w:rPr>
          <w:i/>
        </w:rPr>
        <w:t>COVID-19 Declaratory Ruling</w:t>
      </w:r>
      <w:r w:rsidR="009E252E">
        <w:t xml:space="preserve">, such calls would be governed by that </w:t>
      </w:r>
      <w:r w:rsidR="002C0BDE">
        <w:t xml:space="preserve">Declaratory Ruling </w:t>
      </w:r>
      <w:r w:rsidR="009E252E">
        <w:t xml:space="preserve">and hence would not require prior express consent.  </w:t>
      </w:r>
    </w:p>
    <w:p w:rsidR="001E3C67" w:rsidP="00231FF2" w14:paraId="7836083C" w14:textId="77777777">
      <w:pPr>
        <w:numPr>
          <w:ilvl w:val="0"/>
          <w:numId w:val="2"/>
        </w:numPr>
        <w:tabs>
          <w:tab w:val="num" w:pos="-90"/>
          <w:tab w:val="num" w:pos="0"/>
          <w:tab w:val="clear" w:pos="1080"/>
          <w:tab w:val="num" w:pos="1440"/>
        </w:tabs>
        <w:spacing w:after="120"/>
      </w:pPr>
      <w:r>
        <w:t xml:space="preserve">We </w:t>
      </w:r>
      <w:r w:rsidR="007809C1">
        <w:t>a</w:t>
      </w:r>
      <w:r w:rsidR="008A7DEB">
        <w:t xml:space="preserve">lso </w:t>
      </w:r>
      <w:r>
        <w:t xml:space="preserve">reject </w:t>
      </w:r>
      <w:r w:rsidR="008A7DEB">
        <w:t xml:space="preserve">Anthem’s suggestion </w:t>
      </w:r>
      <w:r>
        <w:t>that</w:t>
      </w:r>
      <w:r w:rsidR="00150210">
        <w:t xml:space="preserve"> health</w:t>
      </w:r>
      <w:r w:rsidR="0094114F">
        <w:t xml:space="preserve"> </w:t>
      </w:r>
      <w:r w:rsidR="00150210">
        <w:t xml:space="preserve">care-related calls from health plans and providers to wireless telephones </w:t>
      </w:r>
      <w:r>
        <w:t xml:space="preserve">should be exempt from the TCPA’s </w:t>
      </w:r>
      <w:r w:rsidR="00BA1A8E">
        <w:t>prior-express-</w:t>
      </w:r>
      <w:r>
        <w:t>consent requirement</w:t>
      </w:r>
      <w:r w:rsidR="00150210">
        <w:t xml:space="preserve"> because such calls are welcomed by consumers</w:t>
      </w:r>
      <w:r>
        <w:t xml:space="preserve">.  </w:t>
      </w:r>
      <w:r w:rsidR="00022093">
        <w:t xml:space="preserve">The </w:t>
      </w:r>
      <w:r w:rsidR="00126337">
        <w:t>TCPA gives the Commission authority to only exempt specific, limited types of call</w:t>
      </w:r>
      <w:r w:rsidR="00CE5C40">
        <w:t>s to wireless phone</w:t>
      </w:r>
      <w:r w:rsidR="00BA1A8E">
        <w:t xml:space="preserve"> number</w:t>
      </w:r>
      <w:r w:rsidR="00CE5C40">
        <w:t>s</w:t>
      </w:r>
      <w:r w:rsidR="00126337">
        <w:t xml:space="preserve"> from the </w:t>
      </w:r>
      <w:r w:rsidR="00BA1A8E">
        <w:t>prior-express-</w:t>
      </w:r>
      <w:r w:rsidR="00126337">
        <w:t>consent requirement</w:t>
      </w:r>
      <w:r w:rsidR="00BA1A8E">
        <w:rPr>
          <w:iCs/>
        </w:rPr>
        <w:t xml:space="preserve">; </w:t>
      </w:r>
      <w:r w:rsidR="00E92CD8">
        <w:rPr>
          <w:iCs/>
        </w:rPr>
        <w:t xml:space="preserve">even in those narrow circumstances, </w:t>
      </w:r>
      <w:r w:rsidR="00126337">
        <w:t xml:space="preserve">whether those calls </w:t>
      </w:r>
      <w:r w:rsidR="00E92F62">
        <w:t>are welcomed by consumers</w:t>
      </w:r>
      <w:r w:rsidR="00126337">
        <w:t xml:space="preserve"> </w:t>
      </w:r>
      <w:r w:rsidR="0056136F">
        <w:t>has not previously been</w:t>
      </w:r>
      <w:r w:rsidR="00126337">
        <w:t xml:space="preserve"> part of our inquiry.</w:t>
      </w:r>
      <w:r>
        <w:rPr>
          <w:rStyle w:val="FootnoteReference"/>
        </w:rPr>
        <w:footnoteReference w:id="28"/>
      </w:r>
      <w:r w:rsidR="00126337">
        <w:t xml:space="preserve">  </w:t>
      </w:r>
      <w:r w:rsidR="00E92F62">
        <w:t xml:space="preserve">Moreover, </w:t>
      </w:r>
      <w:r w:rsidR="00126337">
        <w:t xml:space="preserve">if these calls are in fact popular with consumers, as </w:t>
      </w:r>
      <w:r w:rsidR="00126337">
        <w:t xml:space="preserve">Anthem argues, consumers </w:t>
      </w:r>
      <w:r w:rsidR="00E92CD8">
        <w:t>should</w:t>
      </w:r>
      <w:r w:rsidR="00126337">
        <w:t xml:space="preserve"> be willing to give their prior express consent for them.</w:t>
      </w:r>
      <w:r>
        <w:rPr>
          <w:rStyle w:val="FootnoteReference"/>
        </w:rPr>
        <w:footnoteReference w:id="29"/>
      </w:r>
      <w:r w:rsidR="00126337">
        <w:t xml:space="preserve">  </w:t>
      </w:r>
      <w:r w:rsidR="008B6717">
        <w:t xml:space="preserve">The ways Anthem can obtain prior express consent for these calls are numerous and not </w:t>
      </w:r>
      <w:r w:rsidR="00181252">
        <w:t>particularly</w:t>
      </w:r>
      <w:r w:rsidR="008B6717">
        <w:t xml:space="preserve"> arduous, especially where there already is a relationship with the consumer.</w:t>
      </w:r>
      <w:r w:rsidR="00976187">
        <w:t xml:space="preserve">  </w:t>
      </w:r>
    </w:p>
    <w:p w:rsidR="001F05E5" w:rsidP="00231FF2" w14:paraId="4BE6E3FA" w14:textId="77777777">
      <w:pPr>
        <w:numPr>
          <w:ilvl w:val="0"/>
          <w:numId w:val="2"/>
        </w:numPr>
        <w:tabs>
          <w:tab w:val="num" w:pos="-90"/>
          <w:tab w:val="num" w:pos="0"/>
          <w:tab w:val="clear" w:pos="1080"/>
          <w:tab w:val="num" w:pos="1440"/>
        </w:tabs>
        <w:spacing w:after="120"/>
      </w:pPr>
      <w:r>
        <w:t xml:space="preserve">Finally, we reject Anthem’s argument that </w:t>
      </w:r>
      <w:r w:rsidR="00E830CA">
        <w:t>a TCPA exemption for health</w:t>
      </w:r>
      <w:r w:rsidR="00961239">
        <w:t xml:space="preserve"> </w:t>
      </w:r>
      <w:r w:rsidR="00E830CA">
        <w:t xml:space="preserve">care-related calls </w:t>
      </w:r>
      <w:r w:rsidR="004C4A62">
        <w:t xml:space="preserve">made by </w:t>
      </w:r>
      <w:r w:rsidR="00E830CA">
        <w:t>health</w:t>
      </w:r>
      <w:r w:rsidR="00961239">
        <w:t xml:space="preserve"> </w:t>
      </w:r>
      <w:r w:rsidR="004C4A62">
        <w:t>care</w:t>
      </w:r>
      <w:r w:rsidR="00E830CA">
        <w:t xml:space="preserve"> plans and providers to wireless telephone</w:t>
      </w:r>
      <w:r w:rsidR="004C4A62">
        <w:t xml:space="preserve"> number</w:t>
      </w:r>
      <w:r w:rsidR="00E830CA">
        <w:t xml:space="preserve">s will not result in abuse because patient outreach is already subject to a strict regulatory regime under the </w:t>
      </w:r>
      <w:r>
        <w:t>H</w:t>
      </w:r>
      <w:r w:rsidR="00B25408">
        <w:t xml:space="preserve">ealth </w:t>
      </w:r>
      <w:r>
        <w:t>I</w:t>
      </w:r>
      <w:r w:rsidR="00B25408">
        <w:t xml:space="preserve">nsurance </w:t>
      </w:r>
      <w:r>
        <w:t>P</w:t>
      </w:r>
      <w:r w:rsidR="00B25408">
        <w:t xml:space="preserve">ortability and </w:t>
      </w:r>
      <w:r>
        <w:t>A</w:t>
      </w:r>
      <w:r w:rsidR="00B25408">
        <w:t xml:space="preserve">ccountability </w:t>
      </w:r>
      <w:r>
        <w:t>A</w:t>
      </w:r>
      <w:r w:rsidR="00B25408">
        <w:t xml:space="preserve">ct </w:t>
      </w:r>
      <w:r w:rsidR="004C4A62">
        <w:t xml:space="preserve">of 1996 </w:t>
      </w:r>
      <w:r w:rsidR="00B25408">
        <w:t>(HIPAA)</w:t>
      </w:r>
      <w:r w:rsidR="00E830CA">
        <w:t xml:space="preserve"> </w:t>
      </w:r>
      <w:r w:rsidR="004C4A62">
        <w:t>privacy rule</w:t>
      </w:r>
      <w:r w:rsidR="00E830CA">
        <w:t xml:space="preserve">.  </w:t>
      </w:r>
      <w:r w:rsidR="00810C8A">
        <w:t>T</w:t>
      </w:r>
      <w:r>
        <w:t xml:space="preserve">he TCPA contains no exception </w:t>
      </w:r>
      <w:r w:rsidR="00C57BF0">
        <w:t xml:space="preserve">to the </w:t>
      </w:r>
      <w:r w:rsidR="00BA1A8E">
        <w:t>prior-express-</w:t>
      </w:r>
      <w:r w:rsidR="00C57BF0">
        <w:t xml:space="preserve">consent requirement for </w:t>
      </w:r>
      <w:r>
        <w:t xml:space="preserve">calls </w:t>
      </w:r>
      <w:r w:rsidR="00C57BF0">
        <w:t>to wireless phone</w:t>
      </w:r>
      <w:r w:rsidR="00BA1A8E">
        <w:t xml:space="preserve"> number</w:t>
      </w:r>
      <w:r w:rsidR="00C57BF0">
        <w:t xml:space="preserve">s if those calls are </w:t>
      </w:r>
      <w:r w:rsidR="00810C8A">
        <w:t xml:space="preserve">also </w:t>
      </w:r>
      <w:r w:rsidR="00C57BF0">
        <w:t>regulated by other laws</w:t>
      </w:r>
      <w:r w:rsidR="008F4F93">
        <w:t xml:space="preserve">.  HIPAA regulates the content of communications </w:t>
      </w:r>
      <w:r w:rsidR="000E7224">
        <w:t xml:space="preserve">(to ensure the privacy of patient information) </w:t>
      </w:r>
      <w:r w:rsidR="008F4F93">
        <w:t xml:space="preserve">whereas the TCPA regulates the </w:t>
      </w:r>
      <w:r w:rsidR="000E7224">
        <w:t>methodology</w:t>
      </w:r>
      <w:r w:rsidR="008F4F93">
        <w:t xml:space="preserve"> of the communication</w:t>
      </w:r>
      <w:r w:rsidR="000E7224">
        <w:t xml:space="preserve"> (to </w:t>
      </w:r>
      <w:r w:rsidR="001C4546">
        <w:t>restrict</w:t>
      </w:r>
      <w:r w:rsidR="000E7224">
        <w:t xml:space="preserve"> calls and texts</w:t>
      </w:r>
      <w:r w:rsidR="00544418">
        <w:t xml:space="preserve"> made using an autodialer or an artificial or prerecorded voice, and made without the prior express consent of the called party</w:t>
      </w:r>
      <w:r w:rsidR="000E7224">
        <w:t>)</w:t>
      </w:r>
      <w:r w:rsidR="008F4F93">
        <w:t>.</w:t>
      </w:r>
      <w:r>
        <w:rPr>
          <w:rStyle w:val="FootnoteReference"/>
        </w:rPr>
        <w:footnoteReference w:id="30"/>
      </w:r>
      <w:r w:rsidR="008F4F93">
        <w:t xml:space="preserve">  </w:t>
      </w:r>
      <w:r w:rsidR="001C4546">
        <w:t xml:space="preserve">A </w:t>
      </w:r>
      <w:r w:rsidR="008F4F93">
        <w:t xml:space="preserve">call </w:t>
      </w:r>
      <w:r w:rsidR="001C4546">
        <w:t xml:space="preserve">that </w:t>
      </w:r>
      <w:r w:rsidR="008F4F93">
        <w:t>compl</w:t>
      </w:r>
      <w:r w:rsidR="001C4546">
        <w:t>ies</w:t>
      </w:r>
      <w:r w:rsidR="008F4F93">
        <w:t xml:space="preserve"> with HIPAA </w:t>
      </w:r>
      <w:r w:rsidR="00544418">
        <w:t>requirements</w:t>
      </w:r>
      <w:r w:rsidR="008F4F93">
        <w:t xml:space="preserve"> does not </w:t>
      </w:r>
      <w:r w:rsidR="001C4546">
        <w:t xml:space="preserve">necessarily comply with </w:t>
      </w:r>
      <w:r w:rsidR="008F4F93">
        <w:t xml:space="preserve">TCPA </w:t>
      </w:r>
      <w:r w:rsidR="001C4546">
        <w:t>requirements or satisfy that statute’s legislative goals</w:t>
      </w:r>
      <w:r w:rsidR="008F4F93">
        <w:t>.</w:t>
      </w:r>
    </w:p>
    <w:p w:rsidR="00427C73" w:rsidRPr="00427C73" w:rsidP="00427C73" w14:paraId="73C4C329" w14:textId="77777777">
      <w:pPr>
        <w:keepNext/>
        <w:numPr>
          <w:ilvl w:val="0"/>
          <w:numId w:val="3"/>
        </w:numPr>
        <w:tabs>
          <w:tab w:val="left" w:pos="720"/>
        </w:tabs>
        <w:suppressAutoHyphens/>
        <w:spacing w:after="120"/>
        <w:outlineLvl w:val="0"/>
        <w:rPr>
          <w:rFonts w:ascii="Times New Roman Bold" w:hAnsi="Times New Roman Bold"/>
          <w:b/>
          <w:caps/>
        </w:rPr>
      </w:pPr>
      <w:r w:rsidRPr="00427C73">
        <w:rPr>
          <w:rFonts w:ascii="Times New Roman Bold" w:hAnsi="Times New Roman Bold"/>
          <w:b/>
          <w:caps/>
        </w:rPr>
        <w:t>ordering clause</w:t>
      </w:r>
    </w:p>
    <w:p w:rsidR="00427C73" w:rsidRPr="00427C73" w:rsidP="00427C73" w14:paraId="5E7FF7D3" w14:textId="77777777">
      <w:pPr>
        <w:numPr>
          <w:ilvl w:val="0"/>
          <w:numId w:val="2"/>
        </w:numPr>
        <w:tabs>
          <w:tab w:val="num" w:pos="-90"/>
          <w:tab w:val="num" w:pos="0"/>
          <w:tab w:val="clear" w:pos="1080"/>
          <w:tab w:val="num" w:pos="1440"/>
        </w:tabs>
        <w:spacing w:after="120"/>
      </w:pPr>
      <w:r w:rsidRPr="00427C73">
        <w:t>Accordingly, IT IS ORDERED pursuant to sections 1-4 and 227 of the Communications Act of 1934, as amended, 47 U.S.C. §§ 151-154, 227, sections 1.2 and 64.1200 of the Commission’s Rules, 47 CFR §§ 1.2, 64.1200, and the authority delegated in sections 0.141 and 0.361 of the rules, 47 CFR §§ 0.141, 0.361, that the Petition for Declaratory Ruling and Exemption filed by Anthem, Inc. in CG Docket No. 02-278 on June 10, 2015, IS DENIED.</w:t>
      </w:r>
    </w:p>
    <w:p w:rsidR="00427C73" w:rsidRPr="00427C73" w:rsidP="00427C73" w14:paraId="6E534446" w14:textId="77777777">
      <w:pPr>
        <w:numPr>
          <w:ilvl w:val="0"/>
          <w:numId w:val="2"/>
        </w:numPr>
        <w:tabs>
          <w:tab w:val="num" w:pos="-90"/>
          <w:tab w:val="num" w:pos="0"/>
          <w:tab w:val="clear" w:pos="1080"/>
          <w:tab w:val="num" w:pos="1440"/>
        </w:tabs>
        <w:spacing w:after="120"/>
      </w:pPr>
      <w:r w:rsidRPr="00427C73">
        <w:t>IT IS FURTHER ORDERED that this Declaratory Ruling and Order shall be effective upon release.</w:t>
      </w:r>
    </w:p>
    <w:p w:rsidR="00427C73" w:rsidRPr="00427C73" w:rsidP="00427C73" w14:paraId="0B6F1D7B" w14:textId="77777777"/>
    <w:p w:rsidR="00427C73" w:rsidRPr="00427C73" w:rsidP="00427C73" w14:paraId="40CAA876" w14:textId="77777777">
      <w:pPr>
        <w:ind w:left="4320"/>
      </w:pPr>
      <w:r w:rsidRPr="00427C73">
        <w:t>FEDERAL COMMUNICATIONS COMMISSION</w:t>
      </w:r>
    </w:p>
    <w:p w:rsidR="00427C73" w:rsidRPr="00427C73" w:rsidP="00427C73" w14:paraId="39AD9A39" w14:textId="77777777">
      <w:pPr>
        <w:ind w:left="4320"/>
      </w:pPr>
    </w:p>
    <w:p w:rsidR="00427C73" w:rsidRPr="00427C73" w:rsidP="00427C73" w14:paraId="54025100" w14:textId="77777777">
      <w:pPr>
        <w:ind w:left="4320"/>
      </w:pPr>
    </w:p>
    <w:p w:rsidR="00427C73" w:rsidRPr="00427C73" w:rsidP="00427C73" w14:paraId="77EA5419" w14:textId="77777777">
      <w:pPr>
        <w:ind w:left="4320"/>
      </w:pPr>
    </w:p>
    <w:p w:rsidR="00427C73" w:rsidRPr="00427C73" w:rsidP="00427C73" w14:paraId="73A940E2" w14:textId="77777777">
      <w:pPr>
        <w:ind w:left="4320"/>
      </w:pPr>
    </w:p>
    <w:p w:rsidR="00427C73" w:rsidRPr="00427C73" w:rsidP="00427C73" w14:paraId="3F2B1D68" w14:textId="77777777">
      <w:pPr>
        <w:ind w:left="4320"/>
      </w:pPr>
      <w:r w:rsidRPr="00427C73">
        <w:t>Patrick Webre</w:t>
      </w:r>
    </w:p>
    <w:p w:rsidR="00427C73" w:rsidRPr="00427C73" w:rsidP="00427C73" w14:paraId="7413E9A2" w14:textId="77777777">
      <w:pPr>
        <w:ind w:left="4320"/>
      </w:pPr>
      <w:r w:rsidRPr="00427C73">
        <w:t>Chief</w:t>
      </w:r>
    </w:p>
    <w:p w:rsidR="00427C73" w:rsidRPr="00427C73" w:rsidP="00427C73" w14:paraId="3AF6D74D" w14:textId="77777777">
      <w:pPr>
        <w:ind w:left="4320"/>
      </w:pPr>
      <w:r w:rsidRPr="00427C73">
        <w:t>Consumer and Governmental Affairs Bureau</w:t>
      </w:r>
    </w:p>
    <w:p w:rsidR="00412FC5" w:rsidRPr="00427C73" w:rsidP="00427C73" w14:paraId="2AAE6ABC"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altName w:val="Times New Roma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C1A" w:rsidP="0055614C" w14:paraId="496712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397C1A" w14:paraId="1230A4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C1A" w14:paraId="1A923B60" w14:textId="77777777">
    <w:pPr>
      <w:pStyle w:val="Footer"/>
      <w:jc w:val="center"/>
    </w:pPr>
    <w:r>
      <w:fldChar w:fldCharType="begin"/>
    </w:r>
    <w:r>
      <w:instrText xml:space="preserve"> PAGE   \* MERGEFORMAT </w:instrText>
    </w:r>
    <w:r>
      <w:fldChar w:fldCharType="separate"/>
    </w:r>
    <w:r w:rsidR="00072CDB">
      <w:rPr>
        <w:noProof/>
      </w:rPr>
      <w:t>4</w:t>
    </w:r>
    <w:r>
      <w:fldChar w:fldCharType="end"/>
    </w:r>
  </w:p>
  <w:p w:rsidR="00397C1A" w14:paraId="76FC939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C1A" w14:paraId="11C43B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2CF6" w14:paraId="1ADFC102" w14:textId="77777777">
      <w:r>
        <w:separator/>
      </w:r>
    </w:p>
  </w:footnote>
  <w:footnote w:type="continuationSeparator" w:id="1">
    <w:p w:rsidR="00A32CF6" w:rsidP="00C721AC" w14:paraId="2BC1AE79" w14:textId="77777777">
      <w:pPr>
        <w:spacing w:before="120"/>
        <w:rPr>
          <w:sz w:val="20"/>
        </w:rPr>
      </w:pPr>
      <w:r>
        <w:rPr>
          <w:sz w:val="20"/>
        </w:rPr>
        <w:t xml:space="preserve">(Continued from previous page)  </w:t>
      </w:r>
      <w:r>
        <w:rPr>
          <w:sz w:val="20"/>
        </w:rPr>
        <w:separator/>
      </w:r>
    </w:p>
  </w:footnote>
  <w:footnote w:type="continuationNotice" w:id="2">
    <w:p w:rsidR="00A32CF6" w:rsidP="00C721AC" w14:paraId="34C3E3FF" w14:textId="77777777">
      <w:pPr>
        <w:jc w:val="right"/>
        <w:rPr>
          <w:sz w:val="20"/>
        </w:rPr>
      </w:pPr>
      <w:r>
        <w:rPr>
          <w:sz w:val="20"/>
        </w:rPr>
        <w:t>(continued….)</w:t>
      </w:r>
    </w:p>
  </w:footnote>
  <w:footnote w:id="3">
    <w:p w:rsidR="00397C1A" w14:paraId="004165E6" w14:textId="77777777">
      <w:pPr>
        <w:pStyle w:val="FootnoteText"/>
      </w:pPr>
      <w:r>
        <w:rPr>
          <w:rStyle w:val="FootnoteReference"/>
        </w:rPr>
        <w:footnoteRef/>
      </w:r>
      <w:r>
        <w:t xml:space="preserve"> Telephone Consumer Protection Act of 1991, Pub. L. No. 102-243, 105 Stat. 2394, § 2(9) (1991), </w:t>
      </w:r>
      <w:r w:rsidRPr="0027789B">
        <w:rPr>
          <w:i/>
          <w:iCs/>
        </w:rPr>
        <w:t>codified at</w:t>
      </w:r>
      <w:r>
        <w:t xml:space="preserve"> 47 U.S.C. § 227(b)(1)(A); </w:t>
      </w:r>
      <w:r w:rsidRPr="00630FC8">
        <w:rPr>
          <w:i/>
          <w:iCs/>
        </w:rPr>
        <w:t>see also</w:t>
      </w:r>
      <w:r>
        <w:t xml:space="preserve"> 47 CFR § 64.1200(a)(1).</w:t>
      </w:r>
    </w:p>
  </w:footnote>
  <w:footnote w:id="4">
    <w:p w:rsidR="00397C1A" w:rsidP="00590E6C" w14:paraId="67EED37D" w14:textId="77777777">
      <w:pPr>
        <w:pStyle w:val="FootnoteText"/>
      </w:pPr>
      <w:r>
        <w:rPr>
          <w:rStyle w:val="FootnoteReference"/>
        </w:rPr>
        <w:footnoteRef/>
      </w:r>
      <w:r>
        <w:t xml:space="preserve"> </w:t>
      </w:r>
      <w:r w:rsidRPr="001C201E">
        <w:rPr>
          <w:i/>
        </w:rPr>
        <w:t>See</w:t>
      </w:r>
      <w:r>
        <w:t xml:space="preserve"> Petition of Anthem, Inc. for Declaratory Ruling and Exemption Regarding Non-Telemarketing Healthcare Calls, CG Docket No. 02-278, 1 (filed June 10, 2015) (</w:t>
      </w:r>
      <w:r w:rsidRPr="00AA3A99">
        <w:t>Anthem Petition</w:t>
      </w:r>
      <w:r>
        <w:t xml:space="preserve">).  </w:t>
      </w:r>
    </w:p>
  </w:footnote>
  <w:footnote w:id="5">
    <w:p w:rsidR="00397C1A" w:rsidP="00590E6C" w14:paraId="50343F52" w14:textId="77777777">
      <w:pPr>
        <w:pStyle w:val="FootnoteText"/>
      </w:pPr>
      <w:r>
        <w:rPr>
          <w:rStyle w:val="FootnoteReference"/>
        </w:rPr>
        <w:footnoteRef/>
      </w:r>
      <w:r>
        <w:t xml:space="preserve"> </w:t>
      </w:r>
      <w:r w:rsidRPr="00532AB5">
        <w:rPr>
          <w:i/>
        </w:rPr>
        <w:t>See id</w:t>
      </w:r>
      <w:r>
        <w:t>. at 3.</w:t>
      </w:r>
    </w:p>
  </w:footnote>
  <w:footnote w:id="6">
    <w:p w:rsidR="00397C1A" w:rsidP="00590E6C" w14:paraId="7F6E1E01" w14:textId="77777777">
      <w:pPr>
        <w:pStyle w:val="FootnoteText"/>
      </w:pPr>
      <w:r w:rsidRPr="00BF46D1">
        <w:rPr>
          <w:rStyle w:val="FootnoteReference"/>
        </w:rPr>
        <w:footnoteRef/>
      </w:r>
      <w:r w:rsidRPr="00BF46D1">
        <w:t xml:space="preserve"> </w:t>
      </w:r>
      <w:r w:rsidRPr="00BF46D1">
        <w:rPr>
          <w:i/>
        </w:rPr>
        <w:t>See</w:t>
      </w:r>
      <w:r w:rsidRPr="00BF46D1">
        <w:t xml:space="preserve"> 47 U.S.C. §§ 227(b)(1), (b)(2)(C); 47 CFR § 64.1200(a)(1).</w:t>
      </w:r>
      <w:r>
        <w:t xml:space="preserve">  </w:t>
      </w:r>
      <w:r w:rsidRPr="00475C61">
        <w:t xml:space="preserve">The Commission has concluded that </w:t>
      </w:r>
      <w:r>
        <w:t>the TCPA’s protections apply to text messages as well as voice calls</w:t>
      </w:r>
      <w:r w:rsidRPr="00475C61">
        <w:t>.</w:t>
      </w:r>
      <w:r>
        <w:t xml:space="preserve">  </w:t>
      </w:r>
      <w:r w:rsidRPr="000143E0">
        <w:rPr>
          <w:i/>
        </w:rPr>
        <w:t>See</w:t>
      </w:r>
      <w:r>
        <w:t xml:space="preserve"> </w:t>
      </w:r>
      <w:r w:rsidRPr="00BF46D1">
        <w:rPr>
          <w:i/>
        </w:rPr>
        <w:t>Rules and Regulations Implementing the Telephone Consumer Protection Act of 1991</w:t>
      </w:r>
      <w:r w:rsidRPr="00BF46D1">
        <w:t xml:space="preserve">, CG Docket No. 02-278, Report and Order, 18 FCC </w:t>
      </w:r>
      <w:r w:rsidRPr="00BF46D1">
        <w:t>Rcd</w:t>
      </w:r>
      <w:r w:rsidRPr="00BF46D1">
        <w:t xml:space="preserve"> 14014, 14115, para. 165 (2003)</w:t>
      </w:r>
      <w:r>
        <w:t>.</w:t>
      </w:r>
    </w:p>
  </w:footnote>
  <w:footnote w:id="7">
    <w:p w:rsidR="00397C1A" w:rsidP="00590E6C" w14:paraId="3E81F7D0" w14:textId="77777777">
      <w:pPr>
        <w:pStyle w:val="FootnoteText"/>
      </w:pPr>
      <w:r w:rsidRPr="00BF46D1">
        <w:rPr>
          <w:rStyle w:val="FootnoteReference"/>
        </w:rPr>
        <w:footnoteRef/>
      </w:r>
      <w:r w:rsidRPr="00BF46D1">
        <w:t xml:space="preserve"> 47 U.S.C.</w:t>
      </w:r>
      <w:r w:rsidRPr="00BF46D1">
        <w:rPr>
          <w:i/>
        </w:rPr>
        <w:t xml:space="preserve"> </w:t>
      </w:r>
      <w:r w:rsidRPr="00BF46D1">
        <w:t>§ 227(b)(2)(C).</w:t>
      </w:r>
      <w:r>
        <w:t xml:space="preserve">  </w:t>
      </w:r>
      <w:r w:rsidRPr="008C00C6">
        <w:rPr>
          <w:color w:val="000000"/>
        </w:rPr>
        <w:t>We note that Anthem’s petition neglects to cite this statutory basis for the requested Commission action.</w:t>
      </w:r>
    </w:p>
  </w:footnote>
  <w:footnote w:id="8">
    <w:p w:rsidR="00397C1A" w:rsidP="00590E6C" w14:paraId="1B0CAC53" w14:textId="77777777">
      <w:pPr>
        <w:pStyle w:val="FootnoteText"/>
      </w:pPr>
      <w:r>
        <w:rPr>
          <w:rStyle w:val="FootnoteReference"/>
        </w:rPr>
        <w:footnoteRef/>
      </w:r>
      <w:r>
        <w:t xml:space="preserve"> </w:t>
      </w:r>
      <w:r w:rsidRPr="00C11261">
        <w:rPr>
          <w:i/>
        </w:rPr>
        <w:t>See</w:t>
      </w:r>
      <w:r>
        <w:t xml:space="preserve"> Anthem Petition at 12-14.</w:t>
      </w:r>
    </w:p>
  </w:footnote>
  <w:footnote w:id="9">
    <w:p w:rsidR="00397C1A" w:rsidP="00590E6C" w14:paraId="503BA3C0" w14:textId="77777777">
      <w:pPr>
        <w:pStyle w:val="FootnoteText"/>
      </w:pPr>
      <w:r>
        <w:rPr>
          <w:rStyle w:val="FootnoteReference"/>
        </w:rPr>
        <w:footnoteRef/>
      </w:r>
      <w:r>
        <w:t xml:space="preserve"> </w:t>
      </w:r>
      <w:r w:rsidRPr="00A14B26">
        <w:rPr>
          <w:i/>
          <w:iCs/>
        </w:rPr>
        <w:t>See</w:t>
      </w:r>
      <w:r>
        <w:t xml:space="preserve"> </w:t>
      </w:r>
      <w:r>
        <w:rPr>
          <w:i/>
        </w:rPr>
        <w:t>id.</w:t>
      </w:r>
      <w:r>
        <w:t xml:space="preserve"> at 14-17.</w:t>
      </w:r>
      <w:r w:rsidRPr="000E1A8A">
        <w:t xml:space="preserve"> </w:t>
      </w:r>
    </w:p>
  </w:footnote>
  <w:footnote w:id="10">
    <w:p w:rsidR="00397C1A" w:rsidP="00590E6C" w14:paraId="1B05CE0D" w14:textId="77777777">
      <w:pPr>
        <w:pStyle w:val="FootnoteText"/>
      </w:pPr>
      <w:r>
        <w:rPr>
          <w:rStyle w:val="FootnoteReference"/>
        </w:rPr>
        <w:footnoteRef/>
      </w:r>
      <w:r>
        <w:t xml:space="preserve"> </w:t>
      </w:r>
      <w:r w:rsidRPr="00E507E3">
        <w:rPr>
          <w:i/>
        </w:rPr>
        <w:t>See id</w:t>
      </w:r>
      <w:r>
        <w:t xml:space="preserve">. </w:t>
      </w:r>
    </w:p>
  </w:footnote>
  <w:footnote w:id="11">
    <w:p w:rsidR="00397C1A" w:rsidP="00590E6C" w14:paraId="48BE7F45" w14:textId="77777777">
      <w:pPr>
        <w:pStyle w:val="FootnoteText"/>
      </w:pPr>
      <w:r>
        <w:rPr>
          <w:rStyle w:val="FootnoteReference"/>
        </w:rPr>
        <w:footnoteRef/>
      </w:r>
      <w:r>
        <w:t xml:space="preserve"> </w:t>
      </w:r>
      <w:r w:rsidRPr="00E507E3">
        <w:rPr>
          <w:i/>
        </w:rPr>
        <w:t>See id</w:t>
      </w:r>
      <w:r>
        <w:t>. at 3-12.</w:t>
      </w:r>
    </w:p>
  </w:footnote>
  <w:footnote w:id="12">
    <w:p w:rsidR="00397C1A" w:rsidP="00590E6C" w14:paraId="4F255CE5" w14:textId="77777777">
      <w:pPr>
        <w:pStyle w:val="FootnoteText"/>
      </w:pPr>
      <w:r>
        <w:rPr>
          <w:rStyle w:val="FootnoteReference"/>
        </w:rPr>
        <w:footnoteRef/>
      </w:r>
      <w:r>
        <w:t xml:space="preserve"> </w:t>
      </w:r>
      <w:r w:rsidRPr="00CA095B">
        <w:rPr>
          <w:i/>
        </w:rPr>
        <w:t>Consumer and Governmental Affairs Bureau Seeks Comment on Petition for Declaratory Ruling Filed by Anthem, Inc.</w:t>
      </w:r>
      <w:r>
        <w:t xml:space="preserve">, CG Docket No. 02-278, Public Notice, 30 FCC </w:t>
      </w:r>
      <w:r>
        <w:t>Rcd</w:t>
      </w:r>
      <w:r>
        <w:t xml:space="preserve"> 9774 (2015).</w:t>
      </w:r>
    </w:p>
  </w:footnote>
  <w:footnote w:id="13">
    <w:p w:rsidR="00397C1A" w:rsidP="00590E6C" w14:paraId="6769AD6F" w14:textId="77777777">
      <w:pPr>
        <w:pStyle w:val="FootnoteText"/>
      </w:pPr>
      <w:r>
        <w:rPr>
          <w:rStyle w:val="FootnoteReference"/>
        </w:rPr>
        <w:footnoteRef/>
      </w:r>
      <w:r>
        <w:t xml:space="preserve"> Adventist Health System Comments (rec. Sept. 30, 2015) (Adventist Comments); WellCare Health Plans, Inc. Comments (rec. Sept. 30, 2015) (WellCare Comments); CVS Health Corporation and Rite Aid </w:t>
      </w:r>
      <w:r>
        <w:t>Hdqtrs</w:t>
      </w:r>
      <w:r>
        <w:t xml:space="preserve">. Corp. Comments (rec. Sept. 30, 2015) (CVS Comments); United Healthcare Services, Inc. Comments (rec. Sept. 30, 2015) (UHS Comments). </w:t>
      </w:r>
    </w:p>
  </w:footnote>
  <w:footnote w:id="14">
    <w:p w:rsidR="00397C1A" w:rsidP="00590E6C" w14:paraId="5C2F58E9" w14:textId="77777777">
      <w:pPr>
        <w:pStyle w:val="FootnoteText"/>
      </w:pPr>
      <w:r>
        <w:rPr>
          <w:rStyle w:val="FootnoteReference"/>
        </w:rPr>
        <w:footnoteRef/>
      </w:r>
      <w:r>
        <w:t xml:space="preserve"> Adventist Comments at 2; </w:t>
      </w:r>
      <w:r w:rsidRPr="00EC0881">
        <w:rPr>
          <w:i/>
        </w:rPr>
        <w:t>see also</w:t>
      </w:r>
      <w:r>
        <w:t xml:space="preserve"> CVS Comments at 7; UHS Comments at 5.</w:t>
      </w:r>
    </w:p>
  </w:footnote>
  <w:footnote w:id="15">
    <w:p w:rsidR="00397C1A" w:rsidP="00590E6C" w14:paraId="1F72B777" w14:textId="77777777">
      <w:pPr>
        <w:pStyle w:val="FootnoteText"/>
      </w:pPr>
      <w:r>
        <w:rPr>
          <w:rStyle w:val="FootnoteReference"/>
        </w:rPr>
        <w:footnoteRef/>
      </w:r>
      <w:r>
        <w:t xml:space="preserve"> </w:t>
      </w:r>
      <w:r w:rsidRPr="00AC661A">
        <w:rPr>
          <w:i/>
        </w:rPr>
        <w:t xml:space="preserve">See </w:t>
      </w:r>
      <w:r>
        <w:t>Letter from Roger Biggerstaff to Marlene H. Dortch, Secretary, FCC, CG Docket No. 02-278, at 3 (filed Oct. 16, 2015).</w:t>
      </w:r>
    </w:p>
  </w:footnote>
  <w:footnote w:id="16">
    <w:p w:rsidR="00397C1A" w14:paraId="0EF51B63" w14:textId="4319C187">
      <w:pPr>
        <w:pStyle w:val="FootnoteText"/>
      </w:pPr>
      <w:r>
        <w:rPr>
          <w:rStyle w:val="FootnoteReference"/>
        </w:rPr>
        <w:footnoteRef/>
      </w:r>
      <w:r>
        <w:t xml:space="preserve"> </w:t>
      </w:r>
      <w:r w:rsidRPr="00DA5F02">
        <w:rPr>
          <w:i/>
          <w:iCs/>
        </w:rPr>
        <w:t xml:space="preserve">See </w:t>
      </w:r>
      <w:r>
        <w:rPr>
          <w:i/>
          <w:iCs/>
        </w:rPr>
        <w:t>Rules and Regulations Implementing the Telephone Consumer Protection Act of 1991</w:t>
      </w:r>
      <w:r>
        <w:t xml:space="preserve">, CG Docket No. 02-278, Declaratory Ruling, </w:t>
      </w:r>
      <w:r w:rsidR="00F8106B">
        <w:t xml:space="preserve">35 FCC </w:t>
      </w:r>
      <w:r w:rsidR="00F8106B">
        <w:t>Rcd</w:t>
      </w:r>
      <w:r w:rsidR="00F8106B">
        <w:t xml:space="preserve"> 2840</w:t>
      </w:r>
      <w:r>
        <w:t xml:space="preserve"> (CGB 2020) (</w:t>
      </w:r>
      <w:r w:rsidRPr="00296A66">
        <w:rPr>
          <w:i/>
          <w:iCs/>
        </w:rPr>
        <w:t xml:space="preserve">COVID-19 </w:t>
      </w:r>
      <w:r>
        <w:rPr>
          <w:i/>
          <w:iCs/>
        </w:rPr>
        <w:t>Declaratory Ruling</w:t>
      </w:r>
      <w:r>
        <w:t xml:space="preserve">); </w:t>
      </w:r>
      <w:r>
        <w:rPr>
          <w:i/>
          <w:iCs/>
        </w:rPr>
        <w:t>see</w:t>
      </w:r>
      <w:r w:rsidR="007D03FE">
        <w:rPr>
          <w:i/>
          <w:iCs/>
        </w:rPr>
        <w:t xml:space="preserve"> also</w:t>
      </w:r>
      <w:r>
        <w:rPr>
          <w:i/>
          <w:iCs/>
        </w:rPr>
        <w:t xml:space="preserve"> </w:t>
      </w:r>
      <w:r>
        <w:t xml:space="preserve">Proclamation on Declaring a National Emergency Concerning the Novel Coronavirus Disease (COVID-19) Outbreak (Mar. 13, 2020), </w:t>
      </w:r>
      <w:hyperlink r:id="rId1" w:history="1">
        <w:r w:rsidRPr="00101DC1">
          <w:rPr>
            <w:rStyle w:val="Hyperlink"/>
          </w:rPr>
          <w:t>https://www.whitehouse.gov/presidential-actions/proclamation-declaring-national-emergency-concerning-novel-coronavirus-disease-covid-19-outbreak/</w:t>
        </w:r>
      </w:hyperlink>
      <w:r>
        <w:rPr>
          <w:rStyle w:val="Hyperlink"/>
        </w:rPr>
        <w:t xml:space="preserve">; </w:t>
      </w:r>
      <w:r w:rsidRPr="00CE0166">
        <w:t>47 CFR § 64.1200</w:t>
      </w:r>
      <w:r>
        <w:t>(f)(4) (defining “emergency purposes” as “calls made necessary in any situation affecting the health and safety of consumers”).</w:t>
      </w:r>
    </w:p>
  </w:footnote>
  <w:footnote w:id="17">
    <w:p w:rsidR="00397C1A" w:rsidRPr="008A78B6" w:rsidP="001D5BAA" w14:paraId="6C285F8E" w14:textId="1275D601">
      <w:pPr>
        <w:pStyle w:val="FootnoteText"/>
      </w:pPr>
      <w:r>
        <w:rPr>
          <w:rStyle w:val="FootnoteReference"/>
        </w:rPr>
        <w:footnoteRef/>
      </w:r>
      <w:r>
        <w:t xml:space="preserve"> </w:t>
      </w:r>
      <w:r>
        <w:rPr>
          <w:i/>
          <w:iCs/>
        </w:rPr>
        <w:t>See COVID-19 Declaratory Ruling</w:t>
      </w:r>
      <w:r>
        <w:t xml:space="preserve">, </w:t>
      </w:r>
      <w:r w:rsidR="00F8106B">
        <w:t xml:space="preserve">35 FCC </w:t>
      </w:r>
      <w:r w:rsidR="00F8106B">
        <w:t>Rcd</w:t>
      </w:r>
      <w:r w:rsidR="00F8106B">
        <w:t xml:space="preserve"> at 2841-42</w:t>
      </w:r>
      <w:r>
        <w:t>, paras. 6-8.</w:t>
      </w:r>
    </w:p>
  </w:footnote>
  <w:footnote w:id="18">
    <w:p w:rsidR="00397C1A" w14:paraId="63E6CC6F" w14:textId="4D9FB01E">
      <w:pPr>
        <w:pStyle w:val="FootnoteText"/>
      </w:pPr>
      <w:r>
        <w:rPr>
          <w:rStyle w:val="FootnoteReference"/>
        </w:rPr>
        <w:footnoteRef/>
      </w:r>
      <w:r>
        <w:t xml:space="preserve"> We reiterate that there is no general exception to the prior-express-consent requirement for health care-related calls but note that in 2015 the Commission adopted a limited exemption to the requirement for certain health care-related calls when they are, among other things, free to the end user.  </w:t>
      </w:r>
      <w:r w:rsidRPr="00D7183B">
        <w:rPr>
          <w:i/>
          <w:iCs/>
        </w:rPr>
        <w:t>See</w:t>
      </w:r>
      <w:r>
        <w:t xml:space="preserve"> </w:t>
      </w:r>
      <w:r w:rsidRPr="002A59A3" w:rsidR="00B76DFD">
        <w:rPr>
          <w:i/>
          <w:iCs/>
        </w:rPr>
        <w:t>Rules and Regulations Implementing the Telephone Consumer Protection Act of 1991</w:t>
      </w:r>
      <w:r w:rsidR="00B76DFD">
        <w:t xml:space="preserve">, CG Docket No. 02-278, WC Docket No. 07-135, Declaratory Ruling and Order, 30 FCC </w:t>
      </w:r>
      <w:r w:rsidR="00B76DFD">
        <w:t>Rcd</w:t>
      </w:r>
      <w:r w:rsidR="00B76DFD">
        <w:t xml:space="preserve"> </w:t>
      </w:r>
      <w:r w:rsidR="006A308F">
        <w:t>7961</w:t>
      </w:r>
      <w:r w:rsidR="00B76DFD">
        <w:t>, 8031-32, paras. 147-48 (2015) (</w:t>
      </w:r>
      <w:r w:rsidRPr="002A59A3" w:rsidR="00B76DFD">
        <w:rPr>
          <w:i/>
          <w:iCs/>
        </w:rPr>
        <w:t>2015 TCPA Declaratory Ruling and Order</w:t>
      </w:r>
      <w:r w:rsidR="00B76DFD">
        <w:t>)</w:t>
      </w:r>
      <w:r>
        <w:t xml:space="preserve">.  </w:t>
      </w:r>
    </w:p>
  </w:footnote>
  <w:footnote w:id="19">
    <w:p w:rsidR="00397C1A" w14:paraId="283DB649" w14:textId="77777777">
      <w:pPr>
        <w:pStyle w:val="FootnoteText"/>
      </w:pPr>
      <w:r>
        <w:rPr>
          <w:rStyle w:val="FootnoteReference"/>
        </w:rPr>
        <w:footnoteRef/>
      </w:r>
      <w:r>
        <w:t xml:space="preserve"> </w:t>
      </w:r>
      <w:r w:rsidRPr="001D0D85">
        <w:rPr>
          <w:i/>
          <w:iCs/>
        </w:rPr>
        <w:t>See</w:t>
      </w:r>
      <w:r>
        <w:t xml:space="preserve"> Pub. L. No. 102-243, § 2(9) (1991).</w:t>
      </w:r>
    </w:p>
  </w:footnote>
  <w:footnote w:id="20">
    <w:p w:rsidR="00397C1A" w:rsidP="00590E6C" w14:paraId="6286E0F0" w14:textId="77777777">
      <w:pPr>
        <w:pStyle w:val="FootnoteText"/>
      </w:pPr>
      <w:r>
        <w:rPr>
          <w:rStyle w:val="FootnoteReference"/>
        </w:rPr>
        <w:footnoteRef/>
      </w:r>
      <w:r>
        <w:t xml:space="preserve"> </w:t>
      </w:r>
      <w:r w:rsidRPr="00271068">
        <w:rPr>
          <w:i/>
          <w:iCs/>
        </w:rPr>
        <w:t>See</w:t>
      </w:r>
      <w:r>
        <w:rPr>
          <w:iCs/>
        </w:rPr>
        <w:t xml:space="preserve"> </w:t>
      </w:r>
      <w:r>
        <w:t xml:space="preserve">Pallone-Thune </w:t>
      </w:r>
      <w:r>
        <w:rPr>
          <w:iCs/>
        </w:rPr>
        <w:t>Telephone Robocall Abuse Criminal Enforcement and Deterrence Act, Pub. L. No. 116-105 (2019).</w:t>
      </w:r>
    </w:p>
  </w:footnote>
  <w:footnote w:id="21">
    <w:p w:rsidR="00B76DFD" w:rsidP="00B76DFD" w14:paraId="6B704FE5" w14:textId="19EAC555">
      <w:pPr>
        <w:pStyle w:val="FootnoteText"/>
      </w:pPr>
      <w:r>
        <w:rPr>
          <w:rStyle w:val="FootnoteReference"/>
        </w:rPr>
        <w:footnoteRef/>
      </w:r>
      <w:r>
        <w:t xml:space="preserve"> The Commission has clarified that “persons who knowingly release their phone numbers</w:t>
      </w:r>
      <w:r w:rsidR="00EE3E36">
        <w:t>” for a particular purpose</w:t>
      </w:r>
      <w:r>
        <w:t xml:space="preserve"> </w:t>
      </w:r>
      <w:r w:rsidR="00EE3E36">
        <w:t>“</w:t>
      </w:r>
      <w:r>
        <w:t>have in effect given their invitation or permission to be called at the number</w:t>
      </w:r>
      <w:r w:rsidR="00EE3E36">
        <w:t>” for that purpose “</w:t>
      </w:r>
      <w:r>
        <w:t xml:space="preserve">absent instructions to the contrary.”  </w:t>
      </w:r>
      <w:r w:rsidRPr="007D2905">
        <w:rPr>
          <w:i/>
          <w:iCs/>
        </w:rPr>
        <w:t>Rules and Regulations Implementing the Telephone Consumer Protection Act of 1991</w:t>
      </w:r>
      <w:r>
        <w:t xml:space="preserve">, CG Docket No. 92-90, Report and Order, 7 FCC </w:t>
      </w:r>
      <w:r>
        <w:t>Rcd</w:t>
      </w:r>
      <w:r>
        <w:t xml:space="preserve"> 8752, 8769, para. 31 (1992) (</w:t>
      </w:r>
      <w:r w:rsidRPr="008D1414">
        <w:rPr>
          <w:i/>
          <w:iCs/>
        </w:rPr>
        <w:t>1992 TCPA Order</w:t>
      </w:r>
      <w:r>
        <w:t xml:space="preserve">).  The Commission has examined the issue of prior express consent in the context of health care-related calls:  “[T]he provision of a phone number to a healthcare provider constitutes prior express consent for healthcare calls subject to HIPAA . . . if the covered entities and business associates are making calls within the scope of consent given, and absent instructions to the contrary.”  </w:t>
      </w:r>
      <w:r w:rsidRPr="008D1414">
        <w:rPr>
          <w:i/>
          <w:iCs/>
        </w:rPr>
        <w:t xml:space="preserve">2015 </w:t>
      </w:r>
      <w:r>
        <w:rPr>
          <w:i/>
          <w:iCs/>
        </w:rPr>
        <w:t xml:space="preserve">TCPA </w:t>
      </w:r>
      <w:r w:rsidRPr="008D1414">
        <w:rPr>
          <w:i/>
          <w:iCs/>
        </w:rPr>
        <w:t>Declaratory Ruling and Order</w:t>
      </w:r>
      <w:r>
        <w:t xml:space="preserve">, 30 FCC </w:t>
      </w:r>
      <w:r>
        <w:t>Rcd</w:t>
      </w:r>
      <w:r>
        <w:t xml:space="preserve"> 8020, para. 141.  The Commission further clarified that “within the scope of consent given” means “the call must be closely related to the purpose for which the telephone number was originally provided.”  </w:t>
      </w:r>
      <w:r w:rsidRPr="008D1414">
        <w:rPr>
          <w:i/>
          <w:iCs/>
        </w:rPr>
        <w:t>Id</w:t>
      </w:r>
      <w:r>
        <w:t>. at 8020 n.474.</w:t>
      </w:r>
    </w:p>
  </w:footnote>
  <w:footnote w:id="22">
    <w:p w:rsidR="00397C1A" w:rsidP="00590E6C" w14:paraId="4EB5F5EF" w14:textId="77777777">
      <w:pPr>
        <w:pStyle w:val="FootnoteText"/>
      </w:pPr>
      <w:r>
        <w:rPr>
          <w:rStyle w:val="FootnoteReference"/>
        </w:rPr>
        <w:footnoteRef/>
      </w:r>
      <w:r>
        <w:t xml:space="preserve"> </w:t>
      </w:r>
      <w:r w:rsidRPr="00071597">
        <w:rPr>
          <w:i/>
        </w:rPr>
        <w:t>See</w:t>
      </w:r>
      <w:r>
        <w:t xml:space="preserve"> </w:t>
      </w:r>
      <w:r w:rsidRPr="006F6CA0">
        <w:t>Anthem Petition</w:t>
      </w:r>
      <w:r>
        <w:t xml:space="preserve"> at 2, 13.</w:t>
      </w:r>
    </w:p>
  </w:footnote>
  <w:footnote w:id="23">
    <w:p w:rsidR="00B76DFD" w:rsidP="00B76DFD" w14:paraId="35A8A179" w14:textId="77777777">
      <w:pPr>
        <w:pStyle w:val="FootnoteText"/>
      </w:pPr>
      <w:r>
        <w:rPr>
          <w:rStyle w:val="FootnoteReference"/>
        </w:rPr>
        <w:footnoteRef/>
      </w:r>
      <w:r>
        <w:t xml:space="preserve"> </w:t>
      </w:r>
      <w:r>
        <w:rPr>
          <w:iCs/>
        </w:rPr>
        <w:t xml:space="preserve">To the extent Anthem is asking us to find an established business relationship exception applies to its calls, we do not find reason to do so.  Congress could have included an explicit established business relationship exception for calls to wireless numbers in the TCPA (as it did in the case of faxes) but it did not, nor did Congress give the Commission the authority to adopt an established business relationship exception for </w:t>
      </w:r>
      <w:r w:rsidRPr="007D2996">
        <w:rPr>
          <w:i/>
        </w:rPr>
        <w:t xml:space="preserve">wireless </w:t>
      </w:r>
      <w:r>
        <w:rPr>
          <w:iCs/>
        </w:rPr>
        <w:t xml:space="preserve">calls on the grounds that such calls do not “adversely affect [consumer] privacy rights,” which the TCPA does provide for calls to </w:t>
      </w:r>
      <w:r w:rsidRPr="007D2996">
        <w:rPr>
          <w:i/>
        </w:rPr>
        <w:t>residential</w:t>
      </w:r>
      <w:r>
        <w:rPr>
          <w:iCs/>
        </w:rPr>
        <w:t xml:space="preserve"> lines.  </w:t>
      </w:r>
      <w:r>
        <w:t xml:space="preserve">47 U.S.C. 227(b)(2)(B)(ii)(I); </w:t>
      </w:r>
      <w:r w:rsidRPr="00563413">
        <w:rPr>
          <w:i/>
        </w:rPr>
        <w:t>see also 1992 TCPA Order</w:t>
      </w:r>
      <w:r>
        <w:t xml:space="preserve">, 7 FCC </w:t>
      </w:r>
      <w:r>
        <w:t>Rcd</w:t>
      </w:r>
      <w:r>
        <w:t xml:space="preserve"> at 8770, para. 34; </w:t>
      </w:r>
      <w:r w:rsidRPr="00707B33">
        <w:rPr>
          <w:i/>
        </w:rPr>
        <w:t>Rules and Regulations Implementing the Telephone Consumer Protection Act</w:t>
      </w:r>
      <w:r w:rsidRPr="00F95860">
        <w:t xml:space="preserve">, CG Docket No. 02-278, Report and Order, 27 FCC </w:t>
      </w:r>
      <w:r w:rsidRPr="00F95860">
        <w:t>Rcd</w:t>
      </w:r>
      <w:r w:rsidRPr="00F95860">
        <w:t xml:space="preserve"> 1830, </w:t>
      </w:r>
      <w:r>
        <w:t>1845, para. 35 n.102 (2012) (</w:t>
      </w:r>
      <w:r w:rsidRPr="00576E74">
        <w:rPr>
          <w:i/>
        </w:rPr>
        <w:t>2012 TCPA Order</w:t>
      </w:r>
      <w:r>
        <w:t>); 47 CFR § 64.1200(a)(4)(</w:t>
      </w:r>
      <w:r>
        <w:t>i</w:t>
      </w:r>
      <w:r>
        <w:t xml:space="preserve">).  </w:t>
      </w:r>
    </w:p>
  </w:footnote>
  <w:footnote w:id="24">
    <w:p w:rsidR="00397C1A" w14:paraId="21477C05" w14:textId="77777777">
      <w:pPr>
        <w:pStyle w:val="FootnoteText"/>
      </w:pPr>
      <w:r>
        <w:rPr>
          <w:rStyle w:val="FootnoteReference"/>
        </w:rPr>
        <w:footnoteRef/>
      </w:r>
      <w:r>
        <w:t xml:space="preserve"> To the extent Anthem’s “urgent circumstances” request is grounded in the </w:t>
      </w:r>
      <w:r w:rsidRPr="00475C61">
        <w:t>Commissio</w:t>
      </w:r>
      <w:r>
        <w:t xml:space="preserve">n’s authority to “by rule or order, exempt from the [TCPA’s restrictions on calls to wireless numbers made using an autodialer or a prerecorded or artificial voice] calls to a telephone number assigned to a cellular telephone service that are not charged to the called party, subject to such conditions as the Commission may prescribe as necessary in the interest of the privacy rights this section is intended to protect,” it also fails.  47 U.S.C. § 227(b)(2)(C).  For example, Anthem has not argued it could satisfy the provision’s minimal factual requirements, including that the calls would be free to the end user.  </w:t>
      </w:r>
      <w:r w:rsidRPr="003447D6">
        <w:rPr>
          <w:i/>
          <w:iCs/>
        </w:rPr>
        <w:t>See</w:t>
      </w:r>
      <w:r>
        <w:rPr>
          <w:i/>
          <w:iCs/>
        </w:rPr>
        <w:t xml:space="preserve"> id</w:t>
      </w:r>
      <w:r>
        <w:t>. (“calls to a telephone number assigned to a cellular telephone service that are not charged to a called party”)</w:t>
      </w:r>
      <w:r w:rsidR="007D03FE">
        <w:t>.</w:t>
      </w:r>
      <w:r>
        <w:t xml:space="preserve">  To the extent that the calls Anthem wishes to make fall within the parameters set forth in the </w:t>
      </w:r>
      <w:r w:rsidRPr="00150210">
        <w:rPr>
          <w:i/>
        </w:rPr>
        <w:t>2015 TCPA Declaratory Ruling and Order</w:t>
      </w:r>
      <w:r>
        <w:t xml:space="preserve">, the exemption granted therein for certain health care-related calls could apply.  </w:t>
      </w:r>
      <w:r w:rsidRPr="003447D6">
        <w:rPr>
          <w:i/>
          <w:iCs/>
        </w:rPr>
        <w:t>See</w:t>
      </w:r>
      <w:r>
        <w:t xml:space="preserve"> </w:t>
      </w:r>
      <w:r w:rsidRPr="007D2905">
        <w:rPr>
          <w:i/>
          <w:iCs/>
        </w:rPr>
        <w:t>2015 TCPA Declaratory Ruling and Order</w:t>
      </w:r>
      <w:r>
        <w:t xml:space="preserve">, 30 FCC </w:t>
      </w:r>
      <w:r>
        <w:t>Rcd</w:t>
      </w:r>
      <w:r>
        <w:t xml:space="preserve"> at 8030-32, paras. 143-48.</w:t>
      </w:r>
    </w:p>
  </w:footnote>
  <w:footnote w:id="25">
    <w:p w:rsidR="00397C1A" w14:paraId="4E6D9638" w14:textId="77777777">
      <w:pPr>
        <w:pStyle w:val="FootnoteText"/>
      </w:pPr>
      <w:r>
        <w:rPr>
          <w:rStyle w:val="FootnoteReference"/>
        </w:rPr>
        <w:footnoteRef/>
      </w:r>
      <w:r>
        <w:t xml:space="preserve"> </w:t>
      </w:r>
      <w:r w:rsidRPr="00C11261">
        <w:rPr>
          <w:i/>
        </w:rPr>
        <w:t>See</w:t>
      </w:r>
      <w:r>
        <w:t xml:space="preserve"> Anthem Petition at 16.</w:t>
      </w:r>
    </w:p>
  </w:footnote>
  <w:footnote w:id="26">
    <w:p w:rsidR="00397C1A" w:rsidP="00A8362F" w14:paraId="5D28CA58" w14:textId="28C38442">
      <w:pPr>
        <w:pStyle w:val="FootnoteText"/>
      </w:pPr>
      <w:r>
        <w:rPr>
          <w:rStyle w:val="FootnoteReference"/>
        </w:rPr>
        <w:footnoteRef/>
      </w:r>
      <w:r>
        <w:t xml:space="preserve"> </w:t>
      </w:r>
      <w:r>
        <w:rPr>
          <w:i/>
          <w:iCs/>
        </w:rPr>
        <w:t>COVID-19 Declaratory Ruling</w:t>
      </w:r>
      <w:r>
        <w:t xml:space="preserve">, </w:t>
      </w:r>
      <w:r w:rsidR="00F8106B">
        <w:t xml:space="preserve">35 FCC </w:t>
      </w:r>
      <w:r w:rsidR="00F8106B">
        <w:t>Rcd</w:t>
      </w:r>
      <w:r w:rsidR="00F8106B">
        <w:t xml:space="preserve"> at 2841-42</w:t>
      </w:r>
      <w:r>
        <w:t xml:space="preserve">, paras. 6-8 (citing </w:t>
      </w:r>
      <w:r>
        <w:rPr>
          <w:i/>
          <w:iCs/>
        </w:rPr>
        <w:t>Rules and Regulations Implementing the Telephone Consumer Protection Act of 1991</w:t>
      </w:r>
      <w:r>
        <w:t xml:space="preserve">, </w:t>
      </w:r>
      <w:r>
        <w:rPr>
          <w:i/>
          <w:iCs/>
        </w:rPr>
        <w:t>Blackboard, Inc. Petition for Expedited Declaratory Ruling</w:t>
      </w:r>
      <w:r>
        <w:t xml:space="preserve">, CG Docket No. 02-278, Declaratory Ruling, 31 FCC </w:t>
      </w:r>
      <w:r>
        <w:t>Rcd</w:t>
      </w:r>
      <w:r>
        <w:t xml:space="preserve"> 9054, 9063, para. 21 (2016) (concluding that </w:t>
      </w:r>
      <w:r w:rsidRPr="00773659">
        <w:t>calls or messages relating to weather closures, incidents of threats and/or imminent danger to the school due to fire, dangerous persons, health risks, and unexcused absences</w:t>
      </w:r>
      <w:r>
        <w:t xml:space="preserve"> constitute calls made for an emergency purpose because they potentially affect the health and safety of students and faculty)).</w:t>
      </w:r>
    </w:p>
  </w:footnote>
  <w:footnote w:id="27">
    <w:p w:rsidR="00397C1A" w14:paraId="00E7704F" w14:textId="77777777">
      <w:pPr>
        <w:pStyle w:val="FootnoteText"/>
      </w:pPr>
      <w:r>
        <w:rPr>
          <w:rStyle w:val="FootnoteReference"/>
        </w:rPr>
        <w:footnoteRef/>
      </w:r>
      <w:r>
        <w:t xml:space="preserve"> </w:t>
      </w:r>
      <w:r w:rsidRPr="007D2905">
        <w:rPr>
          <w:i/>
          <w:iCs/>
        </w:rPr>
        <w:t>See</w:t>
      </w:r>
      <w:r>
        <w:t xml:space="preserve"> </w:t>
      </w:r>
      <w:r w:rsidRPr="00B45475">
        <w:t xml:space="preserve">47 CFR </w:t>
      </w:r>
      <w:bookmarkStart w:id="4" w:name="_Hlk35422800"/>
      <w:r w:rsidRPr="00B45475">
        <w:t>§</w:t>
      </w:r>
      <w:bookmarkEnd w:id="4"/>
      <w:r w:rsidRPr="00B45475">
        <w:t xml:space="preserve"> 64.1200(f)(4)</w:t>
      </w:r>
      <w:r>
        <w:t xml:space="preserve"> (defining </w:t>
      </w:r>
      <w:r w:rsidRPr="00B45475">
        <w:t>“emergency purposes” to mean “calls made necessary in any situation affecting the health and safety of consumers”</w:t>
      </w:r>
      <w:r>
        <w:t>).</w:t>
      </w:r>
    </w:p>
  </w:footnote>
  <w:footnote w:id="28">
    <w:p w:rsidR="00397C1A" w14:paraId="49CC2E1C" w14:textId="6FB5AC7F">
      <w:pPr>
        <w:pStyle w:val="FootnoteText"/>
      </w:pPr>
      <w:r>
        <w:rPr>
          <w:rStyle w:val="FootnoteReference"/>
        </w:rPr>
        <w:footnoteRef/>
      </w:r>
      <w:r>
        <w:t xml:space="preserve"> </w:t>
      </w:r>
      <w:r w:rsidR="00B76DFD">
        <w:t>T</w:t>
      </w:r>
      <w:r>
        <w:t xml:space="preserve">he Commission has the authority to and did grant a limited exemption for health care-related calls in 2015.  </w:t>
      </w:r>
      <w:r w:rsidRPr="000A520C">
        <w:rPr>
          <w:i/>
          <w:iCs/>
        </w:rPr>
        <w:t>See</w:t>
      </w:r>
      <w:r>
        <w:t xml:space="preserve"> 47 U.S.C. § 227(b)(2)(C); </w:t>
      </w:r>
      <w:r w:rsidRPr="000A520C">
        <w:rPr>
          <w:i/>
          <w:iCs/>
        </w:rPr>
        <w:t>see also 2015 TCPA Declaratory Ruling and Order</w:t>
      </w:r>
      <w:r>
        <w:t xml:space="preserve">, 30 FCC </w:t>
      </w:r>
      <w:r w:rsidR="00353572">
        <w:t>Rcd</w:t>
      </w:r>
      <w:r w:rsidR="00353572">
        <w:t xml:space="preserve"> </w:t>
      </w:r>
      <w:r>
        <w:t>at 8031-32, paras. 146-48.  In order for such calls to be exempt from the TCPA’s consent requirement they must be exigent and have a health care treatment purpose, as well as meet a number of conditions including, but not limited to, being free to the end user.  Anthem has not asserted, let alone proven, that it will meet these criteria.  The purported popularity of the call is not part of our exemption inquiry.</w:t>
      </w:r>
    </w:p>
  </w:footnote>
  <w:footnote w:id="29">
    <w:p w:rsidR="00397C1A" w14:paraId="3911D6D8" w14:textId="77777777">
      <w:pPr>
        <w:pStyle w:val="FootnoteText"/>
      </w:pPr>
      <w:r>
        <w:rPr>
          <w:rStyle w:val="FootnoteReference"/>
        </w:rPr>
        <w:footnoteRef/>
      </w:r>
      <w:r>
        <w:t xml:space="preserve"> Anthem’s Petition is inherently contradictory.  On the one hand, Anthem spends the majority of its petition asserting that these calls are not only beneficial to, but also welcome</w:t>
      </w:r>
      <w:r w:rsidR="00B76DFD">
        <w:t>d</w:t>
      </w:r>
      <w:r>
        <w:t xml:space="preserve"> by consumers.  On the other hand, Anthem alleges, without any evidence, that it is difficult to obtain consent for the calls it wishes to make.  </w:t>
      </w:r>
      <w:r w:rsidRPr="00D41217">
        <w:rPr>
          <w:i/>
          <w:iCs/>
        </w:rPr>
        <w:t>See</w:t>
      </w:r>
      <w:r>
        <w:t xml:space="preserve"> Anthem Petition at 9.  Even if Anthem’s latter allegation is correct and it is difficult to obtain consent, this provides no basis as a matter of law for an exception to or the creation of an exemption from the TCPA’s consent requirement.    </w:t>
      </w:r>
    </w:p>
  </w:footnote>
  <w:footnote w:id="30">
    <w:p w:rsidR="00397C1A" w14:paraId="7C6BE645" w14:textId="77777777">
      <w:pPr>
        <w:pStyle w:val="FootnoteText"/>
      </w:pPr>
      <w:r>
        <w:rPr>
          <w:rStyle w:val="FootnoteReference"/>
        </w:rPr>
        <w:footnoteRef/>
      </w:r>
      <w:r>
        <w:t xml:space="preserve"> </w:t>
      </w:r>
      <w:r>
        <w:rPr>
          <w:i/>
          <w:iCs/>
        </w:rPr>
        <w:t>See</w:t>
      </w:r>
      <w:r>
        <w:t xml:space="preserve"> </w:t>
      </w:r>
      <w:r w:rsidRPr="0021625C">
        <w:rPr>
          <w:i/>
          <w:iCs/>
        </w:rPr>
        <w:t>2012 TCPA Order</w:t>
      </w:r>
      <w:r>
        <w:t xml:space="preserve">, 27 FCC </w:t>
      </w:r>
      <w:r>
        <w:t>Rcd</w:t>
      </w:r>
      <w:r>
        <w:t xml:space="preserve"> at 1852, para. 57 (describing the “privacy protections” of HIPAA, in part, as “</w:t>
      </w:r>
      <w:r>
        <w:t>giv</w:t>
      </w:r>
      <w:r>
        <w:t>[</w:t>
      </w:r>
      <w:r>
        <w:t>ing</w:t>
      </w:r>
      <w:r>
        <w:t>] individuals important controls over whether and how their protected information is used and disclosed for marketing purposes” and “</w:t>
      </w:r>
      <w:r>
        <w:t>requir</w:t>
      </w:r>
      <w:r>
        <w:t>[</w:t>
      </w:r>
      <w:r>
        <w:t>ing</w:t>
      </w:r>
      <w:r>
        <w:t xml:space="preserve">] an individual’s written authorization before his or her protected health information can be used or disclosed for marketing purposes”); </w:t>
      </w:r>
      <w:r w:rsidRPr="00DB7B37" w:rsidR="00DB7B37">
        <w:rPr>
          <w:i/>
          <w:iCs/>
        </w:rPr>
        <w:t>see also</w:t>
      </w:r>
      <w:r w:rsidR="00DB7B37">
        <w:t xml:space="preserve"> </w:t>
      </w:r>
      <w:r>
        <w:t>47 USC § 227(b)(1).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C1A" w:rsidP="00810B6F" w14:paraId="526DE20C" w14:textId="08C1675F">
    <w:pPr>
      <w:pStyle w:val="Header"/>
      <w:rPr>
        <w:b w:val="0"/>
      </w:rPr>
    </w:pPr>
    <w:r>
      <w:tab/>
      <w:t>Federal Communications Commission</w:t>
    </w:r>
    <w:r>
      <w:tab/>
    </w:r>
    <w:r w:rsidR="00B76DFD">
      <w:t>DA 20-</w:t>
    </w:r>
    <w:r w:rsidR="00E847BC">
      <w:t>669</w:t>
    </w:r>
  </w:p>
  <w:p w:rsidR="00397C1A" w14:paraId="5C85BF4C" w14:textId="4CB670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397C1A" w14:paraId="1208B7C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7C1A" w:rsidP="00810B6F" w14:paraId="48F549C3" w14:textId="3EC6AB26">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t>Federal Communications Commission</w:t>
    </w:r>
    <w:r>
      <w:tab/>
    </w:r>
    <w:r w:rsidR="00B76DFD">
      <w:rPr>
        <w:spacing w:val="-2"/>
      </w:rPr>
      <w:t>DA 20-</w:t>
    </w:r>
    <w:r w:rsidR="00E847BC">
      <w:rPr>
        <w:spacing w:val="-2"/>
      </w:rPr>
      <w:t>669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C0C6182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427C73"/>
    <w:rsid w:val="00000846"/>
    <w:rsid w:val="00003610"/>
    <w:rsid w:val="00005E79"/>
    <w:rsid w:val="00007D38"/>
    <w:rsid w:val="00013D22"/>
    <w:rsid w:val="000143E0"/>
    <w:rsid w:val="00014D80"/>
    <w:rsid w:val="00017083"/>
    <w:rsid w:val="00017613"/>
    <w:rsid w:val="00020816"/>
    <w:rsid w:val="00022093"/>
    <w:rsid w:val="000230CD"/>
    <w:rsid w:val="00032135"/>
    <w:rsid w:val="00033B48"/>
    <w:rsid w:val="00035322"/>
    <w:rsid w:val="00035B1C"/>
    <w:rsid w:val="00036039"/>
    <w:rsid w:val="000363DB"/>
    <w:rsid w:val="00037F90"/>
    <w:rsid w:val="00040F7D"/>
    <w:rsid w:val="000462D3"/>
    <w:rsid w:val="000579A5"/>
    <w:rsid w:val="0006775D"/>
    <w:rsid w:val="0007077E"/>
    <w:rsid w:val="00071597"/>
    <w:rsid w:val="00072CDB"/>
    <w:rsid w:val="00076F1B"/>
    <w:rsid w:val="00080326"/>
    <w:rsid w:val="000832C3"/>
    <w:rsid w:val="00084B61"/>
    <w:rsid w:val="00086417"/>
    <w:rsid w:val="000875BF"/>
    <w:rsid w:val="00092F4D"/>
    <w:rsid w:val="00093BC9"/>
    <w:rsid w:val="0009657C"/>
    <w:rsid w:val="00096D8C"/>
    <w:rsid w:val="000A520C"/>
    <w:rsid w:val="000A53B4"/>
    <w:rsid w:val="000B370E"/>
    <w:rsid w:val="000B4ACC"/>
    <w:rsid w:val="000C0B65"/>
    <w:rsid w:val="000C3246"/>
    <w:rsid w:val="000D6A3B"/>
    <w:rsid w:val="000D7535"/>
    <w:rsid w:val="000D7672"/>
    <w:rsid w:val="000E05FE"/>
    <w:rsid w:val="000E1A8A"/>
    <w:rsid w:val="000E2A84"/>
    <w:rsid w:val="000E3D42"/>
    <w:rsid w:val="000E69D8"/>
    <w:rsid w:val="000E7224"/>
    <w:rsid w:val="000F44AC"/>
    <w:rsid w:val="000F4DEB"/>
    <w:rsid w:val="000F7BC8"/>
    <w:rsid w:val="00101DC1"/>
    <w:rsid w:val="00114CB3"/>
    <w:rsid w:val="00121BD4"/>
    <w:rsid w:val="00122BD5"/>
    <w:rsid w:val="00125291"/>
    <w:rsid w:val="00126337"/>
    <w:rsid w:val="00130770"/>
    <w:rsid w:val="00133F79"/>
    <w:rsid w:val="00150210"/>
    <w:rsid w:val="0015584A"/>
    <w:rsid w:val="00163A01"/>
    <w:rsid w:val="00164E09"/>
    <w:rsid w:val="00167962"/>
    <w:rsid w:val="00181252"/>
    <w:rsid w:val="001830EB"/>
    <w:rsid w:val="00184EEC"/>
    <w:rsid w:val="00194166"/>
    <w:rsid w:val="0019488F"/>
    <w:rsid w:val="00194A66"/>
    <w:rsid w:val="001A1C10"/>
    <w:rsid w:val="001A625D"/>
    <w:rsid w:val="001B4752"/>
    <w:rsid w:val="001B5F3A"/>
    <w:rsid w:val="001C1F46"/>
    <w:rsid w:val="001C201E"/>
    <w:rsid w:val="001C25AC"/>
    <w:rsid w:val="001C4546"/>
    <w:rsid w:val="001D0D85"/>
    <w:rsid w:val="001D54FA"/>
    <w:rsid w:val="001D5BAA"/>
    <w:rsid w:val="001D6BCF"/>
    <w:rsid w:val="001E01CA"/>
    <w:rsid w:val="001E096B"/>
    <w:rsid w:val="001E33B5"/>
    <w:rsid w:val="001E34D5"/>
    <w:rsid w:val="001E3C67"/>
    <w:rsid w:val="001E608E"/>
    <w:rsid w:val="001E6528"/>
    <w:rsid w:val="001E6D55"/>
    <w:rsid w:val="001F05E5"/>
    <w:rsid w:val="001F0864"/>
    <w:rsid w:val="001F0CE2"/>
    <w:rsid w:val="001F145F"/>
    <w:rsid w:val="001F2AA2"/>
    <w:rsid w:val="0020249D"/>
    <w:rsid w:val="0020546C"/>
    <w:rsid w:val="002078F8"/>
    <w:rsid w:val="0021295E"/>
    <w:rsid w:val="0021593C"/>
    <w:rsid w:val="0021625C"/>
    <w:rsid w:val="00225CB0"/>
    <w:rsid w:val="002277DB"/>
    <w:rsid w:val="00231FF2"/>
    <w:rsid w:val="002342E1"/>
    <w:rsid w:val="00234880"/>
    <w:rsid w:val="00236FE5"/>
    <w:rsid w:val="002379DB"/>
    <w:rsid w:val="00251256"/>
    <w:rsid w:val="002512CA"/>
    <w:rsid w:val="00260420"/>
    <w:rsid w:val="00264143"/>
    <w:rsid w:val="00266BE5"/>
    <w:rsid w:val="00271068"/>
    <w:rsid w:val="0027211D"/>
    <w:rsid w:val="002753B4"/>
    <w:rsid w:val="00275CF5"/>
    <w:rsid w:val="00275EFB"/>
    <w:rsid w:val="00276439"/>
    <w:rsid w:val="00276B64"/>
    <w:rsid w:val="0027789B"/>
    <w:rsid w:val="00281C1B"/>
    <w:rsid w:val="00282298"/>
    <w:rsid w:val="0028301F"/>
    <w:rsid w:val="00285017"/>
    <w:rsid w:val="00294F5D"/>
    <w:rsid w:val="00295D4F"/>
    <w:rsid w:val="002962A0"/>
    <w:rsid w:val="00296A66"/>
    <w:rsid w:val="0029717D"/>
    <w:rsid w:val="002A2793"/>
    <w:rsid w:val="002A2D2E"/>
    <w:rsid w:val="002A3743"/>
    <w:rsid w:val="002A59A3"/>
    <w:rsid w:val="002A5B8D"/>
    <w:rsid w:val="002A6AE9"/>
    <w:rsid w:val="002A6EA1"/>
    <w:rsid w:val="002C00E8"/>
    <w:rsid w:val="002C0BDE"/>
    <w:rsid w:val="002C1935"/>
    <w:rsid w:val="002C2F21"/>
    <w:rsid w:val="002C4568"/>
    <w:rsid w:val="002E3C51"/>
    <w:rsid w:val="002E4FF8"/>
    <w:rsid w:val="002F24FF"/>
    <w:rsid w:val="002F428E"/>
    <w:rsid w:val="0030171A"/>
    <w:rsid w:val="003049CB"/>
    <w:rsid w:val="003071C5"/>
    <w:rsid w:val="003076FA"/>
    <w:rsid w:val="00307A2B"/>
    <w:rsid w:val="003232F8"/>
    <w:rsid w:val="00323416"/>
    <w:rsid w:val="003241C8"/>
    <w:rsid w:val="00343749"/>
    <w:rsid w:val="003447D6"/>
    <w:rsid w:val="00344931"/>
    <w:rsid w:val="00346F6F"/>
    <w:rsid w:val="00353572"/>
    <w:rsid w:val="003612D3"/>
    <w:rsid w:val="00361D35"/>
    <w:rsid w:val="00362304"/>
    <w:rsid w:val="00363252"/>
    <w:rsid w:val="0036592C"/>
    <w:rsid w:val="003660ED"/>
    <w:rsid w:val="003706F9"/>
    <w:rsid w:val="00376D6D"/>
    <w:rsid w:val="0038553E"/>
    <w:rsid w:val="00387833"/>
    <w:rsid w:val="00390EF3"/>
    <w:rsid w:val="0039356C"/>
    <w:rsid w:val="003973A3"/>
    <w:rsid w:val="00397C1A"/>
    <w:rsid w:val="003A1135"/>
    <w:rsid w:val="003A5306"/>
    <w:rsid w:val="003A6D16"/>
    <w:rsid w:val="003A72C7"/>
    <w:rsid w:val="003B0550"/>
    <w:rsid w:val="003B0FD1"/>
    <w:rsid w:val="003B5B96"/>
    <w:rsid w:val="003B5DEC"/>
    <w:rsid w:val="003B694F"/>
    <w:rsid w:val="003B7BDC"/>
    <w:rsid w:val="003C04AE"/>
    <w:rsid w:val="003C3BA5"/>
    <w:rsid w:val="003D75FD"/>
    <w:rsid w:val="003E0A2B"/>
    <w:rsid w:val="003F171C"/>
    <w:rsid w:val="003F5950"/>
    <w:rsid w:val="004012EF"/>
    <w:rsid w:val="004038CC"/>
    <w:rsid w:val="00412FC5"/>
    <w:rsid w:val="0041751F"/>
    <w:rsid w:val="004209A1"/>
    <w:rsid w:val="00421340"/>
    <w:rsid w:val="00422276"/>
    <w:rsid w:val="00423753"/>
    <w:rsid w:val="00423F2E"/>
    <w:rsid w:val="004242F1"/>
    <w:rsid w:val="00425BC3"/>
    <w:rsid w:val="00427C73"/>
    <w:rsid w:val="00430B52"/>
    <w:rsid w:val="0043382B"/>
    <w:rsid w:val="00444C06"/>
    <w:rsid w:val="00445A00"/>
    <w:rsid w:val="0044630C"/>
    <w:rsid w:val="00451B0F"/>
    <w:rsid w:val="00453D92"/>
    <w:rsid w:val="00456238"/>
    <w:rsid w:val="00463917"/>
    <w:rsid w:val="00473257"/>
    <w:rsid w:val="004752CA"/>
    <w:rsid w:val="00475C61"/>
    <w:rsid w:val="00476691"/>
    <w:rsid w:val="00477FE4"/>
    <w:rsid w:val="0048204B"/>
    <w:rsid w:val="00490B4B"/>
    <w:rsid w:val="004A54B9"/>
    <w:rsid w:val="004A5C73"/>
    <w:rsid w:val="004A693A"/>
    <w:rsid w:val="004B4657"/>
    <w:rsid w:val="004C2EE3"/>
    <w:rsid w:val="004C4A62"/>
    <w:rsid w:val="004D1F06"/>
    <w:rsid w:val="004D6505"/>
    <w:rsid w:val="004D7197"/>
    <w:rsid w:val="004E1052"/>
    <w:rsid w:val="004E4A22"/>
    <w:rsid w:val="004F78ED"/>
    <w:rsid w:val="00501A8E"/>
    <w:rsid w:val="00504044"/>
    <w:rsid w:val="00507931"/>
    <w:rsid w:val="00511968"/>
    <w:rsid w:val="00513212"/>
    <w:rsid w:val="00521657"/>
    <w:rsid w:val="005276DF"/>
    <w:rsid w:val="00531A4B"/>
    <w:rsid w:val="00532AB5"/>
    <w:rsid w:val="00532E9D"/>
    <w:rsid w:val="00536750"/>
    <w:rsid w:val="00540211"/>
    <w:rsid w:val="005418B7"/>
    <w:rsid w:val="00544418"/>
    <w:rsid w:val="005455ED"/>
    <w:rsid w:val="00545F94"/>
    <w:rsid w:val="0055274A"/>
    <w:rsid w:val="0055288F"/>
    <w:rsid w:val="0055614C"/>
    <w:rsid w:val="0056136F"/>
    <w:rsid w:val="00563413"/>
    <w:rsid w:val="00566D06"/>
    <w:rsid w:val="00567CAD"/>
    <w:rsid w:val="00567F1A"/>
    <w:rsid w:val="00572B39"/>
    <w:rsid w:val="00574540"/>
    <w:rsid w:val="00576E74"/>
    <w:rsid w:val="00582B0F"/>
    <w:rsid w:val="005846BB"/>
    <w:rsid w:val="00584F2F"/>
    <w:rsid w:val="00585236"/>
    <w:rsid w:val="005909F3"/>
    <w:rsid w:val="00590E6C"/>
    <w:rsid w:val="00592394"/>
    <w:rsid w:val="00596936"/>
    <w:rsid w:val="005A4C1F"/>
    <w:rsid w:val="005A5E53"/>
    <w:rsid w:val="005B2A9F"/>
    <w:rsid w:val="005B410A"/>
    <w:rsid w:val="005C1E8C"/>
    <w:rsid w:val="005C34E9"/>
    <w:rsid w:val="005C3C1C"/>
    <w:rsid w:val="005C7B5A"/>
    <w:rsid w:val="005D7C78"/>
    <w:rsid w:val="005E08CB"/>
    <w:rsid w:val="005E14C2"/>
    <w:rsid w:val="005E7EF5"/>
    <w:rsid w:val="00606AF6"/>
    <w:rsid w:val="00606F08"/>
    <w:rsid w:val="00607BA5"/>
    <w:rsid w:val="0061052C"/>
    <w:rsid w:val="0061180A"/>
    <w:rsid w:val="00612C1A"/>
    <w:rsid w:val="0062250B"/>
    <w:rsid w:val="00625695"/>
    <w:rsid w:val="00626EB6"/>
    <w:rsid w:val="00630FC8"/>
    <w:rsid w:val="00631D28"/>
    <w:rsid w:val="00635BE4"/>
    <w:rsid w:val="00644166"/>
    <w:rsid w:val="006462E1"/>
    <w:rsid w:val="00646908"/>
    <w:rsid w:val="00651B7F"/>
    <w:rsid w:val="00655D03"/>
    <w:rsid w:val="00655E97"/>
    <w:rsid w:val="006603F4"/>
    <w:rsid w:val="00663262"/>
    <w:rsid w:val="00664124"/>
    <w:rsid w:val="0067308B"/>
    <w:rsid w:val="00683388"/>
    <w:rsid w:val="00683E2A"/>
    <w:rsid w:val="00683F84"/>
    <w:rsid w:val="006848E0"/>
    <w:rsid w:val="0068556A"/>
    <w:rsid w:val="00692C4F"/>
    <w:rsid w:val="006A100B"/>
    <w:rsid w:val="006A1CE8"/>
    <w:rsid w:val="006A308F"/>
    <w:rsid w:val="006A6A81"/>
    <w:rsid w:val="006B1E69"/>
    <w:rsid w:val="006B7478"/>
    <w:rsid w:val="006D2808"/>
    <w:rsid w:val="006E1B2C"/>
    <w:rsid w:val="006E796C"/>
    <w:rsid w:val="006F24E2"/>
    <w:rsid w:val="006F28B6"/>
    <w:rsid w:val="006F6CA0"/>
    <w:rsid w:val="006F7393"/>
    <w:rsid w:val="007002ED"/>
    <w:rsid w:val="0070224F"/>
    <w:rsid w:val="0070311B"/>
    <w:rsid w:val="00703205"/>
    <w:rsid w:val="00705032"/>
    <w:rsid w:val="0070763D"/>
    <w:rsid w:val="00707B33"/>
    <w:rsid w:val="00707E82"/>
    <w:rsid w:val="007109CF"/>
    <w:rsid w:val="007115F7"/>
    <w:rsid w:val="0071400C"/>
    <w:rsid w:val="00716F52"/>
    <w:rsid w:val="00720E53"/>
    <w:rsid w:val="00730916"/>
    <w:rsid w:val="00730EC4"/>
    <w:rsid w:val="00732CA0"/>
    <w:rsid w:val="00741FB2"/>
    <w:rsid w:val="0074219A"/>
    <w:rsid w:val="00744E30"/>
    <w:rsid w:val="007532D6"/>
    <w:rsid w:val="00756BE9"/>
    <w:rsid w:val="0076053D"/>
    <w:rsid w:val="00773659"/>
    <w:rsid w:val="00776892"/>
    <w:rsid w:val="007809C1"/>
    <w:rsid w:val="00785689"/>
    <w:rsid w:val="007868D7"/>
    <w:rsid w:val="00790ADE"/>
    <w:rsid w:val="007966C8"/>
    <w:rsid w:val="0079754B"/>
    <w:rsid w:val="007A1809"/>
    <w:rsid w:val="007A1E6D"/>
    <w:rsid w:val="007A2237"/>
    <w:rsid w:val="007A30A4"/>
    <w:rsid w:val="007A3C63"/>
    <w:rsid w:val="007B0EB2"/>
    <w:rsid w:val="007B3835"/>
    <w:rsid w:val="007B5D04"/>
    <w:rsid w:val="007B6796"/>
    <w:rsid w:val="007C7D46"/>
    <w:rsid w:val="007D03FE"/>
    <w:rsid w:val="007D228A"/>
    <w:rsid w:val="007D2905"/>
    <w:rsid w:val="007D2996"/>
    <w:rsid w:val="007D3394"/>
    <w:rsid w:val="007D4658"/>
    <w:rsid w:val="007E0D20"/>
    <w:rsid w:val="007F08AF"/>
    <w:rsid w:val="007F0DBD"/>
    <w:rsid w:val="007F2A81"/>
    <w:rsid w:val="007F6C8B"/>
    <w:rsid w:val="007F7CC9"/>
    <w:rsid w:val="00810B6F"/>
    <w:rsid w:val="00810C8A"/>
    <w:rsid w:val="00813378"/>
    <w:rsid w:val="0082241A"/>
    <w:rsid w:val="00822CE0"/>
    <w:rsid w:val="00824229"/>
    <w:rsid w:val="00824A40"/>
    <w:rsid w:val="00825789"/>
    <w:rsid w:val="00831F54"/>
    <w:rsid w:val="00832260"/>
    <w:rsid w:val="00834CB4"/>
    <w:rsid w:val="00840DAA"/>
    <w:rsid w:val="00841AB1"/>
    <w:rsid w:val="008454AB"/>
    <w:rsid w:val="008508D2"/>
    <w:rsid w:val="008525B2"/>
    <w:rsid w:val="008525B4"/>
    <w:rsid w:val="00882DA1"/>
    <w:rsid w:val="0088346E"/>
    <w:rsid w:val="00883C46"/>
    <w:rsid w:val="008865EC"/>
    <w:rsid w:val="008917BE"/>
    <w:rsid w:val="008927A0"/>
    <w:rsid w:val="0089710A"/>
    <w:rsid w:val="008A2977"/>
    <w:rsid w:val="008A4B4B"/>
    <w:rsid w:val="008A78B6"/>
    <w:rsid w:val="008A7DEB"/>
    <w:rsid w:val="008B5E6C"/>
    <w:rsid w:val="008B6717"/>
    <w:rsid w:val="008C00C6"/>
    <w:rsid w:val="008C37E9"/>
    <w:rsid w:val="008C3F02"/>
    <w:rsid w:val="008C68F1"/>
    <w:rsid w:val="008C6A8E"/>
    <w:rsid w:val="008C7472"/>
    <w:rsid w:val="008D05C1"/>
    <w:rsid w:val="008D1414"/>
    <w:rsid w:val="008E047C"/>
    <w:rsid w:val="008E5141"/>
    <w:rsid w:val="008F497C"/>
    <w:rsid w:val="008F4F93"/>
    <w:rsid w:val="0091052F"/>
    <w:rsid w:val="00914CC7"/>
    <w:rsid w:val="009150F3"/>
    <w:rsid w:val="009165BC"/>
    <w:rsid w:val="00921803"/>
    <w:rsid w:val="00923BCF"/>
    <w:rsid w:val="00925712"/>
    <w:rsid w:val="00926503"/>
    <w:rsid w:val="00934298"/>
    <w:rsid w:val="00937C28"/>
    <w:rsid w:val="00937D6E"/>
    <w:rsid w:val="0094114F"/>
    <w:rsid w:val="009422C0"/>
    <w:rsid w:val="00944ED9"/>
    <w:rsid w:val="0094656B"/>
    <w:rsid w:val="009518DA"/>
    <w:rsid w:val="00961239"/>
    <w:rsid w:val="009726D8"/>
    <w:rsid w:val="0097448D"/>
    <w:rsid w:val="00974703"/>
    <w:rsid w:val="00976187"/>
    <w:rsid w:val="009820A4"/>
    <w:rsid w:val="00986E1F"/>
    <w:rsid w:val="0099440B"/>
    <w:rsid w:val="00996300"/>
    <w:rsid w:val="009979A8"/>
    <w:rsid w:val="009A6C0A"/>
    <w:rsid w:val="009A715B"/>
    <w:rsid w:val="009B32B4"/>
    <w:rsid w:val="009B7459"/>
    <w:rsid w:val="009C2028"/>
    <w:rsid w:val="009C2DAD"/>
    <w:rsid w:val="009D7308"/>
    <w:rsid w:val="009E1C0D"/>
    <w:rsid w:val="009E252E"/>
    <w:rsid w:val="009F3705"/>
    <w:rsid w:val="009F44DD"/>
    <w:rsid w:val="009F76DB"/>
    <w:rsid w:val="009F7B0F"/>
    <w:rsid w:val="00A01004"/>
    <w:rsid w:val="00A02381"/>
    <w:rsid w:val="00A03BB1"/>
    <w:rsid w:val="00A05CC7"/>
    <w:rsid w:val="00A1275C"/>
    <w:rsid w:val="00A14B26"/>
    <w:rsid w:val="00A15877"/>
    <w:rsid w:val="00A269A1"/>
    <w:rsid w:val="00A26CF0"/>
    <w:rsid w:val="00A270BE"/>
    <w:rsid w:val="00A32C3B"/>
    <w:rsid w:val="00A32CF6"/>
    <w:rsid w:val="00A35B99"/>
    <w:rsid w:val="00A45677"/>
    <w:rsid w:val="00A45F4F"/>
    <w:rsid w:val="00A53597"/>
    <w:rsid w:val="00A57B92"/>
    <w:rsid w:val="00A600A9"/>
    <w:rsid w:val="00A6106D"/>
    <w:rsid w:val="00A8362F"/>
    <w:rsid w:val="00A84153"/>
    <w:rsid w:val="00A84B67"/>
    <w:rsid w:val="00A85D88"/>
    <w:rsid w:val="00A90AFD"/>
    <w:rsid w:val="00A94BF4"/>
    <w:rsid w:val="00A9547F"/>
    <w:rsid w:val="00AA386D"/>
    <w:rsid w:val="00AA3A99"/>
    <w:rsid w:val="00AA55B7"/>
    <w:rsid w:val="00AA5B9E"/>
    <w:rsid w:val="00AA62FF"/>
    <w:rsid w:val="00AA777F"/>
    <w:rsid w:val="00AB2407"/>
    <w:rsid w:val="00AB25C8"/>
    <w:rsid w:val="00AB53DF"/>
    <w:rsid w:val="00AC0EDA"/>
    <w:rsid w:val="00AC5F44"/>
    <w:rsid w:val="00AC661A"/>
    <w:rsid w:val="00AC6FEC"/>
    <w:rsid w:val="00AD770C"/>
    <w:rsid w:val="00AE4C94"/>
    <w:rsid w:val="00AE77DF"/>
    <w:rsid w:val="00AF251E"/>
    <w:rsid w:val="00AF2976"/>
    <w:rsid w:val="00AF36D3"/>
    <w:rsid w:val="00AF506D"/>
    <w:rsid w:val="00B03A3C"/>
    <w:rsid w:val="00B04748"/>
    <w:rsid w:val="00B050EE"/>
    <w:rsid w:val="00B052BB"/>
    <w:rsid w:val="00B06580"/>
    <w:rsid w:val="00B07E5C"/>
    <w:rsid w:val="00B164B6"/>
    <w:rsid w:val="00B25408"/>
    <w:rsid w:val="00B2680C"/>
    <w:rsid w:val="00B404FA"/>
    <w:rsid w:val="00B44A30"/>
    <w:rsid w:val="00B451EE"/>
    <w:rsid w:val="00B45475"/>
    <w:rsid w:val="00B47949"/>
    <w:rsid w:val="00B5630E"/>
    <w:rsid w:val="00B600A8"/>
    <w:rsid w:val="00B60160"/>
    <w:rsid w:val="00B67469"/>
    <w:rsid w:val="00B7106D"/>
    <w:rsid w:val="00B713DD"/>
    <w:rsid w:val="00B726FB"/>
    <w:rsid w:val="00B76DFD"/>
    <w:rsid w:val="00B77D55"/>
    <w:rsid w:val="00B811F7"/>
    <w:rsid w:val="00B96451"/>
    <w:rsid w:val="00BA1A8E"/>
    <w:rsid w:val="00BA4FBA"/>
    <w:rsid w:val="00BA5DC6"/>
    <w:rsid w:val="00BA6196"/>
    <w:rsid w:val="00BA6647"/>
    <w:rsid w:val="00BA7879"/>
    <w:rsid w:val="00BA7FCD"/>
    <w:rsid w:val="00BB17AE"/>
    <w:rsid w:val="00BB4BBB"/>
    <w:rsid w:val="00BB6944"/>
    <w:rsid w:val="00BC63C2"/>
    <w:rsid w:val="00BC64A2"/>
    <w:rsid w:val="00BC6D8C"/>
    <w:rsid w:val="00BC7136"/>
    <w:rsid w:val="00BC7BFE"/>
    <w:rsid w:val="00BE56E4"/>
    <w:rsid w:val="00BF2FAD"/>
    <w:rsid w:val="00BF46D1"/>
    <w:rsid w:val="00BF5F48"/>
    <w:rsid w:val="00C00BAF"/>
    <w:rsid w:val="00C11261"/>
    <w:rsid w:val="00C22995"/>
    <w:rsid w:val="00C22E1B"/>
    <w:rsid w:val="00C26679"/>
    <w:rsid w:val="00C27594"/>
    <w:rsid w:val="00C32916"/>
    <w:rsid w:val="00C34006"/>
    <w:rsid w:val="00C36B4C"/>
    <w:rsid w:val="00C426B1"/>
    <w:rsid w:val="00C42ECD"/>
    <w:rsid w:val="00C45B04"/>
    <w:rsid w:val="00C45B2A"/>
    <w:rsid w:val="00C45D20"/>
    <w:rsid w:val="00C473F3"/>
    <w:rsid w:val="00C50A69"/>
    <w:rsid w:val="00C54B3F"/>
    <w:rsid w:val="00C578A6"/>
    <w:rsid w:val="00C57BF0"/>
    <w:rsid w:val="00C61017"/>
    <w:rsid w:val="00C641BA"/>
    <w:rsid w:val="00C66160"/>
    <w:rsid w:val="00C70CD2"/>
    <w:rsid w:val="00C721AC"/>
    <w:rsid w:val="00C72261"/>
    <w:rsid w:val="00C7413F"/>
    <w:rsid w:val="00C8053C"/>
    <w:rsid w:val="00C847B6"/>
    <w:rsid w:val="00C85D16"/>
    <w:rsid w:val="00C90D6A"/>
    <w:rsid w:val="00C94352"/>
    <w:rsid w:val="00CA095B"/>
    <w:rsid w:val="00CA247E"/>
    <w:rsid w:val="00CA30F7"/>
    <w:rsid w:val="00CA6D21"/>
    <w:rsid w:val="00CB0752"/>
    <w:rsid w:val="00CC60A5"/>
    <w:rsid w:val="00CC72B6"/>
    <w:rsid w:val="00CD1C44"/>
    <w:rsid w:val="00CD3EDE"/>
    <w:rsid w:val="00CD56A8"/>
    <w:rsid w:val="00CE0166"/>
    <w:rsid w:val="00CE07E2"/>
    <w:rsid w:val="00CE5807"/>
    <w:rsid w:val="00CE5C40"/>
    <w:rsid w:val="00CF3331"/>
    <w:rsid w:val="00CF34D1"/>
    <w:rsid w:val="00CF6797"/>
    <w:rsid w:val="00D0218D"/>
    <w:rsid w:val="00D052C9"/>
    <w:rsid w:val="00D1015D"/>
    <w:rsid w:val="00D1189F"/>
    <w:rsid w:val="00D136EE"/>
    <w:rsid w:val="00D149E0"/>
    <w:rsid w:val="00D2442D"/>
    <w:rsid w:val="00D25FB5"/>
    <w:rsid w:val="00D347EF"/>
    <w:rsid w:val="00D34B56"/>
    <w:rsid w:val="00D41217"/>
    <w:rsid w:val="00D44223"/>
    <w:rsid w:val="00D46E18"/>
    <w:rsid w:val="00D53531"/>
    <w:rsid w:val="00D55CCB"/>
    <w:rsid w:val="00D7183B"/>
    <w:rsid w:val="00D71A1A"/>
    <w:rsid w:val="00D72EE3"/>
    <w:rsid w:val="00D82E67"/>
    <w:rsid w:val="00D830B7"/>
    <w:rsid w:val="00D83B76"/>
    <w:rsid w:val="00D84E0B"/>
    <w:rsid w:val="00D91B12"/>
    <w:rsid w:val="00D9660C"/>
    <w:rsid w:val="00DA2529"/>
    <w:rsid w:val="00DA5AA6"/>
    <w:rsid w:val="00DA5F02"/>
    <w:rsid w:val="00DB0454"/>
    <w:rsid w:val="00DB0771"/>
    <w:rsid w:val="00DB130A"/>
    <w:rsid w:val="00DB2EBB"/>
    <w:rsid w:val="00DB7B37"/>
    <w:rsid w:val="00DC10A1"/>
    <w:rsid w:val="00DC655F"/>
    <w:rsid w:val="00DC6DC8"/>
    <w:rsid w:val="00DC77B6"/>
    <w:rsid w:val="00DD0B59"/>
    <w:rsid w:val="00DD20FF"/>
    <w:rsid w:val="00DD42F4"/>
    <w:rsid w:val="00DD7EBD"/>
    <w:rsid w:val="00DE1BC5"/>
    <w:rsid w:val="00DE22CC"/>
    <w:rsid w:val="00DF1C41"/>
    <w:rsid w:val="00DF3714"/>
    <w:rsid w:val="00DF563A"/>
    <w:rsid w:val="00DF5970"/>
    <w:rsid w:val="00DF62B6"/>
    <w:rsid w:val="00E009E9"/>
    <w:rsid w:val="00E07225"/>
    <w:rsid w:val="00E106AF"/>
    <w:rsid w:val="00E10765"/>
    <w:rsid w:val="00E13ADA"/>
    <w:rsid w:val="00E16C89"/>
    <w:rsid w:val="00E21F6E"/>
    <w:rsid w:val="00E37C1D"/>
    <w:rsid w:val="00E438D2"/>
    <w:rsid w:val="00E45BB5"/>
    <w:rsid w:val="00E45C03"/>
    <w:rsid w:val="00E507E3"/>
    <w:rsid w:val="00E5409F"/>
    <w:rsid w:val="00E564AE"/>
    <w:rsid w:val="00E57CE0"/>
    <w:rsid w:val="00E61A60"/>
    <w:rsid w:val="00E70240"/>
    <w:rsid w:val="00E830CA"/>
    <w:rsid w:val="00E847BC"/>
    <w:rsid w:val="00E90F8D"/>
    <w:rsid w:val="00E91DCC"/>
    <w:rsid w:val="00E92CD8"/>
    <w:rsid w:val="00E92F62"/>
    <w:rsid w:val="00E9751A"/>
    <w:rsid w:val="00EA2EFF"/>
    <w:rsid w:val="00EA4053"/>
    <w:rsid w:val="00EA77DB"/>
    <w:rsid w:val="00EA7937"/>
    <w:rsid w:val="00EB2836"/>
    <w:rsid w:val="00EC0881"/>
    <w:rsid w:val="00EC7A2C"/>
    <w:rsid w:val="00ED1D5D"/>
    <w:rsid w:val="00ED4B2A"/>
    <w:rsid w:val="00EE2736"/>
    <w:rsid w:val="00EE3E36"/>
    <w:rsid w:val="00EE6488"/>
    <w:rsid w:val="00EF1FF5"/>
    <w:rsid w:val="00EF4570"/>
    <w:rsid w:val="00EF68FB"/>
    <w:rsid w:val="00F021FA"/>
    <w:rsid w:val="00F043CD"/>
    <w:rsid w:val="00F05B4F"/>
    <w:rsid w:val="00F13C90"/>
    <w:rsid w:val="00F14CD1"/>
    <w:rsid w:val="00F2241D"/>
    <w:rsid w:val="00F27427"/>
    <w:rsid w:val="00F35AD5"/>
    <w:rsid w:val="00F41B91"/>
    <w:rsid w:val="00F540DE"/>
    <w:rsid w:val="00F6041E"/>
    <w:rsid w:val="00F62E97"/>
    <w:rsid w:val="00F62F39"/>
    <w:rsid w:val="00F64209"/>
    <w:rsid w:val="00F64E8A"/>
    <w:rsid w:val="00F672CC"/>
    <w:rsid w:val="00F67464"/>
    <w:rsid w:val="00F72CBB"/>
    <w:rsid w:val="00F772A2"/>
    <w:rsid w:val="00F8106B"/>
    <w:rsid w:val="00F81824"/>
    <w:rsid w:val="00F83F6A"/>
    <w:rsid w:val="00F90359"/>
    <w:rsid w:val="00F93BF5"/>
    <w:rsid w:val="00F95860"/>
    <w:rsid w:val="00FB0DCA"/>
    <w:rsid w:val="00FC60D7"/>
    <w:rsid w:val="00FC6119"/>
    <w:rsid w:val="00FD206B"/>
    <w:rsid w:val="00FF664D"/>
    <w:rsid w:val="00FF6AA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3FBCA64-8A35-4714-AA60-434A767E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Yu Gothic Light" w:hAnsi="Calibri Light"/>
      <w:b/>
      <w:kern w:val="32"/>
      <w:sz w:val="32"/>
    </w:rPr>
  </w:style>
  <w:style w:type="character" w:customStyle="1" w:styleId="Heading2Char">
    <w:name w:val="Heading 2 Char"/>
    <w:link w:val="Heading2"/>
    <w:uiPriority w:val="9"/>
    <w:semiHidden/>
    <w:locked/>
    <w:rPr>
      <w:rFonts w:ascii="Calibri Light" w:eastAsia="Yu Gothic Light" w:hAnsi="Calibri Light"/>
      <w:b/>
      <w:i/>
      <w:kern w:val="28"/>
      <w:sz w:val="28"/>
    </w:rPr>
  </w:style>
  <w:style w:type="character" w:customStyle="1" w:styleId="Heading3Char">
    <w:name w:val="Heading 3 Char"/>
    <w:link w:val="Heading3"/>
    <w:uiPriority w:val="9"/>
    <w:semiHidden/>
    <w:locked/>
    <w:rPr>
      <w:rFonts w:ascii="Calibri Light" w:eastAsia="Yu Gothic Light" w:hAnsi="Calibri Light"/>
      <w:b/>
      <w:kern w:val="28"/>
      <w:sz w:val="26"/>
    </w:rPr>
  </w:style>
  <w:style w:type="character" w:customStyle="1" w:styleId="Heading4Char">
    <w:name w:val="Heading 4 Char"/>
    <w:link w:val="Heading4"/>
    <w:uiPriority w:val="9"/>
    <w:semiHidden/>
    <w:locked/>
    <w:rPr>
      <w:rFonts w:ascii="Calibri" w:eastAsia="Yu Mincho" w:hAnsi="Calibri"/>
      <w:b/>
      <w:kern w:val="28"/>
      <w:sz w:val="28"/>
    </w:rPr>
  </w:style>
  <w:style w:type="character" w:customStyle="1" w:styleId="Heading5Char">
    <w:name w:val="Heading 5 Char"/>
    <w:link w:val="Heading5"/>
    <w:uiPriority w:val="9"/>
    <w:semiHidden/>
    <w:locked/>
    <w:rPr>
      <w:rFonts w:ascii="Calibri" w:eastAsia="Yu Mincho" w:hAnsi="Calibri"/>
      <w:b/>
      <w:i/>
      <w:kern w:val="28"/>
      <w:sz w:val="26"/>
    </w:rPr>
  </w:style>
  <w:style w:type="character" w:customStyle="1" w:styleId="Heading6Char">
    <w:name w:val="Heading 6 Char"/>
    <w:link w:val="Heading6"/>
    <w:uiPriority w:val="9"/>
    <w:semiHidden/>
    <w:locked/>
    <w:rPr>
      <w:rFonts w:ascii="Calibri" w:eastAsia="Yu Mincho" w:hAnsi="Calibri"/>
      <w:b/>
      <w:kern w:val="28"/>
      <w:sz w:val="22"/>
    </w:rPr>
  </w:style>
  <w:style w:type="character" w:customStyle="1" w:styleId="Heading7Char">
    <w:name w:val="Heading 7 Char"/>
    <w:link w:val="Heading7"/>
    <w:uiPriority w:val="9"/>
    <w:semiHidden/>
    <w:locked/>
    <w:rPr>
      <w:rFonts w:ascii="Calibri" w:eastAsia="Yu Mincho" w:hAnsi="Calibri"/>
      <w:kern w:val="28"/>
      <w:sz w:val="24"/>
    </w:rPr>
  </w:style>
  <w:style w:type="character" w:customStyle="1" w:styleId="Heading8Char">
    <w:name w:val="Heading 8 Char"/>
    <w:link w:val="Heading8"/>
    <w:uiPriority w:val="9"/>
    <w:semiHidden/>
    <w:locked/>
    <w:rPr>
      <w:rFonts w:ascii="Calibri" w:eastAsia="Yu Mincho" w:hAnsi="Calibri"/>
      <w:i/>
      <w:kern w:val="28"/>
      <w:sz w:val="24"/>
    </w:rPr>
  </w:style>
  <w:style w:type="character" w:customStyle="1" w:styleId="Heading9Char">
    <w:name w:val="Heading 9 Char"/>
    <w:link w:val="Heading9"/>
    <w:uiPriority w:val="9"/>
    <w:semiHidden/>
    <w:locked/>
    <w:rPr>
      <w:rFonts w:ascii="Calibri Light" w:eastAsia="Yu Gothic Light" w:hAnsi="Calibri Light"/>
      <w:kern w:val="28"/>
      <w:sz w:val="22"/>
    </w:rPr>
  </w:style>
  <w:style w:type="paragraph" w:customStyle="1" w:styleId="ParaNum">
    <w:name w:val="ParaNum"/>
    <w:basedOn w:val="Normal"/>
    <w:rsid w:val="00E07225"/>
    <w:pPr>
      <w:numPr>
        <w:numId w:val="2"/>
      </w:numPr>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locked/>
    <w:rPr>
      <w:kern w:val="28"/>
    </w:rPr>
  </w:style>
  <w:style w:type="character" w:styleId="EndnoteReference">
    <w:name w:val="endnote reference"/>
    <w:uiPriority w:val="99"/>
    <w:semiHidden/>
    <w:rPr>
      <w:vertAlign w:val="superscript"/>
    </w:rPr>
  </w:style>
  <w:style w:type="paragraph" w:styleId="FootnoteText">
    <w:name w:val="footnote text"/>
    <w:aliases w:val="ALTS FOOTNOTE,Footnote Text Char Char Char Char,Footnote Text Char Char Char Char Char Char1,Footnote Text Char1,Footnote Text Char1 Char Char,Footnote Text Char1 Char Char Char Char1,Footnote Text Char2,Footnote Text Char2 Char,f,fn,fn Ch"/>
    <w:basedOn w:val="Normal"/>
    <w:link w:val="FootnoteTextChar"/>
    <w:uiPriority w:val="99"/>
    <w:rsid w:val="000E3D42"/>
    <w:pPr>
      <w:widowControl/>
      <w:spacing w:after="120"/>
    </w:pPr>
    <w:rPr>
      <w:kern w:val="0"/>
      <w:sz w:val="20"/>
    </w:rPr>
  </w:style>
  <w:style w:type="character" w:customStyle="1" w:styleId="FootnoteTextChar">
    <w:name w:val="Footnote Text Char"/>
    <w:aliases w:val="ALTS FOOTNOTE Char,Footnote Text Char Char Char Char Char,Footnote Text Char1 Char,Footnote Text Char1 Char Char Char,Footnote Text Char1 Char Char Char Char1 Char,Footnote Text Char2 Char Char,f Char,fn Ch Char,fn Char"/>
    <w:link w:val="FootnoteText"/>
    <w:uiPriority w:val="99"/>
    <w:locked/>
    <w:rsid w:val="00427C73"/>
    <w:rPr>
      <w:rFonts w:cs="Times New Roman"/>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color w:val="auto"/>
      <w:sz w:val="20"/>
      <w:vertAlign w:val="superscript"/>
    </w:rPr>
  </w:style>
  <w:style w:type="paragraph" w:styleId="TOC1">
    <w:name w:val="toc 1"/>
    <w:basedOn w:val="Normal"/>
    <w:next w:val="Normal"/>
    <w:uiPriority w:val="39"/>
    <w:semiHidden/>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character" w:customStyle="1" w:styleId="HeaderChar">
    <w:name w:val="Header Char"/>
    <w:link w:val="Header"/>
    <w:uiPriority w:val="99"/>
    <w:semiHidden/>
    <w:locked/>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D7308"/>
    <w:rPr>
      <w:kern w:val="28"/>
      <w:sz w:val="22"/>
    </w:rPr>
  </w:style>
  <w:style w:type="character" w:styleId="PageNumber">
    <w:name w:val="page number"/>
    <w:basedOn w:val="DefaultParagraphFont"/>
    <w:uiPriority w:val="99"/>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rsid w:val="00427C73"/>
    <w:rPr>
      <w:sz w:val="16"/>
    </w:rPr>
  </w:style>
  <w:style w:type="paragraph" w:styleId="CommentText">
    <w:name w:val="annotation text"/>
    <w:basedOn w:val="Normal"/>
    <w:link w:val="CommentTextChar"/>
    <w:uiPriority w:val="99"/>
    <w:rsid w:val="00427C73"/>
    <w:rPr>
      <w:sz w:val="20"/>
    </w:rPr>
  </w:style>
  <w:style w:type="character" w:customStyle="1" w:styleId="CommentTextChar">
    <w:name w:val="Comment Text Char"/>
    <w:link w:val="CommentText"/>
    <w:uiPriority w:val="99"/>
    <w:locked/>
    <w:rsid w:val="00427C73"/>
    <w:rPr>
      <w:kern w:val="28"/>
    </w:rPr>
  </w:style>
  <w:style w:type="paragraph" w:styleId="BalloonText">
    <w:name w:val="Balloon Text"/>
    <w:basedOn w:val="Normal"/>
    <w:link w:val="BalloonTextChar"/>
    <w:uiPriority w:val="99"/>
    <w:rsid w:val="00427C73"/>
    <w:rPr>
      <w:rFonts w:ascii="Segoe UI" w:hAnsi="Segoe UI" w:cs="Segoe UI"/>
      <w:sz w:val="18"/>
      <w:szCs w:val="18"/>
    </w:rPr>
  </w:style>
  <w:style w:type="character" w:customStyle="1" w:styleId="BalloonTextChar">
    <w:name w:val="Balloon Text Char"/>
    <w:link w:val="BalloonText"/>
    <w:uiPriority w:val="99"/>
    <w:locked/>
    <w:rsid w:val="00427C73"/>
    <w:rPr>
      <w:rFonts w:ascii="Segoe UI" w:hAnsi="Segoe UI"/>
      <w:kern w:val="28"/>
      <w:sz w:val="18"/>
    </w:rPr>
  </w:style>
  <w:style w:type="character" w:customStyle="1" w:styleId="UnresolvedMention1">
    <w:name w:val="Unresolved Mention1"/>
    <w:uiPriority w:val="99"/>
    <w:semiHidden/>
    <w:unhideWhenUsed/>
    <w:rsid w:val="0043382B"/>
    <w:rPr>
      <w:color w:val="605E5C"/>
      <w:shd w:val="clear" w:color="auto" w:fill="E1DFDD"/>
    </w:rPr>
  </w:style>
  <w:style w:type="character" w:styleId="FollowedHyperlink">
    <w:name w:val="FollowedHyperlink"/>
    <w:uiPriority w:val="99"/>
    <w:rsid w:val="00C45D20"/>
    <w:rPr>
      <w:color w:val="954F72"/>
      <w:u w:val="single"/>
    </w:rPr>
  </w:style>
  <w:style w:type="paragraph" w:styleId="CommentSubject">
    <w:name w:val="annotation subject"/>
    <w:basedOn w:val="CommentText"/>
    <w:next w:val="CommentText"/>
    <w:link w:val="CommentSubjectChar"/>
    <w:uiPriority w:val="99"/>
    <w:rsid w:val="001E608E"/>
    <w:rPr>
      <w:b/>
      <w:bCs/>
    </w:rPr>
  </w:style>
  <w:style w:type="character" w:customStyle="1" w:styleId="CommentSubjectChar">
    <w:name w:val="Comment Subject Char"/>
    <w:link w:val="CommentSubject"/>
    <w:uiPriority w:val="99"/>
    <w:locked/>
    <w:rsid w:val="001E608E"/>
    <w:rPr>
      <w:b/>
      <w:kern w:val="28"/>
    </w:rPr>
  </w:style>
  <w:style w:type="paragraph" w:customStyle="1" w:styleId="MediumList2-Accent21">
    <w:name w:val="Medium List 2 - Accent 21"/>
    <w:hidden/>
    <w:uiPriority w:val="99"/>
    <w:semiHidden/>
    <w:rsid w:val="00707B33"/>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