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53FFA" w:rsidRPr="0049008B" w:rsidP="00170B85" w14:paraId="1AD0109A" w14:textId="77777777">
      <w:pPr>
        <w:jc w:val="center"/>
        <w:rPr>
          <w:b/>
          <w:bCs/>
        </w:rPr>
      </w:pPr>
      <w:bookmarkStart w:id="0" w:name="_Hlk41040409"/>
      <w:r>
        <w:rPr>
          <w:b/>
          <w:bCs/>
        </w:rPr>
        <w:t>B</w:t>
      </w:r>
      <w:r w:rsidRPr="0049008B">
        <w:rPr>
          <w:b/>
          <w:bCs/>
        </w:rPr>
        <w:t>efore the</w:t>
      </w:r>
      <w:bookmarkStart w:id="1" w:name="_GoBack"/>
      <w:bookmarkEnd w:id="1"/>
    </w:p>
    <w:p w:rsidR="00253FFA" w:rsidRPr="0049008B" w:rsidP="00170B85" w14:paraId="3B19A67B" w14:textId="77777777">
      <w:pPr>
        <w:jc w:val="center"/>
        <w:rPr>
          <w:b/>
          <w:bCs/>
        </w:rPr>
      </w:pPr>
      <w:r w:rsidRPr="0049008B">
        <w:rPr>
          <w:b/>
          <w:bCs/>
        </w:rPr>
        <w:t>Federal Communications Commission</w:t>
      </w:r>
    </w:p>
    <w:p w:rsidR="00253FFA" w:rsidRPr="0049008B" w:rsidP="00170B85" w14:paraId="6214A1E9" w14:textId="77777777">
      <w:pPr>
        <w:jc w:val="center"/>
        <w:rPr>
          <w:b/>
          <w:bCs/>
        </w:rPr>
      </w:pPr>
      <w:r w:rsidRPr="0049008B">
        <w:rPr>
          <w:b/>
          <w:bCs/>
        </w:rPr>
        <w:t>Washington, D.C. 20554</w:t>
      </w:r>
    </w:p>
    <w:p w:rsidR="00253FFA" w:rsidRPr="0049008B" w:rsidP="00170B85" w14:paraId="4C9450B2" w14:textId="77777777"/>
    <w:tbl>
      <w:tblPr>
        <w:tblW w:w="0" w:type="auto"/>
        <w:tblInd w:w="-106" w:type="dxa"/>
        <w:tblLayout w:type="fixed"/>
        <w:tblLook w:val="0000"/>
      </w:tblPr>
      <w:tblGrid>
        <w:gridCol w:w="4694"/>
        <w:gridCol w:w="719"/>
        <w:gridCol w:w="4226"/>
      </w:tblGrid>
      <w:tr w14:paraId="141A54D2" w14:textId="77777777" w:rsidTr="00AB2E91">
        <w:tblPrEx>
          <w:tblW w:w="0" w:type="auto"/>
          <w:tblInd w:w="-106" w:type="dxa"/>
          <w:tblLayout w:type="fixed"/>
          <w:tblLook w:val="0000"/>
        </w:tblPrEx>
        <w:trPr>
          <w:trHeight w:val="1725"/>
        </w:trPr>
        <w:tc>
          <w:tcPr>
            <w:tcW w:w="4694" w:type="dxa"/>
          </w:tcPr>
          <w:p w:rsidR="00253FFA" w:rsidRPr="0049008B" w:rsidP="00170B85" w14:paraId="70E88977" w14:textId="77777777">
            <w:pPr>
              <w:ind w:right="-18"/>
            </w:pPr>
            <w:r w:rsidRPr="0049008B">
              <w:t>In the Matter of</w:t>
            </w:r>
          </w:p>
          <w:p w:rsidR="00253FFA" w:rsidRPr="0049008B" w:rsidP="00170B85" w14:paraId="23EE7B0A" w14:textId="77777777">
            <w:pPr>
              <w:ind w:right="-18"/>
            </w:pPr>
          </w:p>
          <w:p w:rsidR="00253FFA" w:rsidRPr="0049008B" w:rsidP="00AC4E91" w14:paraId="0EF2FC30" w14:textId="77777777">
            <w:pPr>
              <w:ind w:right="-18"/>
            </w:pPr>
            <w:r w:rsidRPr="0049008B">
              <w:t xml:space="preserve">Rules and Regulations Implementing the </w:t>
            </w:r>
          </w:p>
          <w:p w:rsidR="00253FFA" w:rsidP="00AC4E91" w14:paraId="1AC170D7" w14:textId="77777777">
            <w:pPr>
              <w:ind w:right="-18"/>
            </w:pPr>
            <w:r w:rsidRPr="0049008B">
              <w:t>Telephone Consumer Protection Act of 1991</w:t>
            </w:r>
          </w:p>
          <w:p w:rsidR="00253FFA" w:rsidP="00AC4E91" w14:paraId="0A12B2D0" w14:textId="77777777">
            <w:pPr>
              <w:ind w:right="-18"/>
            </w:pPr>
          </w:p>
          <w:p w:rsidR="00253FFA" w:rsidRPr="0049008B" w:rsidP="00AC4E91" w14:paraId="0A628CB7" w14:textId="77777777">
            <w:pPr>
              <w:ind w:right="-18"/>
            </w:pPr>
            <w:r>
              <w:t>P2P Alliance Petition for Clarification</w:t>
            </w:r>
          </w:p>
        </w:tc>
        <w:tc>
          <w:tcPr>
            <w:tcW w:w="719" w:type="dxa"/>
          </w:tcPr>
          <w:p w:rsidR="00253FFA" w:rsidRPr="0049008B" w:rsidP="00170B85" w14:paraId="01BCEFF9" w14:textId="77777777">
            <w:pPr>
              <w:rPr>
                <w:b/>
                <w:bCs/>
              </w:rPr>
            </w:pPr>
            <w:r w:rsidRPr="0049008B">
              <w:rPr>
                <w:b/>
                <w:bCs/>
              </w:rPr>
              <w:t>)</w:t>
            </w:r>
          </w:p>
          <w:p w:rsidR="00253FFA" w:rsidRPr="0049008B" w:rsidP="00170B85" w14:paraId="484ECC5E" w14:textId="77777777">
            <w:pPr>
              <w:rPr>
                <w:b/>
                <w:bCs/>
              </w:rPr>
            </w:pPr>
            <w:r w:rsidRPr="0049008B">
              <w:rPr>
                <w:b/>
                <w:bCs/>
              </w:rPr>
              <w:t>)</w:t>
            </w:r>
          </w:p>
          <w:p w:rsidR="00253FFA" w:rsidRPr="0049008B" w:rsidP="00170B85" w14:paraId="120312BD" w14:textId="77777777">
            <w:pPr>
              <w:rPr>
                <w:b/>
                <w:bCs/>
              </w:rPr>
            </w:pPr>
            <w:r w:rsidRPr="0049008B">
              <w:rPr>
                <w:b/>
                <w:bCs/>
              </w:rPr>
              <w:t>)</w:t>
            </w:r>
          </w:p>
          <w:p w:rsidR="00253FFA" w:rsidRPr="0049008B" w:rsidP="00170B85" w14:paraId="1AF285F3" w14:textId="77777777">
            <w:pPr>
              <w:rPr>
                <w:b/>
                <w:bCs/>
              </w:rPr>
            </w:pPr>
            <w:r w:rsidRPr="0049008B">
              <w:rPr>
                <w:b/>
                <w:bCs/>
              </w:rPr>
              <w:t>)</w:t>
            </w:r>
          </w:p>
          <w:p w:rsidR="00253FFA" w:rsidRPr="0049008B" w:rsidP="00170B85" w14:paraId="650971F9" w14:textId="77777777">
            <w:pPr>
              <w:rPr>
                <w:b/>
                <w:bCs/>
              </w:rPr>
            </w:pPr>
            <w:r w:rsidRPr="0049008B">
              <w:rPr>
                <w:b/>
                <w:bCs/>
              </w:rPr>
              <w:t>)</w:t>
            </w:r>
          </w:p>
          <w:p w:rsidR="00253FFA" w:rsidRPr="0049008B" w:rsidP="00170B85" w14:paraId="36664E3A" w14:textId="77777777">
            <w:pPr>
              <w:rPr>
                <w:b/>
                <w:bCs/>
              </w:rPr>
            </w:pPr>
            <w:r w:rsidRPr="0049008B">
              <w:rPr>
                <w:b/>
                <w:bCs/>
              </w:rPr>
              <w:t>)</w:t>
            </w:r>
          </w:p>
          <w:p w:rsidR="00253FFA" w:rsidRPr="0049008B" w:rsidP="00926C7C" w14:paraId="563B8E21" w14:textId="73803759">
            <w:pPr>
              <w:rPr>
                <w:b/>
                <w:bCs/>
              </w:rPr>
            </w:pPr>
          </w:p>
        </w:tc>
        <w:tc>
          <w:tcPr>
            <w:tcW w:w="4226" w:type="dxa"/>
          </w:tcPr>
          <w:p w:rsidR="00253FFA" w:rsidRPr="0049008B" w:rsidP="00170B85" w14:paraId="45C876A8" w14:textId="77777777"/>
          <w:p w:rsidR="00253FFA" w:rsidRPr="0049008B" w:rsidP="00170B85" w14:paraId="367CEFBC" w14:textId="77777777"/>
          <w:p w:rsidR="00253FFA" w:rsidRPr="0049008B" w:rsidP="00170B85" w14:paraId="7205DDEE" w14:textId="77777777">
            <w:r w:rsidRPr="003D6DD9">
              <w:t>CG Docket No. 02-278</w:t>
            </w:r>
          </w:p>
          <w:p w:rsidR="00253FFA" w:rsidRPr="0049008B" w:rsidP="00170B85" w14:paraId="661FDD1C" w14:textId="77777777"/>
          <w:p w:rsidR="00253FFA" w:rsidP="00170B85" w14:paraId="6F725981" w14:textId="77777777"/>
          <w:p w:rsidR="00253FFA" w:rsidRPr="0049008B" w:rsidP="00170B85" w14:paraId="10E09E01" w14:textId="77777777"/>
        </w:tc>
      </w:tr>
    </w:tbl>
    <w:p w:rsidR="00253FFA" w:rsidRPr="0049008B" w:rsidP="00B82719" w14:paraId="5134C891" w14:textId="77777777">
      <w:pPr>
        <w:spacing w:before="120"/>
        <w:jc w:val="center"/>
        <w:rPr>
          <w:b/>
          <w:bCs/>
        </w:rPr>
      </w:pPr>
      <w:bookmarkStart w:id="2" w:name="_Hlk41040579"/>
      <w:r w:rsidRPr="0049008B">
        <w:rPr>
          <w:b/>
          <w:bCs/>
        </w:rPr>
        <w:t>DECLARATORY RULING</w:t>
      </w:r>
    </w:p>
    <w:p w:rsidR="00253FFA" w:rsidRPr="0049008B" w:rsidP="00170B85" w14:paraId="70FF3911" w14:textId="77777777"/>
    <w:p w:rsidR="00253FFA" w:rsidRPr="0049008B" w:rsidP="00170B85" w14:paraId="0A3D2B94" w14:textId="678FB574">
      <w:pPr>
        <w:tabs>
          <w:tab w:val="left" w:pos="5760"/>
        </w:tabs>
        <w:rPr>
          <w:b/>
          <w:bCs/>
        </w:rPr>
      </w:pPr>
      <w:r w:rsidRPr="0049008B">
        <w:rPr>
          <w:b/>
          <w:bCs/>
        </w:rPr>
        <w:t xml:space="preserve">Adopted:  </w:t>
      </w:r>
      <w:r w:rsidR="0039468F">
        <w:rPr>
          <w:b/>
          <w:bCs/>
        </w:rPr>
        <w:t xml:space="preserve">June </w:t>
      </w:r>
      <w:r w:rsidR="00E92417">
        <w:rPr>
          <w:b/>
          <w:bCs/>
        </w:rPr>
        <w:t>25</w:t>
      </w:r>
      <w:r w:rsidRPr="0049008B">
        <w:rPr>
          <w:b/>
          <w:bCs/>
        </w:rPr>
        <w:t>, 20</w:t>
      </w:r>
      <w:r w:rsidR="00E37622">
        <w:rPr>
          <w:b/>
          <w:bCs/>
        </w:rPr>
        <w:t>20</w:t>
      </w:r>
      <w:r w:rsidR="003643A8">
        <w:rPr>
          <w:b/>
          <w:bCs/>
        </w:rPr>
        <w:tab/>
      </w:r>
      <w:r w:rsidR="00CD5C61">
        <w:rPr>
          <w:b/>
          <w:bCs/>
        </w:rPr>
        <w:tab/>
      </w:r>
      <w:r w:rsidR="003643A8">
        <w:rPr>
          <w:b/>
          <w:bCs/>
        </w:rPr>
        <w:t xml:space="preserve">Released: </w:t>
      </w:r>
      <w:r w:rsidR="0039468F">
        <w:rPr>
          <w:b/>
          <w:bCs/>
        </w:rPr>
        <w:t xml:space="preserve">June </w:t>
      </w:r>
      <w:r w:rsidR="00E92417">
        <w:rPr>
          <w:b/>
          <w:bCs/>
        </w:rPr>
        <w:t>25</w:t>
      </w:r>
      <w:r w:rsidRPr="0049008B">
        <w:rPr>
          <w:b/>
          <w:bCs/>
        </w:rPr>
        <w:t>, 20</w:t>
      </w:r>
      <w:r w:rsidR="00E37622">
        <w:rPr>
          <w:b/>
          <w:bCs/>
        </w:rPr>
        <w:t>20</w:t>
      </w:r>
    </w:p>
    <w:p w:rsidR="00253FFA" w:rsidRPr="0049008B" w:rsidP="00170B85" w14:paraId="67BD7D8B" w14:textId="77777777">
      <w:pPr>
        <w:tabs>
          <w:tab w:val="left" w:pos="5760"/>
        </w:tabs>
        <w:rPr>
          <w:b/>
          <w:bCs/>
        </w:rPr>
      </w:pPr>
    </w:p>
    <w:p w:rsidR="00552D7C" w:rsidRPr="00F54C0A" w:rsidP="00F54C0A" w14:paraId="6B8620D9" w14:textId="77777777">
      <w:pPr>
        <w:tabs>
          <w:tab w:val="left" w:pos="5760"/>
        </w:tabs>
        <w:spacing w:after="120"/>
      </w:pPr>
      <w:r w:rsidRPr="0049008B">
        <w:t xml:space="preserve">By the </w:t>
      </w:r>
      <w:r w:rsidR="0027592D">
        <w:t>Chief, Consumer and Governmental Affairs Bureau</w:t>
      </w:r>
      <w:r w:rsidRPr="0049008B">
        <w:t>:</w:t>
      </w:r>
    </w:p>
    <w:p w:rsidR="00253FFA" w:rsidRPr="001E7E87" w:rsidP="00F54C0A" w14:paraId="13A71F7E" w14:textId="77777777">
      <w:pPr>
        <w:pStyle w:val="Heading1"/>
        <w:rPr>
          <w:rFonts w:ascii="Times New Roman" w:hAnsi="Times New Roman" w:cs="Times New Roman"/>
          <w:sz w:val="22"/>
          <w:szCs w:val="22"/>
        </w:rPr>
      </w:pPr>
      <w:r w:rsidRPr="001E7E87">
        <w:rPr>
          <w:rFonts w:ascii="Times New Roman" w:hAnsi="Times New Roman" w:cs="Times New Roman"/>
          <w:sz w:val="22"/>
          <w:szCs w:val="22"/>
        </w:rPr>
        <w:t>I</w:t>
      </w:r>
      <w:r>
        <w:rPr>
          <w:rFonts w:ascii="Times New Roman" w:hAnsi="Times New Roman" w:cs="Times New Roman"/>
          <w:sz w:val="22"/>
          <w:szCs w:val="22"/>
        </w:rPr>
        <w:t>NTRODUCTION</w:t>
      </w:r>
    </w:p>
    <w:p w:rsidR="00AB2E91" w:rsidP="00047085" w14:paraId="111BF475" w14:textId="77777777">
      <w:pPr>
        <w:pStyle w:val="ParaNum"/>
      </w:pPr>
      <w:r w:rsidRPr="00AB0EF3">
        <w:t>The Telephone Consumer Protection Act (TCPA) prohibits any person from calling or text messaging someone else on a wireless phone using an automatic telephone dialing system (an “</w:t>
      </w:r>
      <w:r w:rsidRPr="00AB0EF3">
        <w:t>autodialer</w:t>
      </w:r>
      <w:r w:rsidRPr="00AB0EF3">
        <w:t>”) or an artificial or prerecorded voice unless it is an emergency or they have the called party’s prior express consent.</w:t>
      </w:r>
      <w:r>
        <w:rPr>
          <w:rStyle w:val="FootnoteReference"/>
        </w:rPr>
        <w:footnoteReference w:id="3"/>
      </w:r>
      <w:r w:rsidRPr="00AB0EF3">
        <w:t xml:space="preserve">  The TCPA defines an </w:t>
      </w:r>
      <w:r w:rsidRPr="00AB0EF3">
        <w:t>autodialer</w:t>
      </w:r>
      <w:r w:rsidRPr="00AB0EF3">
        <w:t xml:space="preserve"> as “equipment which has the capacity—(A) to store or produce telephone numbers to be called, using a random or sequential number generator; and (B)</w:t>
      </w:r>
      <w:r>
        <w:t> </w:t>
      </w:r>
      <w:r w:rsidRPr="00AB0EF3">
        <w:t>to dial such numbers</w:t>
      </w:r>
      <w:r w:rsidRPr="003612A8">
        <w:t>.”</w:t>
      </w:r>
      <w:r>
        <w:rPr>
          <w:rStyle w:val="FootnoteReference"/>
        </w:rPr>
        <w:footnoteReference w:id="4"/>
      </w:r>
    </w:p>
    <w:p w:rsidR="00047085" w:rsidRPr="00AB0EF3" w:rsidP="0039468F" w14:paraId="31FC0F1A" w14:textId="731FA38E">
      <w:pPr>
        <w:pStyle w:val="ParaNum"/>
        <w:widowControl/>
      </w:pPr>
      <w:r w:rsidRPr="00AB0EF3">
        <w:t xml:space="preserve">In 2018, the P2P Alliance, a coalition of providers and users of peer-to-peer (P2P) text messaging services for schools, non-profits, and other groups </w:t>
      </w:r>
      <w:r w:rsidRPr="003612A8">
        <w:t xml:space="preserve">filed a petition for clarification </w:t>
      </w:r>
      <w:r w:rsidRPr="005B4C33">
        <w:t>ask</w:t>
      </w:r>
      <w:r w:rsidRPr="000E2569">
        <w:t xml:space="preserve">ing the Commission to clarify that </w:t>
      </w:r>
      <w:r w:rsidRPr="00AB0EF3">
        <w:t xml:space="preserve">texts sent via </w:t>
      </w:r>
      <w:r>
        <w:t xml:space="preserve">a particular type of </w:t>
      </w:r>
      <w:r w:rsidRPr="00AB0EF3">
        <w:t xml:space="preserve">peer-to-peer messaging </w:t>
      </w:r>
      <w:r>
        <w:t>platforms are</w:t>
      </w:r>
      <w:r w:rsidRPr="00AB0EF3">
        <w:t xml:space="preserve"> not subject to the TCPA’s restrictions.</w:t>
      </w:r>
      <w:r>
        <w:rPr>
          <w:rStyle w:val="FootnoteReference"/>
        </w:rPr>
        <w:footnoteReference w:id="5"/>
      </w:r>
      <w:r w:rsidR="00AB2E91">
        <w:t xml:space="preserve">  </w:t>
      </w:r>
      <w:r w:rsidRPr="00AB0EF3" w:rsidR="00AB2E91">
        <w:t>The P2P Alliance describes the relevant text messaging platform</w:t>
      </w:r>
      <w:r w:rsidR="00AB2E91">
        <w:t>s</w:t>
      </w:r>
      <w:r w:rsidRPr="00AB0EF3" w:rsidR="00AB2E91">
        <w:t xml:space="preserve"> as ones that enable two-way text communication, require a person to manually send each text message one </w:t>
      </w:r>
      <w:r w:rsidRPr="00AB0EF3" w:rsidR="00AB2E91">
        <w:t>at a time, and enable the sender to exercise discretion regarding the content and other features of the text messages.</w:t>
      </w:r>
      <w:r>
        <w:rPr>
          <w:rStyle w:val="FootnoteReference"/>
        </w:rPr>
        <w:footnoteReference w:id="6"/>
      </w:r>
    </w:p>
    <w:p w:rsidR="00253FFA" w:rsidRPr="0049008B" w:rsidP="00EA5728" w14:paraId="3A0237AA" w14:textId="5B63FC4B">
      <w:pPr>
        <w:pStyle w:val="ParaNum"/>
      </w:pPr>
      <w:r>
        <w:t xml:space="preserve">By </w:t>
      </w:r>
      <w:r w:rsidR="002311BE">
        <w:t xml:space="preserve">this Declaratory Ruling, we </w:t>
      </w:r>
      <w:r w:rsidR="00066A24">
        <w:t xml:space="preserve">clarify that the fact that </w:t>
      </w:r>
      <w:r w:rsidR="0074408B">
        <w:t>a calling platform</w:t>
      </w:r>
      <w:r w:rsidR="00AB7FA4">
        <w:t xml:space="preserve"> or other equipment</w:t>
      </w:r>
      <w:r w:rsidR="00066A24">
        <w:t xml:space="preserve"> is used to make </w:t>
      </w:r>
      <w:r w:rsidR="0074408B">
        <w:t>calls or send texts to a large volume of telephone numbers</w:t>
      </w:r>
      <w:r w:rsidR="00066A24">
        <w:t xml:space="preserve"> is not </w:t>
      </w:r>
      <w:r w:rsidR="0074408B">
        <w:t>probative</w:t>
      </w:r>
      <w:r w:rsidR="00066A24">
        <w:t xml:space="preserve"> of whether that equipment </w:t>
      </w:r>
      <w:r w:rsidR="004F4229">
        <w:t>constitutes</w:t>
      </w:r>
      <w:r w:rsidR="0074408B">
        <w:t xml:space="preserve"> an </w:t>
      </w:r>
      <w:r w:rsidR="0074408B">
        <w:t>autodialer</w:t>
      </w:r>
      <w:r w:rsidR="0074408B">
        <w:t xml:space="preserve"> under the TCPA.  Instead, </w:t>
      </w:r>
      <w:r w:rsidR="00E459AF">
        <w:t>we make clear that i</w:t>
      </w:r>
      <w:r w:rsidR="0060411B">
        <w:t xml:space="preserve">f a calling platform is not capable of </w:t>
      </w:r>
      <w:r w:rsidR="00465E3F">
        <w:t>originating a call or sending a text</w:t>
      </w:r>
      <w:r w:rsidR="0060411B">
        <w:t xml:space="preserve"> without a person actively and affirmatively manually dialing each one, that platform is not an </w:t>
      </w:r>
      <w:r w:rsidR="0060411B">
        <w:t>autodialer</w:t>
      </w:r>
      <w:r w:rsidR="0060411B">
        <w:t xml:space="preserve"> and calls </w:t>
      </w:r>
      <w:r w:rsidR="00465E3F">
        <w:t xml:space="preserve">or texts </w:t>
      </w:r>
      <w:r w:rsidR="0060411B">
        <w:t xml:space="preserve">made using it </w:t>
      </w:r>
      <w:r w:rsidR="004F4229">
        <w:t xml:space="preserve">are not subject to the TCPA’s restrictions on calls </w:t>
      </w:r>
      <w:r w:rsidR="00E459AF">
        <w:t xml:space="preserve">and texts </w:t>
      </w:r>
      <w:r w:rsidR="004F4229">
        <w:t>to wireless phones.</w:t>
      </w:r>
      <w:r w:rsidR="00387D0D">
        <w:t xml:space="preserve">  </w:t>
      </w:r>
      <w:r>
        <w:t>We further confirm that,</w:t>
      </w:r>
      <w:r w:rsidR="00387D0D">
        <w:t xml:space="preserve"> </w:t>
      </w:r>
      <w:r w:rsidR="00A12BE8">
        <w:t xml:space="preserve">even </w:t>
      </w:r>
      <w:r>
        <w:t xml:space="preserve">when a party uses an </w:t>
      </w:r>
      <w:r>
        <w:t>autodialer</w:t>
      </w:r>
      <w:r>
        <w:t xml:space="preserve"> to send a message, it </w:t>
      </w:r>
      <w:r w:rsidR="00A12BE8">
        <w:t xml:space="preserve">may still avoid </w:t>
      </w:r>
      <w:r w:rsidR="00015139">
        <w:t xml:space="preserve">TCPA liability by </w:t>
      </w:r>
      <w:r w:rsidR="005C5CFE">
        <w:t xml:space="preserve">obtaining </w:t>
      </w:r>
      <w:r w:rsidR="00A12BE8">
        <w:t xml:space="preserve">the </w:t>
      </w:r>
      <w:r w:rsidR="00C77D08">
        <w:t>recipient’s</w:t>
      </w:r>
      <w:r>
        <w:t xml:space="preserve"> </w:t>
      </w:r>
      <w:r w:rsidR="005C5CFE">
        <w:t>prior express consent</w:t>
      </w:r>
      <w:r w:rsidR="00015139">
        <w:t>.</w:t>
      </w:r>
    </w:p>
    <w:p w:rsidR="00253FFA" w:rsidP="00F54C0A" w14:paraId="021E38F2" w14:textId="77777777">
      <w:pPr>
        <w:pStyle w:val="Heading1"/>
        <w:rPr>
          <w:rFonts w:ascii="Times New Roman" w:hAnsi="Times New Roman" w:cs="Times New Roman"/>
          <w:sz w:val="22"/>
          <w:szCs w:val="22"/>
        </w:rPr>
      </w:pPr>
      <w:r>
        <w:rPr>
          <w:rFonts w:ascii="Times New Roman" w:hAnsi="Times New Roman" w:cs="Times New Roman"/>
          <w:sz w:val="22"/>
          <w:szCs w:val="22"/>
        </w:rPr>
        <w:t>BACKGROUND</w:t>
      </w:r>
    </w:p>
    <w:p w:rsidR="00253FFA" w:rsidP="00EA5728" w14:paraId="5C7B5AA1" w14:textId="35969218">
      <w:pPr>
        <w:pStyle w:val="ParaNum"/>
      </w:pPr>
      <w:r w:rsidRPr="00E37622">
        <w:t xml:space="preserve">Congress enacted the TCPA to address certain calling practices that invade consumer privacy and threaten public safety.  </w:t>
      </w:r>
      <w:r w:rsidR="00015139">
        <w:t>T</w:t>
      </w:r>
      <w:r w:rsidRPr="00E37622">
        <w:t>he TCPA and the Commission’s rules prohibit</w:t>
      </w:r>
      <w:r w:rsidR="00BA5ABA">
        <w:t xml:space="preserve"> </w:t>
      </w:r>
      <w:r w:rsidRPr="00E37622">
        <w:t xml:space="preserve">autodialed, prerecorded, or artificial voice calls to wireless telephone numbers </w:t>
      </w:r>
      <w:r w:rsidR="000D1625">
        <w:t>without the prior express consent of the called party</w:t>
      </w:r>
      <w:r w:rsidR="00BA5ABA">
        <w:t xml:space="preserve">, unless the call is an emergency or </w:t>
      </w:r>
      <w:r w:rsidR="00111AF4">
        <w:t xml:space="preserve">one of </w:t>
      </w:r>
      <w:r w:rsidR="00BA5ABA">
        <w:t>a small number of other exceptions</w:t>
      </w:r>
      <w:r w:rsidR="003E20E6">
        <w:t xml:space="preserve"> appl</w:t>
      </w:r>
      <w:r w:rsidR="00111AF4">
        <w:t>ies</w:t>
      </w:r>
      <w:r w:rsidRPr="00E37622">
        <w:t>.</w:t>
      </w:r>
      <w:r>
        <w:rPr>
          <w:vertAlign w:val="superscript"/>
        </w:rPr>
        <w:footnoteReference w:id="7"/>
      </w:r>
      <w:r w:rsidRPr="00E37622">
        <w:t xml:space="preserve">  </w:t>
      </w:r>
      <w:bookmarkStart w:id="3" w:name="_Hlk36636841"/>
      <w:r w:rsidR="002311BE">
        <w:t xml:space="preserve">The TCPA defines </w:t>
      </w:r>
      <w:r w:rsidR="003E20E6">
        <w:t xml:space="preserve">an </w:t>
      </w:r>
      <w:r w:rsidR="002311BE">
        <w:t>autodialer</w:t>
      </w:r>
      <w:r w:rsidR="002311BE">
        <w:t xml:space="preserve"> as </w:t>
      </w:r>
      <w:r w:rsidRPr="00F03751" w:rsidR="002311BE">
        <w:t>“equipment which has the capacity</w:t>
      </w:r>
      <w:r w:rsidR="002311BE">
        <w:t>—</w:t>
      </w:r>
      <w:r w:rsidRPr="00F03751" w:rsidR="002311BE">
        <w:t>(A) to store or produce telephone numbers to be called, using a random or sequential number generator; and (B) to dial such numbers</w:t>
      </w:r>
      <w:r w:rsidR="005709E6">
        <w:t>.</w:t>
      </w:r>
      <w:r w:rsidRPr="00F03751" w:rsidR="002311BE">
        <w:t>”</w:t>
      </w:r>
      <w:r>
        <w:rPr>
          <w:rStyle w:val="FootnoteReference"/>
        </w:rPr>
        <w:footnoteReference w:id="8"/>
      </w:r>
      <w:r w:rsidR="002311BE">
        <w:t xml:space="preserve">  </w:t>
      </w:r>
      <w:r w:rsidRPr="00E37622">
        <w:t xml:space="preserve">The </w:t>
      </w:r>
      <w:r w:rsidR="00BA5ABA">
        <w:t xml:space="preserve">same restrictions apply to </w:t>
      </w:r>
      <w:r w:rsidRPr="00E37622">
        <w:t>text messages</w:t>
      </w:r>
      <w:r w:rsidR="00111AF4">
        <w:t xml:space="preserve"> sent using an </w:t>
      </w:r>
      <w:r w:rsidR="00111AF4">
        <w:t>autodialer</w:t>
      </w:r>
      <w:r w:rsidR="00BA5ABA">
        <w:t>.</w:t>
      </w:r>
      <w:bookmarkEnd w:id="3"/>
      <w:r>
        <w:rPr>
          <w:vertAlign w:val="superscript"/>
        </w:rPr>
        <w:footnoteReference w:id="9"/>
      </w:r>
      <w:r w:rsidR="00AB2E91">
        <w:t xml:space="preserve">  In 2016, the FCC issued an Enforcement Advisory regarding the agency’s TCPA robocall and text rules, which included an attachment addressing frequently asked questions (FAQ).</w:t>
      </w:r>
      <w:r>
        <w:rPr>
          <w:rStyle w:val="FootnoteReference"/>
        </w:rPr>
        <w:footnoteReference w:id="10"/>
      </w:r>
      <w:r w:rsidR="00AB2E91">
        <w:t xml:space="preserve">  The FAQ stated that “</w:t>
      </w:r>
      <w:r w:rsidRPr="003612A8" w:rsidR="00AB2E91">
        <w:t>only manually placed text messages are permissible without prior express consent.</w:t>
      </w:r>
      <w:r w:rsidR="00AB2E91">
        <w:t>”</w:t>
      </w:r>
      <w:r>
        <w:rPr>
          <w:rStyle w:val="FootnoteReference"/>
        </w:rPr>
        <w:footnoteReference w:id="11"/>
      </w:r>
    </w:p>
    <w:p w:rsidR="00CC5EA2" w:rsidP="00EA5728" w14:paraId="0350AD9C" w14:textId="0A32E0D6">
      <w:pPr>
        <w:pStyle w:val="ParaNum"/>
      </w:pPr>
      <w:r>
        <w:t xml:space="preserve">In 2018, the </w:t>
      </w:r>
      <w:bookmarkStart w:id="4" w:name="_Hlk43797959"/>
      <w:r>
        <w:t xml:space="preserve">P2P Alliance, </w:t>
      </w:r>
      <w:bookmarkStart w:id="5" w:name="_Hlk43798238"/>
      <w:r>
        <w:t xml:space="preserve">a </w:t>
      </w:r>
      <w:r w:rsidR="00111AF4">
        <w:t>coalition of providers and users of</w:t>
      </w:r>
      <w:r>
        <w:t xml:space="preserve"> peer-to-peer text messaging</w:t>
      </w:r>
      <w:bookmarkEnd w:id="5"/>
      <w:r>
        <w:t xml:space="preserve">, </w:t>
      </w:r>
      <w:r w:rsidR="00BA5ABA">
        <w:t xml:space="preserve">asked whether </w:t>
      </w:r>
      <w:r w:rsidR="00A12BE8">
        <w:t xml:space="preserve">its </w:t>
      </w:r>
      <w:r>
        <w:t xml:space="preserve">messaging </w:t>
      </w:r>
      <w:r w:rsidR="00F678C7">
        <w:t xml:space="preserve">is subject to the </w:t>
      </w:r>
      <w:r>
        <w:t>TCPA</w:t>
      </w:r>
      <w:r w:rsidR="00F678C7">
        <w:t xml:space="preserve">’s </w:t>
      </w:r>
      <w:r w:rsidR="00111AF4">
        <w:t>restrictions on calls to wireless numbers</w:t>
      </w:r>
      <w:bookmarkEnd w:id="4"/>
      <w:r w:rsidR="0074330E">
        <w:t>.</w:t>
      </w:r>
      <w:r>
        <w:rPr>
          <w:rStyle w:val="FootnoteReference"/>
        </w:rPr>
        <w:footnoteReference w:id="12"/>
      </w:r>
      <w:r w:rsidR="0074330E">
        <w:t xml:space="preserve">  The P2P Alliance </w:t>
      </w:r>
      <w:r w:rsidR="007D5842">
        <w:t xml:space="preserve">states that its text messages </w:t>
      </w:r>
      <w:r w:rsidR="00387D0D">
        <w:t xml:space="preserve">do not involve use of </w:t>
      </w:r>
      <w:r w:rsidR="00387D0D">
        <w:t>autodialers</w:t>
      </w:r>
      <w:r w:rsidR="00387D0D">
        <w:t xml:space="preserve"> as defined in the TCPA</w:t>
      </w:r>
      <w:r w:rsidR="00437252">
        <w:t xml:space="preserve">.  </w:t>
      </w:r>
      <w:r>
        <w:t>Specifically, i</w:t>
      </w:r>
      <w:r w:rsidR="00437252">
        <w:t xml:space="preserve">t states that </w:t>
      </w:r>
      <w:r w:rsidR="005B3DCF">
        <w:t>the P2P</w:t>
      </w:r>
      <w:r w:rsidR="00437252">
        <w:t xml:space="preserve"> </w:t>
      </w:r>
      <w:r w:rsidR="00144F48">
        <w:t>platform</w:t>
      </w:r>
      <w:r w:rsidR="00437252">
        <w:t xml:space="preserve"> “does not include ‘the capacity </w:t>
      </w:r>
      <w:r w:rsidR="00437252">
        <w:t>to</w:t>
      </w:r>
      <w:r w:rsidR="00E459AF">
        <w:t> .</w:t>
      </w:r>
      <w:r w:rsidR="00E459AF">
        <w:t> . .</w:t>
      </w:r>
      <w:r w:rsidR="00437252">
        <w:t xml:space="preserve"> store or produce telephone numbers to be called</w:t>
      </w:r>
      <w:r>
        <w:t>, using a random or sequential number generator.’”</w:t>
      </w:r>
      <w:r>
        <w:rPr>
          <w:rStyle w:val="FootnoteReference"/>
        </w:rPr>
        <w:footnoteReference w:id="13"/>
      </w:r>
      <w:r w:rsidR="00144F48">
        <w:t xml:space="preserve"> </w:t>
      </w:r>
      <w:r>
        <w:t xml:space="preserve"> Accor</w:t>
      </w:r>
      <w:r w:rsidR="008E154B">
        <w:t>d</w:t>
      </w:r>
      <w:r>
        <w:t xml:space="preserve">ing to </w:t>
      </w:r>
      <w:r w:rsidR="008E154B">
        <w:t xml:space="preserve">the </w:t>
      </w:r>
      <w:r>
        <w:t>P2P</w:t>
      </w:r>
      <w:r w:rsidR="008E154B">
        <w:t xml:space="preserve"> Alliance</w:t>
      </w:r>
      <w:r>
        <w:t xml:space="preserve">, the platform </w:t>
      </w:r>
      <w:r w:rsidR="00144F48">
        <w:t>“requires a person to actively and affirmatively manually dial each recipient’s number and transmit each message one at a time</w:t>
      </w:r>
      <w:r w:rsidR="00CB00F3">
        <w:t>.</w:t>
      </w:r>
      <w:r w:rsidR="00144F48">
        <w:t>”</w:t>
      </w:r>
      <w:r>
        <w:rPr>
          <w:rStyle w:val="FootnoteReference"/>
        </w:rPr>
        <w:footnoteReference w:id="14"/>
      </w:r>
      <w:r>
        <w:t xml:space="preserve">  </w:t>
      </w:r>
      <w:r w:rsidR="0099354B">
        <w:t xml:space="preserve">The P2P Alliance also states that </w:t>
      </w:r>
      <w:r>
        <w:t>the in</w:t>
      </w:r>
      <w:r w:rsidR="002E4F63">
        <w:t>di</w:t>
      </w:r>
      <w:r>
        <w:t xml:space="preserve">vidual </w:t>
      </w:r>
      <w:r>
        <w:t>sending a P2P text can choose to send a message from a prepared script, to modify the script before sending the text, or to draft their own unique message.</w:t>
      </w:r>
      <w:r>
        <w:rPr>
          <w:rStyle w:val="FootnoteReference"/>
        </w:rPr>
        <w:footnoteReference w:id="15"/>
      </w:r>
      <w:r w:rsidR="00144F48">
        <w:t xml:space="preserve">  </w:t>
      </w:r>
    </w:p>
    <w:p w:rsidR="00E37622" w:rsidRPr="0049008B" w:rsidP="00EA5728" w14:paraId="4920D8FE" w14:textId="552C2944">
      <w:pPr>
        <w:pStyle w:val="ParaNum"/>
      </w:pPr>
      <w:r>
        <w:t xml:space="preserve">The </w:t>
      </w:r>
      <w:r w:rsidRPr="00036D78" w:rsidR="00CB07F0">
        <w:t>P2P Alliance</w:t>
      </w:r>
      <w:r w:rsidR="00CB07F0">
        <w:t xml:space="preserve"> further argues that recipients of </w:t>
      </w:r>
      <w:r w:rsidR="00CC5EA2">
        <w:t xml:space="preserve">non-political </w:t>
      </w:r>
      <w:r w:rsidR="00CB07F0">
        <w:t xml:space="preserve">text messages using the P2P texting technology have “indicated </w:t>
      </w:r>
      <w:r w:rsidR="00523F92">
        <w:t xml:space="preserve">[their] </w:t>
      </w:r>
      <w:r w:rsidR="00CB07F0">
        <w:t>consent to receive such messages by providing a contact number to which such messages are delivered.”</w:t>
      </w:r>
      <w:r>
        <w:rPr>
          <w:rStyle w:val="FootnoteReference"/>
        </w:rPr>
        <w:footnoteReference w:id="16"/>
      </w:r>
      <w:r w:rsidRPr="00E459AF" w:rsidR="00CB07F0">
        <w:rPr>
          <w:rStyle w:val="CommentReference"/>
          <w:sz w:val="22"/>
          <w:shd w:val="clear" w:color="auto" w:fill="FFFFFF"/>
        </w:rPr>
        <w:t xml:space="preserve">  </w:t>
      </w:r>
      <w:r>
        <w:t xml:space="preserve">It states that </w:t>
      </w:r>
      <w:r w:rsidR="00B43160">
        <w:t xml:space="preserve">text </w:t>
      </w:r>
      <w:r w:rsidR="00A12BE8">
        <w:t xml:space="preserve">messages </w:t>
      </w:r>
      <w:r w:rsidR="00C05100">
        <w:t xml:space="preserve">sent </w:t>
      </w:r>
      <w:r w:rsidR="00CE7D17">
        <w:t>using P2P technology</w:t>
      </w:r>
      <w:r w:rsidR="00A12BE8">
        <w:t xml:space="preserve"> </w:t>
      </w:r>
      <w:r w:rsidR="006E2BC6">
        <w:t xml:space="preserve">“are precisely the type that Congress intended the TCPA to permit and encourage: communications between a sender and a recipient with a previous relationship, </w:t>
      </w:r>
      <w:r w:rsidR="00B66754">
        <w:t>where</w:t>
      </w:r>
      <w:r w:rsidR="006E2BC6">
        <w:t xml:space="preserve"> the recipient has indicated his or her consent to receive such messages by providing a contact number to which P2P </w:t>
      </w:r>
      <w:r w:rsidR="0086692D">
        <w:t xml:space="preserve">Alliance </w:t>
      </w:r>
      <w:r w:rsidR="006E2BC6">
        <w:t>messages are delivered.”</w:t>
      </w:r>
      <w:r>
        <w:rPr>
          <w:rStyle w:val="FootnoteReference"/>
        </w:rPr>
        <w:footnoteReference w:id="17"/>
      </w:r>
      <w:r w:rsidR="00F03751">
        <w:t xml:space="preserve">  </w:t>
      </w:r>
    </w:p>
    <w:p w:rsidR="00253FFA" w:rsidRPr="00962757" w:rsidP="00EA5728" w14:paraId="0C315F45" w14:textId="45D6C44E">
      <w:pPr>
        <w:pStyle w:val="ParaNum"/>
      </w:pPr>
      <w:r>
        <w:t>T</w:t>
      </w:r>
      <w:r w:rsidRPr="00962757">
        <w:t xml:space="preserve">he </w:t>
      </w:r>
      <w:r w:rsidR="00E2265A">
        <w:t xml:space="preserve">Consumer and Governmental Affairs </w:t>
      </w:r>
      <w:r w:rsidR="00862E28">
        <w:t>Bureau</w:t>
      </w:r>
      <w:r w:rsidRPr="00962757">
        <w:t xml:space="preserve"> </w:t>
      </w:r>
      <w:r w:rsidR="002D270A">
        <w:t xml:space="preserve">(Bureau) </w:t>
      </w:r>
      <w:r>
        <w:t xml:space="preserve">sought </w:t>
      </w:r>
      <w:r w:rsidRPr="00962757">
        <w:t>comment on</w:t>
      </w:r>
      <w:r w:rsidR="00E2265A">
        <w:t xml:space="preserve"> the</w:t>
      </w:r>
      <w:r w:rsidR="005035E0">
        <w:t xml:space="preserve"> </w:t>
      </w:r>
      <w:r w:rsidR="00440F4A">
        <w:t>request</w:t>
      </w:r>
      <w:r w:rsidRPr="00962757">
        <w:t>.</w:t>
      </w:r>
      <w:r>
        <w:rPr>
          <w:rStyle w:val="FootnoteReference"/>
        </w:rPr>
        <w:footnoteReference w:id="18"/>
      </w:r>
      <w:r w:rsidRPr="00962757">
        <w:t xml:space="preserve">  </w:t>
      </w:r>
      <w:r w:rsidR="00F20D7A">
        <w:t>M</w:t>
      </w:r>
      <w:r w:rsidR="007E01D7">
        <w:t xml:space="preserve">embers of the P2P Alliance </w:t>
      </w:r>
      <w:r w:rsidR="00E459AF">
        <w:t>as well as the National Association for the Advancement of Colored People, the National Association for Equal Opportunity in Higher Education, the National Black Justice Coalition, and Vote.Org supported the petition.</w:t>
      </w:r>
      <w:r>
        <w:rPr>
          <w:rStyle w:val="FootnoteReference"/>
        </w:rPr>
        <w:footnoteReference w:id="19"/>
      </w:r>
      <w:r w:rsidR="00440F4A">
        <w:t xml:space="preserve">  One </w:t>
      </w:r>
      <w:r w:rsidR="00721334">
        <w:t xml:space="preserve">individual </w:t>
      </w:r>
      <w:r w:rsidR="007E01D7">
        <w:t>comment</w:t>
      </w:r>
      <w:r w:rsidR="00DE6C51">
        <w:t>er</w:t>
      </w:r>
      <w:r w:rsidR="007E01D7">
        <w:t xml:space="preserve"> oppos</w:t>
      </w:r>
      <w:r w:rsidR="00DE6C51">
        <w:t>ed</w:t>
      </w:r>
      <w:r w:rsidR="007E01D7">
        <w:t xml:space="preserve"> the petition</w:t>
      </w:r>
      <w:r w:rsidR="00F13206">
        <w:t>,</w:t>
      </w:r>
      <w:r w:rsidR="007E01D7">
        <w:t xml:space="preserve"> </w:t>
      </w:r>
      <w:r w:rsidR="00F20D7A">
        <w:t>noting</w:t>
      </w:r>
      <w:r w:rsidR="007E01D7">
        <w:t xml:space="preserve"> that </w:t>
      </w:r>
      <w:r w:rsidR="00DE6C51">
        <w:t>peer-to-peer text messaging</w:t>
      </w:r>
      <w:r w:rsidR="007E01D7">
        <w:t xml:space="preserve"> enables </w:t>
      </w:r>
      <w:r w:rsidR="00D23FEF">
        <w:t xml:space="preserve">users </w:t>
      </w:r>
      <w:r w:rsidR="007E01D7">
        <w:t xml:space="preserve">to </w:t>
      </w:r>
      <w:r w:rsidR="00B66754">
        <w:t xml:space="preserve">send </w:t>
      </w:r>
      <w:r w:rsidR="007E01D7">
        <w:t>a high volume of texts that may be unwanted.</w:t>
      </w:r>
      <w:r>
        <w:rPr>
          <w:rStyle w:val="FootnoteReference"/>
        </w:rPr>
        <w:footnoteReference w:id="20"/>
      </w:r>
      <w:r w:rsidR="007E01D7">
        <w:t xml:space="preserve">  </w:t>
      </w:r>
      <w:r w:rsidR="00FC484E">
        <w:t>T</w:t>
      </w:r>
      <w:r w:rsidR="003C533C">
        <w:t>he National Consumer Law Center (NCLC)</w:t>
      </w:r>
      <w:r w:rsidR="00FC484E">
        <w:t xml:space="preserve"> </w:t>
      </w:r>
      <w:r w:rsidR="00B73DB3">
        <w:t xml:space="preserve">and other consumer groups </w:t>
      </w:r>
      <w:r w:rsidR="00372E36">
        <w:t xml:space="preserve">also </w:t>
      </w:r>
      <w:r w:rsidR="003C533C">
        <w:t>oppos</w:t>
      </w:r>
      <w:r w:rsidR="00FC484E">
        <w:t>e</w:t>
      </w:r>
      <w:r w:rsidR="00E459AF">
        <w:t>d</w:t>
      </w:r>
      <w:r w:rsidR="003C533C">
        <w:t xml:space="preserve"> the petition</w:t>
      </w:r>
      <w:r w:rsidR="00FC484E">
        <w:t>,</w:t>
      </w:r>
      <w:r w:rsidR="003C533C">
        <w:t xml:space="preserve"> arguing </w:t>
      </w:r>
      <w:r w:rsidR="00FC484E">
        <w:t>(among other thin</w:t>
      </w:r>
      <w:r w:rsidR="00440F4A">
        <w:t>g</w:t>
      </w:r>
      <w:r w:rsidR="00FC484E">
        <w:t xml:space="preserve">s) </w:t>
      </w:r>
      <w:r w:rsidR="003C533C">
        <w:t>that the record lacks sufficient technical information to determin</w:t>
      </w:r>
      <w:r w:rsidR="00CE5213">
        <w:t>e</w:t>
      </w:r>
      <w:r w:rsidR="00061308">
        <w:t xml:space="preserve"> whether </w:t>
      </w:r>
      <w:r w:rsidR="00FC484E">
        <w:t xml:space="preserve">the texting </w:t>
      </w:r>
      <w:r w:rsidR="00403F84">
        <w:t xml:space="preserve">involves use of </w:t>
      </w:r>
      <w:r w:rsidR="00FC484E">
        <w:t>autodialer</w:t>
      </w:r>
      <w:r w:rsidR="00FC484E">
        <w:t xml:space="preserve"> </w:t>
      </w:r>
      <w:r w:rsidR="00403F84">
        <w:t>equipment</w:t>
      </w:r>
      <w:r w:rsidR="004E0F55">
        <w:t>, and the fact that P2P platforms are used to “send</w:t>
      </w:r>
      <w:r w:rsidR="003B1821">
        <w:t>[]</w:t>
      </w:r>
      <w:r w:rsidR="004E0F55">
        <w:t xml:space="preserve"> massive numbers of texts in tiny periods of time” </w:t>
      </w:r>
      <w:r w:rsidR="003B1821">
        <w:t>indicates</w:t>
      </w:r>
      <w:r w:rsidR="004E0F55">
        <w:t xml:space="preserve"> that “the individual involvement in sending these messages is so vanishingly small as to be meaningless” and thus</w:t>
      </w:r>
      <w:r w:rsidR="003B1821">
        <w:t xml:space="preserve"> that</w:t>
      </w:r>
      <w:r w:rsidR="004E0F55">
        <w:t xml:space="preserve"> the platforms meet the definition of an </w:t>
      </w:r>
      <w:r w:rsidR="004E0F55">
        <w:t>autodialer</w:t>
      </w:r>
      <w:r w:rsidR="00061308">
        <w:t>.</w:t>
      </w:r>
      <w:r>
        <w:rPr>
          <w:rStyle w:val="FootnoteReference"/>
        </w:rPr>
        <w:footnoteReference w:id="21"/>
      </w:r>
    </w:p>
    <w:p w:rsidR="00253FFA" w:rsidRPr="001E7E87" w:rsidP="00F54C0A" w14:paraId="5D20A01F" w14:textId="77777777">
      <w:pPr>
        <w:pStyle w:val="Heading1"/>
        <w:rPr>
          <w:rFonts w:ascii="Times New Roman" w:hAnsi="Times New Roman" w:cs="Times New Roman"/>
          <w:sz w:val="22"/>
          <w:szCs w:val="22"/>
        </w:rPr>
      </w:pPr>
      <w:r>
        <w:rPr>
          <w:rFonts w:ascii="Times New Roman" w:hAnsi="Times New Roman" w:cs="Times New Roman"/>
          <w:sz w:val="22"/>
          <w:szCs w:val="22"/>
        </w:rPr>
        <w:t>DISCUSSION</w:t>
      </w:r>
    </w:p>
    <w:p w:rsidR="00CC5EA2" w:rsidP="00D96436" w14:paraId="47ABBF18" w14:textId="4814291B">
      <w:pPr>
        <w:pStyle w:val="ParaNum"/>
      </w:pPr>
      <w:bookmarkStart w:id="7" w:name="_Hlk43797835"/>
      <w:r>
        <w:t xml:space="preserve">We clarify that the fact that a calling platform or other equipment is used to make calls or send texts to a large volume of telephone numbers is not </w:t>
      </w:r>
      <w:r w:rsidR="00A75DE6">
        <w:t>determinative</w:t>
      </w:r>
      <w:r>
        <w:t xml:space="preserve"> of whether that equipment constitutes an </w:t>
      </w:r>
      <w:r>
        <w:t>autodialer</w:t>
      </w:r>
      <w:r>
        <w:t xml:space="preserve"> under the TCPA.  Instead, whether the calling platform or equipment is an </w:t>
      </w:r>
      <w:r>
        <w:t>autodialer</w:t>
      </w:r>
      <w:r>
        <w:t xml:space="preserve"> turns on whether such equipment </w:t>
      </w:r>
      <w:r>
        <w:t>is capable of dialing</w:t>
      </w:r>
      <w:r>
        <w:t xml:space="preserve"> </w:t>
      </w:r>
      <w:r w:rsidR="00E459AF">
        <w:t>random or sequential</w:t>
      </w:r>
      <w:r>
        <w:t xml:space="preserve"> telephone numbers without human intervention.  If a calling platform is not capable of dialing </w:t>
      </w:r>
      <w:r w:rsidR="00E459AF">
        <w:t>such</w:t>
      </w:r>
      <w:r>
        <w:t xml:space="preserve"> numbers without a person actively and affirmatively manually dialing each one, that platform is not an </w:t>
      </w:r>
      <w:r>
        <w:t>autodialer</w:t>
      </w:r>
      <w:r>
        <w:t xml:space="preserve"> and calls made using it are not subject to the TCPA’s restrictions on calls to wireless phones.  To the extent </w:t>
      </w:r>
      <w:r w:rsidR="00791D83">
        <w:t xml:space="preserve">the </w:t>
      </w:r>
      <w:r w:rsidR="007E2D77">
        <w:t>P2P</w:t>
      </w:r>
      <w:r w:rsidR="00791D83">
        <w:t xml:space="preserve"> texting platform advocated by the P2P</w:t>
      </w:r>
      <w:r w:rsidR="002338FC">
        <w:t xml:space="preserve"> Alliance</w:t>
      </w:r>
      <w:r>
        <w:t xml:space="preserve"> </w:t>
      </w:r>
      <w:r w:rsidR="0099354B">
        <w:t xml:space="preserve">is not capable of </w:t>
      </w:r>
      <w:r w:rsidR="00A6723E">
        <w:t>making calls or sending texts</w:t>
      </w:r>
      <w:r w:rsidR="0099354B">
        <w:t xml:space="preserve"> without </w:t>
      </w:r>
      <w:r w:rsidR="00A6723E">
        <w:t>a person actively and affirmatively manually dialing each number</w:t>
      </w:r>
      <w:r>
        <w:t>, it</w:t>
      </w:r>
      <w:r w:rsidR="00791D83">
        <w:t xml:space="preserve"> </w:t>
      </w:r>
      <w:r w:rsidR="007E2D77">
        <w:t xml:space="preserve">is not an </w:t>
      </w:r>
      <w:r w:rsidR="007E2D77">
        <w:t>autodialer</w:t>
      </w:r>
      <w:r w:rsidR="007E2D77">
        <w:t xml:space="preserve"> as defined by the TCPA</w:t>
      </w:r>
      <w:r w:rsidR="0076559A">
        <w:t>,</w:t>
      </w:r>
      <w:r w:rsidR="007E2D77">
        <w:t xml:space="preserve"> and thus</w:t>
      </w:r>
      <w:r w:rsidR="0076559A">
        <w:t xml:space="preserve"> we</w:t>
      </w:r>
      <w:r w:rsidR="007E2D77">
        <w:t xml:space="preserve"> </w:t>
      </w:r>
      <w:r w:rsidR="002F2C86">
        <w:t xml:space="preserve">grant P2P Alliance’s petition to </w:t>
      </w:r>
      <w:r w:rsidR="0076559A">
        <w:t>that extent.</w:t>
      </w:r>
      <w:r w:rsidR="002F2C86">
        <w:t xml:space="preserve">  </w:t>
      </w:r>
      <w:bookmarkEnd w:id="7"/>
      <w:r w:rsidR="002F2C86">
        <w:t>Additionally, to the extent</w:t>
      </w:r>
      <w:r w:rsidR="00791D83">
        <w:t xml:space="preserve"> members of</w:t>
      </w:r>
      <w:r w:rsidR="002F2C86">
        <w:t xml:space="preserve"> </w:t>
      </w:r>
      <w:r w:rsidR="002338FC">
        <w:t xml:space="preserve">the </w:t>
      </w:r>
      <w:r w:rsidR="002F2C86">
        <w:t>P2P Alliance ha</w:t>
      </w:r>
      <w:r w:rsidR="00791D83">
        <w:t>ve</w:t>
      </w:r>
      <w:r w:rsidR="002F2C86">
        <w:t xml:space="preserve"> obtained the called party’s prior express consent, </w:t>
      </w:r>
      <w:r w:rsidR="00791D83">
        <w:t>their</w:t>
      </w:r>
      <w:r w:rsidR="002F2C86">
        <w:t xml:space="preserve"> calls are not subject to TCPA liability even if they use an </w:t>
      </w:r>
      <w:r w:rsidR="002F2C86">
        <w:t>autodialer</w:t>
      </w:r>
      <w:r w:rsidR="002F2C86">
        <w:t>.</w:t>
      </w:r>
    </w:p>
    <w:p w:rsidR="00E14AA0" w:rsidP="0076559A" w14:paraId="4055D0FF" w14:textId="729529BB">
      <w:pPr>
        <w:pStyle w:val="ParaNum"/>
        <w:tabs>
          <w:tab w:val="left" w:pos="4230"/>
        </w:tabs>
      </w:pPr>
      <w:r>
        <w:t>Under the terms of the TCPA, only technology that has the capacity to store</w:t>
      </w:r>
      <w:r w:rsidR="00673B5B">
        <w:t xml:space="preserve"> or</w:t>
      </w:r>
      <w:r>
        <w:t xml:space="preserve"> produce</w:t>
      </w:r>
      <w:r w:rsidR="00EB77DB">
        <w:t xml:space="preserve"> numbers to be called</w:t>
      </w:r>
      <w:r w:rsidR="001F7A10">
        <w:t xml:space="preserve"> using a random or sequential number generator</w:t>
      </w:r>
      <w:r>
        <w:t xml:space="preserve">, and </w:t>
      </w:r>
      <w:r w:rsidR="00673B5B">
        <w:t xml:space="preserve">to </w:t>
      </w:r>
      <w:r>
        <w:t xml:space="preserve">dial </w:t>
      </w:r>
      <w:r w:rsidR="001F7A10">
        <w:t xml:space="preserve">such </w:t>
      </w:r>
      <w:r>
        <w:t>numbers</w:t>
      </w:r>
      <w:r w:rsidR="004E622A">
        <w:t>,</w:t>
      </w:r>
      <w:r>
        <w:t xml:space="preserve"> </w:t>
      </w:r>
      <w:r w:rsidR="001F7A10">
        <w:t xml:space="preserve">is </w:t>
      </w:r>
      <w:r>
        <w:t xml:space="preserve">deemed to be an </w:t>
      </w:r>
      <w:r>
        <w:t>autodialer</w:t>
      </w:r>
      <w:r>
        <w:t>.</w:t>
      </w:r>
      <w:r>
        <w:rPr>
          <w:rStyle w:val="FootnoteReference"/>
        </w:rPr>
        <w:footnoteReference w:id="22"/>
      </w:r>
      <w:r>
        <w:t xml:space="preserve">  </w:t>
      </w:r>
      <w:r>
        <w:t xml:space="preserve">Whether a certain piece of equipment or platform is an </w:t>
      </w:r>
      <w:r>
        <w:t>autodialer</w:t>
      </w:r>
      <w:r>
        <w:t xml:space="preserve"> turns on whether it is capable of performing those functions without human intervention, not whether it can make a large number of calls in a short time.  Thus, in its original TCPA proceeding, the Commission found that “the prohibitions </w:t>
      </w:r>
      <w:r w:rsidR="00E1710A">
        <w:t>of [section] 227(b)(1) clearly do not apply to functions such as ‘speed dialing</w:t>
      </w:r>
      <w:r w:rsidR="00A53DB5">
        <w:t>,</w:t>
      </w:r>
      <w:r w:rsidR="00E1710A">
        <w:t>’”</w:t>
      </w:r>
      <w:r w:rsidR="00A53DB5">
        <w:t xml:space="preserve"> because the numbers are not generated in a random or sequential fashion.</w:t>
      </w:r>
      <w:r>
        <w:rPr>
          <w:rStyle w:val="FootnoteReference"/>
        </w:rPr>
        <w:footnoteReference w:id="23"/>
      </w:r>
      <w:r w:rsidR="00E1710A">
        <w:t xml:space="preserve">  The Commission also has long held that the basic function of an </w:t>
      </w:r>
      <w:r w:rsidR="00E1710A">
        <w:t>autodialer</w:t>
      </w:r>
      <w:r w:rsidR="00E1710A">
        <w:t xml:space="preserve"> is to “dial numbers without human intervention.”</w:t>
      </w:r>
      <w:r>
        <w:rPr>
          <w:rStyle w:val="FootnoteReference"/>
        </w:rPr>
        <w:footnoteReference w:id="24"/>
      </w:r>
      <w:r w:rsidR="00E459AF">
        <w:t xml:space="preserve">  As the FCC’s </w:t>
      </w:r>
      <w:r w:rsidRPr="000E2569" w:rsidR="00E459AF">
        <w:rPr>
          <w:i/>
        </w:rPr>
        <w:t>2016</w:t>
      </w:r>
      <w:r w:rsidR="00E459AF">
        <w:t xml:space="preserve"> </w:t>
      </w:r>
      <w:r w:rsidR="00E459AF">
        <w:rPr>
          <w:i/>
        </w:rPr>
        <w:t xml:space="preserve">Enforcement Advisory and </w:t>
      </w:r>
      <w:r w:rsidRPr="000E2569" w:rsidR="00E459AF">
        <w:rPr>
          <w:i/>
        </w:rPr>
        <w:t>FAQ</w:t>
      </w:r>
      <w:r w:rsidR="00E459AF">
        <w:t xml:space="preserve"> made clear, “</w:t>
      </w:r>
      <w:r w:rsidRPr="003612A8" w:rsidR="00E459AF">
        <w:t>manually placed text messages are permissible without prior express consent.</w:t>
      </w:r>
      <w:r w:rsidR="00E459AF">
        <w:t>”</w:t>
      </w:r>
      <w:r>
        <w:rPr>
          <w:rStyle w:val="FootnoteReference"/>
        </w:rPr>
        <w:footnoteReference w:id="25"/>
      </w:r>
    </w:p>
    <w:p w:rsidR="00A12BE8" w:rsidP="00A36341" w14:paraId="373F9DA1" w14:textId="5F6EDF85">
      <w:pPr>
        <w:pStyle w:val="ParaNum"/>
        <w:tabs>
          <w:tab w:val="left" w:pos="4230"/>
        </w:tabs>
      </w:pPr>
      <w:r>
        <w:t xml:space="preserve">The </w:t>
      </w:r>
      <w:r w:rsidR="00595FFF">
        <w:t>P2P</w:t>
      </w:r>
      <w:r>
        <w:t xml:space="preserve"> </w:t>
      </w:r>
      <w:r>
        <w:t xml:space="preserve">Alliance </w:t>
      </w:r>
      <w:r w:rsidR="00262E15">
        <w:t>states that its</w:t>
      </w:r>
      <w:r w:rsidR="00F03751">
        <w:t xml:space="preserve"> </w:t>
      </w:r>
      <w:r w:rsidR="00262E15">
        <w:t>“</w:t>
      </w:r>
      <w:r w:rsidR="00F03751">
        <w:t xml:space="preserve">text messaging does not involve the use of equipment that constitutes an </w:t>
      </w:r>
      <w:r w:rsidR="00976F65">
        <w:t>automat</w:t>
      </w:r>
      <w:r w:rsidR="006917C4">
        <w:t>ic</w:t>
      </w:r>
      <w:r w:rsidR="00976F65">
        <w:t xml:space="preserve"> telephone dialing system (‘</w:t>
      </w:r>
      <w:r w:rsidR="00F03751">
        <w:t>autodialer</w:t>
      </w:r>
      <w:r w:rsidR="00976F65">
        <w:t>’)</w:t>
      </w:r>
      <w:r w:rsidR="00F03751">
        <w:t xml:space="preserve"> as such term is defined by the TCPA, nor are P2P messages</w:t>
      </w:r>
      <w:r w:rsidR="004311E6">
        <w:t xml:space="preserve"> made using an </w:t>
      </w:r>
      <w:r w:rsidR="004311E6">
        <w:t>autodialer</w:t>
      </w:r>
      <w:r w:rsidR="00EA5728">
        <w:t>.</w:t>
      </w:r>
      <w:r w:rsidR="004311E6">
        <w:t>”</w:t>
      </w:r>
      <w:r>
        <w:rPr>
          <w:rStyle w:val="FootnoteReference"/>
        </w:rPr>
        <w:footnoteReference w:id="26"/>
      </w:r>
      <w:r>
        <w:t xml:space="preserve">  </w:t>
      </w:r>
      <w:r w:rsidR="00262E15">
        <w:t xml:space="preserve">As described by the P2P Alliance, peer-to-peer text messaging is a communications technology that allows organizations to use either an online platform or </w:t>
      </w:r>
      <w:r w:rsidR="00450100">
        <w:t xml:space="preserve">a </w:t>
      </w:r>
      <w:r w:rsidR="00262E15">
        <w:t>mobile application to send text messages to recipients from a single sender to a single recipient to initiate a two-way communication.</w:t>
      </w:r>
      <w:r>
        <w:rPr>
          <w:rStyle w:val="FootnoteReference"/>
        </w:rPr>
        <w:footnoteReference w:id="27"/>
      </w:r>
      <w:r w:rsidR="00262E15">
        <w:t xml:space="preserve">  </w:t>
      </w:r>
      <w:r w:rsidR="007D605D">
        <w:t>T</w:t>
      </w:r>
      <w:r w:rsidR="002E4F63">
        <w:t xml:space="preserve">he </w:t>
      </w:r>
      <w:r w:rsidR="00386FC1">
        <w:t xml:space="preserve">P2P Alliance states that </w:t>
      </w:r>
      <w:r w:rsidR="009A5017">
        <w:t>the</w:t>
      </w:r>
      <w:r w:rsidR="002E4F63">
        <w:t xml:space="preserve"> </w:t>
      </w:r>
      <w:r w:rsidR="00386FC1">
        <w:t>platform does not include “the capacity</w:t>
      </w:r>
      <w:r w:rsidR="00E459AF">
        <w:t xml:space="preserve"> . . . </w:t>
      </w:r>
      <w:r w:rsidR="00386FC1">
        <w:t>to store or produce telephone numbers to be called, using a random or sequential number generator.”</w:t>
      </w:r>
      <w:r>
        <w:rPr>
          <w:rStyle w:val="FootnoteReference"/>
        </w:rPr>
        <w:footnoteReference w:id="28"/>
      </w:r>
      <w:r w:rsidR="00386FC1">
        <w:t xml:space="preserve">  </w:t>
      </w:r>
    </w:p>
    <w:p w:rsidR="00E035C1" w:rsidRPr="00487560" w:rsidP="00CB00F3" w14:paraId="1E8EFEE9" w14:textId="4BE5F536">
      <w:pPr>
        <w:pStyle w:val="ParaNum"/>
      </w:pPr>
      <w:r>
        <w:t xml:space="preserve">We do not rule on whether </w:t>
      </w:r>
      <w:r w:rsidR="0076559A">
        <w:t xml:space="preserve">any </w:t>
      </w:r>
      <w:r w:rsidR="0076559A">
        <w:t>particular</w:t>
      </w:r>
      <w:r>
        <w:t xml:space="preserve"> P2P</w:t>
      </w:r>
      <w:r>
        <w:t xml:space="preserve"> text platform is an </w:t>
      </w:r>
      <w:r>
        <w:t>autodialer</w:t>
      </w:r>
      <w:r>
        <w:t xml:space="preserve"> because the record lacks a sufficient factual basis for us to confirm (or for commenters to assess) whether </w:t>
      </w:r>
      <w:r w:rsidR="0076559A">
        <w:t xml:space="preserve">any </w:t>
      </w:r>
      <w:r w:rsidR="00151452">
        <w:t>particular</w:t>
      </w:r>
      <w:r w:rsidR="0076559A">
        <w:t xml:space="preserve"> </w:t>
      </w:r>
      <w:r>
        <w:t>P2P text platform actually work</w:t>
      </w:r>
      <w:r w:rsidR="00151452">
        <w:t>s</w:t>
      </w:r>
      <w:r>
        <w:t xml:space="preserve"> as claimed in the </w:t>
      </w:r>
      <w:r w:rsidRPr="00AA65BD">
        <w:rPr>
          <w:i/>
          <w:iCs/>
        </w:rPr>
        <w:t>P2P Alliance Petition</w:t>
      </w:r>
      <w:r>
        <w:t xml:space="preserve">.  We clarify, however, that if </w:t>
      </w:r>
      <w:r w:rsidR="0076559A">
        <w:t>a texting</w:t>
      </w:r>
      <w:r>
        <w:t xml:space="preserve"> platform actually “requires a person to actively and affirmatively manually dial each recipient’s number and transmit each message one at a time” and lacks the capacity to </w:t>
      </w:r>
      <w:r w:rsidRPr="00487560">
        <w:t xml:space="preserve">transmit more than one message without a human manually </w:t>
      </w:r>
      <w:r w:rsidR="00B73DB3">
        <w:t>dialing each recipient’s number</w:t>
      </w:r>
      <w:r w:rsidRPr="00487560">
        <w:t xml:space="preserve">, as suggested in the </w:t>
      </w:r>
      <w:r w:rsidRPr="00487560">
        <w:rPr>
          <w:i/>
          <w:iCs/>
        </w:rPr>
        <w:t>P2P Alliance Petition</w:t>
      </w:r>
      <w:r w:rsidRPr="00487560">
        <w:t>, then such platform would not be an “</w:t>
      </w:r>
      <w:r w:rsidRPr="00487560">
        <w:t>autodialer</w:t>
      </w:r>
      <w:r w:rsidRPr="00487560">
        <w:t>” that is subject to the TCPA.</w:t>
      </w:r>
      <w:r w:rsidR="008203C6">
        <w:t xml:space="preserve">  </w:t>
      </w:r>
    </w:p>
    <w:p w:rsidR="002E4F63" w:rsidP="00487560" w14:paraId="1F04C648" w14:textId="22B0D689">
      <w:pPr>
        <w:pStyle w:val="ParaNum"/>
      </w:pPr>
      <w:r>
        <w:t>W</w:t>
      </w:r>
      <w:r w:rsidR="003C4980">
        <w:t>e</w:t>
      </w:r>
      <w:r w:rsidR="00EC1C81">
        <w:t xml:space="preserve"> disagree with NCLC’s contention that</w:t>
      </w:r>
      <w:r w:rsidR="0076559A">
        <w:t xml:space="preserve"> the TCPA’s restrictions should apply to P2P systems because otherwise</w:t>
      </w:r>
      <w:r w:rsidR="00EC1C81">
        <w:t xml:space="preserve"> “telemarketers and spammers would immediately gravitate to P2P systems as a way to evade the TCPA’s restrictions on unwanted calls.”</w:t>
      </w:r>
      <w:r>
        <w:rPr>
          <w:rStyle w:val="FootnoteReference"/>
        </w:rPr>
        <w:footnoteReference w:id="29"/>
      </w:r>
      <w:r w:rsidR="00EC1C81">
        <w:t xml:space="preserve">  The TCPA does not and was not intended to stop every type of call.  Rather, it was limited only </w:t>
      </w:r>
      <w:r w:rsidR="00E035C1">
        <w:t xml:space="preserve">to calls made using an </w:t>
      </w:r>
      <w:r w:rsidR="00E035C1">
        <w:t>autodialer</w:t>
      </w:r>
      <w:r w:rsidR="00E035C1">
        <w:t xml:space="preserve"> or an artificial or prerecorded voice.</w:t>
      </w:r>
      <w:r w:rsidR="00EC1C81">
        <w:t xml:space="preserve">  </w:t>
      </w:r>
      <w:r w:rsidR="00E035C1">
        <w:t xml:space="preserve">If a text platform is not capable of </w:t>
      </w:r>
      <w:r w:rsidR="00A75DE6">
        <w:t xml:space="preserve">storing or producing numbers to be called using a </w:t>
      </w:r>
      <w:r w:rsidR="00A75DE6">
        <w:t xml:space="preserve">random or sequential number generator and dialing such numbers </w:t>
      </w:r>
      <w:r w:rsidR="00151452">
        <w:t>automatically but instead requires active and affirmative manual dialing</w:t>
      </w:r>
      <w:r w:rsidR="00A75DE6">
        <w:t xml:space="preserve">, it is not an </w:t>
      </w:r>
      <w:r w:rsidR="00EC1C81">
        <w:t>autodialer</w:t>
      </w:r>
      <w:r w:rsidR="00A75DE6">
        <w:t xml:space="preserve"> and callers using it </w:t>
      </w:r>
      <w:r w:rsidR="00EC1C81">
        <w:t>are, by definition, not “evading” the TCPA.</w:t>
      </w:r>
    </w:p>
    <w:p w:rsidR="00A75DE6" w:rsidP="00E14AA0" w14:paraId="1537706E" w14:textId="0C705A0F">
      <w:pPr>
        <w:pStyle w:val="ParaNum"/>
      </w:pPr>
      <w:r>
        <w:t>Finally</w:t>
      </w:r>
      <w:r w:rsidRPr="00483B9E" w:rsidR="002E4F63">
        <w:t xml:space="preserve">, we </w:t>
      </w:r>
      <w:r>
        <w:t>reiterate</w:t>
      </w:r>
      <w:r w:rsidRPr="00483B9E">
        <w:t xml:space="preserve"> </w:t>
      </w:r>
      <w:r w:rsidRPr="00483B9E" w:rsidR="002E4F63">
        <w:t xml:space="preserve">that, </w:t>
      </w:r>
      <w:r>
        <w:t xml:space="preserve">even </w:t>
      </w:r>
      <w:r w:rsidRPr="00483B9E" w:rsidR="002E4F63">
        <w:t xml:space="preserve">to the extent </w:t>
      </w:r>
      <w:r>
        <w:t>that calls are made using an</w:t>
      </w:r>
      <w:r w:rsidRPr="00483B9E" w:rsidR="002E4F63">
        <w:t xml:space="preserve"> </w:t>
      </w:r>
      <w:r w:rsidRPr="00483B9E" w:rsidR="002E4F63">
        <w:t>autodialer</w:t>
      </w:r>
      <w:r w:rsidRPr="00483B9E" w:rsidR="002E4F63">
        <w:t xml:space="preserve">, the TCPA’s restrictions </w:t>
      </w:r>
      <w:r w:rsidR="002E4F63">
        <w:t xml:space="preserve">do </w:t>
      </w:r>
      <w:r w:rsidRPr="00483B9E" w:rsidR="002E4F63">
        <w:t>not apply if the caller</w:t>
      </w:r>
      <w:r w:rsidR="008750FF">
        <w:t xml:space="preserve"> or texter</w:t>
      </w:r>
      <w:r w:rsidRPr="00483B9E" w:rsidR="002E4F63">
        <w:t xml:space="preserve"> obtains the recipient’s prior express consent.</w:t>
      </w:r>
      <w:r>
        <w:rPr>
          <w:vertAlign w:val="superscript"/>
        </w:rPr>
        <w:footnoteReference w:id="30"/>
      </w:r>
      <w:r w:rsidRPr="00483B9E" w:rsidR="002E4F63">
        <w:t xml:space="preserve">  The P2P Alliance asserts that</w:t>
      </w:r>
      <w:r w:rsidR="00487560">
        <w:t xml:space="preserve"> certain</w:t>
      </w:r>
      <w:r w:rsidRPr="00483B9E" w:rsidR="002E4F63">
        <w:t xml:space="preserve"> peer-to-peer text messages are sent only with prior consent because the </w:t>
      </w:r>
      <w:r w:rsidR="008750FF">
        <w:t>texted</w:t>
      </w:r>
      <w:r w:rsidRPr="00483B9E" w:rsidR="002E4F63">
        <w:t xml:space="preserve"> party has provided a contact number to which such messages are delivered.</w:t>
      </w:r>
      <w:r>
        <w:rPr>
          <w:vertAlign w:val="superscript"/>
        </w:rPr>
        <w:footnoteReference w:id="31"/>
      </w:r>
      <w:r w:rsidRPr="00483B9E" w:rsidR="002E4F63">
        <w:t xml:space="preserve"> </w:t>
      </w:r>
      <w:r w:rsidR="00151452">
        <w:t xml:space="preserve"> </w:t>
      </w:r>
      <w:r>
        <w:t xml:space="preserve">The Commission has repeatedly made clear </w:t>
      </w:r>
      <w:r w:rsidRPr="00483B9E" w:rsidR="002E4F63">
        <w:t>that “</w:t>
      </w:r>
      <w:bookmarkStart w:id="8" w:name="_Hlk36631337"/>
      <w:r w:rsidRPr="00483B9E" w:rsidR="002E4F63">
        <w:t>persons who knowingly release their telephone numbers</w:t>
      </w:r>
      <w:r w:rsidR="00123016">
        <w:t>”</w:t>
      </w:r>
      <w:r w:rsidRPr="00483B9E" w:rsidR="002E4F63">
        <w:t xml:space="preserve"> </w:t>
      </w:r>
      <w:r w:rsidR="00123016">
        <w:t>for a particular purpose “</w:t>
      </w:r>
      <w:r w:rsidRPr="00483B9E" w:rsidR="002E4F63">
        <w:t>have in effect given their invitation or permission to be called at the number which they have given</w:t>
      </w:r>
      <w:r w:rsidR="00123016">
        <w:t>” for that purpose</w:t>
      </w:r>
      <w:r w:rsidR="008359D2">
        <w:t>,</w:t>
      </w:r>
      <w:r w:rsidRPr="00483B9E" w:rsidR="002E4F63">
        <w:t xml:space="preserve"> absent instructions to the contrary.</w:t>
      </w:r>
      <w:bookmarkEnd w:id="8"/>
      <w:r>
        <w:rPr>
          <w:vertAlign w:val="superscript"/>
        </w:rPr>
        <w:footnoteReference w:id="32"/>
      </w:r>
      <w:r w:rsidRPr="00483B9E" w:rsidR="002E4F63">
        <w:t xml:space="preserve">  </w:t>
      </w:r>
      <w:r>
        <w:t>To the extent P2P</w:t>
      </w:r>
      <w:r w:rsidR="00BA4253">
        <w:t xml:space="preserve"> calls are made to parties that have knowingly released their telephone number to the caller</w:t>
      </w:r>
      <w:r w:rsidR="00123016">
        <w:t xml:space="preserve"> for a particular purpose</w:t>
      </w:r>
      <w:r w:rsidR="00BA4253">
        <w:t xml:space="preserve">, then </w:t>
      </w:r>
      <w:r w:rsidR="00123016">
        <w:t>calls within the scope of that consent</w:t>
      </w:r>
      <w:r w:rsidR="00BA4253">
        <w:t xml:space="preserve"> do not run afoul of the TCPA</w:t>
      </w:r>
      <w:r>
        <w:t xml:space="preserve"> regardless of whether the caller used an </w:t>
      </w:r>
      <w:r>
        <w:t>autodialer</w:t>
      </w:r>
      <w:r w:rsidR="00BA4253">
        <w:t>.</w:t>
      </w:r>
      <w:r>
        <w:rPr>
          <w:vertAlign w:val="superscript"/>
        </w:rPr>
        <w:footnoteReference w:id="33"/>
      </w:r>
      <w:r w:rsidRPr="00E14AA0" w:rsidR="00E14AA0">
        <w:t xml:space="preserve"> </w:t>
      </w:r>
    </w:p>
    <w:p w:rsidR="00253FFA" w:rsidRPr="00036D78" w:rsidP="00A36341" w14:paraId="72472212" w14:textId="77777777">
      <w:pPr>
        <w:pStyle w:val="Heading1"/>
        <w:tabs>
          <w:tab w:val="left" w:pos="720"/>
        </w:tabs>
        <w:rPr>
          <w:rFonts w:ascii="Times New Roman" w:hAnsi="Times New Roman" w:cs="Times New Roman"/>
          <w:sz w:val="22"/>
          <w:szCs w:val="22"/>
        </w:rPr>
      </w:pPr>
      <w:r w:rsidRPr="00036D78">
        <w:rPr>
          <w:rFonts w:ascii="Times New Roman" w:hAnsi="Times New Roman" w:cs="Times New Roman"/>
          <w:sz w:val="22"/>
          <w:szCs w:val="22"/>
        </w:rPr>
        <w:t>ORDERING CLAUSES</w:t>
      </w:r>
    </w:p>
    <w:p w:rsidR="00FD5ADF" w:rsidRPr="00F21F5B" w:rsidP="00BF0603" w14:paraId="1CFF816C" w14:textId="1CC4FC6A">
      <w:pPr>
        <w:pStyle w:val="ParaNum"/>
        <w:rPr>
          <w:caps/>
        </w:rPr>
      </w:pPr>
      <w:r w:rsidRPr="0049008B">
        <w:t xml:space="preserve">For the reasons stated above, IT IS ORDERED, pursuant to sections </w:t>
      </w:r>
      <w:r w:rsidR="00FB1692">
        <w:t>1</w:t>
      </w:r>
      <w:r w:rsidRPr="0049008B">
        <w:t>-4 and 227 of the Communications Act of 1934, as amended, 47 U.S.C. §§ 151-154, 227, sections 1.2 and 64.1200 of the Commission’s Rules, 47 CFR §§ 1.2, 64.1200</w:t>
      </w:r>
      <w:r w:rsidRPr="00871C32">
        <w:t>,</w:t>
      </w:r>
      <w:r w:rsidRPr="00475CF8" w:rsidR="00871C32">
        <w:t xml:space="preserve"> </w:t>
      </w:r>
      <w:r w:rsidRPr="00475CF8" w:rsidR="00871C32">
        <w:rPr>
          <w:kern w:val="0"/>
        </w:rPr>
        <w:t>and the authority delegated in sections 0.141</w:t>
      </w:r>
      <w:r w:rsidR="00070A8D">
        <w:rPr>
          <w:kern w:val="0"/>
        </w:rPr>
        <w:t xml:space="preserve"> and</w:t>
      </w:r>
      <w:r w:rsidRPr="00475CF8" w:rsidR="00871C32">
        <w:rPr>
          <w:kern w:val="0"/>
        </w:rPr>
        <w:t xml:space="preserve"> 0.361</w:t>
      </w:r>
      <w:r w:rsidR="00070A8D">
        <w:rPr>
          <w:kern w:val="0"/>
        </w:rPr>
        <w:t xml:space="preserve"> </w:t>
      </w:r>
      <w:r w:rsidRPr="00475CF8" w:rsidR="00871C32">
        <w:rPr>
          <w:kern w:val="0"/>
        </w:rPr>
        <w:t xml:space="preserve">of the Commission’s rules, 47 CFR §§ 0.141, 0.361, </w:t>
      </w:r>
      <w:r w:rsidR="00070A8D">
        <w:t xml:space="preserve">that </w:t>
      </w:r>
      <w:r w:rsidRPr="0049008B">
        <w:t xml:space="preserve">the Petition for </w:t>
      </w:r>
      <w:r w:rsidR="00270162">
        <w:t>Clarification</w:t>
      </w:r>
      <w:r>
        <w:t xml:space="preserve"> </w:t>
      </w:r>
      <w:r w:rsidRPr="0049008B">
        <w:t>filed by</w:t>
      </w:r>
      <w:r w:rsidR="00270162">
        <w:t xml:space="preserve"> the P2P </w:t>
      </w:r>
      <w:r w:rsidR="00270162">
        <w:t xml:space="preserve">Alliance </w:t>
      </w:r>
      <w:r w:rsidRPr="0049008B">
        <w:t xml:space="preserve">on </w:t>
      </w:r>
      <w:r w:rsidR="00270162">
        <w:t xml:space="preserve">May </w:t>
      </w:r>
      <w:r w:rsidR="00243C17">
        <w:t>3, 201</w:t>
      </w:r>
      <w:r w:rsidR="00270162">
        <w:t>8</w:t>
      </w:r>
      <w:r w:rsidR="00243C17">
        <w:t>,</w:t>
      </w:r>
      <w:r>
        <w:t xml:space="preserve"> IS </w:t>
      </w:r>
      <w:r w:rsidRPr="00A448C7">
        <w:rPr>
          <w:caps/>
        </w:rPr>
        <w:t>granted</w:t>
      </w:r>
      <w:r w:rsidR="00EE5C10">
        <w:rPr>
          <w:caps/>
        </w:rPr>
        <w:t xml:space="preserve"> to the extent described herein</w:t>
      </w:r>
      <w:r w:rsidRPr="00EA5728" w:rsidR="002311BE">
        <w:rPr>
          <w:caps/>
        </w:rPr>
        <w:t>.</w:t>
      </w:r>
    </w:p>
    <w:p w:rsidR="00253FFA" w:rsidP="00EA5728" w14:paraId="5C573392" w14:textId="3210E542">
      <w:pPr>
        <w:pStyle w:val="ParaNum"/>
      </w:pPr>
      <w:r w:rsidRPr="0049008B">
        <w:t>IT IS FURTHER ORDERED that this Declaratory Ruling shall be effective upon release.</w:t>
      </w:r>
    </w:p>
    <w:p w:rsidR="008B0E4C" w:rsidP="008B0E4C" w14:paraId="4D37D0EB" w14:textId="77777777">
      <w:pPr>
        <w:pStyle w:val="ParaNum"/>
        <w:numPr>
          <w:ilvl w:val="0"/>
          <w:numId w:val="0"/>
        </w:numPr>
        <w:ind w:left="720"/>
      </w:pPr>
    </w:p>
    <w:p w:rsidR="00891D02" w:rsidP="00891D02" w14:paraId="0E0A34F4" w14:textId="77777777">
      <w:pPr>
        <w:pStyle w:val="ParaNum"/>
        <w:numPr>
          <w:ilvl w:val="0"/>
          <w:numId w:val="0"/>
        </w:numPr>
        <w:ind w:left="3600" w:firstLine="720"/>
      </w:pPr>
      <w:r>
        <w:t>FEDERAL COMMUNICATIONS COMMISSION</w:t>
      </w:r>
    </w:p>
    <w:p w:rsidR="008B0E4C" w:rsidP="008B0E4C" w14:paraId="253F5199" w14:textId="55BE149A">
      <w:pPr>
        <w:pStyle w:val="ParaNum"/>
        <w:numPr>
          <w:ilvl w:val="0"/>
          <w:numId w:val="0"/>
        </w:numPr>
      </w:pPr>
    </w:p>
    <w:p w:rsidR="008B0E4C" w:rsidP="008B0E4C" w14:paraId="78294D6E" w14:textId="77777777">
      <w:pPr>
        <w:pStyle w:val="ParaNum"/>
        <w:numPr>
          <w:ilvl w:val="0"/>
          <w:numId w:val="0"/>
        </w:numPr>
      </w:pPr>
    </w:p>
    <w:p w:rsidR="00891D02" w:rsidP="00891D02" w14:paraId="2941985F" w14:textId="77777777">
      <w:pPr>
        <w:pStyle w:val="ParaNum"/>
        <w:numPr>
          <w:ilvl w:val="0"/>
          <w:numId w:val="0"/>
        </w:numPr>
      </w:pPr>
    </w:p>
    <w:p w:rsidR="00891D02" w:rsidP="00891D02" w14:paraId="547F3134" w14:textId="77777777">
      <w:pPr>
        <w:pStyle w:val="ParaNum"/>
        <w:numPr>
          <w:ilvl w:val="0"/>
          <w:numId w:val="0"/>
        </w:numPr>
        <w:spacing w:after="0"/>
      </w:pPr>
      <w:r>
        <w:tab/>
      </w:r>
      <w:r>
        <w:tab/>
      </w:r>
      <w:r>
        <w:tab/>
      </w:r>
      <w:r>
        <w:tab/>
      </w:r>
      <w:r>
        <w:tab/>
      </w:r>
      <w:r>
        <w:tab/>
        <w:t xml:space="preserve">Patrick </w:t>
      </w:r>
      <w:r>
        <w:t>Webre</w:t>
      </w:r>
    </w:p>
    <w:p w:rsidR="00891D02" w:rsidP="00891D02" w14:paraId="2E8F76AD" w14:textId="77777777">
      <w:pPr>
        <w:pStyle w:val="ParaNum"/>
        <w:numPr>
          <w:ilvl w:val="0"/>
          <w:numId w:val="0"/>
        </w:numPr>
        <w:spacing w:after="0"/>
      </w:pPr>
      <w:r>
        <w:tab/>
      </w:r>
      <w:r>
        <w:tab/>
      </w:r>
      <w:r>
        <w:tab/>
      </w:r>
      <w:r>
        <w:tab/>
      </w:r>
      <w:r>
        <w:tab/>
      </w:r>
      <w:r>
        <w:tab/>
        <w:t>Chief</w:t>
      </w:r>
    </w:p>
    <w:p w:rsidR="00891D02" w:rsidP="00891D02" w14:paraId="50C89C12" w14:textId="77777777">
      <w:pPr>
        <w:pStyle w:val="ParaNum"/>
        <w:numPr>
          <w:ilvl w:val="0"/>
          <w:numId w:val="0"/>
        </w:numPr>
        <w:spacing w:after="0"/>
      </w:pPr>
      <w:r>
        <w:tab/>
      </w:r>
      <w:r>
        <w:tab/>
      </w:r>
      <w:r>
        <w:tab/>
      </w:r>
      <w:r>
        <w:tab/>
      </w:r>
      <w:r>
        <w:tab/>
      </w:r>
      <w:r>
        <w:tab/>
        <w:t>Consumer and Governmental Affairs Bureau</w:t>
      </w:r>
    </w:p>
    <w:p w:rsidR="0034494E" w:rsidP="00891D02" w14:paraId="3B18347C" w14:textId="77777777">
      <w:pPr>
        <w:pStyle w:val="ParaNum"/>
        <w:numPr>
          <w:ilvl w:val="0"/>
          <w:numId w:val="0"/>
        </w:numPr>
        <w:spacing w:after="0"/>
      </w:pPr>
    </w:p>
    <w:p w:rsidR="00891D02" w:rsidRPr="00577B12" w:rsidP="00CB7B84" w14:paraId="2AA239A3" w14:textId="77777777">
      <w:pPr>
        <w:widowControl/>
      </w:pPr>
      <w:r>
        <w:br w:type="page"/>
      </w:r>
    </w:p>
    <w:p w:rsidR="00253FFA" w:rsidRPr="00A61BCB" w:rsidP="0090465F" w14:paraId="2C89EBB9" w14:textId="77777777">
      <w:pPr>
        <w:pStyle w:val="Header"/>
      </w:pPr>
      <w:r w:rsidRPr="00A61BCB">
        <w:t xml:space="preserve">Appendix </w:t>
      </w:r>
    </w:p>
    <w:p w:rsidR="00253FFA" w:rsidRPr="00A61BCB" w:rsidP="0090465F" w14:paraId="4224D2F3" w14:textId="77777777">
      <w:pPr>
        <w:pStyle w:val="Header"/>
      </w:pPr>
    </w:p>
    <w:p w:rsidR="00253FFA" w:rsidRPr="00A61BCB" w:rsidP="0090465F" w14:paraId="19BD9DB4" w14:textId="77777777">
      <w:pPr>
        <w:pStyle w:val="Header"/>
      </w:pPr>
      <w:r w:rsidRPr="00A61BCB">
        <w:t>List of Commenters</w:t>
      </w:r>
    </w:p>
    <w:p w:rsidR="00253FFA" w:rsidRPr="00243C17" w:rsidP="0090465F" w14:paraId="1A57CBAC" w14:textId="77777777">
      <w:pPr>
        <w:pStyle w:val="Header"/>
      </w:pPr>
    </w:p>
    <w:p w:rsidR="00A61BCB" w:rsidP="0090465F" w14:paraId="352D51B0" w14:textId="77777777">
      <w:pPr>
        <w:pStyle w:val="Header"/>
      </w:pPr>
      <w:r w:rsidRPr="009E6AC6">
        <w:t>Commenters</w:t>
      </w:r>
      <w:r w:rsidRPr="007739D9" w:rsidR="000449AB">
        <w:tab/>
      </w:r>
      <w:r w:rsidRPr="007739D9" w:rsidR="000449AB">
        <w:tab/>
      </w:r>
      <w:r w:rsidRPr="009E6AC6" w:rsidR="000449AB">
        <w:t>Abbreviation</w:t>
      </w:r>
    </w:p>
    <w:p w:rsidR="00396B37" w:rsidP="0090465F" w14:paraId="26A39C5D" w14:textId="77777777">
      <w:pPr>
        <w:pStyle w:val="Header"/>
        <w:rPr>
          <w:b w:val="0"/>
        </w:rPr>
      </w:pPr>
    </w:p>
    <w:p w:rsidR="00396B37" w:rsidP="00396B37" w14:paraId="6DB263F0" w14:textId="77777777">
      <w:pPr>
        <w:pStyle w:val="Header"/>
        <w:jc w:val="left"/>
        <w:rPr>
          <w:b w:val="0"/>
        </w:rPr>
      </w:pPr>
      <w:r>
        <w:rPr>
          <w:b w:val="0"/>
        </w:rPr>
        <w:t>60 Plus Association</w:t>
      </w:r>
      <w:r>
        <w:rPr>
          <w:b w:val="0"/>
        </w:rPr>
        <w:tab/>
      </w:r>
      <w:r>
        <w:rPr>
          <w:b w:val="0"/>
        </w:rPr>
        <w:tab/>
        <w:t>60 Plus</w:t>
      </w:r>
    </w:p>
    <w:p w:rsidR="00253FFA" w:rsidRPr="00F16D4E" w:rsidP="0090465F" w14:paraId="6FB0EB51" w14:textId="77777777">
      <w:pPr>
        <w:pStyle w:val="Header"/>
        <w:rPr>
          <w:b w:val="0"/>
        </w:rPr>
      </w:pPr>
      <w:r>
        <w:rPr>
          <w:b w:val="0"/>
        </w:rPr>
        <w:t>Bay Area Council</w:t>
      </w:r>
      <w:r w:rsidRPr="00F16D4E">
        <w:rPr>
          <w:b w:val="0"/>
        </w:rPr>
        <w:tab/>
      </w:r>
      <w:r w:rsidRPr="00F16D4E">
        <w:rPr>
          <w:b w:val="0"/>
        </w:rPr>
        <w:tab/>
      </w:r>
      <w:r>
        <w:rPr>
          <w:b w:val="0"/>
        </w:rPr>
        <w:t>Bay Area</w:t>
      </w:r>
    </w:p>
    <w:p w:rsidR="00253FFA" w:rsidRPr="00F16D4E" w:rsidP="0090465F" w14:paraId="71406973" w14:textId="20715C8D">
      <w:pPr>
        <w:pStyle w:val="Header"/>
        <w:rPr>
          <w:b w:val="0"/>
        </w:rPr>
      </w:pPr>
      <w:r>
        <w:rPr>
          <w:b w:val="0"/>
        </w:rPr>
        <w:t xml:space="preserve">Chapman, </w:t>
      </w:r>
      <w:r>
        <w:rPr>
          <w:b w:val="0"/>
        </w:rPr>
        <w:t>Cubine</w:t>
      </w:r>
      <w:r>
        <w:rPr>
          <w:b w:val="0"/>
        </w:rPr>
        <w:t>, and Hussey</w:t>
      </w:r>
      <w:r w:rsidRPr="00F16D4E">
        <w:rPr>
          <w:b w:val="0"/>
        </w:rPr>
        <w:tab/>
        <w:t xml:space="preserve">             </w:t>
      </w:r>
      <w:r w:rsidRPr="00F16D4E" w:rsidR="000449AB">
        <w:rPr>
          <w:b w:val="0"/>
        </w:rPr>
        <w:tab/>
      </w:r>
      <w:r>
        <w:rPr>
          <w:b w:val="0"/>
        </w:rPr>
        <w:t>Chapman</w:t>
      </w:r>
    </w:p>
    <w:p w:rsidR="00F16C60" w:rsidRPr="00F16D4E" w:rsidP="0090465F" w14:paraId="4F1A57B0" w14:textId="77777777">
      <w:pPr>
        <w:pStyle w:val="Header"/>
        <w:rPr>
          <w:b w:val="0"/>
        </w:rPr>
      </w:pPr>
      <w:r>
        <w:rPr>
          <w:b w:val="0"/>
        </w:rPr>
        <w:t>Fearless Mobile Strategies</w:t>
      </w:r>
      <w:r w:rsidRPr="00F16D4E">
        <w:rPr>
          <w:b w:val="0"/>
        </w:rPr>
        <w:tab/>
      </w:r>
      <w:r w:rsidRPr="00F16D4E">
        <w:rPr>
          <w:b w:val="0"/>
        </w:rPr>
        <w:tab/>
      </w:r>
      <w:r>
        <w:rPr>
          <w:b w:val="0"/>
        </w:rPr>
        <w:t>Fearless Mobile</w:t>
      </w:r>
    </w:p>
    <w:p w:rsidR="007739D9" w:rsidRPr="00F16D4E" w:rsidP="0090465F" w14:paraId="40A2DEF8" w14:textId="77777777">
      <w:pPr>
        <w:pStyle w:val="Header"/>
        <w:rPr>
          <w:b w:val="0"/>
        </w:rPr>
      </w:pPr>
      <w:r>
        <w:rPr>
          <w:b w:val="0"/>
        </w:rPr>
        <w:t>National Black Justice Coalition</w:t>
      </w:r>
      <w:r w:rsidRPr="00F16D4E">
        <w:rPr>
          <w:b w:val="0"/>
        </w:rPr>
        <w:tab/>
      </w:r>
      <w:r w:rsidRPr="00F16D4E">
        <w:rPr>
          <w:b w:val="0"/>
        </w:rPr>
        <w:tab/>
      </w:r>
      <w:r>
        <w:rPr>
          <w:b w:val="0"/>
        </w:rPr>
        <w:t>NBJC</w:t>
      </w:r>
    </w:p>
    <w:p w:rsidR="00F16C60" w:rsidRPr="00F16D4E" w:rsidP="0090465F" w14:paraId="43509660" w14:textId="77777777">
      <w:pPr>
        <w:pStyle w:val="Header"/>
        <w:rPr>
          <w:b w:val="0"/>
        </w:rPr>
      </w:pPr>
      <w:r>
        <w:rPr>
          <w:b w:val="0"/>
        </w:rPr>
        <w:t>National Association for the Advancement of Colored People</w:t>
      </w:r>
      <w:r w:rsidRPr="00F16D4E">
        <w:rPr>
          <w:b w:val="0"/>
        </w:rPr>
        <w:tab/>
      </w:r>
      <w:r>
        <w:rPr>
          <w:b w:val="0"/>
        </w:rPr>
        <w:t>NAACP</w:t>
      </w:r>
    </w:p>
    <w:p w:rsidR="00F16C60" w:rsidRPr="00F16D4E" w:rsidP="0090465F" w14:paraId="05A5C941" w14:textId="77777777">
      <w:pPr>
        <w:pStyle w:val="Header"/>
        <w:rPr>
          <w:b w:val="0"/>
        </w:rPr>
      </w:pPr>
      <w:r>
        <w:rPr>
          <w:b w:val="0"/>
        </w:rPr>
        <w:t>National Association for Equal Opportunity in Higher Education</w:t>
      </w:r>
      <w:r w:rsidRPr="00F16D4E">
        <w:rPr>
          <w:b w:val="0"/>
        </w:rPr>
        <w:tab/>
      </w:r>
      <w:r>
        <w:rPr>
          <w:b w:val="0"/>
        </w:rPr>
        <w:t>NAFEO</w:t>
      </w:r>
    </w:p>
    <w:p w:rsidR="00F16C60" w:rsidRPr="00F16D4E" w:rsidP="0090465F" w14:paraId="44267710" w14:textId="77777777">
      <w:pPr>
        <w:pStyle w:val="Header"/>
        <w:rPr>
          <w:b w:val="0"/>
        </w:rPr>
      </w:pPr>
      <w:r>
        <w:rPr>
          <w:b w:val="0"/>
        </w:rPr>
        <w:t>Republican National Committee</w:t>
      </w:r>
      <w:r w:rsidRPr="00F16D4E">
        <w:rPr>
          <w:b w:val="0"/>
        </w:rPr>
        <w:tab/>
      </w:r>
      <w:r w:rsidRPr="00F16D4E">
        <w:rPr>
          <w:b w:val="0"/>
        </w:rPr>
        <w:tab/>
      </w:r>
      <w:r>
        <w:rPr>
          <w:b w:val="0"/>
        </w:rPr>
        <w:t>RNC</w:t>
      </w:r>
    </w:p>
    <w:p w:rsidR="00F16C60" w:rsidRPr="00F16D4E" w:rsidP="0090465F" w14:paraId="12B28059" w14:textId="77777777">
      <w:pPr>
        <w:pStyle w:val="Header"/>
        <w:rPr>
          <w:b w:val="0"/>
        </w:rPr>
      </w:pPr>
      <w:r>
        <w:rPr>
          <w:b w:val="0"/>
        </w:rPr>
        <w:t>Matt Tucker</w:t>
      </w:r>
      <w:r w:rsidRPr="00F16D4E">
        <w:rPr>
          <w:b w:val="0"/>
        </w:rPr>
        <w:tab/>
      </w:r>
      <w:r w:rsidRPr="00F16D4E">
        <w:rPr>
          <w:b w:val="0"/>
        </w:rPr>
        <w:tab/>
      </w:r>
      <w:r>
        <w:rPr>
          <w:b w:val="0"/>
        </w:rPr>
        <w:t>Matt Tucker</w:t>
      </w:r>
    </w:p>
    <w:p w:rsidR="00F16C60" w:rsidRPr="00F16D4E" w:rsidP="0090465F" w14:paraId="64F2A082" w14:textId="77777777">
      <w:pPr>
        <w:pStyle w:val="Header"/>
        <w:rPr>
          <w:b w:val="0"/>
        </w:rPr>
      </w:pPr>
      <w:r>
        <w:rPr>
          <w:b w:val="0"/>
        </w:rPr>
        <w:t>Voice on the Net Coalition</w:t>
      </w:r>
      <w:r w:rsidRPr="00F16D4E">
        <w:rPr>
          <w:b w:val="0"/>
        </w:rPr>
        <w:tab/>
      </w:r>
      <w:r w:rsidRPr="00F16D4E">
        <w:rPr>
          <w:b w:val="0"/>
        </w:rPr>
        <w:tab/>
      </w:r>
      <w:r>
        <w:rPr>
          <w:b w:val="0"/>
        </w:rPr>
        <w:t>Voice on the Net Coalition</w:t>
      </w:r>
    </w:p>
    <w:p w:rsidR="00F16C60" w:rsidRPr="00F16D4E" w:rsidP="0090465F" w14:paraId="4B0494AF" w14:textId="77777777">
      <w:pPr>
        <w:pStyle w:val="Header"/>
        <w:rPr>
          <w:b w:val="0"/>
        </w:rPr>
      </w:pPr>
      <w:r>
        <w:rPr>
          <w:b w:val="0"/>
        </w:rPr>
        <w:t>Vote.org</w:t>
      </w:r>
      <w:r w:rsidRPr="00F16D4E">
        <w:rPr>
          <w:b w:val="0"/>
        </w:rPr>
        <w:tab/>
      </w:r>
      <w:r w:rsidRPr="00F16D4E">
        <w:rPr>
          <w:b w:val="0"/>
        </w:rPr>
        <w:tab/>
      </w:r>
      <w:r>
        <w:rPr>
          <w:b w:val="0"/>
        </w:rPr>
        <w:t>Vote.org</w:t>
      </w:r>
    </w:p>
    <w:bookmarkEnd w:id="0"/>
    <w:bookmarkEnd w:id="2"/>
    <w:p w:rsidR="00253FFA" w:rsidRPr="00F16D4E" w:rsidP="0090465F" w14:paraId="09C8E847" w14:textId="77777777">
      <w:pPr>
        <w:pStyle w:val="Header"/>
        <w:rPr>
          <w:b w:val="0"/>
        </w:rPr>
      </w:pPr>
    </w:p>
    <w:sectPr w:rsidSect="00F4471F">
      <w:headerReference w:type="default" r:id="rId5"/>
      <w:footerReference w:type="default" r:id="rId6"/>
      <w:headerReference w:type="first" r:id="rId7"/>
      <w:pgSz w:w="12240" w:h="15840"/>
      <w:pgMar w:top="1440" w:right="1440" w:bottom="1440" w:left="1440"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A10" w14:paraId="16C9F38D"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E024C7">
      <w:rPr>
        <w:rStyle w:val="PageNumber"/>
        <w:noProof/>
      </w:rPr>
      <w:t>4</w:t>
    </w:r>
    <w:r>
      <w:rPr>
        <w:rStyle w:val="PageNumber"/>
      </w:rPr>
      <w:fldChar w:fldCharType="end"/>
    </w:r>
  </w:p>
  <w:p w:rsidR="00501626" w:rsidP="00A36341" w14:paraId="5C912789"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44AC" w:rsidRPr="00A36341" w14:paraId="33A03FA2" w14:textId="77777777">
      <w:r>
        <w:rPr>
          <w:sz w:val="20"/>
          <w:szCs w:val="20"/>
        </w:rPr>
        <w:separator/>
      </w:r>
    </w:p>
  </w:footnote>
  <w:footnote w:type="continuationSeparator" w:id="1">
    <w:p w:rsidR="000C44AC" w14:paraId="50E6C3EC" w14:textId="77777777">
      <w:pPr>
        <w:rPr>
          <w:sz w:val="20"/>
          <w:szCs w:val="20"/>
        </w:rPr>
      </w:pPr>
      <w:r>
        <w:rPr>
          <w:sz w:val="20"/>
          <w:szCs w:val="20"/>
        </w:rPr>
        <w:separator/>
      </w:r>
    </w:p>
    <w:p w:rsidR="000C44AC" w14:paraId="3FF71D8F" w14:textId="77777777">
      <w:pPr>
        <w:rPr>
          <w:sz w:val="20"/>
          <w:szCs w:val="20"/>
        </w:rPr>
      </w:pPr>
      <w:r>
        <w:rPr>
          <w:sz w:val="20"/>
          <w:szCs w:val="20"/>
        </w:rPr>
        <w:t>(...continued from previous page)</w:t>
      </w:r>
    </w:p>
    <w:p w:rsidR="000C44AC" w:rsidRPr="00A36341" w14:paraId="0635D536" w14:textId="77777777"/>
  </w:footnote>
  <w:footnote w:type="continuationNotice" w:id="2">
    <w:p w:rsidR="000C44AC" w14:paraId="142B0507" w14:textId="77777777">
      <w:pPr>
        <w:jc w:val="right"/>
        <w:rPr>
          <w:sz w:val="20"/>
          <w:szCs w:val="20"/>
        </w:rPr>
      </w:pPr>
    </w:p>
    <w:p w:rsidR="000C44AC" w:rsidRPr="00A36341" w:rsidP="00A36341" w14:paraId="516C9B82" w14:textId="77777777"/>
  </w:footnote>
  <w:footnote w:id="3">
    <w:p w:rsidR="00047085" w:rsidP="00047085" w14:paraId="2DDC2ED7" w14:textId="77777777">
      <w:pPr>
        <w:pStyle w:val="FootnoteText"/>
      </w:pPr>
      <w:r>
        <w:rPr>
          <w:rStyle w:val="FootnoteReference"/>
        </w:rPr>
        <w:footnoteRef/>
      </w:r>
      <w:r>
        <w:t xml:space="preserve"> The Telephone Consumer Protection Act (TCPA) is codified at section 227 of the Communications Act of 1934, as amended.  </w:t>
      </w:r>
      <w:r>
        <w:rPr>
          <w:i/>
        </w:rPr>
        <w:t>See</w:t>
      </w:r>
      <w:r>
        <w:t xml:space="preserve"> 47 U.S.C. § 227.</w:t>
      </w:r>
    </w:p>
  </w:footnote>
  <w:footnote w:id="4">
    <w:p w:rsidR="00047085" w:rsidP="00047085" w14:paraId="72FDB223" w14:textId="11672C14">
      <w:pPr>
        <w:pStyle w:val="FootnoteText"/>
      </w:pPr>
      <w:r>
        <w:rPr>
          <w:rStyle w:val="FootnoteReference"/>
        </w:rPr>
        <w:footnoteRef/>
      </w:r>
      <w:r>
        <w:t xml:space="preserve"> </w:t>
      </w:r>
      <w:r>
        <w:rPr>
          <w:i/>
          <w:iCs/>
        </w:rPr>
        <w:t xml:space="preserve">See </w:t>
      </w:r>
      <w:r w:rsidRPr="00CD2F02">
        <w:t>47 U.S.C. § 227(a)(1</w:t>
      </w:r>
      <w:r>
        <w:t xml:space="preserve">).  The details of the Commission’s interpretation of the </w:t>
      </w:r>
      <w:r>
        <w:t>autodialer</w:t>
      </w:r>
      <w:r>
        <w:t xml:space="preserve"> definition remain pending in the wake of a </w:t>
      </w:r>
      <w:r w:rsidRPr="00BD3B7B">
        <w:t>2018 decision of the U.S. Court of Appeals</w:t>
      </w:r>
      <w:r>
        <w:t xml:space="preserve"> for the D.C. Circuit</w:t>
      </w:r>
      <w:r w:rsidRPr="00BD3B7B">
        <w:t xml:space="preserve"> in </w:t>
      </w:r>
      <w:r w:rsidRPr="00BD3B7B">
        <w:rPr>
          <w:i/>
        </w:rPr>
        <w:t>ACA International v. FCC</w:t>
      </w:r>
      <w:r w:rsidRPr="00BD3B7B">
        <w:t xml:space="preserve">, </w:t>
      </w:r>
      <w:r>
        <w:t xml:space="preserve">that </w:t>
      </w:r>
      <w:r w:rsidRPr="00BD3B7B">
        <w:t xml:space="preserve">vacated parts of the Commission’s </w:t>
      </w:r>
      <w:r w:rsidRPr="00BD3B7B">
        <w:rPr>
          <w:i/>
        </w:rPr>
        <w:t>2015 TCPA Declaratory Ruling and Order</w:t>
      </w:r>
      <w:r>
        <w:t xml:space="preserve">.  </w:t>
      </w:r>
      <w:r w:rsidRPr="005B7A1E">
        <w:rPr>
          <w:i/>
        </w:rPr>
        <w:t>See ACA Int’l et al. v. FCC</w:t>
      </w:r>
      <w:r w:rsidRPr="005B7A1E">
        <w:t>, 885 F.3d 687</w:t>
      </w:r>
      <w:r>
        <w:t>,</w:t>
      </w:r>
      <w:r w:rsidRPr="005B7A1E">
        <w:t xml:space="preserve"> 695-700 (D.C. Cir. 2018) (</w:t>
      </w:r>
      <w:r w:rsidRPr="005B7A1E">
        <w:rPr>
          <w:i/>
        </w:rPr>
        <w:t>ACA Int’l</w:t>
      </w:r>
      <w:r w:rsidRPr="005B7A1E">
        <w:t xml:space="preserve">) (affirming in part and vacating in part </w:t>
      </w:r>
      <w:r w:rsidR="008B0E4C">
        <w:rPr>
          <w:i/>
          <w:iCs/>
        </w:rPr>
        <w:t>Rules and Regulations Implementing the Telephone Consumer Protection Act of 1991</w:t>
      </w:r>
      <w:r w:rsidR="008B0E4C">
        <w:t xml:space="preserve">, CG Docket No. 02-278, WC Docket No. 07-135, Declaratory Ruling and Order, 30 FCC </w:t>
      </w:r>
      <w:r w:rsidR="008B0E4C">
        <w:t>Rcd</w:t>
      </w:r>
      <w:r w:rsidR="008B0E4C">
        <w:t xml:space="preserve"> 7961 (2015) (</w:t>
      </w:r>
      <w:r w:rsidR="008B0E4C">
        <w:rPr>
          <w:i/>
          <w:iCs/>
        </w:rPr>
        <w:t>2015 TCPA Declaratory Ruling and Order</w:t>
      </w:r>
      <w:r w:rsidR="008B0E4C">
        <w:t>)</w:t>
      </w:r>
      <w:r>
        <w:t>).  T</w:t>
      </w:r>
      <w:r w:rsidRPr="00BD3B7B">
        <w:t>he Bureau</w:t>
      </w:r>
      <w:r>
        <w:t xml:space="preserve"> </w:t>
      </w:r>
      <w:r w:rsidRPr="00BD3B7B">
        <w:t>sought renewed comment on the</w:t>
      </w:r>
      <w:r>
        <w:t xml:space="preserve"> definition of an “</w:t>
      </w:r>
      <w:r>
        <w:t>autodialer</w:t>
      </w:r>
      <w:r>
        <w:t xml:space="preserve">.”  </w:t>
      </w:r>
      <w:r w:rsidRPr="00EC611E">
        <w:rPr>
          <w:i/>
          <w:iCs/>
        </w:rPr>
        <w:t>S</w:t>
      </w:r>
      <w:r w:rsidRPr="00BD3B7B">
        <w:rPr>
          <w:i/>
        </w:rPr>
        <w:t xml:space="preserve">ee Consumer and Governmental Affairs Bureau Seeks Comments on Interpretation of the Telephone Consumer Protection Act </w:t>
      </w:r>
      <w:r w:rsidRPr="00BD3B7B">
        <w:rPr>
          <w:i/>
        </w:rPr>
        <w:t>in Light of</w:t>
      </w:r>
      <w:r w:rsidRPr="00BD3B7B">
        <w:rPr>
          <w:i/>
        </w:rPr>
        <w:t xml:space="preserve"> the D.C. Circuit’s ACA </w:t>
      </w:r>
      <w:r w:rsidRPr="00AB0EF3">
        <w:rPr>
          <w:i/>
        </w:rPr>
        <w:t>International Decision</w:t>
      </w:r>
      <w:r w:rsidRPr="00AB0EF3">
        <w:t xml:space="preserve">, CG Docket Nos. 18-152 and 02-278, Public Notice, 33 FCC </w:t>
      </w:r>
      <w:r w:rsidRPr="00AB0EF3">
        <w:t>Rcd</w:t>
      </w:r>
      <w:r w:rsidRPr="00AB0EF3">
        <w:t xml:space="preserve"> 4864 (2018) (</w:t>
      </w:r>
      <w:r w:rsidRPr="00AB0EF3">
        <w:rPr>
          <w:i/>
        </w:rPr>
        <w:t>ACA Public Notice</w:t>
      </w:r>
      <w:r w:rsidRPr="00AB0EF3">
        <w:t xml:space="preserve">).  Until that issue is decided by the Commission, we rely on the statutory definition of </w:t>
      </w:r>
      <w:r w:rsidRPr="00AB0EF3">
        <w:t>autodialer</w:t>
      </w:r>
      <w:r w:rsidRPr="00AB0EF3">
        <w:t>.</w:t>
      </w:r>
    </w:p>
  </w:footnote>
  <w:footnote w:id="5">
    <w:p w:rsidR="00047085" w:rsidP="00047085" w14:paraId="09A7E639" w14:textId="77777777">
      <w:pPr>
        <w:pStyle w:val="FootnoteText"/>
      </w:pPr>
      <w:r>
        <w:rPr>
          <w:rStyle w:val="FootnoteReference"/>
        </w:rPr>
        <w:footnoteRef/>
      </w:r>
      <w:r>
        <w:t xml:space="preserve"> </w:t>
      </w:r>
      <w:r>
        <w:rPr>
          <w:i/>
          <w:iCs/>
        </w:rPr>
        <w:t xml:space="preserve">See </w:t>
      </w:r>
      <w:r w:rsidRPr="008A4359">
        <w:rPr>
          <w:i/>
          <w:iCs/>
        </w:rPr>
        <w:t>Petition for Clarification of the P2P Alliance</w:t>
      </w:r>
      <w:r w:rsidRPr="008A4359">
        <w:t xml:space="preserve">, CG Docket No. 02-278 </w:t>
      </w:r>
      <w:r>
        <w:t xml:space="preserve">at 1 </w:t>
      </w:r>
      <w:r w:rsidRPr="008A4359">
        <w:t>(filed May 3, 2018) (</w:t>
      </w:r>
      <w:r w:rsidRPr="008A4359">
        <w:rPr>
          <w:i/>
          <w:iCs/>
        </w:rPr>
        <w:t>P2P Alliance Petition</w:t>
      </w:r>
      <w:r w:rsidRPr="008A4359">
        <w:t>).</w:t>
      </w:r>
      <w:r>
        <w:rPr>
          <w:i/>
          <w:iCs/>
        </w:rPr>
        <w:t xml:space="preserve"> </w:t>
      </w:r>
    </w:p>
  </w:footnote>
  <w:footnote w:id="6">
    <w:p w:rsidR="00AB2E91" w:rsidP="00AB2E91" w14:paraId="634279CE" w14:textId="1607E9CA">
      <w:pPr>
        <w:pStyle w:val="FootnoteText"/>
      </w:pPr>
      <w:r>
        <w:rPr>
          <w:rStyle w:val="FootnoteReference"/>
        </w:rPr>
        <w:footnoteRef/>
      </w:r>
      <w:r>
        <w:t xml:space="preserve"> </w:t>
      </w:r>
      <w:r>
        <w:rPr>
          <w:i/>
          <w:iCs/>
        </w:rPr>
        <w:t>See</w:t>
      </w:r>
      <w:r>
        <w:t xml:space="preserve"> Letter from Howard </w:t>
      </w:r>
      <w:r>
        <w:t>Waltzman</w:t>
      </w:r>
      <w:r>
        <w:t>, Counsel to the P2P Alliance, to Marlene Dortch, Secretary, FCC, CG Docket No. 02-278 (filed July 30, 2019) (</w:t>
      </w:r>
      <w:r>
        <w:rPr>
          <w:i/>
        </w:rPr>
        <w:t xml:space="preserve">P2P Alliance </w:t>
      </w:r>
      <w:r>
        <w:rPr>
          <w:i/>
          <w:iCs/>
        </w:rPr>
        <w:t xml:space="preserve">Ex </w:t>
      </w:r>
      <w:r>
        <w:rPr>
          <w:i/>
          <w:iCs/>
        </w:rPr>
        <w:t>Parte</w:t>
      </w:r>
      <w:r>
        <w:t>).</w:t>
      </w:r>
    </w:p>
  </w:footnote>
  <w:footnote w:id="7">
    <w:p w:rsidR="0055679E" w:rsidP="00E37622" w14:paraId="78FC9D6C" w14:textId="1D0E6C96">
      <w:pPr>
        <w:pStyle w:val="FootnoteText"/>
      </w:pPr>
      <w:r>
        <w:rPr>
          <w:rStyle w:val="FootnoteReference"/>
        </w:rPr>
        <w:footnoteRef/>
      </w:r>
      <w:r>
        <w:rPr>
          <w:i/>
        </w:rPr>
        <w:t xml:space="preserve"> See </w:t>
      </w:r>
      <w:r w:rsidR="00151452">
        <w:t>47 U.S.C.</w:t>
      </w:r>
      <w:r w:rsidRPr="00A36341">
        <w:rPr>
          <w:i/>
        </w:rPr>
        <w:t xml:space="preserve"> </w:t>
      </w:r>
      <w:r w:rsidRPr="00CD494F">
        <w:t>§ 227(b)(1)</w:t>
      </w:r>
      <w:r>
        <w:t>.  Section 227(b)(1) also exempts from this restriction calls made</w:t>
      </w:r>
      <w:r w:rsidRPr="005F1027">
        <w:t xml:space="preserve"> solely to collect a debt owed to or guaranteed by the federal government.</w:t>
      </w:r>
    </w:p>
  </w:footnote>
  <w:footnote w:id="8">
    <w:p w:rsidR="0055679E" w:rsidP="002311BE" w14:paraId="0E3031C5" w14:textId="21EBC82F">
      <w:pPr>
        <w:pStyle w:val="FootnoteText"/>
      </w:pPr>
      <w:r>
        <w:rPr>
          <w:rStyle w:val="FootnoteReference"/>
        </w:rPr>
        <w:footnoteRef/>
      </w:r>
      <w:r>
        <w:t xml:space="preserve"> </w:t>
      </w:r>
      <w:r>
        <w:rPr>
          <w:i/>
          <w:iCs/>
        </w:rPr>
        <w:t xml:space="preserve">See </w:t>
      </w:r>
      <w:r w:rsidRPr="00CD2F02">
        <w:t>47 U.S.C. § 227(a)(1</w:t>
      </w:r>
      <w:r>
        <w:t xml:space="preserve">).  </w:t>
      </w:r>
    </w:p>
  </w:footnote>
  <w:footnote w:id="9">
    <w:p w:rsidR="0055679E" w:rsidP="00E37622" w14:paraId="69F21E04" w14:textId="77777777">
      <w:pPr>
        <w:pStyle w:val="FootnoteText"/>
      </w:pPr>
      <w:r>
        <w:rPr>
          <w:rStyle w:val="FootnoteReference"/>
        </w:rPr>
        <w:footnoteRef/>
      </w:r>
      <w:r>
        <w:t xml:space="preserve"> </w:t>
      </w:r>
      <w:r>
        <w:rPr>
          <w:i/>
          <w:iCs/>
        </w:rPr>
        <w:t>See Rules and Regulations Implementing the Telephone Consumer Protection Act of 1991</w:t>
      </w:r>
      <w:r w:rsidRPr="00840770">
        <w:t>,</w:t>
      </w:r>
      <w:r>
        <w:rPr>
          <w:i/>
          <w:iCs/>
        </w:rPr>
        <w:t xml:space="preserve"> </w:t>
      </w:r>
      <w:r>
        <w:t xml:space="preserve">CG Docket No. 02-278, </w:t>
      </w:r>
      <w:r w:rsidRPr="00002459">
        <w:t>Report and Order</w:t>
      </w:r>
      <w:r>
        <w:t xml:space="preserve">, 18 FCC </w:t>
      </w:r>
      <w:r>
        <w:t>Rcd</w:t>
      </w:r>
      <w:r>
        <w:t xml:space="preserve"> 14014, 14115, para. 165 (2003) (</w:t>
      </w:r>
      <w:r w:rsidRPr="00002459">
        <w:rPr>
          <w:i/>
          <w:iCs/>
        </w:rPr>
        <w:t>2003 TCPA Order</w:t>
      </w:r>
      <w:r>
        <w:t xml:space="preserve">); </w:t>
      </w:r>
      <w:r>
        <w:rPr>
          <w:i/>
          <w:iCs/>
        </w:rPr>
        <w:t xml:space="preserve">see also </w:t>
      </w:r>
      <w:r w:rsidRPr="008627FE">
        <w:rPr>
          <w:i/>
          <w:iCs/>
        </w:rPr>
        <w:t>Satterfield</w:t>
      </w:r>
      <w:r>
        <w:rPr>
          <w:i/>
          <w:iCs/>
        </w:rPr>
        <w:t xml:space="preserve"> v. Simon &amp; Schuster, Inc.</w:t>
      </w:r>
      <w:r>
        <w:t>, 569 F.3d 946 (9</w:t>
      </w:r>
      <w:r w:rsidRPr="00840770">
        <w:t>th</w:t>
      </w:r>
      <w:r>
        <w:t xml:space="preserve"> Cir. 2009) (noting that text messaging is a form of communication used primarily between telephones and is therefore consistent with the definition of a “call”).</w:t>
      </w:r>
    </w:p>
  </w:footnote>
  <w:footnote w:id="10">
    <w:p w:rsidR="00AB2E91" w:rsidRPr="003612A8" w:rsidP="00AB2E91" w14:paraId="64FB46EA" w14:textId="4B4F8E79">
      <w:pPr>
        <w:pStyle w:val="FootnoteText"/>
      </w:pPr>
      <w:r>
        <w:rPr>
          <w:rStyle w:val="FootnoteReference"/>
        </w:rPr>
        <w:footnoteRef/>
      </w:r>
      <w:r>
        <w:t xml:space="preserve"> FCC Enforcement Advisory No. 2016-03, DA 16-264 (Mar. 14, 2016) (</w:t>
      </w:r>
      <w:r>
        <w:rPr>
          <w:i/>
        </w:rPr>
        <w:t>2016 Enforcement Advisory and FAQ</w:t>
      </w:r>
      <w:r>
        <w:t>).</w:t>
      </w:r>
    </w:p>
  </w:footnote>
  <w:footnote w:id="11">
    <w:p w:rsidR="00AB2E91" w:rsidRPr="003612A8" w:rsidP="00AB2E91" w14:paraId="16DC6A15" w14:textId="714F35A1">
      <w:pPr>
        <w:pStyle w:val="FootnoteText"/>
      </w:pPr>
      <w:r>
        <w:rPr>
          <w:rStyle w:val="FootnoteReference"/>
        </w:rPr>
        <w:footnoteRef/>
      </w:r>
      <w:r>
        <w:t xml:space="preserve"> </w:t>
      </w:r>
      <w:r>
        <w:rPr>
          <w:i/>
        </w:rPr>
        <w:t>Id.</w:t>
      </w:r>
    </w:p>
  </w:footnote>
  <w:footnote w:id="12">
    <w:p w:rsidR="0055679E" w14:paraId="08767C4A" w14:textId="06C94692">
      <w:pPr>
        <w:pStyle w:val="FootnoteText"/>
      </w:pPr>
      <w:r>
        <w:rPr>
          <w:rStyle w:val="FootnoteReference"/>
        </w:rPr>
        <w:footnoteRef/>
      </w:r>
      <w:r>
        <w:t xml:space="preserve"> </w:t>
      </w:r>
      <w:r>
        <w:rPr>
          <w:i/>
          <w:iCs/>
        </w:rPr>
        <w:t>See generally P2P Alliance Petition</w:t>
      </w:r>
      <w:r>
        <w:t>.</w:t>
      </w:r>
    </w:p>
  </w:footnote>
  <w:footnote w:id="13">
    <w:p w:rsidR="0055679E" w14:paraId="448AC786" w14:textId="77777777">
      <w:pPr>
        <w:pStyle w:val="FootnoteText"/>
      </w:pPr>
      <w:r>
        <w:rPr>
          <w:rStyle w:val="FootnoteReference"/>
        </w:rPr>
        <w:footnoteRef/>
      </w:r>
      <w:r>
        <w:t xml:space="preserve"> </w:t>
      </w:r>
      <w:r>
        <w:rPr>
          <w:i/>
          <w:iCs/>
        </w:rPr>
        <w:t xml:space="preserve">Id. </w:t>
      </w:r>
      <w:r>
        <w:t xml:space="preserve">at 4.  </w:t>
      </w:r>
    </w:p>
  </w:footnote>
  <w:footnote w:id="14">
    <w:p w:rsidR="0055679E" w14:paraId="1B1532B4" w14:textId="77777777">
      <w:pPr>
        <w:pStyle w:val="FootnoteText"/>
      </w:pPr>
      <w:r>
        <w:rPr>
          <w:rStyle w:val="FootnoteReference"/>
        </w:rPr>
        <w:footnoteRef/>
      </w:r>
      <w:r>
        <w:t xml:space="preserve"> </w:t>
      </w:r>
      <w:r>
        <w:rPr>
          <w:i/>
          <w:iCs/>
        </w:rPr>
        <w:t xml:space="preserve">Id. </w:t>
      </w:r>
    </w:p>
  </w:footnote>
  <w:footnote w:id="15">
    <w:p w:rsidR="0055679E" w14:paraId="1746E0C2" w14:textId="77777777">
      <w:pPr>
        <w:pStyle w:val="FootnoteText"/>
      </w:pPr>
      <w:r>
        <w:rPr>
          <w:rStyle w:val="FootnoteReference"/>
        </w:rPr>
        <w:footnoteRef/>
      </w:r>
      <w:r>
        <w:t xml:space="preserve"> </w:t>
      </w:r>
      <w:r>
        <w:rPr>
          <w:i/>
          <w:iCs/>
        </w:rPr>
        <w:t xml:space="preserve">Id. </w:t>
      </w:r>
      <w:r>
        <w:t>at 2.</w:t>
      </w:r>
    </w:p>
  </w:footnote>
  <w:footnote w:id="16">
    <w:p w:rsidR="0055679E" w14:paraId="15294341" w14:textId="77777777">
      <w:pPr>
        <w:pStyle w:val="FootnoteText"/>
      </w:pPr>
      <w:r>
        <w:rPr>
          <w:rStyle w:val="FootnoteReference"/>
        </w:rPr>
        <w:footnoteRef/>
      </w:r>
      <w:r>
        <w:t xml:space="preserve"> </w:t>
      </w:r>
      <w:r w:rsidRPr="00036D78">
        <w:rPr>
          <w:i/>
          <w:iCs/>
        </w:rPr>
        <w:t>Id</w:t>
      </w:r>
      <w:r>
        <w:t>. at 3.</w:t>
      </w:r>
    </w:p>
  </w:footnote>
  <w:footnote w:id="17">
    <w:p w:rsidR="0055679E" w14:paraId="6B05C0BE" w14:textId="77777777">
      <w:pPr>
        <w:pStyle w:val="FootnoteText"/>
      </w:pPr>
      <w:r>
        <w:rPr>
          <w:rStyle w:val="FootnoteReference"/>
        </w:rPr>
        <w:footnoteRef/>
      </w:r>
      <w:r>
        <w:t xml:space="preserve"> </w:t>
      </w:r>
      <w:r>
        <w:rPr>
          <w:i/>
          <w:iCs/>
        </w:rPr>
        <w:t>Id</w:t>
      </w:r>
      <w:r>
        <w:t>. at 5-6 (“P2P text messaging pertaining to non-political purposes are sent only after a prior relationship or prior consent exists.”).</w:t>
      </w:r>
    </w:p>
  </w:footnote>
  <w:footnote w:id="18">
    <w:p w:rsidR="0055679E" w14:paraId="56C038B3" w14:textId="77777777">
      <w:pPr>
        <w:pStyle w:val="FootnoteText"/>
      </w:pPr>
      <w:r>
        <w:rPr>
          <w:rStyle w:val="FootnoteReference"/>
        </w:rPr>
        <w:footnoteRef/>
      </w:r>
      <w:r>
        <w:t xml:space="preserve"> </w:t>
      </w:r>
      <w:r>
        <w:rPr>
          <w:i/>
          <w:iCs/>
        </w:rPr>
        <w:t>See</w:t>
      </w:r>
      <w:r>
        <w:t xml:space="preserve"> </w:t>
      </w:r>
      <w:r w:rsidRPr="00C91C78">
        <w:rPr>
          <w:i/>
          <w:iCs/>
        </w:rPr>
        <w:t xml:space="preserve">Consumer and Governmental Affairs Bureau Seeks Comment on </w:t>
      </w:r>
      <w:r>
        <w:rPr>
          <w:i/>
          <w:iCs/>
        </w:rPr>
        <w:t>P2P Alliance Petition for Clarification Under the Telephone Consumer Protection Act of 1991</w:t>
      </w:r>
      <w:r>
        <w:t xml:space="preserve">, CG Docket No. 02-278, Public Notice, </w:t>
      </w:r>
      <w:r>
        <w:rPr>
          <w:rStyle w:val="documentbody"/>
        </w:rPr>
        <w:t xml:space="preserve">33 FCC </w:t>
      </w:r>
      <w:r>
        <w:rPr>
          <w:rStyle w:val="documentbody"/>
        </w:rPr>
        <w:t>Rcd</w:t>
      </w:r>
      <w:r>
        <w:rPr>
          <w:rStyle w:val="documentbody"/>
        </w:rPr>
        <w:t xml:space="preserve"> 5037</w:t>
      </w:r>
      <w:r>
        <w:t xml:space="preserve"> (2018</w:t>
      </w:r>
      <w:r w:rsidRPr="007A469E">
        <w:t>).</w:t>
      </w:r>
      <w:r>
        <w:t xml:space="preserve">  </w:t>
      </w:r>
    </w:p>
  </w:footnote>
  <w:footnote w:id="19">
    <w:p w:rsidR="0055679E" w14:paraId="274C18A6" w14:textId="677269DA">
      <w:pPr>
        <w:pStyle w:val="FootnoteText"/>
      </w:pPr>
      <w:r>
        <w:rPr>
          <w:rStyle w:val="FootnoteReference"/>
        </w:rPr>
        <w:footnoteRef/>
      </w:r>
      <w:r>
        <w:t xml:space="preserve"> </w:t>
      </w:r>
      <w:r>
        <w:rPr>
          <w:i/>
          <w:iCs/>
        </w:rPr>
        <w:t>See</w:t>
      </w:r>
      <w:r w:rsidRPr="00A36341">
        <w:rPr>
          <w:i/>
        </w:rPr>
        <w:t>,</w:t>
      </w:r>
      <w:r>
        <w:rPr>
          <w:i/>
          <w:iCs/>
        </w:rPr>
        <w:t xml:space="preserve"> </w:t>
      </w:r>
      <w:r w:rsidR="00F06816">
        <w:rPr>
          <w:i/>
          <w:iCs/>
        </w:rPr>
        <w:t>e.g.</w:t>
      </w:r>
      <w:r w:rsidR="00F06816">
        <w:t>,</w:t>
      </w:r>
      <w:r>
        <w:t xml:space="preserve"> NAACP Comments</w:t>
      </w:r>
      <w:r w:rsidR="00F06816">
        <w:t xml:space="preserve"> at</w:t>
      </w:r>
      <w:r w:rsidR="00B52751">
        <w:t xml:space="preserve"> </w:t>
      </w:r>
      <w:r w:rsidR="00372E36">
        <w:t>1-</w:t>
      </w:r>
      <w:r w:rsidR="00B52751">
        <w:t>2; NAFEO Comments at 1; NBJC Comments at 1; Vote.org Comments at 2</w:t>
      </w:r>
      <w:r>
        <w:t>.</w:t>
      </w:r>
    </w:p>
  </w:footnote>
  <w:footnote w:id="20">
    <w:p w:rsidR="0055679E" w14:paraId="2D5A682E" w14:textId="77777777">
      <w:pPr>
        <w:pStyle w:val="FootnoteText"/>
      </w:pPr>
      <w:r>
        <w:rPr>
          <w:rStyle w:val="FootnoteReference"/>
        </w:rPr>
        <w:footnoteRef/>
      </w:r>
      <w:r>
        <w:t xml:space="preserve"> </w:t>
      </w:r>
      <w:r>
        <w:rPr>
          <w:i/>
          <w:iCs/>
        </w:rPr>
        <w:t xml:space="preserve">See </w:t>
      </w:r>
      <w:r>
        <w:t>Matt Tucker Comments.</w:t>
      </w:r>
    </w:p>
  </w:footnote>
  <w:footnote w:id="21">
    <w:p w:rsidR="0055679E" w14:paraId="005B7851" w14:textId="6F24A246">
      <w:pPr>
        <w:pStyle w:val="FootnoteText"/>
      </w:pPr>
      <w:r>
        <w:rPr>
          <w:rStyle w:val="FootnoteReference"/>
        </w:rPr>
        <w:footnoteRef/>
      </w:r>
      <w:r>
        <w:t xml:space="preserve"> </w:t>
      </w:r>
      <w:bookmarkStart w:id="6" w:name="_Hlk43385977"/>
      <w:r>
        <w:rPr>
          <w:i/>
          <w:iCs/>
        </w:rPr>
        <w:t>See</w:t>
      </w:r>
      <w:r>
        <w:t xml:space="preserve"> Letter from Margot Saunders, Senior Counsel, National Consumer Law Center</w:t>
      </w:r>
      <w:r w:rsidR="00D774EE">
        <w:t xml:space="preserve"> et al.</w:t>
      </w:r>
      <w:r>
        <w:t>, to Marlene Dortch, Secretary, FCC, CG Docket No. 02-278 (filed July 1</w:t>
      </w:r>
      <w:r w:rsidR="0010357D">
        <w:t>2</w:t>
      </w:r>
      <w:r>
        <w:t>, 2019) (NCLC</w:t>
      </w:r>
      <w:r w:rsidR="00B73DB3">
        <w:t xml:space="preserve"> et al.</w:t>
      </w:r>
      <w:r>
        <w:t xml:space="preserve"> </w:t>
      </w:r>
      <w:r>
        <w:rPr>
          <w:i/>
          <w:iCs/>
        </w:rPr>
        <w:t xml:space="preserve">Ex </w:t>
      </w:r>
      <w:r>
        <w:rPr>
          <w:i/>
          <w:iCs/>
        </w:rPr>
        <w:t>Parte</w:t>
      </w:r>
      <w:r>
        <w:t>).</w:t>
      </w:r>
      <w:bookmarkEnd w:id="6"/>
    </w:p>
  </w:footnote>
  <w:footnote w:id="22">
    <w:p w:rsidR="0055679E" w:rsidP="00C96623" w14:paraId="4AACD3DB" w14:textId="77777777">
      <w:pPr>
        <w:pStyle w:val="FootnoteText"/>
      </w:pPr>
      <w:r>
        <w:rPr>
          <w:rStyle w:val="FootnoteReference"/>
        </w:rPr>
        <w:footnoteRef/>
      </w:r>
      <w:r>
        <w:t xml:space="preserve"> 47 U.S.C. § 227(b)(1).</w:t>
      </w:r>
    </w:p>
  </w:footnote>
  <w:footnote w:id="23">
    <w:p w:rsidR="0055679E" w14:paraId="63484B81" w14:textId="77777777">
      <w:pPr>
        <w:pStyle w:val="FootnoteText"/>
      </w:pPr>
      <w:r>
        <w:rPr>
          <w:rStyle w:val="FootnoteReference"/>
        </w:rPr>
        <w:footnoteRef/>
      </w:r>
      <w:r>
        <w:t xml:space="preserve"> </w:t>
      </w:r>
      <w:r w:rsidRPr="00B23EE9" w:rsidR="00E11594">
        <w:rPr>
          <w:i/>
        </w:rPr>
        <w:t>Telephone Consumer Protection Act of 1991</w:t>
      </w:r>
      <w:r w:rsidRPr="00B23EE9" w:rsidR="00E11594">
        <w:t xml:space="preserve">, CC Docket No. 92-90, Report and Order, 7 FCC </w:t>
      </w:r>
      <w:r w:rsidRPr="00B23EE9" w:rsidR="00E11594">
        <w:t>Rcd</w:t>
      </w:r>
      <w:r w:rsidRPr="00B23EE9" w:rsidR="00E11594">
        <w:t xml:space="preserve"> 8752, 87</w:t>
      </w:r>
      <w:r w:rsidR="00E11594">
        <w:t>76</w:t>
      </w:r>
      <w:r w:rsidRPr="00B23EE9" w:rsidR="00E11594">
        <w:t xml:space="preserve">, </w:t>
      </w:r>
      <w:r w:rsidRPr="002A3666" w:rsidR="00E11594">
        <w:rPr>
          <w:color w:val="000000"/>
        </w:rPr>
        <w:t xml:space="preserve">para. </w:t>
      </w:r>
      <w:r w:rsidR="00E11594">
        <w:rPr>
          <w:color w:val="000000"/>
        </w:rPr>
        <w:t>47</w:t>
      </w:r>
      <w:r w:rsidRPr="002A3666" w:rsidR="00E11594">
        <w:rPr>
          <w:color w:val="000000"/>
        </w:rPr>
        <w:t xml:space="preserve"> (1992) (</w:t>
      </w:r>
      <w:r w:rsidRPr="002A3666" w:rsidR="00E11594">
        <w:rPr>
          <w:i/>
          <w:color w:val="000000"/>
        </w:rPr>
        <w:t>1992 TCPA Order</w:t>
      </w:r>
      <w:r w:rsidRPr="002A3666" w:rsidR="00E11594">
        <w:rPr>
          <w:color w:val="000000"/>
        </w:rPr>
        <w:t xml:space="preserve">).  </w:t>
      </w:r>
    </w:p>
  </w:footnote>
  <w:footnote w:id="24">
    <w:p w:rsidR="0055679E" w14:paraId="6785709F" w14:textId="77777777">
      <w:pPr>
        <w:pStyle w:val="FootnoteText"/>
      </w:pPr>
      <w:r>
        <w:rPr>
          <w:rStyle w:val="FootnoteReference"/>
        </w:rPr>
        <w:footnoteRef/>
      </w:r>
      <w:r>
        <w:t xml:space="preserve"> </w:t>
      </w:r>
      <w:r w:rsidRPr="00E11594" w:rsidR="00E11594">
        <w:rPr>
          <w:i/>
          <w:iCs/>
        </w:rPr>
        <w:t xml:space="preserve">See </w:t>
      </w:r>
      <w:r w:rsidRPr="00E11594">
        <w:rPr>
          <w:i/>
          <w:iCs/>
        </w:rPr>
        <w:t>2003 TCPA Order</w:t>
      </w:r>
      <w:r w:rsidRPr="00E11594" w:rsidR="00E11594">
        <w:t xml:space="preserve">, 18 FCC </w:t>
      </w:r>
      <w:r w:rsidRPr="00E11594" w:rsidR="00E11594">
        <w:t>Rcd</w:t>
      </w:r>
      <w:r w:rsidRPr="00E11594" w:rsidR="00E11594">
        <w:t xml:space="preserve"> </w:t>
      </w:r>
      <w:r w:rsidR="00E11594">
        <w:t>at</w:t>
      </w:r>
      <w:r w:rsidRPr="00E11594" w:rsidR="00E11594">
        <w:t xml:space="preserve"> </w:t>
      </w:r>
      <w:r w:rsidR="00E11594">
        <w:t>14092,</w:t>
      </w:r>
      <w:r w:rsidRPr="00E11594">
        <w:t xml:space="preserve"> para. 13</w:t>
      </w:r>
      <w:r w:rsidRPr="00E11594" w:rsidR="00A53DB5">
        <w:t>2</w:t>
      </w:r>
      <w:r w:rsidRPr="00E11594">
        <w:t>.</w:t>
      </w:r>
    </w:p>
  </w:footnote>
  <w:footnote w:id="25">
    <w:p w:rsidR="00E459AF" w:rsidRPr="000E2569" w:rsidP="00E459AF" w14:paraId="2FC40584" w14:textId="77777777">
      <w:pPr>
        <w:pStyle w:val="FootnoteText"/>
      </w:pPr>
      <w:r>
        <w:rPr>
          <w:rStyle w:val="FootnoteReference"/>
        </w:rPr>
        <w:footnoteRef/>
      </w:r>
      <w:r>
        <w:t xml:space="preserve"> </w:t>
      </w:r>
      <w:r>
        <w:rPr>
          <w:i/>
        </w:rPr>
        <w:t>2016 Enforcement Advisory and FAQ</w:t>
      </w:r>
      <w:r>
        <w:t>.</w:t>
      </w:r>
    </w:p>
  </w:footnote>
  <w:footnote w:id="26">
    <w:p w:rsidR="0055679E" w14:paraId="053E7F06" w14:textId="77777777">
      <w:pPr>
        <w:pStyle w:val="FootnoteText"/>
      </w:pPr>
      <w:r>
        <w:rPr>
          <w:rStyle w:val="FootnoteReference"/>
        </w:rPr>
        <w:footnoteRef/>
      </w:r>
      <w:r>
        <w:t xml:space="preserve"> </w:t>
      </w:r>
      <w:r>
        <w:rPr>
          <w:i/>
          <w:iCs/>
        </w:rPr>
        <w:t>See P2P Alliance Petition</w:t>
      </w:r>
      <w:r>
        <w:t xml:space="preserve"> at 3.  </w:t>
      </w:r>
    </w:p>
  </w:footnote>
  <w:footnote w:id="27">
    <w:p w:rsidR="0055679E" w14:paraId="499BB4F0" w14:textId="77777777">
      <w:pPr>
        <w:pStyle w:val="FootnoteText"/>
      </w:pPr>
      <w:r>
        <w:rPr>
          <w:rStyle w:val="FootnoteReference"/>
        </w:rPr>
        <w:footnoteRef/>
      </w:r>
      <w:r>
        <w:t xml:space="preserve"> </w:t>
      </w:r>
      <w:r>
        <w:rPr>
          <w:i/>
          <w:iCs/>
        </w:rPr>
        <w:t>Id.</w:t>
      </w:r>
      <w:r>
        <w:t xml:space="preserve"> at 1-2.</w:t>
      </w:r>
    </w:p>
  </w:footnote>
  <w:footnote w:id="28">
    <w:p w:rsidR="0055679E" w14:paraId="75793805" w14:textId="77777777">
      <w:pPr>
        <w:pStyle w:val="FootnoteText"/>
      </w:pPr>
      <w:r>
        <w:rPr>
          <w:rStyle w:val="FootnoteReference"/>
        </w:rPr>
        <w:footnoteRef/>
      </w:r>
      <w:r>
        <w:t xml:space="preserve"> </w:t>
      </w:r>
      <w:r w:rsidRPr="00036D78">
        <w:rPr>
          <w:i/>
          <w:iCs/>
        </w:rPr>
        <w:t>Id</w:t>
      </w:r>
      <w:r>
        <w:t xml:space="preserve">. </w:t>
      </w:r>
      <w:r w:rsidR="007D4653">
        <w:t>(</w:t>
      </w:r>
      <w:r>
        <w:t>citing 47 U.S.C. § 227(b)(1)(A)</w:t>
      </w:r>
      <w:r w:rsidR="007D4653">
        <w:t>);</w:t>
      </w:r>
      <w:r>
        <w:t xml:space="preserve"> </w:t>
      </w:r>
      <w:r w:rsidR="007D4653">
        <w:rPr>
          <w:i/>
          <w:iCs/>
        </w:rPr>
        <w:t>s</w:t>
      </w:r>
      <w:r w:rsidRPr="001F6433">
        <w:rPr>
          <w:i/>
          <w:iCs/>
        </w:rPr>
        <w:t>ee also</w:t>
      </w:r>
      <w:r>
        <w:t xml:space="preserve"> RNC Comments at 6; BAC Comments at 1; NBJC Comments at 1, Vote.org Comments at 2, Chapman Comments at 1, Fearless Comments at 1, 60 Plus Comments at 2, NAFEO Comments at 1, NAACP Comments at 2.</w:t>
      </w:r>
    </w:p>
  </w:footnote>
  <w:footnote w:id="29">
    <w:p w:rsidR="0055679E" w14:paraId="5FB00496" w14:textId="6E860D6D">
      <w:pPr>
        <w:pStyle w:val="FootnoteText"/>
      </w:pPr>
      <w:r>
        <w:rPr>
          <w:rStyle w:val="FootnoteReference"/>
        </w:rPr>
        <w:footnoteRef/>
      </w:r>
      <w:r>
        <w:t xml:space="preserve"> </w:t>
      </w:r>
      <w:r w:rsidRPr="00F45D23" w:rsidR="00F45D23">
        <w:t xml:space="preserve">NCLC </w:t>
      </w:r>
      <w:r w:rsidR="003A026A">
        <w:t xml:space="preserve">et al. </w:t>
      </w:r>
      <w:r w:rsidRPr="00F45D23" w:rsidR="00F45D23">
        <w:rPr>
          <w:i/>
          <w:iCs/>
        </w:rPr>
        <w:t xml:space="preserve">Ex </w:t>
      </w:r>
      <w:r w:rsidRPr="00F45D23" w:rsidR="00F45D23">
        <w:rPr>
          <w:i/>
          <w:iCs/>
        </w:rPr>
        <w:t>Parte</w:t>
      </w:r>
      <w:r>
        <w:t xml:space="preserve"> at 2.</w:t>
      </w:r>
    </w:p>
  </w:footnote>
  <w:footnote w:id="30">
    <w:p w:rsidR="0055679E" w:rsidP="00A75DE6" w14:paraId="7EACE51A" w14:textId="16DF6791">
      <w:pPr>
        <w:pStyle w:val="FootnoteText"/>
      </w:pPr>
      <w:r>
        <w:rPr>
          <w:rStyle w:val="FootnoteReference"/>
        </w:rPr>
        <w:footnoteRef/>
      </w:r>
      <w:r>
        <w:t xml:space="preserve"> </w:t>
      </w:r>
      <w:r>
        <w:rPr>
          <w:i/>
          <w:iCs/>
        </w:rPr>
        <w:t xml:space="preserve">See </w:t>
      </w:r>
      <w:r>
        <w:t xml:space="preserve">47 U.S.C. </w:t>
      </w:r>
      <w:r w:rsidRPr="00F8213A">
        <w:t>§ 227</w:t>
      </w:r>
      <w:r>
        <w:t xml:space="preserve">(b)(1); 47 CFR </w:t>
      </w:r>
      <w:r w:rsidRPr="005A6817">
        <w:t>§</w:t>
      </w:r>
      <w:r w:rsidR="00E024C7">
        <w:t xml:space="preserve"> </w:t>
      </w:r>
      <w:r>
        <w:t>64.1200(a).</w:t>
      </w:r>
    </w:p>
  </w:footnote>
  <w:footnote w:id="31">
    <w:p w:rsidR="0055679E" w:rsidP="002E4F63" w14:paraId="49DE04E4" w14:textId="77777777">
      <w:pPr>
        <w:pStyle w:val="FootnoteText"/>
      </w:pPr>
      <w:r>
        <w:rPr>
          <w:rStyle w:val="FootnoteReference"/>
        </w:rPr>
        <w:footnoteRef/>
      </w:r>
      <w:r>
        <w:t xml:space="preserve"> </w:t>
      </w:r>
      <w:r>
        <w:rPr>
          <w:i/>
          <w:iCs/>
        </w:rPr>
        <w:t>See P2P Alliance Petition</w:t>
      </w:r>
      <w:r>
        <w:t xml:space="preserve"> at 5-6</w:t>
      </w:r>
      <w:r w:rsidR="00E00AC7">
        <w:t>;</w:t>
      </w:r>
      <w:r>
        <w:t xml:space="preserve"> </w:t>
      </w:r>
      <w:r w:rsidRPr="004B606D" w:rsidR="00E00AC7">
        <w:rPr>
          <w:i/>
        </w:rPr>
        <w:t>s</w:t>
      </w:r>
      <w:r w:rsidRPr="004B606D">
        <w:rPr>
          <w:i/>
        </w:rPr>
        <w:t>ee also</w:t>
      </w:r>
      <w:r>
        <w:t xml:space="preserve"> Vote.org Comments at 2; VON Comments at 2; NAFEO Comments at 2; NAACP Comments at 2.</w:t>
      </w:r>
    </w:p>
  </w:footnote>
  <w:footnote w:id="32">
    <w:p w:rsidR="0055679E" w:rsidP="002E4F63" w14:paraId="589C9ADD" w14:textId="71447879">
      <w:pPr>
        <w:pStyle w:val="FootnoteText"/>
      </w:pPr>
      <w:r>
        <w:rPr>
          <w:rStyle w:val="FootnoteReference"/>
        </w:rPr>
        <w:footnoteRef/>
      </w:r>
      <w:r>
        <w:t xml:space="preserve"> </w:t>
      </w:r>
      <w:r w:rsidR="007C412F">
        <w:rPr>
          <w:i/>
        </w:rPr>
        <w:t>1992 TCPA Order</w:t>
      </w:r>
      <w:r w:rsidRPr="00B23EE9">
        <w:t xml:space="preserve">, 7 FCC </w:t>
      </w:r>
      <w:r w:rsidRPr="00B23EE9">
        <w:t>Rcd</w:t>
      </w:r>
      <w:r w:rsidRPr="00B23EE9">
        <w:t xml:space="preserve"> </w:t>
      </w:r>
      <w:r w:rsidR="00E30580">
        <w:t xml:space="preserve">at </w:t>
      </w:r>
      <w:r w:rsidRPr="00B23EE9">
        <w:t xml:space="preserve">8769, </w:t>
      </w:r>
      <w:r w:rsidRPr="002A3666">
        <w:rPr>
          <w:color w:val="000000"/>
        </w:rPr>
        <w:t xml:space="preserve">para. 31.  In the </w:t>
      </w:r>
      <w:r w:rsidRPr="002A3666">
        <w:rPr>
          <w:i/>
          <w:color w:val="000000"/>
        </w:rPr>
        <w:t>ACA Declaratory Ruling</w:t>
      </w:r>
      <w:r w:rsidRPr="002A3666">
        <w:rPr>
          <w:color w:val="000000"/>
        </w:rPr>
        <w:t>, for example, the Commission clarified that a party who provides his or her wireless number to a creditor as part of a credit application “reasonably evidences prior express consent by the cell phone subscriber to be contacted at the number regarding the debt.”</w:t>
      </w:r>
      <w:r w:rsidRPr="002A3666">
        <w:rPr>
          <w:i/>
          <w:color w:val="000000"/>
        </w:rPr>
        <w:t xml:space="preserve"> </w:t>
      </w:r>
      <w:r>
        <w:rPr>
          <w:i/>
          <w:color w:val="000000"/>
        </w:rPr>
        <w:t xml:space="preserve"> </w:t>
      </w:r>
      <w:r w:rsidRPr="002A3666">
        <w:rPr>
          <w:i/>
          <w:color w:val="000000"/>
        </w:rPr>
        <w:t>Rules and Regulations Implementing the Telephone Consumer Protection Act of 1991, Request of ACA International for Clarification and Declaratory Ruling</w:t>
      </w:r>
      <w:r w:rsidRPr="002A3666">
        <w:rPr>
          <w:color w:val="000000"/>
        </w:rPr>
        <w:t xml:space="preserve">, CG Docket No. 02-278, 23 FCC </w:t>
      </w:r>
      <w:r w:rsidRPr="002A3666">
        <w:rPr>
          <w:color w:val="000000"/>
        </w:rPr>
        <w:t>Rcd</w:t>
      </w:r>
      <w:r w:rsidRPr="002A3666">
        <w:rPr>
          <w:color w:val="000000"/>
        </w:rPr>
        <w:t xml:space="preserve"> 559, 564, para. 9 (2008) (</w:t>
      </w:r>
      <w:r w:rsidRPr="002A3666">
        <w:rPr>
          <w:i/>
          <w:color w:val="000000"/>
        </w:rPr>
        <w:t>ACA Declaratory Ruling</w:t>
      </w:r>
      <w:r w:rsidRPr="002A3666">
        <w:rPr>
          <w:color w:val="000000"/>
        </w:rPr>
        <w:t xml:space="preserve">).  In the case of health care providers and schools, the Commission found that the provision of a phone number constitutes prior express consent if the covered entities are making calls within the scope of the consent given, and absent instructions to the contrary.  </w:t>
      </w:r>
      <w:r w:rsidRPr="002A3666">
        <w:rPr>
          <w:i/>
          <w:color w:val="000000"/>
        </w:rPr>
        <w:t xml:space="preserve">See </w:t>
      </w:r>
      <w:r w:rsidRPr="002A3666">
        <w:rPr>
          <w:i/>
          <w:iCs/>
          <w:color w:val="000000"/>
        </w:rPr>
        <w:t>2015 TCPA Declaratory Ruling</w:t>
      </w:r>
      <w:r w:rsidR="008B0E4C">
        <w:rPr>
          <w:i/>
          <w:iCs/>
          <w:color w:val="000000"/>
        </w:rPr>
        <w:t xml:space="preserve"> and Order</w:t>
      </w:r>
      <w:r w:rsidRPr="002A3666">
        <w:rPr>
          <w:color w:val="000000"/>
        </w:rPr>
        <w:t xml:space="preserve">, 30 FCC </w:t>
      </w:r>
      <w:r w:rsidRPr="002A3666">
        <w:rPr>
          <w:color w:val="000000"/>
        </w:rPr>
        <w:t>Rcd</w:t>
      </w:r>
      <w:r w:rsidRPr="002A3666">
        <w:rPr>
          <w:color w:val="000000"/>
        </w:rPr>
        <w:t xml:space="preserve"> at 8028, para. 141 &amp; n.474</w:t>
      </w:r>
      <w:r w:rsidRPr="002A3666">
        <w:rPr>
          <w:i/>
          <w:iCs/>
          <w:color w:val="000000"/>
        </w:rPr>
        <w:t xml:space="preserve"> </w:t>
      </w:r>
      <w:r w:rsidRPr="002A3666">
        <w:rPr>
          <w:color w:val="000000"/>
        </w:rPr>
        <w:t>(clarifying that “within the scope of consent given, and absent instructions to the contrary,” means “that the call must be closely related to the purpose for which the telephone number was originally provided”);</w:t>
      </w:r>
      <w:r w:rsidRPr="002A3666">
        <w:rPr>
          <w:color w:val="000000"/>
          <w:kern w:val="28"/>
        </w:rPr>
        <w:t xml:space="preserve"> </w:t>
      </w:r>
      <w:r w:rsidRPr="002A3666">
        <w:rPr>
          <w:i/>
          <w:iCs/>
          <w:color w:val="000000"/>
          <w:kern w:val="28"/>
        </w:rPr>
        <w:t>Rules and Regulations Implementing the Telephone Consumer Protection Act of 1991</w:t>
      </w:r>
      <w:r w:rsidRPr="002A3666">
        <w:rPr>
          <w:color w:val="000000"/>
          <w:kern w:val="28"/>
        </w:rPr>
        <w:t xml:space="preserve">, </w:t>
      </w:r>
      <w:r w:rsidRPr="002A3666">
        <w:rPr>
          <w:i/>
          <w:iCs/>
          <w:color w:val="000000"/>
          <w:kern w:val="28"/>
        </w:rPr>
        <w:t>Blackboard, Inc. Petition for Expedited Declaratory Ruling</w:t>
      </w:r>
      <w:r w:rsidRPr="002A3666">
        <w:rPr>
          <w:color w:val="000000"/>
          <w:kern w:val="28"/>
        </w:rPr>
        <w:t xml:space="preserve">, CG Docket No. 02-278, Declaratory Ruling, 31 FCC </w:t>
      </w:r>
      <w:r w:rsidRPr="002A3666">
        <w:rPr>
          <w:color w:val="000000"/>
          <w:kern w:val="28"/>
        </w:rPr>
        <w:t>Rcd</w:t>
      </w:r>
      <w:r w:rsidRPr="002A3666">
        <w:rPr>
          <w:color w:val="000000"/>
          <w:kern w:val="28"/>
        </w:rPr>
        <w:t xml:space="preserve"> 9054, 9064, para. 23 (2016) (confirming that when a parent or student provides their wireless number as a contact to a school, the scope of consent includes communications from the school closely related to the educational mission of the school or to official school activities absent instructions to the contrary from the party who provides the phone number)</w:t>
      </w:r>
      <w:r>
        <w:rPr>
          <w:color w:val="000000"/>
          <w:kern w:val="28"/>
        </w:rPr>
        <w:t xml:space="preserve">; </w:t>
      </w:r>
      <w:r w:rsidRPr="000A45B7">
        <w:rPr>
          <w:i/>
          <w:iCs/>
          <w:color w:val="000000"/>
          <w:kern w:val="28"/>
        </w:rPr>
        <w:t>see also</w:t>
      </w:r>
      <w:r>
        <w:rPr>
          <w:color w:val="000000"/>
          <w:kern w:val="28"/>
        </w:rPr>
        <w:t xml:space="preserve"> </w:t>
      </w:r>
      <w:r>
        <w:rPr>
          <w:i/>
        </w:rPr>
        <w:t>Rules and Regulations Implementing the Telephone Consumer Protection Act of 1991, GroupMe, Inc./Skype Communications S.A.R.L. Petition for Expedited Declaratory Ruling,</w:t>
      </w:r>
      <w:r>
        <w:t xml:space="preserve"> CG Docket No. 02-278, </w:t>
      </w:r>
      <w:r w:rsidRPr="00A36341">
        <w:t xml:space="preserve">29 FCC </w:t>
      </w:r>
      <w:r w:rsidRPr="00A36341">
        <w:t>Rcd</w:t>
      </w:r>
      <w:r w:rsidRPr="00A36341">
        <w:t xml:space="preserve"> 3442, 3447</w:t>
      </w:r>
      <w:r>
        <w:t>, para. 14 (2014) (“[W]e confirm that a caller remains liable for TCPA violations when it relies upon the assertion of an intermediary that the consumer has given such prior express consent.  We emphasize that the intermediary may only convey consent that has actually been provided by the consumer; the intermediary cannot provide consent on behalf of the consumer.”)</w:t>
      </w:r>
      <w:r w:rsidRPr="002A3666">
        <w:rPr>
          <w:color w:val="000000"/>
          <w:kern w:val="28"/>
        </w:rPr>
        <w:t>.</w:t>
      </w:r>
    </w:p>
  </w:footnote>
  <w:footnote w:id="33">
    <w:p w:rsidR="0055679E" w:rsidP="00A75DE6" w14:paraId="6532D42C" w14:textId="3F92114C">
      <w:pPr>
        <w:pStyle w:val="FootnoteText"/>
      </w:pPr>
      <w:r>
        <w:rPr>
          <w:rStyle w:val="FootnoteReference"/>
        </w:rPr>
        <w:footnoteRef/>
      </w:r>
      <w:r>
        <w:t xml:space="preserve"> Although P2P Alliance asserts that text messages sent for political purposes are not “telephone solicitations,” the TCPA’s prohibitions encompass calls and texts </w:t>
      </w:r>
      <w:r w:rsidRPr="001221EB">
        <w:rPr>
          <w:i/>
          <w:iCs/>
        </w:rPr>
        <w:t>even</w:t>
      </w:r>
      <w:r>
        <w:t xml:space="preserve"> if they do not contain a telephone solicitation.  </w:t>
      </w:r>
      <w:r>
        <w:rPr>
          <w:i/>
          <w:iCs/>
        </w:rPr>
        <w:t xml:space="preserve">See </w:t>
      </w:r>
      <w:r w:rsidRPr="004F74B3">
        <w:t>47 U.S.C. §</w:t>
      </w:r>
      <w:r w:rsidR="00123016">
        <w:t> </w:t>
      </w:r>
      <w:r w:rsidRPr="004F74B3">
        <w:t>227(b)(1)</w:t>
      </w:r>
      <w:r>
        <w:t xml:space="preserve">(A); </w:t>
      </w:r>
      <w:r>
        <w:rPr>
          <w:i/>
          <w:iCs/>
        </w:rPr>
        <w:t>see also</w:t>
      </w:r>
      <w:r>
        <w:t xml:space="preserve"> </w:t>
      </w:r>
      <w:r>
        <w:rPr>
          <w:i/>
          <w:iCs/>
        </w:rPr>
        <w:t>Telephone Consumer Protection Act Robocalls and Text Rules</w:t>
      </w:r>
      <w:r>
        <w:t xml:space="preserve">; </w:t>
      </w:r>
      <w:r>
        <w:rPr>
          <w:i/>
          <w:iCs/>
        </w:rPr>
        <w:t>Biennial Reminder for Political Campaigns About Robocalls and Text Abuse</w:t>
      </w:r>
      <w:r>
        <w:t xml:space="preserve">, Enforcement Advisory, 31 FCC </w:t>
      </w:r>
      <w:r>
        <w:t>Rcd</w:t>
      </w:r>
      <w:r>
        <w:t xml:space="preserve"> 1940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A10" w:rsidRPr="00070A8D" w:rsidP="0090465F" w14:paraId="31289A7D" w14:textId="4FD4C9A4">
    <w:pPr>
      <w:pStyle w:val="Header"/>
    </w:pPr>
    <w:r w:rsidRPr="00070A8D">
      <w:tab/>
    </w:r>
    <w:r w:rsidRPr="0034494E">
      <w:rPr>
        <w:kern w:val="0"/>
        <w:szCs w:val="20"/>
      </w:rPr>
      <w:t>Federal</w:t>
    </w:r>
    <w:r w:rsidRPr="00070A8D">
      <w:t xml:space="preserve"> Communications Commission</w:t>
    </w:r>
    <w:r w:rsidRPr="00070A8D">
      <w:tab/>
      <w:t xml:space="preserve">DA </w:t>
    </w:r>
    <w:r>
      <w:t>20-</w:t>
    </w:r>
    <w:r w:rsidR="00744139">
      <w:t>670</w:t>
    </w:r>
    <w:r w:rsidRPr="00070A8D">
      <w:t xml:space="preserve"> </w:t>
    </w:r>
  </w:p>
  <w:p w:rsidR="001F7A10" w:rsidP="0090465F" w14:paraId="7DBB7CD5" w14:textId="00ED552A">
    <w:pPr>
      <w:pStyle w:val="Heade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6"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pt;mso-wrap-distance-left:9pt;mso-wrap-distance-right:9pt;mso-wrap-distance-top:0pt;mso-wrap-style:square;position:absolute;visibility:visible;z-index:251661312" from="0,1.75pt" to="468pt,1.75pt" o:allowincell="f" strokeweight="1.5pt"/>
          </w:pict>
        </mc:Fallback>
      </mc:AlternateContent>
    </w:r>
  </w:p>
  <w:p w:rsidR="001F7A10" w:rsidP="0090465F" w14:paraId="1CB0E5E7" w14:textId="77777777">
    <w:pPr>
      <w:pStyle w:val="Header"/>
    </w:pPr>
  </w:p>
  <w:p w:rsidR="00501626" w:rsidP="00A36341" w14:paraId="49707F65"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A10" w:rsidRPr="005D60EE" w:rsidP="0090465F" w14:paraId="5E38CE24" w14:textId="55883016">
    <w:pPr>
      <w:pStyle w:val="Header"/>
    </w:pPr>
    <w:r w:rsidRPr="005D60EE">
      <w:tab/>
    </w:r>
    <w:r w:rsidRPr="005D60EE">
      <w:rPr>
        <w:snapToGrid w:val="0"/>
        <w:szCs w:val="20"/>
      </w:rPr>
      <w:t>Federal</w:t>
    </w:r>
    <w:r w:rsidRPr="005D60EE">
      <w:t xml:space="preserve"> Communications Commission</w:t>
    </w:r>
    <w:r w:rsidRPr="005D60EE">
      <w:tab/>
      <w:t xml:space="preserve">DA </w:t>
    </w:r>
    <w:r>
      <w:t>20</w:t>
    </w:r>
    <w:r w:rsidRPr="005D60EE">
      <w:t>-</w:t>
    </w:r>
    <w:r w:rsidR="000A53C4">
      <w:t>670</w:t>
    </w:r>
  </w:p>
  <w:p w:rsidR="001F7A10" w:rsidP="0090465F" w14:paraId="44491E22" w14:textId="06A5ADEF">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5"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pt;mso-wrap-distance-left:9pt;mso-wrap-distance-right:9pt;mso-wrap-distance-top:0pt;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bCs w:val="0"/>
        <w:i w:val="0"/>
        <w:iCs w:val="0"/>
        <w:sz w:val="22"/>
        <w:szCs w:val="22"/>
        <w:u w:val="none"/>
      </w:rPr>
    </w:lvl>
  </w:abstractNum>
  <w:abstractNum w:abstractNumId="2">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num w:numId="1">
    <w:abstractNumId w:val="1"/>
  </w:num>
  <w:num w:numId="2">
    <w:abstractNumId w:val="2"/>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 w:id="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A91EA2"/>
    <w:rsid w:val="000001B9"/>
    <w:rsid w:val="00001BF6"/>
    <w:rsid w:val="00001FBF"/>
    <w:rsid w:val="00002459"/>
    <w:rsid w:val="00002A09"/>
    <w:rsid w:val="00003828"/>
    <w:rsid w:val="00003DBA"/>
    <w:rsid w:val="00004431"/>
    <w:rsid w:val="00005039"/>
    <w:rsid w:val="00005DAB"/>
    <w:rsid w:val="00005E86"/>
    <w:rsid w:val="00010CDC"/>
    <w:rsid w:val="00013A7B"/>
    <w:rsid w:val="00014310"/>
    <w:rsid w:val="00015139"/>
    <w:rsid w:val="00017351"/>
    <w:rsid w:val="00017AD9"/>
    <w:rsid w:val="00017AF0"/>
    <w:rsid w:val="00017DAF"/>
    <w:rsid w:val="000234C3"/>
    <w:rsid w:val="00023F18"/>
    <w:rsid w:val="00025CB9"/>
    <w:rsid w:val="00026770"/>
    <w:rsid w:val="000270E9"/>
    <w:rsid w:val="000271B7"/>
    <w:rsid w:val="000274BC"/>
    <w:rsid w:val="0003052F"/>
    <w:rsid w:val="000324DA"/>
    <w:rsid w:val="000328A1"/>
    <w:rsid w:val="00033FC9"/>
    <w:rsid w:val="000343F2"/>
    <w:rsid w:val="0003472B"/>
    <w:rsid w:val="00034990"/>
    <w:rsid w:val="000358E8"/>
    <w:rsid w:val="00035A85"/>
    <w:rsid w:val="00035D4E"/>
    <w:rsid w:val="00036D78"/>
    <w:rsid w:val="00037E92"/>
    <w:rsid w:val="000412A5"/>
    <w:rsid w:val="00042188"/>
    <w:rsid w:val="000425B1"/>
    <w:rsid w:val="0004274E"/>
    <w:rsid w:val="00043E3B"/>
    <w:rsid w:val="000441DB"/>
    <w:rsid w:val="000443D3"/>
    <w:rsid w:val="000449AB"/>
    <w:rsid w:val="0004595C"/>
    <w:rsid w:val="000466CE"/>
    <w:rsid w:val="00047085"/>
    <w:rsid w:val="00047C3A"/>
    <w:rsid w:val="00050A4C"/>
    <w:rsid w:val="00050BD9"/>
    <w:rsid w:val="00051DB9"/>
    <w:rsid w:val="00052735"/>
    <w:rsid w:val="00053CE6"/>
    <w:rsid w:val="000545E6"/>
    <w:rsid w:val="0005488C"/>
    <w:rsid w:val="00055384"/>
    <w:rsid w:val="00055D34"/>
    <w:rsid w:val="00057E2C"/>
    <w:rsid w:val="00060859"/>
    <w:rsid w:val="00061308"/>
    <w:rsid w:val="00061819"/>
    <w:rsid w:val="00061C07"/>
    <w:rsid w:val="000620B2"/>
    <w:rsid w:val="00062655"/>
    <w:rsid w:val="0006422F"/>
    <w:rsid w:val="0006476B"/>
    <w:rsid w:val="00066A24"/>
    <w:rsid w:val="00066DF2"/>
    <w:rsid w:val="00067FB5"/>
    <w:rsid w:val="00070711"/>
    <w:rsid w:val="00070A8D"/>
    <w:rsid w:val="00070F29"/>
    <w:rsid w:val="00072B3E"/>
    <w:rsid w:val="000738A3"/>
    <w:rsid w:val="0007394F"/>
    <w:rsid w:val="000758FF"/>
    <w:rsid w:val="00075AA3"/>
    <w:rsid w:val="00075DDB"/>
    <w:rsid w:val="000760C9"/>
    <w:rsid w:val="000761D3"/>
    <w:rsid w:val="000762F5"/>
    <w:rsid w:val="00080B60"/>
    <w:rsid w:val="00081559"/>
    <w:rsid w:val="00082298"/>
    <w:rsid w:val="000822FE"/>
    <w:rsid w:val="0008294E"/>
    <w:rsid w:val="000829BE"/>
    <w:rsid w:val="0008364F"/>
    <w:rsid w:val="00083729"/>
    <w:rsid w:val="000838A9"/>
    <w:rsid w:val="00084A6C"/>
    <w:rsid w:val="00085063"/>
    <w:rsid w:val="00085A17"/>
    <w:rsid w:val="00086591"/>
    <w:rsid w:val="00086BBF"/>
    <w:rsid w:val="00087B99"/>
    <w:rsid w:val="000903CB"/>
    <w:rsid w:val="00090FBF"/>
    <w:rsid w:val="00091226"/>
    <w:rsid w:val="00091936"/>
    <w:rsid w:val="000944CA"/>
    <w:rsid w:val="00095C27"/>
    <w:rsid w:val="00096420"/>
    <w:rsid w:val="00096A54"/>
    <w:rsid w:val="00096B21"/>
    <w:rsid w:val="000972E0"/>
    <w:rsid w:val="000A0276"/>
    <w:rsid w:val="000A04BA"/>
    <w:rsid w:val="000A093E"/>
    <w:rsid w:val="000A11A0"/>
    <w:rsid w:val="000A3CEE"/>
    <w:rsid w:val="000A45B7"/>
    <w:rsid w:val="000A51BD"/>
    <w:rsid w:val="000A53C4"/>
    <w:rsid w:val="000A7F9F"/>
    <w:rsid w:val="000B0D3B"/>
    <w:rsid w:val="000B19B7"/>
    <w:rsid w:val="000B1FAB"/>
    <w:rsid w:val="000B246C"/>
    <w:rsid w:val="000B2ABA"/>
    <w:rsid w:val="000B2AFB"/>
    <w:rsid w:val="000B3581"/>
    <w:rsid w:val="000B7DC9"/>
    <w:rsid w:val="000C0799"/>
    <w:rsid w:val="000C1AF9"/>
    <w:rsid w:val="000C43C1"/>
    <w:rsid w:val="000C44AC"/>
    <w:rsid w:val="000C5AA9"/>
    <w:rsid w:val="000C6664"/>
    <w:rsid w:val="000C6DDD"/>
    <w:rsid w:val="000C6E54"/>
    <w:rsid w:val="000C6F60"/>
    <w:rsid w:val="000C75EB"/>
    <w:rsid w:val="000D0A34"/>
    <w:rsid w:val="000D1625"/>
    <w:rsid w:val="000D1920"/>
    <w:rsid w:val="000D258C"/>
    <w:rsid w:val="000D2E28"/>
    <w:rsid w:val="000D2F15"/>
    <w:rsid w:val="000D4F89"/>
    <w:rsid w:val="000D5F52"/>
    <w:rsid w:val="000D6A04"/>
    <w:rsid w:val="000D6DA4"/>
    <w:rsid w:val="000D72A4"/>
    <w:rsid w:val="000E03C3"/>
    <w:rsid w:val="000E128A"/>
    <w:rsid w:val="000E1F6B"/>
    <w:rsid w:val="000E21EF"/>
    <w:rsid w:val="000E2561"/>
    <w:rsid w:val="000E2569"/>
    <w:rsid w:val="000E3109"/>
    <w:rsid w:val="000E3405"/>
    <w:rsid w:val="000E43A3"/>
    <w:rsid w:val="000E5F31"/>
    <w:rsid w:val="000F0048"/>
    <w:rsid w:val="000F0475"/>
    <w:rsid w:val="000F280B"/>
    <w:rsid w:val="000F586D"/>
    <w:rsid w:val="001004E3"/>
    <w:rsid w:val="00101125"/>
    <w:rsid w:val="0010357D"/>
    <w:rsid w:val="00104F37"/>
    <w:rsid w:val="00105455"/>
    <w:rsid w:val="00105EA8"/>
    <w:rsid w:val="00105EFE"/>
    <w:rsid w:val="0010625F"/>
    <w:rsid w:val="00106311"/>
    <w:rsid w:val="00106D39"/>
    <w:rsid w:val="001072DD"/>
    <w:rsid w:val="00110289"/>
    <w:rsid w:val="001114EC"/>
    <w:rsid w:val="00111AF4"/>
    <w:rsid w:val="0011252B"/>
    <w:rsid w:val="00114AEE"/>
    <w:rsid w:val="00114B52"/>
    <w:rsid w:val="0012025D"/>
    <w:rsid w:val="001203ED"/>
    <w:rsid w:val="0012087B"/>
    <w:rsid w:val="00120A10"/>
    <w:rsid w:val="00120C9C"/>
    <w:rsid w:val="00120FB5"/>
    <w:rsid w:val="001221EB"/>
    <w:rsid w:val="0012293B"/>
    <w:rsid w:val="00123016"/>
    <w:rsid w:val="001235BB"/>
    <w:rsid w:val="00124A66"/>
    <w:rsid w:val="001252B3"/>
    <w:rsid w:val="00125797"/>
    <w:rsid w:val="001305C4"/>
    <w:rsid w:val="0013129C"/>
    <w:rsid w:val="001341CE"/>
    <w:rsid w:val="001347DD"/>
    <w:rsid w:val="00134AE3"/>
    <w:rsid w:val="00134FC3"/>
    <w:rsid w:val="00135679"/>
    <w:rsid w:val="001366EF"/>
    <w:rsid w:val="00140C8A"/>
    <w:rsid w:val="0014314D"/>
    <w:rsid w:val="00144F48"/>
    <w:rsid w:val="00145E34"/>
    <w:rsid w:val="00146281"/>
    <w:rsid w:val="001501B4"/>
    <w:rsid w:val="0015133B"/>
    <w:rsid w:val="00151452"/>
    <w:rsid w:val="00151FCF"/>
    <w:rsid w:val="00152122"/>
    <w:rsid w:val="0015391F"/>
    <w:rsid w:val="00153E0E"/>
    <w:rsid w:val="0015448E"/>
    <w:rsid w:val="00154594"/>
    <w:rsid w:val="0015499E"/>
    <w:rsid w:val="00155776"/>
    <w:rsid w:val="00155822"/>
    <w:rsid w:val="001621E0"/>
    <w:rsid w:val="0016255E"/>
    <w:rsid w:val="00162F76"/>
    <w:rsid w:val="00163E8E"/>
    <w:rsid w:val="001641A8"/>
    <w:rsid w:val="00164F4F"/>
    <w:rsid w:val="001665D6"/>
    <w:rsid w:val="00170222"/>
    <w:rsid w:val="00170B85"/>
    <w:rsid w:val="001735C0"/>
    <w:rsid w:val="00174A65"/>
    <w:rsid w:val="001755CA"/>
    <w:rsid w:val="001840ED"/>
    <w:rsid w:val="0018489C"/>
    <w:rsid w:val="001849E8"/>
    <w:rsid w:val="001870AD"/>
    <w:rsid w:val="00187C57"/>
    <w:rsid w:val="00191F49"/>
    <w:rsid w:val="00193035"/>
    <w:rsid w:val="00193CF4"/>
    <w:rsid w:val="00194274"/>
    <w:rsid w:val="001945BE"/>
    <w:rsid w:val="0019487D"/>
    <w:rsid w:val="001970B4"/>
    <w:rsid w:val="00197162"/>
    <w:rsid w:val="0019782D"/>
    <w:rsid w:val="001979F4"/>
    <w:rsid w:val="001A10D6"/>
    <w:rsid w:val="001A27DD"/>
    <w:rsid w:val="001A3478"/>
    <w:rsid w:val="001A3DDE"/>
    <w:rsid w:val="001A4E2E"/>
    <w:rsid w:val="001A5081"/>
    <w:rsid w:val="001A69E0"/>
    <w:rsid w:val="001B242E"/>
    <w:rsid w:val="001B2B77"/>
    <w:rsid w:val="001B2F9A"/>
    <w:rsid w:val="001B32D8"/>
    <w:rsid w:val="001B4A29"/>
    <w:rsid w:val="001B533D"/>
    <w:rsid w:val="001B555D"/>
    <w:rsid w:val="001B61D2"/>
    <w:rsid w:val="001B6BB1"/>
    <w:rsid w:val="001B6F27"/>
    <w:rsid w:val="001C0118"/>
    <w:rsid w:val="001C09BD"/>
    <w:rsid w:val="001C1003"/>
    <w:rsid w:val="001C1D47"/>
    <w:rsid w:val="001C2274"/>
    <w:rsid w:val="001C2A4B"/>
    <w:rsid w:val="001C2E21"/>
    <w:rsid w:val="001C2E93"/>
    <w:rsid w:val="001C3481"/>
    <w:rsid w:val="001C7027"/>
    <w:rsid w:val="001D05C8"/>
    <w:rsid w:val="001D1264"/>
    <w:rsid w:val="001D12E1"/>
    <w:rsid w:val="001D16AE"/>
    <w:rsid w:val="001D1D32"/>
    <w:rsid w:val="001D2CB2"/>
    <w:rsid w:val="001D3325"/>
    <w:rsid w:val="001D5D45"/>
    <w:rsid w:val="001D5F82"/>
    <w:rsid w:val="001D74F3"/>
    <w:rsid w:val="001E0954"/>
    <w:rsid w:val="001E0BE0"/>
    <w:rsid w:val="001E0CA0"/>
    <w:rsid w:val="001E3E14"/>
    <w:rsid w:val="001E4974"/>
    <w:rsid w:val="001E4D47"/>
    <w:rsid w:val="001E5E74"/>
    <w:rsid w:val="001E656E"/>
    <w:rsid w:val="001E663C"/>
    <w:rsid w:val="001E7E87"/>
    <w:rsid w:val="001F0109"/>
    <w:rsid w:val="001F198F"/>
    <w:rsid w:val="001F2E17"/>
    <w:rsid w:val="001F3C92"/>
    <w:rsid w:val="001F62A0"/>
    <w:rsid w:val="001F6433"/>
    <w:rsid w:val="001F66F4"/>
    <w:rsid w:val="001F70D8"/>
    <w:rsid w:val="001F780D"/>
    <w:rsid w:val="001F7A10"/>
    <w:rsid w:val="001F7CCC"/>
    <w:rsid w:val="002010D7"/>
    <w:rsid w:val="002029F3"/>
    <w:rsid w:val="00203852"/>
    <w:rsid w:val="002044FE"/>
    <w:rsid w:val="0020451B"/>
    <w:rsid w:val="00205DD1"/>
    <w:rsid w:val="00207D29"/>
    <w:rsid w:val="00210C45"/>
    <w:rsid w:val="002123CE"/>
    <w:rsid w:val="00212439"/>
    <w:rsid w:val="002133AE"/>
    <w:rsid w:val="0021390F"/>
    <w:rsid w:val="0021567E"/>
    <w:rsid w:val="00220675"/>
    <w:rsid w:val="00220F01"/>
    <w:rsid w:val="00222584"/>
    <w:rsid w:val="00222CF3"/>
    <w:rsid w:val="00222E8F"/>
    <w:rsid w:val="00224118"/>
    <w:rsid w:val="002264EA"/>
    <w:rsid w:val="00227BD7"/>
    <w:rsid w:val="00230E12"/>
    <w:rsid w:val="002311BE"/>
    <w:rsid w:val="002313B3"/>
    <w:rsid w:val="00231A54"/>
    <w:rsid w:val="00231DC9"/>
    <w:rsid w:val="00232F36"/>
    <w:rsid w:val="0023377A"/>
    <w:rsid w:val="002338FC"/>
    <w:rsid w:val="00233B9A"/>
    <w:rsid w:val="002343A2"/>
    <w:rsid w:val="0023634E"/>
    <w:rsid w:val="00236452"/>
    <w:rsid w:val="0023661F"/>
    <w:rsid w:val="00242809"/>
    <w:rsid w:val="00242C58"/>
    <w:rsid w:val="002439F7"/>
    <w:rsid w:val="00243C17"/>
    <w:rsid w:val="0024472D"/>
    <w:rsid w:val="00246203"/>
    <w:rsid w:val="00246FBA"/>
    <w:rsid w:val="00247894"/>
    <w:rsid w:val="002504D3"/>
    <w:rsid w:val="00251982"/>
    <w:rsid w:val="00252E17"/>
    <w:rsid w:val="00252E65"/>
    <w:rsid w:val="00253812"/>
    <w:rsid w:val="00253FFA"/>
    <w:rsid w:val="0025448D"/>
    <w:rsid w:val="00255B33"/>
    <w:rsid w:val="00255B4F"/>
    <w:rsid w:val="00256598"/>
    <w:rsid w:val="0026114C"/>
    <w:rsid w:val="002621DF"/>
    <w:rsid w:val="00262B5E"/>
    <w:rsid w:val="00262E15"/>
    <w:rsid w:val="0026317C"/>
    <w:rsid w:val="002635EC"/>
    <w:rsid w:val="0026518B"/>
    <w:rsid w:val="00267E8F"/>
    <w:rsid w:val="00270162"/>
    <w:rsid w:val="00270649"/>
    <w:rsid w:val="00272FB4"/>
    <w:rsid w:val="00273895"/>
    <w:rsid w:val="00274CE0"/>
    <w:rsid w:val="002757CF"/>
    <w:rsid w:val="0027592D"/>
    <w:rsid w:val="002768CA"/>
    <w:rsid w:val="00276E91"/>
    <w:rsid w:val="00277A8F"/>
    <w:rsid w:val="00277CF1"/>
    <w:rsid w:val="0028008A"/>
    <w:rsid w:val="00280A83"/>
    <w:rsid w:val="00281342"/>
    <w:rsid w:val="00281566"/>
    <w:rsid w:val="00282127"/>
    <w:rsid w:val="002823BE"/>
    <w:rsid w:val="00283102"/>
    <w:rsid w:val="002878D2"/>
    <w:rsid w:val="00290CE3"/>
    <w:rsid w:val="0029507F"/>
    <w:rsid w:val="002957A0"/>
    <w:rsid w:val="00295FA6"/>
    <w:rsid w:val="00297344"/>
    <w:rsid w:val="0029793E"/>
    <w:rsid w:val="002A1B0B"/>
    <w:rsid w:val="002A284E"/>
    <w:rsid w:val="002A3227"/>
    <w:rsid w:val="002A3666"/>
    <w:rsid w:val="002A3B06"/>
    <w:rsid w:val="002A47A5"/>
    <w:rsid w:val="002A57B7"/>
    <w:rsid w:val="002A6309"/>
    <w:rsid w:val="002A6CAB"/>
    <w:rsid w:val="002A763E"/>
    <w:rsid w:val="002A78D6"/>
    <w:rsid w:val="002B0173"/>
    <w:rsid w:val="002B17BD"/>
    <w:rsid w:val="002B25FF"/>
    <w:rsid w:val="002B4C8D"/>
    <w:rsid w:val="002B76DE"/>
    <w:rsid w:val="002C1901"/>
    <w:rsid w:val="002C194D"/>
    <w:rsid w:val="002C4AEE"/>
    <w:rsid w:val="002C5699"/>
    <w:rsid w:val="002C620F"/>
    <w:rsid w:val="002C70B4"/>
    <w:rsid w:val="002D00EE"/>
    <w:rsid w:val="002D1537"/>
    <w:rsid w:val="002D24FC"/>
    <w:rsid w:val="002D270A"/>
    <w:rsid w:val="002D36F2"/>
    <w:rsid w:val="002D5A56"/>
    <w:rsid w:val="002D624D"/>
    <w:rsid w:val="002D7610"/>
    <w:rsid w:val="002D7952"/>
    <w:rsid w:val="002D7DE8"/>
    <w:rsid w:val="002E36EE"/>
    <w:rsid w:val="002E4F63"/>
    <w:rsid w:val="002E530B"/>
    <w:rsid w:val="002E59C5"/>
    <w:rsid w:val="002E63FD"/>
    <w:rsid w:val="002E693A"/>
    <w:rsid w:val="002E73A3"/>
    <w:rsid w:val="002E757E"/>
    <w:rsid w:val="002F1AB3"/>
    <w:rsid w:val="002F2C86"/>
    <w:rsid w:val="002F313D"/>
    <w:rsid w:val="002F4AA9"/>
    <w:rsid w:val="002F6052"/>
    <w:rsid w:val="002F60B3"/>
    <w:rsid w:val="002F6777"/>
    <w:rsid w:val="002F6F0D"/>
    <w:rsid w:val="0030092F"/>
    <w:rsid w:val="0030392A"/>
    <w:rsid w:val="00304F4C"/>
    <w:rsid w:val="003065BA"/>
    <w:rsid w:val="0030733B"/>
    <w:rsid w:val="00307723"/>
    <w:rsid w:val="00307BC9"/>
    <w:rsid w:val="00307C6A"/>
    <w:rsid w:val="00310982"/>
    <w:rsid w:val="0031155B"/>
    <w:rsid w:val="00313055"/>
    <w:rsid w:val="0031343B"/>
    <w:rsid w:val="003138DE"/>
    <w:rsid w:val="00314880"/>
    <w:rsid w:val="00314C85"/>
    <w:rsid w:val="00316880"/>
    <w:rsid w:val="003206BC"/>
    <w:rsid w:val="0032285E"/>
    <w:rsid w:val="00322D85"/>
    <w:rsid w:val="00323616"/>
    <w:rsid w:val="00323FA5"/>
    <w:rsid w:val="003247EB"/>
    <w:rsid w:val="003248FE"/>
    <w:rsid w:val="00324B3B"/>
    <w:rsid w:val="00325D80"/>
    <w:rsid w:val="00326C16"/>
    <w:rsid w:val="00327B74"/>
    <w:rsid w:val="00332C0D"/>
    <w:rsid w:val="00333204"/>
    <w:rsid w:val="00333A2A"/>
    <w:rsid w:val="00334569"/>
    <w:rsid w:val="003349AD"/>
    <w:rsid w:val="00335886"/>
    <w:rsid w:val="00335E5B"/>
    <w:rsid w:val="00342502"/>
    <w:rsid w:val="00342C8C"/>
    <w:rsid w:val="00343545"/>
    <w:rsid w:val="00343D93"/>
    <w:rsid w:val="003443B1"/>
    <w:rsid w:val="0034494E"/>
    <w:rsid w:val="0034567E"/>
    <w:rsid w:val="00345A3F"/>
    <w:rsid w:val="00345A4B"/>
    <w:rsid w:val="00346D18"/>
    <w:rsid w:val="003476D4"/>
    <w:rsid w:val="00351A15"/>
    <w:rsid w:val="0035208E"/>
    <w:rsid w:val="00352326"/>
    <w:rsid w:val="0035243D"/>
    <w:rsid w:val="00353D0B"/>
    <w:rsid w:val="0035541E"/>
    <w:rsid w:val="003612A8"/>
    <w:rsid w:val="00361571"/>
    <w:rsid w:val="00361963"/>
    <w:rsid w:val="003632EA"/>
    <w:rsid w:val="00363507"/>
    <w:rsid w:val="003643A8"/>
    <w:rsid w:val="00364586"/>
    <w:rsid w:val="00365A77"/>
    <w:rsid w:val="00367BFB"/>
    <w:rsid w:val="00370452"/>
    <w:rsid w:val="00371092"/>
    <w:rsid w:val="003719BC"/>
    <w:rsid w:val="00372DEF"/>
    <w:rsid w:val="00372E36"/>
    <w:rsid w:val="00374114"/>
    <w:rsid w:val="0037486E"/>
    <w:rsid w:val="00374896"/>
    <w:rsid w:val="00374BAE"/>
    <w:rsid w:val="00375572"/>
    <w:rsid w:val="003801C3"/>
    <w:rsid w:val="003821BF"/>
    <w:rsid w:val="00384128"/>
    <w:rsid w:val="00385607"/>
    <w:rsid w:val="00385F97"/>
    <w:rsid w:val="00386FC1"/>
    <w:rsid w:val="00387239"/>
    <w:rsid w:val="00387D0D"/>
    <w:rsid w:val="0039332B"/>
    <w:rsid w:val="0039468F"/>
    <w:rsid w:val="00394A81"/>
    <w:rsid w:val="003958F4"/>
    <w:rsid w:val="00395F09"/>
    <w:rsid w:val="00396B37"/>
    <w:rsid w:val="0039789E"/>
    <w:rsid w:val="00397AE7"/>
    <w:rsid w:val="003A026A"/>
    <w:rsid w:val="003A0C2C"/>
    <w:rsid w:val="003A108A"/>
    <w:rsid w:val="003A1A79"/>
    <w:rsid w:val="003A2664"/>
    <w:rsid w:val="003A27B8"/>
    <w:rsid w:val="003A2FFB"/>
    <w:rsid w:val="003A4065"/>
    <w:rsid w:val="003B00D2"/>
    <w:rsid w:val="003B00F2"/>
    <w:rsid w:val="003B0515"/>
    <w:rsid w:val="003B0CEA"/>
    <w:rsid w:val="003B1821"/>
    <w:rsid w:val="003B2106"/>
    <w:rsid w:val="003B2588"/>
    <w:rsid w:val="003B42B3"/>
    <w:rsid w:val="003B48A8"/>
    <w:rsid w:val="003B692A"/>
    <w:rsid w:val="003B770B"/>
    <w:rsid w:val="003C004B"/>
    <w:rsid w:val="003C0ABD"/>
    <w:rsid w:val="003C38DC"/>
    <w:rsid w:val="003C4980"/>
    <w:rsid w:val="003C4A83"/>
    <w:rsid w:val="003C4FC9"/>
    <w:rsid w:val="003C5163"/>
    <w:rsid w:val="003C533C"/>
    <w:rsid w:val="003C5416"/>
    <w:rsid w:val="003C545B"/>
    <w:rsid w:val="003C5FDA"/>
    <w:rsid w:val="003C7038"/>
    <w:rsid w:val="003C7804"/>
    <w:rsid w:val="003D0857"/>
    <w:rsid w:val="003D3314"/>
    <w:rsid w:val="003D3424"/>
    <w:rsid w:val="003D4276"/>
    <w:rsid w:val="003D4A07"/>
    <w:rsid w:val="003D4A83"/>
    <w:rsid w:val="003D4D69"/>
    <w:rsid w:val="003D5651"/>
    <w:rsid w:val="003D6DD9"/>
    <w:rsid w:val="003E0B4A"/>
    <w:rsid w:val="003E1159"/>
    <w:rsid w:val="003E120F"/>
    <w:rsid w:val="003E137B"/>
    <w:rsid w:val="003E1A30"/>
    <w:rsid w:val="003E1A54"/>
    <w:rsid w:val="003E20E6"/>
    <w:rsid w:val="003E31EE"/>
    <w:rsid w:val="003E3CA5"/>
    <w:rsid w:val="003E5711"/>
    <w:rsid w:val="003E5AE3"/>
    <w:rsid w:val="003E6B8B"/>
    <w:rsid w:val="003E7498"/>
    <w:rsid w:val="003E7FF7"/>
    <w:rsid w:val="003F14CF"/>
    <w:rsid w:val="003F1A50"/>
    <w:rsid w:val="003F284A"/>
    <w:rsid w:val="003F2B9F"/>
    <w:rsid w:val="003F3AE8"/>
    <w:rsid w:val="003F699B"/>
    <w:rsid w:val="003F6F1B"/>
    <w:rsid w:val="00400EBF"/>
    <w:rsid w:val="00401F7E"/>
    <w:rsid w:val="00402C39"/>
    <w:rsid w:val="00403E9D"/>
    <w:rsid w:val="00403F84"/>
    <w:rsid w:val="00404D3C"/>
    <w:rsid w:val="0040601B"/>
    <w:rsid w:val="00407D4E"/>
    <w:rsid w:val="00407E96"/>
    <w:rsid w:val="004100A0"/>
    <w:rsid w:val="00410DA0"/>
    <w:rsid w:val="00411A8D"/>
    <w:rsid w:val="00411C3B"/>
    <w:rsid w:val="00412B33"/>
    <w:rsid w:val="00412EC2"/>
    <w:rsid w:val="00414FC4"/>
    <w:rsid w:val="004153D0"/>
    <w:rsid w:val="0041606F"/>
    <w:rsid w:val="00416514"/>
    <w:rsid w:val="00417B80"/>
    <w:rsid w:val="0042106D"/>
    <w:rsid w:val="0042142B"/>
    <w:rsid w:val="00421521"/>
    <w:rsid w:val="00421D6A"/>
    <w:rsid w:val="00422BDA"/>
    <w:rsid w:val="00423893"/>
    <w:rsid w:val="004253F7"/>
    <w:rsid w:val="00427A47"/>
    <w:rsid w:val="004311E6"/>
    <w:rsid w:val="0043156F"/>
    <w:rsid w:val="004316E5"/>
    <w:rsid w:val="0043303F"/>
    <w:rsid w:val="00434473"/>
    <w:rsid w:val="0043562D"/>
    <w:rsid w:val="00437252"/>
    <w:rsid w:val="004378DA"/>
    <w:rsid w:val="00440D92"/>
    <w:rsid w:val="00440F4A"/>
    <w:rsid w:val="004411FB"/>
    <w:rsid w:val="00443833"/>
    <w:rsid w:val="00443C42"/>
    <w:rsid w:val="0044509E"/>
    <w:rsid w:val="00446D49"/>
    <w:rsid w:val="00447275"/>
    <w:rsid w:val="00447975"/>
    <w:rsid w:val="00447D43"/>
    <w:rsid w:val="00450100"/>
    <w:rsid w:val="0045199C"/>
    <w:rsid w:val="004519B5"/>
    <w:rsid w:val="00451EC8"/>
    <w:rsid w:val="00453029"/>
    <w:rsid w:val="004545D1"/>
    <w:rsid w:val="00455A06"/>
    <w:rsid w:val="004563CD"/>
    <w:rsid w:val="00457113"/>
    <w:rsid w:val="004573AE"/>
    <w:rsid w:val="0045752C"/>
    <w:rsid w:val="00460497"/>
    <w:rsid w:val="004608E6"/>
    <w:rsid w:val="0046098A"/>
    <w:rsid w:val="00461C18"/>
    <w:rsid w:val="00462640"/>
    <w:rsid w:val="004640C1"/>
    <w:rsid w:val="00464165"/>
    <w:rsid w:val="00464524"/>
    <w:rsid w:val="00464F34"/>
    <w:rsid w:val="00465E3F"/>
    <w:rsid w:val="0047023B"/>
    <w:rsid w:val="00470B6E"/>
    <w:rsid w:val="00473020"/>
    <w:rsid w:val="0047446A"/>
    <w:rsid w:val="0047489C"/>
    <w:rsid w:val="00475CF8"/>
    <w:rsid w:val="004768DC"/>
    <w:rsid w:val="00476E47"/>
    <w:rsid w:val="00477118"/>
    <w:rsid w:val="00477288"/>
    <w:rsid w:val="00480E94"/>
    <w:rsid w:val="00480F8E"/>
    <w:rsid w:val="00480FC5"/>
    <w:rsid w:val="0048131D"/>
    <w:rsid w:val="0048212B"/>
    <w:rsid w:val="00483B9E"/>
    <w:rsid w:val="00484082"/>
    <w:rsid w:val="004850E2"/>
    <w:rsid w:val="0048592D"/>
    <w:rsid w:val="00485D56"/>
    <w:rsid w:val="0048652C"/>
    <w:rsid w:val="00486F50"/>
    <w:rsid w:val="00487560"/>
    <w:rsid w:val="004878DD"/>
    <w:rsid w:val="00487FB7"/>
    <w:rsid w:val="0049008B"/>
    <w:rsid w:val="004948F3"/>
    <w:rsid w:val="00495D81"/>
    <w:rsid w:val="00495FB3"/>
    <w:rsid w:val="004A01D5"/>
    <w:rsid w:val="004A06A6"/>
    <w:rsid w:val="004A10E2"/>
    <w:rsid w:val="004A17E0"/>
    <w:rsid w:val="004A196A"/>
    <w:rsid w:val="004A2529"/>
    <w:rsid w:val="004A2C70"/>
    <w:rsid w:val="004A3326"/>
    <w:rsid w:val="004A3481"/>
    <w:rsid w:val="004A3EDD"/>
    <w:rsid w:val="004A4B43"/>
    <w:rsid w:val="004A68C5"/>
    <w:rsid w:val="004A7022"/>
    <w:rsid w:val="004A715E"/>
    <w:rsid w:val="004B3019"/>
    <w:rsid w:val="004B32A7"/>
    <w:rsid w:val="004B4FA8"/>
    <w:rsid w:val="004B606D"/>
    <w:rsid w:val="004B6C0B"/>
    <w:rsid w:val="004C01E7"/>
    <w:rsid w:val="004C0FDD"/>
    <w:rsid w:val="004C1355"/>
    <w:rsid w:val="004C1574"/>
    <w:rsid w:val="004C186C"/>
    <w:rsid w:val="004C1DE2"/>
    <w:rsid w:val="004C2A51"/>
    <w:rsid w:val="004C4251"/>
    <w:rsid w:val="004C4345"/>
    <w:rsid w:val="004C5B8A"/>
    <w:rsid w:val="004C6BCD"/>
    <w:rsid w:val="004D2A47"/>
    <w:rsid w:val="004D2BC0"/>
    <w:rsid w:val="004D2DDC"/>
    <w:rsid w:val="004D40F0"/>
    <w:rsid w:val="004D475B"/>
    <w:rsid w:val="004D585D"/>
    <w:rsid w:val="004D587D"/>
    <w:rsid w:val="004D6E99"/>
    <w:rsid w:val="004D6F0D"/>
    <w:rsid w:val="004E0F55"/>
    <w:rsid w:val="004E25FD"/>
    <w:rsid w:val="004E325D"/>
    <w:rsid w:val="004E372A"/>
    <w:rsid w:val="004E4494"/>
    <w:rsid w:val="004E622A"/>
    <w:rsid w:val="004E6457"/>
    <w:rsid w:val="004E651B"/>
    <w:rsid w:val="004E6A65"/>
    <w:rsid w:val="004E70BE"/>
    <w:rsid w:val="004E75ED"/>
    <w:rsid w:val="004F071E"/>
    <w:rsid w:val="004F0C4C"/>
    <w:rsid w:val="004F10C6"/>
    <w:rsid w:val="004F21E6"/>
    <w:rsid w:val="004F3726"/>
    <w:rsid w:val="004F3CF3"/>
    <w:rsid w:val="004F4229"/>
    <w:rsid w:val="004F48B9"/>
    <w:rsid w:val="004F4FC6"/>
    <w:rsid w:val="004F52C3"/>
    <w:rsid w:val="004F541A"/>
    <w:rsid w:val="004F6643"/>
    <w:rsid w:val="004F74B3"/>
    <w:rsid w:val="005003F9"/>
    <w:rsid w:val="005011C2"/>
    <w:rsid w:val="00501626"/>
    <w:rsid w:val="005018C0"/>
    <w:rsid w:val="00502D78"/>
    <w:rsid w:val="005035E0"/>
    <w:rsid w:val="00505102"/>
    <w:rsid w:val="00505488"/>
    <w:rsid w:val="005059AE"/>
    <w:rsid w:val="00507622"/>
    <w:rsid w:val="00507826"/>
    <w:rsid w:val="005078A5"/>
    <w:rsid w:val="00507FE8"/>
    <w:rsid w:val="0051117F"/>
    <w:rsid w:val="00511884"/>
    <w:rsid w:val="005122E7"/>
    <w:rsid w:val="00513D0D"/>
    <w:rsid w:val="00514CBB"/>
    <w:rsid w:val="00515ED7"/>
    <w:rsid w:val="005178BB"/>
    <w:rsid w:val="00517C33"/>
    <w:rsid w:val="00521995"/>
    <w:rsid w:val="00522139"/>
    <w:rsid w:val="00522913"/>
    <w:rsid w:val="0052353E"/>
    <w:rsid w:val="005238D2"/>
    <w:rsid w:val="00523DD5"/>
    <w:rsid w:val="00523F92"/>
    <w:rsid w:val="00525780"/>
    <w:rsid w:val="005277BF"/>
    <w:rsid w:val="00527D34"/>
    <w:rsid w:val="00527E13"/>
    <w:rsid w:val="00530A09"/>
    <w:rsid w:val="00530DB4"/>
    <w:rsid w:val="005311B9"/>
    <w:rsid w:val="00534620"/>
    <w:rsid w:val="00535441"/>
    <w:rsid w:val="00536FBF"/>
    <w:rsid w:val="0053790C"/>
    <w:rsid w:val="00537911"/>
    <w:rsid w:val="00537F80"/>
    <w:rsid w:val="00541490"/>
    <w:rsid w:val="005431EB"/>
    <w:rsid w:val="005452EB"/>
    <w:rsid w:val="005460DB"/>
    <w:rsid w:val="00546D71"/>
    <w:rsid w:val="0055010D"/>
    <w:rsid w:val="0055205A"/>
    <w:rsid w:val="00552D7C"/>
    <w:rsid w:val="005532AE"/>
    <w:rsid w:val="005532DF"/>
    <w:rsid w:val="005537AD"/>
    <w:rsid w:val="00553873"/>
    <w:rsid w:val="00554486"/>
    <w:rsid w:val="005546B6"/>
    <w:rsid w:val="00554B72"/>
    <w:rsid w:val="00554F4E"/>
    <w:rsid w:val="0055542A"/>
    <w:rsid w:val="00555AD7"/>
    <w:rsid w:val="0055679E"/>
    <w:rsid w:val="00556A97"/>
    <w:rsid w:val="00557099"/>
    <w:rsid w:val="0055763E"/>
    <w:rsid w:val="00557DA5"/>
    <w:rsid w:val="00560557"/>
    <w:rsid w:val="00562E4A"/>
    <w:rsid w:val="00562FA7"/>
    <w:rsid w:val="00563D4E"/>
    <w:rsid w:val="005647EC"/>
    <w:rsid w:val="00565385"/>
    <w:rsid w:val="00570402"/>
    <w:rsid w:val="005709E6"/>
    <w:rsid w:val="00570D4C"/>
    <w:rsid w:val="00570FC8"/>
    <w:rsid w:val="00571251"/>
    <w:rsid w:val="005718A1"/>
    <w:rsid w:val="00571C78"/>
    <w:rsid w:val="00572213"/>
    <w:rsid w:val="0057223B"/>
    <w:rsid w:val="0057225B"/>
    <w:rsid w:val="00572A2A"/>
    <w:rsid w:val="005735AA"/>
    <w:rsid w:val="00573D5D"/>
    <w:rsid w:val="0057494B"/>
    <w:rsid w:val="005753EC"/>
    <w:rsid w:val="00575F28"/>
    <w:rsid w:val="00577B12"/>
    <w:rsid w:val="00577C75"/>
    <w:rsid w:val="00580F22"/>
    <w:rsid w:val="005811AF"/>
    <w:rsid w:val="00581337"/>
    <w:rsid w:val="005819D8"/>
    <w:rsid w:val="00584A84"/>
    <w:rsid w:val="00584DCF"/>
    <w:rsid w:val="00584EB7"/>
    <w:rsid w:val="005864C1"/>
    <w:rsid w:val="005864C8"/>
    <w:rsid w:val="00591591"/>
    <w:rsid w:val="00592A90"/>
    <w:rsid w:val="00593430"/>
    <w:rsid w:val="00593811"/>
    <w:rsid w:val="00595FFF"/>
    <w:rsid w:val="0059610E"/>
    <w:rsid w:val="005965F8"/>
    <w:rsid w:val="005A10FE"/>
    <w:rsid w:val="005A39E1"/>
    <w:rsid w:val="005A39F5"/>
    <w:rsid w:val="005A4E40"/>
    <w:rsid w:val="005A5149"/>
    <w:rsid w:val="005A5B77"/>
    <w:rsid w:val="005A64F1"/>
    <w:rsid w:val="005A6817"/>
    <w:rsid w:val="005A74AA"/>
    <w:rsid w:val="005A78E2"/>
    <w:rsid w:val="005B0771"/>
    <w:rsid w:val="005B0A5D"/>
    <w:rsid w:val="005B1BA5"/>
    <w:rsid w:val="005B3DCF"/>
    <w:rsid w:val="005B4C33"/>
    <w:rsid w:val="005B7A1E"/>
    <w:rsid w:val="005B7EE1"/>
    <w:rsid w:val="005C0974"/>
    <w:rsid w:val="005C0BED"/>
    <w:rsid w:val="005C1027"/>
    <w:rsid w:val="005C2643"/>
    <w:rsid w:val="005C2C57"/>
    <w:rsid w:val="005C3785"/>
    <w:rsid w:val="005C4312"/>
    <w:rsid w:val="005C5CFE"/>
    <w:rsid w:val="005C61D5"/>
    <w:rsid w:val="005C7DA7"/>
    <w:rsid w:val="005C7ECB"/>
    <w:rsid w:val="005D0E79"/>
    <w:rsid w:val="005D19E2"/>
    <w:rsid w:val="005D1E00"/>
    <w:rsid w:val="005D1E0A"/>
    <w:rsid w:val="005D2CF9"/>
    <w:rsid w:val="005D41D7"/>
    <w:rsid w:val="005D46F6"/>
    <w:rsid w:val="005D594E"/>
    <w:rsid w:val="005D6055"/>
    <w:rsid w:val="005D60EE"/>
    <w:rsid w:val="005D7B00"/>
    <w:rsid w:val="005D7C4E"/>
    <w:rsid w:val="005E0413"/>
    <w:rsid w:val="005E2CBD"/>
    <w:rsid w:val="005E34BD"/>
    <w:rsid w:val="005E351E"/>
    <w:rsid w:val="005E380E"/>
    <w:rsid w:val="005E6275"/>
    <w:rsid w:val="005E64E8"/>
    <w:rsid w:val="005E75D8"/>
    <w:rsid w:val="005F1027"/>
    <w:rsid w:val="005F1652"/>
    <w:rsid w:val="005F1ABD"/>
    <w:rsid w:val="005F2561"/>
    <w:rsid w:val="005F3EAA"/>
    <w:rsid w:val="005F5722"/>
    <w:rsid w:val="005F6D00"/>
    <w:rsid w:val="005F70EC"/>
    <w:rsid w:val="00600213"/>
    <w:rsid w:val="00601A32"/>
    <w:rsid w:val="00601DC2"/>
    <w:rsid w:val="00602711"/>
    <w:rsid w:val="006033CD"/>
    <w:rsid w:val="0060411B"/>
    <w:rsid w:val="00604929"/>
    <w:rsid w:val="00604CB1"/>
    <w:rsid w:val="00604E4F"/>
    <w:rsid w:val="006071D3"/>
    <w:rsid w:val="0060747E"/>
    <w:rsid w:val="00607F27"/>
    <w:rsid w:val="00610112"/>
    <w:rsid w:val="00611A08"/>
    <w:rsid w:val="00611C18"/>
    <w:rsid w:val="00613159"/>
    <w:rsid w:val="0061365D"/>
    <w:rsid w:val="006141C6"/>
    <w:rsid w:val="0061696A"/>
    <w:rsid w:val="00616B50"/>
    <w:rsid w:val="00617127"/>
    <w:rsid w:val="006179EA"/>
    <w:rsid w:val="00620AE2"/>
    <w:rsid w:val="006220C2"/>
    <w:rsid w:val="00622E07"/>
    <w:rsid w:val="006230D3"/>
    <w:rsid w:val="0062318C"/>
    <w:rsid w:val="00623742"/>
    <w:rsid w:val="00623FDD"/>
    <w:rsid w:val="006251A9"/>
    <w:rsid w:val="00625585"/>
    <w:rsid w:val="00626F74"/>
    <w:rsid w:val="006276D0"/>
    <w:rsid w:val="0063028A"/>
    <w:rsid w:val="0063168A"/>
    <w:rsid w:val="00631ABB"/>
    <w:rsid w:val="00634E3D"/>
    <w:rsid w:val="006359AC"/>
    <w:rsid w:val="006415D5"/>
    <w:rsid w:val="00643A4F"/>
    <w:rsid w:val="006452AD"/>
    <w:rsid w:val="00645D0A"/>
    <w:rsid w:val="0064728A"/>
    <w:rsid w:val="0065059B"/>
    <w:rsid w:val="006528DE"/>
    <w:rsid w:val="00653E17"/>
    <w:rsid w:val="00654520"/>
    <w:rsid w:val="00655075"/>
    <w:rsid w:val="006556F9"/>
    <w:rsid w:val="00655DE1"/>
    <w:rsid w:val="00656435"/>
    <w:rsid w:val="00656C27"/>
    <w:rsid w:val="00657416"/>
    <w:rsid w:val="00657490"/>
    <w:rsid w:val="00657B81"/>
    <w:rsid w:val="00657FF4"/>
    <w:rsid w:val="00661212"/>
    <w:rsid w:val="00661B32"/>
    <w:rsid w:val="00662EAD"/>
    <w:rsid w:val="0066323D"/>
    <w:rsid w:val="00663FA9"/>
    <w:rsid w:val="0066741A"/>
    <w:rsid w:val="00667F05"/>
    <w:rsid w:val="0067092D"/>
    <w:rsid w:val="00671994"/>
    <w:rsid w:val="00673207"/>
    <w:rsid w:val="00673B5B"/>
    <w:rsid w:val="00674272"/>
    <w:rsid w:val="006758B1"/>
    <w:rsid w:val="0067597F"/>
    <w:rsid w:val="00677294"/>
    <w:rsid w:val="00677773"/>
    <w:rsid w:val="00680358"/>
    <w:rsid w:val="00680759"/>
    <w:rsid w:val="00680FB2"/>
    <w:rsid w:val="0068141B"/>
    <w:rsid w:val="00681544"/>
    <w:rsid w:val="00681E89"/>
    <w:rsid w:val="00683DCA"/>
    <w:rsid w:val="00684862"/>
    <w:rsid w:val="00687FBE"/>
    <w:rsid w:val="00691103"/>
    <w:rsid w:val="006917C4"/>
    <w:rsid w:val="00691D76"/>
    <w:rsid w:val="0069262F"/>
    <w:rsid w:val="00693E9A"/>
    <w:rsid w:val="00694C2A"/>
    <w:rsid w:val="006979E1"/>
    <w:rsid w:val="006A06FE"/>
    <w:rsid w:val="006A12B0"/>
    <w:rsid w:val="006A3395"/>
    <w:rsid w:val="006A438D"/>
    <w:rsid w:val="006A4AB5"/>
    <w:rsid w:val="006A52EC"/>
    <w:rsid w:val="006A53E4"/>
    <w:rsid w:val="006A5AB5"/>
    <w:rsid w:val="006A6002"/>
    <w:rsid w:val="006B0360"/>
    <w:rsid w:val="006B1A76"/>
    <w:rsid w:val="006B3625"/>
    <w:rsid w:val="006B3BE2"/>
    <w:rsid w:val="006B4BB5"/>
    <w:rsid w:val="006B6438"/>
    <w:rsid w:val="006B672F"/>
    <w:rsid w:val="006B6DDD"/>
    <w:rsid w:val="006B7618"/>
    <w:rsid w:val="006B7D3C"/>
    <w:rsid w:val="006C139E"/>
    <w:rsid w:val="006C16D7"/>
    <w:rsid w:val="006C3F04"/>
    <w:rsid w:val="006C4215"/>
    <w:rsid w:val="006C6767"/>
    <w:rsid w:val="006C7460"/>
    <w:rsid w:val="006D001F"/>
    <w:rsid w:val="006D14DF"/>
    <w:rsid w:val="006D18E5"/>
    <w:rsid w:val="006D4031"/>
    <w:rsid w:val="006D4C90"/>
    <w:rsid w:val="006D547A"/>
    <w:rsid w:val="006D54AC"/>
    <w:rsid w:val="006D54D1"/>
    <w:rsid w:val="006D5D05"/>
    <w:rsid w:val="006D6CF4"/>
    <w:rsid w:val="006D6F8C"/>
    <w:rsid w:val="006D7F21"/>
    <w:rsid w:val="006E12DA"/>
    <w:rsid w:val="006E1FBC"/>
    <w:rsid w:val="006E2BC6"/>
    <w:rsid w:val="006E2C11"/>
    <w:rsid w:val="006E4331"/>
    <w:rsid w:val="006E544A"/>
    <w:rsid w:val="006E654B"/>
    <w:rsid w:val="006E6727"/>
    <w:rsid w:val="006E67A3"/>
    <w:rsid w:val="006E7F32"/>
    <w:rsid w:val="006F04C8"/>
    <w:rsid w:val="006F0DCD"/>
    <w:rsid w:val="006F123C"/>
    <w:rsid w:val="006F2301"/>
    <w:rsid w:val="006F2F98"/>
    <w:rsid w:val="006F3356"/>
    <w:rsid w:val="006F3C8A"/>
    <w:rsid w:val="006F3EAD"/>
    <w:rsid w:val="006F5007"/>
    <w:rsid w:val="006F67A0"/>
    <w:rsid w:val="006F6A3D"/>
    <w:rsid w:val="006F6B03"/>
    <w:rsid w:val="006F6FBF"/>
    <w:rsid w:val="006F7408"/>
    <w:rsid w:val="006F7A79"/>
    <w:rsid w:val="006F7B86"/>
    <w:rsid w:val="00700A8C"/>
    <w:rsid w:val="00701449"/>
    <w:rsid w:val="00701A10"/>
    <w:rsid w:val="00702342"/>
    <w:rsid w:val="00702546"/>
    <w:rsid w:val="00705BF4"/>
    <w:rsid w:val="00705D8C"/>
    <w:rsid w:val="0070624F"/>
    <w:rsid w:val="0070639D"/>
    <w:rsid w:val="00706601"/>
    <w:rsid w:val="00706BE2"/>
    <w:rsid w:val="00706ECC"/>
    <w:rsid w:val="00707463"/>
    <w:rsid w:val="00707AE0"/>
    <w:rsid w:val="00712094"/>
    <w:rsid w:val="0071253A"/>
    <w:rsid w:val="00712573"/>
    <w:rsid w:val="007125F7"/>
    <w:rsid w:val="00712A54"/>
    <w:rsid w:val="007140F2"/>
    <w:rsid w:val="00714B1C"/>
    <w:rsid w:val="007177BC"/>
    <w:rsid w:val="00721334"/>
    <w:rsid w:val="00721B94"/>
    <w:rsid w:val="00722814"/>
    <w:rsid w:val="007244E5"/>
    <w:rsid w:val="007254DB"/>
    <w:rsid w:val="00725774"/>
    <w:rsid w:val="00726B3C"/>
    <w:rsid w:val="00726CF3"/>
    <w:rsid w:val="007306F2"/>
    <w:rsid w:val="007310FF"/>
    <w:rsid w:val="00732344"/>
    <w:rsid w:val="00732B7B"/>
    <w:rsid w:val="00734319"/>
    <w:rsid w:val="007344D7"/>
    <w:rsid w:val="0073467A"/>
    <w:rsid w:val="007346DC"/>
    <w:rsid w:val="00735B2D"/>
    <w:rsid w:val="007362FE"/>
    <w:rsid w:val="00737A89"/>
    <w:rsid w:val="00742B8B"/>
    <w:rsid w:val="00743270"/>
    <w:rsid w:val="0074330E"/>
    <w:rsid w:val="0074408B"/>
    <w:rsid w:val="00744139"/>
    <w:rsid w:val="00744EFC"/>
    <w:rsid w:val="007456FA"/>
    <w:rsid w:val="00746135"/>
    <w:rsid w:val="007461E4"/>
    <w:rsid w:val="00746871"/>
    <w:rsid w:val="007503F0"/>
    <w:rsid w:val="00752084"/>
    <w:rsid w:val="0075292B"/>
    <w:rsid w:val="00753581"/>
    <w:rsid w:val="007544B7"/>
    <w:rsid w:val="00755DAD"/>
    <w:rsid w:val="00756518"/>
    <w:rsid w:val="00756C3A"/>
    <w:rsid w:val="007600E2"/>
    <w:rsid w:val="007618CD"/>
    <w:rsid w:val="00762FCD"/>
    <w:rsid w:val="00764AF5"/>
    <w:rsid w:val="0076559A"/>
    <w:rsid w:val="007659E2"/>
    <w:rsid w:val="00765E8C"/>
    <w:rsid w:val="00766099"/>
    <w:rsid w:val="007663F6"/>
    <w:rsid w:val="00766507"/>
    <w:rsid w:val="00766DA4"/>
    <w:rsid w:val="00771177"/>
    <w:rsid w:val="00771CA4"/>
    <w:rsid w:val="007739D9"/>
    <w:rsid w:val="007740E2"/>
    <w:rsid w:val="00775876"/>
    <w:rsid w:val="007763B8"/>
    <w:rsid w:val="00777196"/>
    <w:rsid w:val="00777B6D"/>
    <w:rsid w:val="007821F9"/>
    <w:rsid w:val="0078228C"/>
    <w:rsid w:val="007822AB"/>
    <w:rsid w:val="007822B1"/>
    <w:rsid w:val="00783418"/>
    <w:rsid w:val="007835FB"/>
    <w:rsid w:val="00785220"/>
    <w:rsid w:val="007858FA"/>
    <w:rsid w:val="00785A30"/>
    <w:rsid w:val="00787DA6"/>
    <w:rsid w:val="00790517"/>
    <w:rsid w:val="00790716"/>
    <w:rsid w:val="00790D18"/>
    <w:rsid w:val="00791D83"/>
    <w:rsid w:val="007925B6"/>
    <w:rsid w:val="007933B2"/>
    <w:rsid w:val="00793B00"/>
    <w:rsid w:val="00793DFD"/>
    <w:rsid w:val="00794277"/>
    <w:rsid w:val="00794562"/>
    <w:rsid w:val="00795E2D"/>
    <w:rsid w:val="0079692F"/>
    <w:rsid w:val="00796A8A"/>
    <w:rsid w:val="00797565"/>
    <w:rsid w:val="00797B30"/>
    <w:rsid w:val="007A18E0"/>
    <w:rsid w:val="007A1C4E"/>
    <w:rsid w:val="007A205E"/>
    <w:rsid w:val="007A469E"/>
    <w:rsid w:val="007A5CDB"/>
    <w:rsid w:val="007A5FDB"/>
    <w:rsid w:val="007A6065"/>
    <w:rsid w:val="007A6112"/>
    <w:rsid w:val="007A7237"/>
    <w:rsid w:val="007B02D2"/>
    <w:rsid w:val="007B0382"/>
    <w:rsid w:val="007B239E"/>
    <w:rsid w:val="007B2B4E"/>
    <w:rsid w:val="007B3E9C"/>
    <w:rsid w:val="007B6940"/>
    <w:rsid w:val="007B6F83"/>
    <w:rsid w:val="007C0910"/>
    <w:rsid w:val="007C301A"/>
    <w:rsid w:val="007C37CF"/>
    <w:rsid w:val="007C390C"/>
    <w:rsid w:val="007C412F"/>
    <w:rsid w:val="007C4FC2"/>
    <w:rsid w:val="007C55EC"/>
    <w:rsid w:val="007C6451"/>
    <w:rsid w:val="007C6882"/>
    <w:rsid w:val="007C7D59"/>
    <w:rsid w:val="007C7EBD"/>
    <w:rsid w:val="007D061B"/>
    <w:rsid w:val="007D18D6"/>
    <w:rsid w:val="007D4653"/>
    <w:rsid w:val="007D5842"/>
    <w:rsid w:val="007D605D"/>
    <w:rsid w:val="007D7A97"/>
    <w:rsid w:val="007E01D7"/>
    <w:rsid w:val="007E0D8C"/>
    <w:rsid w:val="007E0EEA"/>
    <w:rsid w:val="007E178C"/>
    <w:rsid w:val="007E2D77"/>
    <w:rsid w:val="007E350E"/>
    <w:rsid w:val="007F03AD"/>
    <w:rsid w:val="007F0551"/>
    <w:rsid w:val="007F087E"/>
    <w:rsid w:val="007F16C1"/>
    <w:rsid w:val="007F2BEA"/>
    <w:rsid w:val="007F40ED"/>
    <w:rsid w:val="007F51B9"/>
    <w:rsid w:val="007F5FE1"/>
    <w:rsid w:val="007F608D"/>
    <w:rsid w:val="007F66F2"/>
    <w:rsid w:val="007F714C"/>
    <w:rsid w:val="008025B7"/>
    <w:rsid w:val="008026C6"/>
    <w:rsid w:val="0080467E"/>
    <w:rsid w:val="00805064"/>
    <w:rsid w:val="0080558A"/>
    <w:rsid w:val="00807215"/>
    <w:rsid w:val="00807B21"/>
    <w:rsid w:val="00814948"/>
    <w:rsid w:val="008151DF"/>
    <w:rsid w:val="0081631D"/>
    <w:rsid w:val="008203C6"/>
    <w:rsid w:val="00821965"/>
    <w:rsid w:val="0082391B"/>
    <w:rsid w:val="00823B91"/>
    <w:rsid w:val="00824B1A"/>
    <w:rsid w:val="008252E2"/>
    <w:rsid w:val="0082570F"/>
    <w:rsid w:val="0082572B"/>
    <w:rsid w:val="00827C83"/>
    <w:rsid w:val="00830897"/>
    <w:rsid w:val="008318DD"/>
    <w:rsid w:val="00831F50"/>
    <w:rsid w:val="00831FC5"/>
    <w:rsid w:val="008329FA"/>
    <w:rsid w:val="008336F2"/>
    <w:rsid w:val="00834636"/>
    <w:rsid w:val="008359D2"/>
    <w:rsid w:val="00836969"/>
    <w:rsid w:val="00836A6A"/>
    <w:rsid w:val="00837377"/>
    <w:rsid w:val="00837D8F"/>
    <w:rsid w:val="00840149"/>
    <w:rsid w:val="00840180"/>
    <w:rsid w:val="00840770"/>
    <w:rsid w:val="00840CB7"/>
    <w:rsid w:val="0084108A"/>
    <w:rsid w:val="00841194"/>
    <w:rsid w:val="00841FF4"/>
    <w:rsid w:val="00842493"/>
    <w:rsid w:val="008433AF"/>
    <w:rsid w:val="0084356C"/>
    <w:rsid w:val="00843758"/>
    <w:rsid w:val="00844086"/>
    <w:rsid w:val="00846325"/>
    <w:rsid w:val="008463D1"/>
    <w:rsid w:val="0084652B"/>
    <w:rsid w:val="0084718F"/>
    <w:rsid w:val="00847EF9"/>
    <w:rsid w:val="00850E95"/>
    <w:rsid w:val="00851F38"/>
    <w:rsid w:val="00852B00"/>
    <w:rsid w:val="00853009"/>
    <w:rsid w:val="00853B61"/>
    <w:rsid w:val="00853FC6"/>
    <w:rsid w:val="00855A16"/>
    <w:rsid w:val="00856946"/>
    <w:rsid w:val="008578DF"/>
    <w:rsid w:val="00857C86"/>
    <w:rsid w:val="00860086"/>
    <w:rsid w:val="00861D46"/>
    <w:rsid w:val="00861E6B"/>
    <w:rsid w:val="00861F69"/>
    <w:rsid w:val="008627FE"/>
    <w:rsid w:val="00862E28"/>
    <w:rsid w:val="0086462A"/>
    <w:rsid w:val="0086598A"/>
    <w:rsid w:val="0086692D"/>
    <w:rsid w:val="00870F31"/>
    <w:rsid w:val="00871C32"/>
    <w:rsid w:val="00872C74"/>
    <w:rsid w:val="00872F52"/>
    <w:rsid w:val="008732F0"/>
    <w:rsid w:val="008736A3"/>
    <w:rsid w:val="00873AEA"/>
    <w:rsid w:val="00873C3E"/>
    <w:rsid w:val="00874306"/>
    <w:rsid w:val="00874D6C"/>
    <w:rsid w:val="008750FF"/>
    <w:rsid w:val="0087556B"/>
    <w:rsid w:val="00875924"/>
    <w:rsid w:val="008760F5"/>
    <w:rsid w:val="00876BC6"/>
    <w:rsid w:val="00880FA0"/>
    <w:rsid w:val="00883710"/>
    <w:rsid w:val="008854FA"/>
    <w:rsid w:val="0088608D"/>
    <w:rsid w:val="0088657D"/>
    <w:rsid w:val="008872F5"/>
    <w:rsid w:val="00887B0F"/>
    <w:rsid w:val="00887BA0"/>
    <w:rsid w:val="0089015A"/>
    <w:rsid w:val="00890494"/>
    <w:rsid w:val="00891528"/>
    <w:rsid w:val="00891A27"/>
    <w:rsid w:val="00891D02"/>
    <w:rsid w:val="00892573"/>
    <w:rsid w:val="008925B7"/>
    <w:rsid w:val="0089448C"/>
    <w:rsid w:val="00894629"/>
    <w:rsid w:val="00894664"/>
    <w:rsid w:val="0089548D"/>
    <w:rsid w:val="00895FE9"/>
    <w:rsid w:val="0089604C"/>
    <w:rsid w:val="008967FC"/>
    <w:rsid w:val="00896D76"/>
    <w:rsid w:val="008A11D4"/>
    <w:rsid w:val="008A1F67"/>
    <w:rsid w:val="008A3A60"/>
    <w:rsid w:val="008A4359"/>
    <w:rsid w:val="008A4D87"/>
    <w:rsid w:val="008A5509"/>
    <w:rsid w:val="008A561C"/>
    <w:rsid w:val="008A783D"/>
    <w:rsid w:val="008B0CE1"/>
    <w:rsid w:val="008B0E4C"/>
    <w:rsid w:val="008B2032"/>
    <w:rsid w:val="008B2049"/>
    <w:rsid w:val="008B20EF"/>
    <w:rsid w:val="008B27AF"/>
    <w:rsid w:val="008B2BD7"/>
    <w:rsid w:val="008B301A"/>
    <w:rsid w:val="008B3CA8"/>
    <w:rsid w:val="008B4E3D"/>
    <w:rsid w:val="008B633E"/>
    <w:rsid w:val="008B673E"/>
    <w:rsid w:val="008B7850"/>
    <w:rsid w:val="008C1EE3"/>
    <w:rsid w:val="008C237C"/>
    <w:rsid w:val="008C2ECC"/>
    <w:rsid w:val="008C3C0A"/>
    <w:rsid w:val="008C3E1F"/>
    <w:rsid w:val="008C4F20"/>
    <w:rsid w:val="008C5CCF"/>
    <w:rsid w:val="008C7D00"/>
    <w:rsid w:val="008D01B9"/>
    <w:rsid w:val="008D04D6"/>
    <w:rsid w:val="008D142B"/>
    <w:rsid w:val="008D1DF0"/>
    <w:rsid w:val="008D232D"/>
    <w:rsid w:val="008D38DD"/>
    <w:rsid w:val="008D3C3D"/>
    <w:rsid w:val="008D550B"/>
    <w:rsid w:val="008D7CBE"/>
    <w:rsid w:val="008E154B"/>
    <w:rsid w:val="008E1930"/>
    <w:rsid w:val="008E2BA6"/>
    <w:rsid w:val="008E3829"/>
    <w:rsid w:val="008E4C17"/>
    <w:rsid w:val="008E7A5D"/>
    <w:rsid w:val="008F27E3"/>
    <w:rsid w:val="008F6D25"/>
    <w:rsid w:val="00900CEF"/>
    <w:rsid w:val="00901757"/>
    <w:rsid w:val="00901ECF"/>
    <w:rsid w:val="0090465F"/>
    <w:rsid w:val="00904811"/>
    <w:rsid w:val="009057E7"/>
    <w:rsid w:val="0090601C"/>
    <w:rsid w:val="00911439"/>
    <w:rsid w:val="00912370"/>
    <w:rsid w:val="00913FF5"/>
    <w:rsid w:val="00914110"/>
    <w:rsid w:val="00915FE0"/>
    <w:rsid w:val="009168FA"/>
    <w:rsid w:val="00916AD6"/>
    <w:rsid w:val="009170E2"/>
    <w:rsid w:val="00920FB9"/>
    <w:rsid w:val="00921C3B"/>
    <w:rsid w:val="00921EE2"/>
    <w:rsid w:val="0092257A"/>
    <w:rsid w:val="00922D5D"/>
    <w:rsid w:val="00923A84"/>
    <w:rsid w:val="009247FD"/>
    <w:rsid w:val="00926AFB"/>
    <w:rsid w:val="00926C7C"/>
    <w:rsid w:val="00927255"/>
    <w:rsid w:val="0092789C"/>
    <w:rsid w:val="00930272"/>
    <w:rsid w:val="00931626"/>
    <w:rsid w:val="00931968"/>
    <w:rsid w:val="00931F6B"/>
    <w:rsid w:val="00932700"/>
    <w:rsid w:val="00932DF5"/>
    <w:rsid w:val="00932EB9"/>
    <w:rsid w:val="009332EC"/>
    <w:rsid w:val="009363C7"/>
    <w:rsid w:val="009408E2"/>
    <w:rsid w:val="009417C3"/>
    <w:rsid w:val="00944080"/>
    <w:rsid w:val="00944273"/>
    <w:rsid w:val="00945F7D"/>
    <w:rsid w:val="00947949"/>
    <w:rsid w:val="00950281"/>
    <w:rsid w:val="00951651"/>
    <w:rsid w:val="0095200C"/>
    <w:rsid w:val="0095247C"/>
    <w:rsid w:val="00952C81"/>
    <w:rsid w:val="00953C07"/>
    <w:rsid w:val="00955B5C"/>
    <w:rsid w:val="00955BC2"/>
    <w:rsid w:val="00955C6F"/>
    <w:rsid w:val="00955D05"/>
    <w:rsid w:val="009573FD"/>
    <w:rsid w:val="009578D2"/>
    <w:rsid w:val="009578FC"/>
    <w:rsid w:val="00960002"/>
    <w:rsid w:val="00961D54"/>
    <w:rsid w:val="00962757"/>
    <w:rsid w:val="009631B7"/>
    <w:rsid w:val="00965A46"/>
    <w:rsid w:val="0096641C"/>
    <w:rsid w:val="00966921"/>
    <w:rsid w:val="00970472"/>
    <w:rsid w:val="009713C8"/>
    <w:rsid w:val="00971752"/>
    <w:rsid w:val="0097386B"/>
    <w:rsid w:val="00973D5F"/>
    <w:rsid w:val="009748BD"/>
    <w:rsid w:val="00975C0B"/>
    <w:rsid w:val="00975F6D"/>
    <w:rsid w:val="00976210"/>
    <w:rsid w:val="00976F4F"/>
    <w:rsid w:val="00976F65"/>
    <w:rsid w:val="009824B2"/>
    <w:rsid w:val="009831BE"/>
    <w:rsid w:val="0098324A"/>
    <w:rsid w:val="00983626"/>
    <w:rsid w:val="0098438D"/>
    <w:rsid w:val="0098448B"/>
    <w:rsid w:val="00984926"/>
    <w:rsid w:val="00984F7B"/>
    <w:rsid w:val="009853BD"/>
    <w:rsid w:val="00986387"/>
    <w:rsid w:val="00986DA3"/>
    <w:rsid w:val="009902DF"/>
    <w:rsid w:val="009911AD"/>
    <w:rsid w:val="00991754"/>
    <w:rsid w:val="0099354B"/>
    <w:rsid w:val="0099357E"/>
    <w:rsid w:val="00994FE0"/>
    <w:rsid w:val="009952B4"/>
    <w:rsid w:val="00997C72"/>
    <w:rsid w:val="009A086B"/>
    <w:rsid w:val="009A0AD2"/>
    <w:rsid w:val="009A1C71"/>
    <w:rsid w:val="009A1C76"/>
    <w:rsid w:val="009A24D0"/>
    <w:rsid w:val="009A298E"/>
    <w:rsid w:val="009A2F09"/>
    <w:rsid w:val="009A43E1"/>
    <w:rsid w:val="009A5017"/>
    <w:rsid w:val="009A6C22"/>
    <w:rsid w:val="009A6D39"/>
    <w:rsid w:val="009A7C79"/>
    <w:rsid w:val="009B0608"/>
    <w:rsid w:val="009B157A"/>
    <w:rsid w:val="009B206B"/>
    <w:rsid w:val="009B375A"/>
    <w:rsid w:val="009B41E7"/>
    <w:rsid w:val="009B5174"/>
    <w:rsid w:val="009B60AB"/>
    <w:rsid w:val="009B696F"/>
    <w:rsid w:val="009B6CE3"/>
    <w:rsid w:val="009B6FB8"/>
    <w:rsid w:val="009B70FF"/>
    <w:rsid w:val="009B7D2F"/>
    <w:rsid w:val="009C0FEC"/>
    <w:rsid w:val="009C114E"/>
    <w:rsid w:val="009C1BE7"/>
    <w:rsid w:val="009C44DE"/>
    <w:rsid w:val="009C49D4"/>
    <w:rsid w:val="009C6951"/>
    <w:rsid w:val="009C754A"/>
    <w:rsid w:val="009C7D3D"/>
    <w:rsid w:val="009D2BA9"/>
    <w:rsid w:val="009D40FE"/>
    <w:rsid w:val="009E0AB5"/>
    <w:rsid w:val="009E0DD0"/>
    <w:rsid w:val="009E0F4B"/>
    <w:rsid w:val="009E2F41"/>
    <w:rsid w:val="009E38FB"/>
    <w:rsid w:val="009E3E76"/>
    <w:rsid w:val="009E407A"/>
    <w:rsid w:val="009E4894"/>
    <w:rsid w:val="009E6AC6"/>
    <w:rsid w:val="009E6E8B"/>
    <w:rsid w:val="009F07D5"/>
    <w:rsid w:val="009F1475"/>
    <w:rsid w:val="009F1584"/>
    <w:rsid w:val="009F1EDE"/>
    <w:rsid w:val="009F2B71"/>
    <w:rsid w:val="009F316E"/>
    <w:rsid w:val="009F3D43"/>
    <w:rsid w:val="009F5072"/>
    <w:rsid w:val="009F5DC9"/>
    <w:rsid w:val="00A002FE"/>
    <w:rsid w:val="00A00DF2"/>
    <w:rsid w:val="00A01321"/>
    <w:rsid w:val="00A0499A"/>
    <w:rsid w:val="00A04F5C"/>
    <w:rsid w:val="00A06401"/>
    <w:rsid w:val="00A101F6"/>
    <w:rsid w:val="00A12BE8"/>
    <w:rsid w:val="00A22869"/>
    <w:rsid w:val="00A24206"/>
    <w:rsid w:val="00A26C79"/>
    <w:rsid w:val="00A30E62"/>
    <w:rsid w:val="00A32937"/>
    <w:rsid w:val="00A33A16"/>
    <w:rsid w:val="00A33C86"/>
    <w:rsid w:val="00A350F7"/>
    <w:rsid w:val="00A35456"/>
    <w:rsid w:val="00A3545D"/>
    <w:rsid w:val="00A36341"/>
    <w:rsid w:val="00A36434"/>
    <w:rsid w:val="00A371C2"/>
    <w:rsid w:val="00A378EC"/>
    <w:rsid w:val="00A40CCA"/>
    <w:rsid w:val="00A421AB"/>
    <w:rsid w:val="00A427D8"/>
    <w:rsid w:val="00A428E4"/>
    <w:rsid w:val="00A42A94"/>
    <w:rsid w:val="00A42B90"/>
    <w:rsid w:val="00A44038"/>
    <w:rsid w:val="00A448C7"/>
    <w:rsid w:val="00A45859"/>
    <w:rsid w:val="00A461FC"/>
    <w:rsid w:val="00A46710"/>
    <w:rsid w:val="00A46BB3"/>
    <w:rsid w:val="00A46CDF"/>
    <w:rsid w:val="00A47233"/>
    <w:rsid w:val="00A50E11"/>
    <w:rsid w:val="00A51167"/>
    <w:rsid w:val="00A53C03"/>
    <w:rsid w:val="00A53DB5"/>
    <w:rsid w:val="00A53E11"/>
    <w:rsid w:val="00A55254"/>
    <w:rsid w:val="00A556F8"/>
    <w:rsid w:val="00A56023"/>
    <w:rsid w:val="00A5704A"/>
    <w:rsid w:val="00A60A32"/>
    <w:rsid w:val="00A61BCB"/>
    <w:rsid w:val="00A639D1"/>
    <w:rsid w:val="00A642AB"/>
    <w:rsid w:val="00A64E3B"/>
    <w:rsid w:val="00A6707E"/>
    <w:rsid w:val="00A6723E"/>
    <w:rsid w:val="00A676C4"/>
    <w:rsid w:val="00A67D35"/>
    <w:rsid w:val="00A70C9F"/>
    <w:rsid w:val="00A71741"/>
    <w:rsid w:val="00A72692"/>
    <w:rsid w:val="00A73755"/>
    <w:rsid w:val="00A7393C"/>
    <w:rsid w:val="00A75DE6"/>
    <w:rsid w:val="00A76D5B"/>
    <w:rsid w:val="00A8037E"/>
    <w:rsid w:val="00A803B5"/>
    <w:rsid w:val="00A81201"/>
    <w:rsid w:val="00A823EC"/>
    <w:rsid w:val="00A8253B"/>
    <w:rsid w:val="00A844EE"/>
    <w:rsid w:val="00A84855"/>
    <w:rsid w:val="00A848E8"/>
    <w:rsid w:val="00A85949"/>
    <w:rsid w:val="00A876D2"/>
    <w:rsid w:val="00A91095"/>
    <w:rsid w:val="00A91813"/>
    <w:rsid w:val="00A91EA2"/>
    <w:rsid w:val="00A9415D"/>
    <w:rsid w:val="00A94B8B"/>
    <w:rsid w:val="00A94EF7"/>
    <w:rsid w:val="00A971FC"/>
    <w:rsid w:val="00A97585"/>
    <w:rsid w:val="00A97676"/>
    <w:rsid w:val="00A97988"/>
    <w:rsid w:val="00A97BAB"/>
    <w:rsid w:val="00AA029D"/>
    <w:rsid w:val="00AA1796"/>
    <w:rsid w:val="00AA20F4"/>
    <w:rsid w:val="00AA23FE"/>
    <w:rsid w:val="00AA2A8B"/>
    <w:rsid w:val="00AA4DA8"/>
    <w:rsid w:val="00AA65BD"/>
    <w:rsid w:val="00AA780D"/>
    <w:rsid w:val="00AB0B72"/>
    <w:rsid w:val="00AB0EF3"/>
    <w:rsid w:val="00AB1A5C"/>
    <w:rsid w:val="00AB2E91"/>
    <w:rsid w:val="00AB3568"/>
    <w:rsid w:val="00AB4D40"/>
    <w:rsid w:val="00AB61B6"/>
    <w:rsid w:val="00AB6B86"/>
    <w:rsid w:val="00AB7FA4"/>
    <w:rsid w:val="00AC0F47"/>
    <w:rsid w:val="00AC23FD"/>
    <w:rsid w:val="00AC3A86"/>
    <w:rsid w:val="00AC4A10"/>
    <w:rsid w:val="00AC4E91"/>
    <w:rsid w:val="00AC4FDC"/>
    <w:rsid w:val="00AC56C9"/>
    <w:rsid w:val="00AC61EB"/>
    <w:rsid w:val="00AC67C9"/>
    <w:rsid w:val="00AC6BA6"/>
    <w:rsid w:val="00AC77B2"/>
    <w:rsid w:val="00AD0F3D"/>
    <w:rsid w:val="00AD178D"/>
    <w:rsid w:val="00AD34E2"/>
    <w:rsid w:val="00AD3C70"/>
    <w:rsid w:val="00AD43F3"/>
    <w:rsid w:val="00AD60E2"/>
    <w:rsid w:val="00AD6EE0"/>
    <w:rsid w:val="00AE0899"/>
    <w:rsid w:val="00AE0EDF"/>
    <w:rsid w:val="00AE1DFB"/>
    <w:rsid w:val="00AE1EA5"/>
    <w:rsid w:val="00AE2B56"/>
    <w:rsid w:val="00AE424B"/>
    <w:rsid w:val="00AE77D3"/>
    <w:rsid w:val="00AF0816"/>
    <w:rsid w:val="00AF0FB3"/>
    <w:rsid w:val="00AF1EE6"/>
    <w:rsid w:val="00AF4C72"/>
    <w:rsid w:val="00AF4E7F"/>
    <w:rsid w:val="00AF6EF1"/>
    <w:rsid w:val="00AF7C69"/>
    <w:rsid w:val="00B00CA5"/>
    <w:rsid w:val="00B00F0E"/>
    <w:rsid w:val="00B016CD"/>
    <w:rsid w:val="00B01AE7"/>
    <w:rsid w:val="00B02B00"/>
    <w:rsid w:val="00B036DB"/>
    <w:rsid w:val="00B05A21"/>
    <w:rsid w:val="00B05DB0"/>
    <w:rsid w:val="00B06A76"/>
    <w:rsid w:val="00B07178"/>
    <w:rsid w:val="00B07FB7"/>
    <w:rsid w:val="00B102D0"/>
    <w:rsid w:val="00B11048"/>
    <w:rsid w:val="00B11103"/>
    <w:rsid w:val="00B12B5D"/>
    <w:rsid w:val="00B130C4"/>
    <w:rsid w:val="00B13C70"/>
    <w:rsid w:val="00B14B49"/>
    <w:rsid w:val="00B15891"/>
    <w:rsid w:val="00B15BE6"/>
    <w:rsid w:val="00B163C0"/>
    <w:rsid w:val="00B215F8"/>
    <w:rsid w:val="00B2216F"/>
    <w:rsid w:val="00B224CF"/>
    <w:rsid w:val="00B228F0"/>
    <w:rsid w:val="00B2301A"/>
    <w:rsid w:val="00B23EE9"/>
    <w:rsid w:val="00B25781"/>
    <w:rsid w:val="00B25A91"/>
    <w:rsid w:val="00B26069"/>
    <w:rsid w:val="00B264F0"/>
    <w:rsid w:val="00B26959"/>
    <w:rsid w:val="00B26D2D"/>
    <w:rsid w:val="00B31D1C"/>
    <w:rsid w:val="00B32EAA"/>
    <w:rsid w:val="00B33497"/>
    <w:rsid w:val="00B33A32"/>
    <w:rsid w:val="00B34140"/>
    <w:rsid w:val="00B342AA"/>
    <w:rsid w:val="00B34DF7"/>
    <w:rsid w:val="00B3588F"/>
    <w:rsid w:val="00B35A4C"/>
    <w:rsid w:val="00B43160"/>
    <w:rsid w:val="00B4357A"/>
    <w:rsid w:val="00B44029"/>
    <w:rsid w:val="00B4481E"/>
    <w:rsid w:val="00B45DAA"/>
    <w:rsid w:val="00B45E02"/>
    <w:rsid w:val="00B4651B"/>
    <w:rsid w:val="00B504C4"/>
    <w:rsid w:val="00B50A95"/>
    <w:rsid w:val="00B50D1A"/>
    <w:rsid w:val="00B52374"/>
    <w:rsid w:val="00B52751"/>
    <w:rsid w:val="00B52AF6"/>
    <w:rsid w:val="00B53C1A"/>
    <w:rsid w:val="00B5458C"/>
    <w:rsid w:val="00B56BEF"/>
    <w:rsid w:val="00B56F66"/>
    <w:rsid w:val="00B57733"/>
    <w:rsid w:val="00B603B0"/>
    <w:rsid w:val="00B610D2"/>
    <w:rsid w:val="00B6219D"/>
    <w:rsid w:val="00B625D8"/>
    <w:rsid w:val="00B62BBD"/>
    <w:rsid w:val="00B640BA"/>
    <w:rsid w:val="00B64662"/>
    <w:rsid w:val="00B64B4D"/>
    <w:rsid w:val="00B66754"/>
    <w:rsid w:val="00B66B00"/>
    <w:rsid w:val="00B67018"/>
    <w:rsid w:val="00B70220"/>
    <w:rsid w:val="00B709D6"/>
    <w:rsid w:val="00B710FD"/>
    <w:rsid w:val="00B713C9"/>
    <w:rsid w:val="00B71456"/>
    <w:rsid w:val="00B73DB3"/>
    <w:rsid w:val="00B74D66"/>
    <w:rsid w:val="00B7632E"/>
    <w:rsid w:val="00B76DC3"/>
    <w:rsid w:val="00B77244"/>
    <w:rsid w:val="00B81518"/>
    <w:rsid w:val="00B815C8"/>
    <w:rsid w:val="00B82719"/>
    <w:rsid w:val="00B8280B"/>
    <w:rsid w:val="00B83C51"/>
    <w:rsid w:val="00B86387"/>
    <w:rsid w:val="00B86DC2"/>
    <w:rsid w:val="00B87A5C"/>
    <w:rsid w:val="00B92530"/>
    <w:rsid w:val="00B92916"/>
    <w:rsid w:val="00B93C84"/>
    <w:rsid w:val="00B94441"/>
    <w:rsid w:val="00B95695"/>
    <w:rsid w:val="00B95EE4"/>
    <w:rsid w:val="00B978FE"/>
    <w:rsid w:val="00B97F62"/>
    <w:rsid w:val="00BA017A"/>
    <w:rsid w:val="00BA1453"/>
    <w:rsid w:val="00BA2751"/>
    <w:rsid w:val="00BA28C9"/>
    <w:rsid w:val="00BA3284"/>
    <w:rsid w:val="00BA4253"/>
    <w:rsid w:val="00BA4DB6"/>
    <w:rsid w:val="00BA528E"/>
    <w:rsid w:val="00BA5ABA"/>
    <w:rsid w:val="00BB0787"/>
    <w:rsid w:val="00BB0A21"/>
    <w:rsid w:val="00BB12F5"/>
    <w:rsid w:val="00BB253D"/>
    <w:rsid w:val="00BB2837"/>
    <w:rsid w:val="00BB6042"/>
    <w:rsid w:val="00BB7C33"/>
    <w:rsid w:val="00BC1972"/>
    <w:rsid w:val="00BC211B"/>
    <w:rsid w:val="00BC24D0"/>
    <w:rsid w:val="00BC4D46"/>
    <w:rsid w:val="00BC66CF"/>
    <w:rsid w:val="00BC7337"/>
    <w:rsid w:val="00BC7541"/>
    <w:rsid w:val="00BD16C5"/>
    <w:rsid w:val="00BD334E"/>
    <w:rsid w:val="00BD33CF"/>
    <w:rsid w:val="00BD3B7B"/>
    <w:rsid w:val="00BD4139"/>
    <w:rsid w:val="00BD533A"/>
    <w:rsid w:val="00BD68FC"/>
    <w:rsid w:val="00BD7B10"/>
    <w:rsid w:val="00BD7ED2"/>
    <w:rsid w:val="00BE0213"/>
    <w:rsid w:val="00BE1508"/>
    <w:rsid w:val="00BE2550"/>
    <w:rsid w:val="00BE2886"/>
    <w:rsid w:val="00BE4E80"/>
    <w:rsid w:val="00BE57EB"/>
    <w:rsid w:val="00BE5EC1"/>
    <w:rsid w:val="00BE61DC"/>
    <w:rsid w:val="00BE6C95"/>
    <w:rsid w:val="00BE7A8E"/>
    <w:rsid w:val="00BF0603"/>
    <w:rsid w:val="00BF168C"/>
    <w:rsid w:val="00BF3154"/>
    <w:rsid w:val="00BF4C48"/>
    <w:rsid w:val="00BF5405"/>
    <w:rsid w:val="00BF662F"/>
    <w:rsid w:val="00BF6F54"/>
    <w:rsid w:val="00C0031C"/>
    <w:rsid w:val="00C00699"/>
    <w:rsid w:val="00C0097E"/>
    <w:rsid w:val="00C01C4B"/>
    <w:rsid w:val="00C02A90"/>
    <w:rsid w:val="00C0387A"/>
    <w:rsid w:val="00C03FC1"/>
    <w:rsid w:val="00C0444D"/>
    <w:rsid w:val="00C04856"/>
    <w:rsid w:val="00C04A41"/>
    <w:rsid w:val="00C04C2A"/>
    <w:rsid w:val="00C05100"/>
    <w:rsid w:val="00C0644A"/>
    <w:rsid w:val="00C06A38"/>
    <w:rsid w:val="00C06EF4"/>
    <w:rsid w:val="00C10375"/>
    <w:rsid w:val="00C11338"/>
    <w:rsid w:val="00C13238"/>
    <w:rsid w:val="00C13755"/>
    <w:rsid w:val="00C13911"/>
    <w:rsid w:val="00C13FA0"/>
    <w:rsid w:val="00C14C9D"/>
    <w:rsid w:val="00C15D96"/>
    <w:rsid w:val="00C17071"/>
    <w:rsid w:val="00C20564"/>
    <w:rsid w:val="00C2079B"/>
    <w:rsid w:val="00C209B1"/>
    <w:rsid w:val="00C210E3"/>
    <w:rsid w:val="00C217D0"/>
    <w:rsid w:val="00C22C85"/>
    <w:rsid w:val="00C238BD"/>
    <w:rsid w:val="00C23979"/>
    <w:rsid w:val="00C24C34"/>
    <w:rsid w:val="00C24FED"/>
    <w:rsid w:val="00C25077"/>
    <w:rsid w:val="00C256DB"/>
    <w:rsid w:val="00C258E5"/>
    <w:rsid w:val="00C25D5E"/>
    <w:rsid w:val="00C26411"/>
    <w:rsid w:val="00C273E5"/>
    <w:rsid w:val="00C279FC"/>
    <w:rsid w:val="00C30A1A"/>
    <w:rsid w:val="00C312E7"/>
    <w:rsid w:val="00C33613"/>
    <w:rsid w:val="00C347AF"/>
    <w:rsid w:val="00C34DDE"/>
    <w:rsid w:val="00C351EA"/>
    <w:rsid w:val="00C35D97"/>
    <w:rsid w:val="00C36945"/>
    <w:rsid w:val="00C3795C"/>
    <w:rsid w:val="00C37C08"/>
    <w:rsid w:val="00C400AC"/>
    <w:rsid w:val="00C407F3"/>
    <w:rsid w:val="00C41471"/>
    <w:rsid w:val="00C41CC2"/>
    <w:rsid w:val="00C4314A"/>
    <w:rsid w:val="00C43153"/>
    <w:rsid w:val="00C4377D"/>
    <w:rsid w:val="00C441C5"/>
    <w:rsid w:val="00C44A6E"/>
    <w:rsid w:val="00C45072"/>
    <w:rsid w:val="00C46BE3"/>
    <w:rsid w:val="00C477CC"/>
    <w:rsid w:val="00C503C2"/>
    <w:rsid w:val="00C51A91"/>
    <w:rsid w:val="00C53BAE"/>
    <w:rsid w:val="00C544D2"/>
    <w:rsid w:val="00C54992"/>
    <w:rsid w:val="00C54D91"/>
    <w:rsid w:val="00C55630"/>
    <w:rsid w:val="00C55C00"/>
    <w:rsid w:val="00C56284"/>
    <w:rsid w:val="00C56769"/>
    <w:rsid w:val="00C5735D"/>
    <w:rsid w:val="00C579E9"/>
    <w:rsid w:val="00C60243"/>
    <w:rsid w:val="00C62389"/>
    <w:rsid w:val="00C6598F"/>
    <w:rsid w:val="00C666A3"/>
    <w:rsid w:val="00C66EEA"/>
    <w:rsid w:val="00C67B6E"/>
    <w:rsid w:val="00C704CF"/>
    <w:rsid w:val="00C70523"/>
    <w:rsid w:val="00C7066E"/>
    <w:rsid w:val="00C70C2D"/>
    <w:rsid w:val="00C70D1F"/>
    <w:rsid w:val="00C70DA1"/>
    <w:rsid w:val="00C7146F"/>
    <w:rsid w:val="00C734F5"/>
    <w:rsid w:val="00C735C4"/>
    <w:rsid w:val="00C73878"/>
    <w:rsid w:val="00C74385"/>
    <w:rsid w:val="00C7444F"/>
    <w:rsid w:val="00C74A93"/>
    <w:rsid w:val="00C758AF"/>
    <w:rsid w:val="00C769E0"/>
    <w:rsid w:val="00C77993"/>
    <w:rsid w:val="00C77D08"/>
    <w:rsid w:val="00C80471"/>
    <w:rsid w:val="00C80F7C"/>
    <w:rsid w:val="00C8210D"/>
    <w:rsid w:val="00C8260C"/>
    <w:rsid w:val="00C8368B"/>
    <w:rsid w:val="00C83910"/>
    <w:rsid w:val="00C83AD9"/>
    <w:rsid w:val="00C83B8D"/>
    <w:rsid w:val="00C84D5E"/>
    <w:rsid w:val="00C84F41"/>
    <w:rsid w:val="00C85EC2"/>
    <w:rsid w:val="00C87FB2"/>
    <w:rsid w:val="00C91651"/>
    <w:rsid w:val="00C91C78"/>
    <w:rsid w:val="00C91D47"/>
    <w:rsid w:val="00C92B48"/>
    <w:rsid w:val="00C93664"/>
    <w:rsid w:val="00C93A53"/>
    <w:rsid w:val="00C93C1E"/>
    <w:rsid w:val="00C94CC4"/>
    <w:rsid w:val="00C95943"/>
    <w:rsid w:val="00C9606A"/>
    <w:rsid w:val="00C96623"/>
    <w:rsid w:val="00C97A75"/>
    <w:rsid w:val="00CA1E7C"/>
    <w:rsid w:val="00CA29EA"/>
    <w:rsid w:val="00CA2CB2"/>
    <w:rsid w:val="00CA5591"/>
    <w:rsid w:val="00CA5BAA"/>
    <w:rsid w:val="00CA76BF"/>
    <w:rsid w:val="00CA7851"/>
    <w:rsid w:val="00CA7EA3"/>
    <w:rsid w:val="00CB00F3"/>
    <w:rsid w:val="00CB0120"/>
    <w:rsid w:val="00CB0412"/>
    <w:rsid w:val="00CB07F0"/>
    <w:rsid w:val="00CB0A8B"/>
    <w:rsid w:val="00CB23BC"/>
    <w:rsid w:val="00CB29D4"/>
    <w:rsid w:val="00CB34C6"/>
    <w:rsid w:val="00CB4ECC"/>
    <w:rsid w:val="00CB71B1"/>
    <w:rsid w:val="00CB7B84"/>
    <w:rsid w:val="00CC266D"/>
    <w:rsid w:val="00CC2961"/>
    <w:rsid w:val="00CC2CF6"/>
    <w:rsid w:val="00CC2FD0"/>
    <w:rsid w:val="00CC3D5C"/>
    <w:rsid w:val="00CC4998"/>
    <w:rsid w:val="00CC5EA2"/>
    <w:rsid w:val="00CC74D7"/>
    <w:rsid w:val="00CC7567"/>
    <w:rsid w:val="00CD09E9"/>
    <w:rsid w:val="00CD1E1A"/>
    <w:rsid w:val="00CD2F02"/>
    <w:rsid w:val="00CD3CAF"/>
    <w:rsid w:val="00CD4737"/>
    <w:rsid w:val="00CD494F"/>
    <w:rsid w:val="00CD5A70"/>
    <w:rsid w:val="00CD5C61"/>
    <w:rsid w:val="00CD785E"/>
    <w:rsid w:val="00CE069A"/>
    <w:rsid w:val="00CE0819"/>
    <w:rsid w:val="00CE2A63"/>
    <w:rsid w:val="00CE35F1"/>
    <w:rsid w:val="00CE3637"/>
    <w:rsid w:val="00CE3D6C"/>
    <w:rsid w:val="00CE423B"/>
    <w:rsid w:val="00CE4C7C"/>
    <w:rsid w:val="00CE5213"/>
    <w:rsid w:val="00CE5CC8"/>
    <w:rsid w:val="00CE7990"/>
    <w:rsid w:val="00CE7D17"/>
    <w:rsid w:val="00CE7D39"/>
    <w:rsid w:val="00CE7D3D"/>
    <w:rsid w:val="00CF0216"/>
    <w:rsid w:val="00CF0AFA"/>
    <w:rsid w:val="00CF0DBF"/>
    <w:rsid w:val="00CF1AD4"/>
    <w:rsid w:val="00CF1E2A"/>
    <w:rsid w:val="00CF391A"/>
    <w:rsid w:val="00CF3E4B"/>
    <w:rsid w:val="00CF44C6"/>
    <w:rsid w:val="00CF68EF"/>
    <w:rsid w:val="00D00605"/>
    <w:rsid w:val="00D0068B"/>
    <w:rsid w:val="00D00A9C"/>
    <w:rsid w:val="00D024E5"/>
    <w:rsid w:val="00D02F40"/>
    <w:rsid w:val="00D034A6"/>
    <w:rsid w:val="00D03963"/>
    <w:rsid w:val="00D03AC9"/>
    <w:rsid w:val="00D05B83"/>
    <w:rsid w:val="00D05D8C"/>
    <w:rsid w:val="00D06872"/>
    <w:rsid w:val="00D10970"/>
    <w:rsid w:val="00D11A7F"/>
    <w:rsid w:val="00D11F14"/>
    <w:rsid w:val="00D12391"/>
    <w:rsid w:val="00D124B1"/>
    <w:rsid w:val="00D13D8C"/>
    <w:rsid w:val="00D14EDB"/>
    <w:rsid w:val="00D164A0"/>
    <w:rsid w:val="00D210A6"/>
    <w:rsid w:val="00D21360"/>
    <w:rsid w:val="00D21559"/>
    <w:rsid w:val="00D217B5"/>
    <w:rsid w:val="00D2228D"/>
    <w:rsid w:val="00D2251B"/>
    <w:rsid w:val="00D23FEF"/>
    <w:rsid w:val="00D251AB"/>
    <w:rsid w:val="00D25380"/>
    <w:rsid w:val="00D25BF9"/>
    <w:rsid w:val="00D26445"/>
    <w:rsid w:val="00D26A41"/>
    <w:rsid w:val="00D272FA"/>
    <w:rsid w:val="00D31237"/>
    <w:rsid w:val="00D314E2"/>
    <w:rsid w:val="00D35338"/>
    <w:rsid w:val="00D35414"/>
    <w:rsid w:val="00D35C26"/>
    <w:rsid w:val="00D36D55"/>
    <w:rsid w:val="00D425AF"/>
    <w:rsid w:val="00D42C83"/>
    <w:rsid w:val="00D430B6"/>
    <w:rsid w:val="00D46DA7"/>
    <w:rsid w:val="00D46E27"/>
    <w:rsid w:val="00D47699"/>
    <w:rsid w:val="00D4792C"/>
    <w:rsid w:val="00D47AAA"/>
    <w:rsid w:val="00D505AD"/>
    <w:rsid w:val="00D5060A"/>
    <w:rsid w:val="00D50B4D"/>
    <w:rsid w:val="00D51843"/>
    <w:rsid w:val="00D52141"/>
    <w:rsid w:val="00D5390C"/>
    <w:rsid w:val="00D53AC3"/>
    <w:rsid w:val="00D54077"/>
    <w:rsid w:val="00D54DC6"/>
    <w:rsid w:val="00D55C05"/>
    <w:rsid w:val="00D55C69"/>
    <w:rsid w:val="00D56585"/>
    <w:rsid w:val="00D60082"/>
    <w:rsid w:val="00D604EF"/>
    <w:rsid w:val="00D613A3"/>
    <w:rsid w:val="00D61999"/>
    <w:rsid w:val="00D61BAC"/>
    <w:rsid w:val="00D61FBA"/>
    <w:rsid w:val="00D62521"/>
    <w:rsid w:val="00D63230"/>
    <w:rsid w:val="00D637ED"/>
    <w:rsid w:val="00D650CA"/>
    <w:rsid w:val="00D658D8"/>
    <w:rsid w:val="00D65A12"/>
    <w:rsid w:val="00D66412"/>
    <w:rsid w:val="00D66458"/>
    <w:rsid w:val="00D67A8C"/>
    <w:rsid w:val="00D70EE4"/>
    <w:rsid w:val="00D72C27"/>
    <w:rsid w:val="00D74918"/>
    <w:rsid w:val="00D751BD"/>
    <w:rsid w:val="00D760CF"/>
    <w:rsid w:val="00D76205"/>
    <w:rsid w:val="00D7663A"/>
    <w:rsid w:val="00D76B58"/>
    <w:rsid w:val="00D77448"/>
    <w:rsid w:val="00D774EE"/>
    <w:rsid w:val="00D77BF3"/>
    <w:rsid w:val="00D81962"/>
    <w:rsid w:val="00D81F8F"/>
    <w:rsid w:val="00D824B2"/>
    <w:rsid w:val="00D84586"/>
    <w:rsid w:val="00D845F9"/>
    <w:rsid w:val="00D85486"/>
    <w:rsid w:val="00D859F3"/>
    <w:rsid w:val="00D85A4E"/>
    <w:rsid w:val="00D86C61"/>
    <w:rsid w:val="00D9004C"/>
    <w:rsid w:val="00D91C86"/>
    <w:rsid w:val="00D925D5"/>
    <w:rsid w:val="00D928CB"/>
    <w:rsid w:val="00D92962"/>
    <w:rsid w:val="00D949C6"/>
    <w:rsid w:val="00D96436"/>
    <w:rsid w:val="00D96D6F"/>
    <w:rsid w:val="00D96FE0"/>
    <w:rsid w:val="00D973E5"/>
    <w:rsid w:val="00D97D03"/>
    <w:rsid w:val="00DA1C98"/>
    <w:rsid w:val="00DA2204"/>
    <w:rsid w:val="00DA254C"/>
    <w:rsid w:val="00DA264C"/>
    <w:rsid w:val="00DA45CC"/>
    <w:rsid w:val="00DA4BC1"/>
    <w:rsid w:val="00DA55A9"/>
    <w:rsid w:val="00DA662C"/>
    <w:rsid w:val="00DA6997"/>
    <w:rsid w:val="00DA73E4"/>
    <w:rsid w:val="00DB019C"/>
    <w:rsid w:val="00DB1524"/>
    <w:rsid w:val="00DB2418"/>
    <w:rsid w:val="00DB29FB"/>
    <w:rsid w:val="00DB2C75"/>
    <w:rsid w:val="00DB7AA8"/>
    <w:rsid w:val="00DC0652"/>
    <w:rsid w:val="00DC0AA9"/>
    <w:rsid w:val="00DC27D4"/>
    <w:rsid w:val="00DC3047"/>
    <w:rsid w:val="00DC36C3"/>
    <w:rsid w:val="00DC3F09"/>
    <w:rsid w:val="00DC5D6B"/>
    <w:rsid w:val="00DC644B"/>
    <w:rsid w:val="00DC6C9B"/>
    <w:rsid w:val="00DC6FA5"/>
    <w:rsid w:val="00DC7A95"/>
    <w:rsid w:val="00DD039E"/>
    <w:rsid w:val="00DD1680"/>
    <w:rsid w:val="00DD1D9B"/>
    <w:rsid w:val="00DD432F"/>
    <w:rsid w:val="00DD4AC5"/>
    <w:rsid w:val="00DD5067"/>
    <w:rsid w:val="00DD67F9"/>
    <w:rsid w:val="00DD70B7"/>
    <w:rsid w:val="00DD72A9"/>
    <w:rsid w:val="00DD7EDF"/>
    <w:rsid w:val="00DE0827"/>
    <w:rsid w:val="00DE175B"/>
    <w:rsid w:val="00DE1896"/>
    <w:rsid w:val="00DE2D9B"/>
    <w:rsid w:val="00DE3292"/>
    <w:rsid w:val="00DE374B"/>
    <w:rsid w:val="00DE3E40"/>
    <w:rsid w:val="00DE57E7"/>
    <w:rsid w:val="00DE5BB1"/>
    <w:rsid w:val="00DE6C51"/>
    <w:rsid w:val="00DE7305"/>
    <w:rsid w:val="00DE7531"/>
    <w:rsid w:val="00DE7962"/>
    <w:rsid w:val="00DE7ABA"/>
    <w:rsid w:val="00DE7EDE"/>
    <w:rsid w:val="00DF060F"/>
    <w:rsid w:val="00DF0CA3"/>
    <w:rsid w:val="00DF0FFF"/>
    <w:rsid w:val="00DF1228"/>
    <w:rsid w:val="00DF138A"/>
    <w:rsid w:val="00DF15B3"/>
    <w:rsid w:val="00DF51D4"/>
    <w:rsid w:val="00DF65AB"/>
    <w:rsid w:val="00DF7003"/>
    <w:rsid w:val="00DF7133"/>
    <w:rsid w:val="00DF740C"/>
    <w:rsid w:val="00DF76ED"/>
    <w:rsid w:val="00E0061A"/>
    <w:rsid w:val="00E00AC7"/>
    <w:rsid w:val="00E01ED3"/>
    <w:rsid w:val="00E024C7"/>
    <w:rsid w:val="00E02E9B"/>
    <w:rsid w:val="00E035C1"/>
    <w:rsid w:val="00E05841"/>
    <w:rsid w:val="00E05B0C"/>
    <w:rsid w:val="00E0766B"/>
    <w:rsid w:val="00E07F1B"/>
    <w:rsid w:val="00E1143D"/>
    <w:rsid w:val="00E11594"/>
    <w:rsid w:val="00E124C1"/>
    <w:rsid w:val="00E139E4"/>
    <w:rsid w:val="00E13A47"/>
    <w:rsid w:val="00E13DE9"/>
    <w:rsid w:val="00E140E2"/>
    <w:rsid w:val="00E144AA"/>
    <w:rsid w:val="00E14686"/>
    <w:rsid w:val="00E14AA0"/>
    <w:rsid w:val="00E14D4A"/>
    <w:rsid w:val="00E1710A"/>
    <w:rsid w:val="00E204A9"/>
    <w:rsid w:val="00E20AAF"/>
    <w:rsid w:val="00E20D38"/>
    <w:rsid w:val="00E20ECA"/>
    <w:rsid w:val="00E2265A"/>
    <w:rsid w:val="00E22B77"/>
    <w:rsid w:val="00E23A02"/>
    <w:rsid w:val="00E23CA7"/>
    <w:rsid w:val="00E24DA2"/>
    <w:rsid w:val="00E24F26"/>
    <w:rsid w:val="00E252B3"/>
    <w:rsid w:val="00E260C9"/>
    <w:rsid w:val="00E27572"/>
    <w:rsid w:val="00E30580"/>
    <w:rsid w:val="00E3126A"/>
    <w:rsid w:val="00E31483"/>
    <w:rsid w:val="00E31C63"/>
    <w:rsid w:val="00E32289"/>
    <w:rsid w:val="00E32E74"/>
    <w:rsid w:val="00E33D95"/>
    <w:rsid w:val="00E34043"/>
    <w:rsid w:val="00E34237"/>
    <w:rsid w:val="00E34252"/>
    <w:rsid w:val="00E34D37"/>
    <w:rsid w:val="00E35D16"/>
    <w:rsid w:val="00E37622"/>
    <w:rsid w:val="00E40CEA"/>
    <w:rsid w:val="00E43324"/>
    <w:rsid w:val="00E4348C"/>
    <w:rsid w:val="00E43AED"/>
    <w:rsid w:val="00E44E6F"/>
    <w:rsid w:val="00E459AF"/>
    <w:rsid w:val="00E4725C"/>
    <w:rsid w:val="00E4738B"/>
    <w:rsid w:val="00E4787F"/>
    <w:rsid w:val="00E47FC4"/>
    <w:rsid w:val="00E5015B"/>
    <w:rsid w:val="00E52B8A"/>
    <w:rsid w:val="00E53472"/>
    <w:rsid w:val="00E5353D"/>
    <w:rsid w:val="00E53557"/>
    <w:rsid w:val="00E53879"/>
    <w:rsid w:val="00E53926"/>
    <w:rsid w:val="00E53A56"/>
    <w:rsid w:val="00E54FA5"/>
    <w:rsid w:val="00E55DC3"/>
    <w:rsid w:val="00E5622B"/>
    <w:rsid w:val="00E6064A"/>
    <w:rsid w:val="00E61B43"/>
    <w:rsid w:val="00E62174"/>
    <w:rsid w:val="00E62452"/>
    <w:rsid w:val="00E626D0"/>
    <w:rsid w:val="00E63B9D"/>
    <w:rsid w:val="00E63D04"/>
    <w:rsid w:val="00E642A6"/>
    <w:rsid w:val="00E704BD"/>
    <w:rsid w:val="00E70675"/>
    <w:rsid w:val="00E709E7"/>
    <w:rsid w:val="00E70E19"/>
    <w:rsid w:val="00E70EC6"/>
    <w:rsid w:val="00E71F01"/>
    <w:rsid w:val="00E721ED"/>
    <w:rsid w:val="00E72354"/>
    <w:rsid w:val="00E72403"/>
    <w:rsid w:val="00E728E3"/>
    <w:rsid w:val="00E7456C"/>
    <w:rsid w:val="00E748E9"/>
    <w:rsid w:val="00E74AC5"/>
    <w:rsid w:val="00E76FAF"/>
    <w:rsid w:val="00E7747F"/>
    <w:rsid w:val="00E77A95"/>
    <w:rsid w:val="00E80A7E"/>
    <w:rsid w:val="00E81057"/>
    <w:rsid w:val="00E81B81"/>
    <w:rsid w:val="00E82B50"/>
    <w:rsid w:val="00E82BA1"/>
    <w:rsid w:val="00E8506C"/>
    <w:rsid w:val="00E86EE1"/>
    <w:rsid w:val="00E875F9"/>
    <w:rsid w:val="00E8791B"/>
    <w:rsid w:val="00E87AF6"/>
    <w:rsid w:val="00E914A6"/>
    <w:rsid w:val="00E91668"/>
    <w:rsid w:val="00E92417"/>
    <w:rsid w:val="00E92E24"/>
    <w:rsid w:val="00E93101"/>
    <w:rsid w:val="00E9669B"/>
    <w:rsid w:val="00EA0221"/>
    <w:rsid w:val="00EA02C4"/>
    <w:rsid w:val="00EA05F9"/>
    <w:rsid w:val="00EA07E4"/>
    <w:rsid w:val="00EA0E45"/>
    <w:rsid w:val="00EA2E48"/>
    <w:rsid w:val="00EA32F6"/>
    <w:rsid w:val="00EA5728"/>
    <w:rsid w:val="00EB2415"/>
    <w:rsid w:val="00EB25E8"/>
    <w:rsid w:val="00EB290E"/>
    <w:rsid w:val="00EB2AAE"/>
    <w:rsid w:val="00EB30F0"/>
    <w:rsid w:val="00EB4726"/>
    <w:rsid w:val="00EB5191"/>
    <w:rsid w:val="00EB5251"/>
    <w:rsid w:val="00EB56AF"/>
    <w:rsid w:val="00EB719C"/>
    <w:rsid w:val="00EB77DB"/>
    <w:rsid w:val="00EC0C18"/>
    <w:rsid w:val="00EC1411"/>
    <w:rsid w:val="00EC159B"/>
    <w:rsid w:val="00EC1C81"/>
    <w:rsid w:val="00EC2EB3"/>
    <w:rsid w:val="00EC4CA4"/>
    <w:rsid w:val="00EC4CA7"/>
    <w:rsid w:val="00EC53A9"/>
    <w:rsid w:val="00EC53B6"/>
    <w:rsid w:val="00EC5655"/>
    <w:rsid w:val="00EC573F"/>
    <w:rsid w:val="00EC611E"/>
    <w:rsid w:val="00EC7A0C"/>
    <w:rsid w:val="00ED0797"/>
    <w:rsid w:val="00ED1A6D"/>
    <w:rsid w:val="00ED3303"/>
    <w:rsid w:val="00ED56FB"/>
    <w:rsid w:val="00ED5D1F"/>
    <w:rsid w:val="00ED768B"/>
    <w:rsid w:val="00ED7865"/>
    <w:rsid w:val="00ED7E09"/>
    <w:rsid w:val="00EE1922"/>
    <w:rsid w:val="00EE1B62"/>
    <w:rsid w:val="00EE1EB1"/>
    <w:rsid w:val="00EE2A79"/>
    <w:rsid w:val="00EE2D77"/>
    <w:rsid w:val="00EE5A5A"/>
    <w:rsid w:val="00EE5C10"/>
    <w:rsid w:val="00EE75E2"/>
    <w:rsid w:val="00EE7DC1"/>
    <w:rsid w:val="00EF11EC"/>
    <w:rsid w:val="00EF2711"/>
    <w:rsid w:val="00EF2CE1"/>
    <w:rsid w:val="00EF493B"/>
    <w:rsid w:val="00EF5182"/>
    <w:rsid w:val="00EF65A3"/>
    <w:rsid w:val="00F01B5B"/>
    <w:rsid w:val="00F022FC"/>
    <w:rsid w:val="00F02417"/>
    <w:rsid w:val="00F03751"/>
    <w:rsid w:val="00F04015"/>
    <w:rsid w:val="00F04713"/>
    <w:rsid w:val="00F06816"/>
    <w:rsid w:val="00F06BDC"/>
    <w:rsid w:val="00F07B06"/>
    <w:rsid w:val="00F10788"/>
    <w:rsid w:val="00F111BD"/>
    <w:rsid w:val="00F126D6"/>
    <w:rsid w:val="00F13206"/>
    <w:rsid w:val="00F14A1A"/>
    <w:rsid w:val="00F16A81"/>
    <w:rsid w:val="00F16C60"/>
    <w:rsid w:val="00F16C97"/>
    <w:rsid w:val="00F16D4E"/>
    <w:rsid w:val="00F16FA5"/>
    <w:rsid w:val="00F20D7A"/>
    <w:rsid w:val="00F21F5B"/>
    <w:rsid w:val="00F24F5A"/>
    <w:rsid w:val="00F25BB7"/>
    <w:rsid w:val="00F2714C"/>
    <w:rsid w:val="00F306BE"/>
    <w:rsid w:val="00F352F5"/>
    <w:rsid w:val="00F3531C"/>
    <w:rsid w:val="00F36501"/>
    <w:rsid w:val="00F37450"/>
    <w:rsid w:val="00F4067A"/>
    <w:rsid w:val="00F40994"/>
    <w:rsid w:val="00F41AE8"/>
    <w:rsid w:val="00F42E07"/>
    <w:rsid w:val="00F438D9"/>
    <w:rsid w:val="00F4471F"/>
    <w:rsid w:val="00F45091"/>
    <w:rsid w:val="00F45326"/>
    <w:rsid w:val="00F45D13"/>
    <w:rsid w:val="00F45D23"/>
    <w:rsid w:val="00F46C12"/>
    <w:rsid w:val="00F4756B"/>
    <w:rsid w:val="00F47A50"/>
    <w:rsid w:val="00F508C6"/>
    <w:rsid w:val="00F51F73"/>
    <w:rsid w:val="00F52D6D"/>
    <w:rsid w:val="00F52D9F"/>
    <w:rsid w:val="00F53069"/>
    <w:rsid w:val="00F536E5"/>
    <w:rsid w:val="00F53CE7"/>
    <w:rsid w:val="00F546D2"/>
    <w:rsid w:val="00F549EB"/>
    <w:rsid w:val="00F54C0A"/>
    <w:rsid w:val="00F55231"/>
    <w:rsid w:val="00F56103"/>
    <w:rsid w:val="00F577AE"/>
    <w:rsid w:val="00F57C1A"/>
    <w:rsid w:val="00F57E4E"/>
    <w:rsid w:val="00F60416"/>
    <w:rsid w:val="00F60BC3"/>
    <w:rsid w:val="00F62DAE"/>
    <w:rsid w:val="00F63859"/>
    <w:rsid w:val="00F64D2A"/>
    <w:rsid w:val="00F650C7"/>
    <w:rsid w:val="00F66181"/>
    <w:rsid w:val="00F678C7"/>
    <w:rsid w:val="00F7099E"/>
    <w:rsid w:val="00F70A2B"/>
    <w:rsid w:val="00F72A11"/>
    <w:rsid w:val="00F72EC6"/>
    <w:rsid w:val="00F74997"/>
    <w:rsid w:val="00F759F2"/>
    <w:rsid w:val="00F75B28"/>
    <w:rsid w:val="00F767FE"/>
    <w:rsid w:val="00F76985"/>
    <w:rsid w:val="00F76C1E"/>
    <w:rsid w:val="00F77139"/>
    <w:rsid w:val="00F8091A"/>
    <w:rsid w:val="00F81178"/>
    <w:rsid w:val="00F81AB6"/>
    <w:rsid w:val="00F8213A"/>
    <w:rsid w:val="00F8314D"/>
    <w:rsid w:val="00F844BF"/>
    <w:rsid w:val="00F848DF"/>
    <w:rsid w:val="00F85D9C"/>
    <w:rsid w:val="00F862D1"/>
    <w:rsid w:val="00F8746B"/>
    <w:rsid w:val="00F9215B"/>
    <w:rsid w:val="00F9238E"/>
    <w:rsid w:val="00F92AB7"/>
    <w:rsid w:val="00F93769"/>
    <w:rsid w:val="00F93E08"/>
    <w:rsid w:val="00F940C2"/>
    <w:rsid w:val="00F94A9B"/>
    <w:rsid w:val="00F94BB7"/>
    <w:rsid w:val="00F95581"/>
    <w:rsid w:val="00F95725"/>
    <w:rsid w:val="00F95FA5"/>
    <w:rsid w:val="00F97015"/>
    <w:rsid w:val="00FA0315"/>
    <w:rsid w:val="00FA05E9"/>
    <w:rsid w:val="00FA151B"/>
    <w:rsid w:val="00FA16FF"/>
    <w:rsid w:val="00FA1B5C"/>
    <w:rsid w:val="00FA2D85"/>
    <w:rsid w:val="00FA2E02"/>
    <w:rsid w:val="00FA48E9"/>
    <w:rsid w:val="00FA5810"/>
    <w:rsid w:val="00FA5F36"/>
    <w:rsid w:val="00FA67AB"/>
    <w:rsid w:val="00FA6F4E"/>
    <w:rsid w:val="00FA7B08"/>
    <w:rsid w:val="00FB0723"/>
    <w:rsid w:val="00FB07FF"/>
    <w:rsid w:val="00FB1416"/>
    <w:rsid w:val="00FB1692"/>
    <w:rsid w:val="00FB1FDD"/>
    <w:rsid w:val="00FB3014"/>
    <w:rsid w:val="00FB47C4"/>
    <w:rsid w:val="00FB58FB"/>
    <w:rsid w:val="00FB6C96"/>
    <w:rsid w:val="00FB71C5"/>
    <w:rsid w:val="00FB731B"/>
    <w:rsid w:val="00FC05B0"/>
    <w:rsid w:val="00FC1282"/>
    <w:rsid w:val="00FC1B2A"/>
    <w:rsid w:val="00FC1E58"/>
    <w:rsid w:val="00FC1E6C"/>
    <w:rsid w:val="00FC2826"/>
    <w:rsid w:val="00FC311C"/>
    <w:rsid w:val="00FC41F3"/>
    <w:rsid w:val="00FC477C"/>
    <w:rsid w:val="00FC484E"/>
    <w:rsid w:val="00FC4938"/>
    <w:rsid w:val="00FC5080"/>
    <w:rsid w:val="00FC511C"/>
    <w:rsid w:val="00FC70C6"/>
    <w:rsid w:val="00FD0044"/>
    <w:rsid w:val="00FD0930"/>
    <w:rsid w:val="00FD0E1C"/>
    <w:rsid w:val="00FD15C1"/>
    <w:rsid w:val="00FD26DE"/>
    <w:rsid w:val="00FD2E14"/>
    <w:rsid w:val="00FD3526"/>
    <w:rsid w:val="00FD36FA"/>
    <w:rsid w:val="00FD395F"/>
    <w:rsid w:val="00FD475B"/>
    <w:rsid w:val="00FD541A"/>
    <w:rsid w:val="00FD5ADF"/>
    <w:rsid w:val="00FD68BD"/>
    <w:rsid w:val="00FE0572"/>
    <w:rsid w:val="00FE0C63"/>
    <w:rsid w:val="00FE0E80"/>
    <w:rsid w:val="00FE16F3"/>
    <w:rsid w:val="00FE2E3F"/>
    <w:rsid w:val="00FE518E"/>
    <w:rsid w:val="00FE53ED"/>
    <w:rsid w:val="00FE65BB"/>
    <w:rsid w:val="00FE6635"/>
    <w:rsid w:val="00FF0088"/>
    <w:rsid w:val="00FF1530"/>
    <w:rsid w:val="00FF1921"/>
    <w:rsid w:val="00FF2CB9"/>
    <w:rsid w:val="00FF2E4C"/>
    <w:rsid w:val="00FF5194"/>
    <w:rsid w:val="00FF54D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BCE35597-8925-4DF2-A73A-73A070E1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894"/>
    <w:pPr>
      <w:widowControl w:val="0"/>
    </w:pPr>
    <w:rPr>
      <w:kern w:val="28"/>
      <w:sz w:val="22"/>
      <w:szCs w:val="22"/>
    </w:rPr>
  </w:style>
  <w:style w:type="paragraph" w:styleId="Heading1">
    <w:name w:val="heading 1"/>
    <w:basedOn w:val="Normal"/>
    <w:next w:val="ParaNum"/>
    <w:link w:val="Heading1Char"/>
    <w:uiPriority w:val="9"/>
    <w:qFormat/>
    <w:rsid w:val="00505488"/>
    <w:pPr>
      <w:keepNext/>
      <w:numPr>
        <w:numId w:val="3"/>
      </w:numPr>
      <w:suppressAutoHyphens/>
      <w:spacing w:after="120"/>
      <w:outlineLvl w:val="0"/>
    </w:pPr>
    <w:rPr>
      <w:rFonts w:ascii="Cambria" w:hAnsi="Cambria" w:cs="Cambria"/>
      <w:b/>
      <w:bCs/>
      <w:kern w:val="32"/>
      <w:sz w:val="32"/>
      <w:szCs w:val="32"/>
    </w:rPr>
  </w:style>
  <w:style w:type="paragraph" w:styleId="Heading2">
    <w:name w:val="heading 2"/>
    <w:basedOn w:val="Normal"/>
    <w:next w:val="ParaNum"/>
    <w:link w:val="Heading2Char"/>
    <w:autoRedefine/>
    <w:uiPriority w:val="9"/>
    <w:qFormat/>
    <w:rsid w:val="00D31237"/>
    <w:pPr>
      <w:keepNext/>
      <w:numPr>
        <w:ilvl w:val="1"/>
        <w:numId w:val="3"/>
      </w:numPr>
      <w:spacing w:after="120"/>
      <w:outlineLvl w:val="1"/>
    </w:pPr>
    <w:rPr>
      <w:rFonts w:cs="Cambria"/>
      <w:b/>
      <w:bCs/>
      <w:iCs/>
      <w:szCs w:val="28"/>
    </w:rPr>
  </w:style>
  <w:style w:type="paragraph" w:styleId="Heading3">
    <w:name w:val="heading 3"/>
    <w:basedOn w:val="Normal"/>
    <w:next w:val="ParaNum"/>
    <w:link w:val="Heading3Char"/>
    <w:uiPriority w:val="9"/>
    <w:qFormat/>
    <w:rsid w:val="002A1B0B"/>
    <w:pPr>
      <w:keepNext/>
      <w:numPr>
        <w:ilvl w:val="2"/>
        <w:numId w:val="3"/>
      </w:numPr>
      <w:tabs>
        <w:tab w:val="left" w:pos="2160"/>
      </w:tabs>
      <w:spacing w:after="120"/>
      <w:outlineLvl w:val="2"/>
    </w:pPr>
    <w:rPr>
      <w:rFonts w:ascii="Cambria" w:hAnsi="Cambria" w:cs="Cambria"/>
      <w:b/>
      <w:bCs/>
      <w:sz w:val="26"/>
      <w:szCs w:val="26"/>
    </w:rPr>
  </w:style>
  <w:style w:type="paragraph" w:styleId="Heading4">
    <w:name w:val="heading 4"/>
    <w:basedOn w:val="Normal"/>
    <w:next w:val="ParaNum"/>
    <w:link w:val="Heading4Char"/>
    <w:uiPriority w:val="9"/>
    <w:qFormat/>
    <w:rsid w:val="002A1B0B"/>
    <w:pPr>
      <w:keepNext/>
      <w:numPr>
        <w:ilvl w:val="3"/>
        <w:numId w:val="3"/>
      </w:numPr>
      <w:tabs>
        <w:tab w:val="left" w:pos="2880"/>
      </w:tabs>
      <w:spacing w:after="120"/>
      <w:outlineLvl w:val="3"/>
    </w:pPr>
    <w:rPr>
      <w:rFonts w:ascii="Calibri" w:hAnsi="Calibri" w:cs="Calibri"/>
      <w:b/>
      <w:bCs/>
      <w:sz w:val="28"/>
      <w:szCs w:val="28"/>
    </w:rPr>
  </w:style>
  <w:style w:type="paragraph" w:styleId="Heading5">
    <w:name w:val="heading 5"/>
    <w:basedOn w:val="Normal"/>
    <w:next w:val="ParaNum"/>
    <w:link w:val="Heading5Char"/>
    <w:uiPriority w:val="9"/>
    <w:qFormat/>
    <w:rsid w:val="002A1B0B"/>
    <w:pPr>
      <w:keepNext/>
      <w:numPr>
        <w:ilvl w:val="4"/>
        <w:numId w:val="3"/>
      </w:numPr>
      <w:tabs>
        <w:tab w:val="left" w:pos="3600"/>
      </w:tabs>
      <w:suppressAutoHyphens/>
      <w:spacing w:after="120"/>
      <w:outlineLvl w:val="4"/>
    </w:pPr>
    <w:rPr>
      <w:rFonts w:ascii="Calibri" w:hAnsi="Calibri" w:cs="Calibri"/>
      <w:b/>
      <w:bCs/>
      <w:i/>
      <w:iCs/>
      <w:sz w:val="26"/>
      <w:szCs w:val="26"/>
    </w:rPr>
  </w:style>
  <w:style w:type="paragraph" w:styleId="Heading6">
    <w:name w:val="heading 6"/>
    <w:basedOn w:val="Normal"/>
    <w:next w:val="ParaNum"/>
    <w:link w:val="Heading6Char"/>
    <w:uiPriority w:val="9"/>
    <w:qFormat/>
    <w:rsid w:val="002A1B0B"/>
    <w:pPr>
      <w:numPr>
        <w:ilvl w:val="5"/>
        <w:numId w:val="3"/>
      </w:numPr>
      <w:tabs>
        <w:tab w:val="left" w:pos="4320"/>
      </w:tabs>
      <w:spacing w:after="120"/>
      <w:outlineLvl w:val="5"/>
    </w:pPr>
    <w:rPr>
      <w:rFonts w:ascii="Calibri" w:hAnsi="Calibri" w:cs="Calibri"/>
      <w:b/>
      <w:bCs/>
      <w:sz w:val="20"/>
      <w:szCs w:val="20"/>
    </w:rPr>
  </w:style>
  <w:style w:type="paragraph" w:styleId="Heading7">
    <w:name w:val="heading 7"/>
    <w:basedOn w:val="Normal"/>
    <w:next w:val="ParaNum"/>
    <w:link w:val="Heading7Char"/>
    <w:uiPriority w:val="9"/>
    <w:qFormat/>
    <w:rsid w:val="002A1B0B"/>
    <w:pPr>
      <w:numPr>
        <w:ilvl w:val="6"/>
        <w:numId w:val="3"/>
      </w:numPr>
      <w:tabs>
        <w:tab w:val="left" w:pos="5040"/>
      </w:tabs>
      <w:spacing w:after="120"/>
      <w:ind w:left="5040" w:hanging="720"/>
      <w:outlineLvl w:val="6"/>
    </w:pPr>
    <w:rPr>
      <w:rFonts w:ascii="Calibri" w:hAnsi="Calibri" w:cs="Calibri"/>
      <w:sz w:val="24"/>
      <w:szCs w:val="24"/>
    </w:rPr>
  </w:style>
  <w:style w:type="paragraph" w:styleId="Heading8">
    <w:name w:val="heading 8"/>
    <w:basedOn w:val="Normal"/>
    <w:next w:val="ParaNum"/>
    <w:link w:val="Heading8Char"/>
    <w:uiPriority w:val="9"/>
    <w:qFormat/>
    <w:rsid w:val="002A1B0B"/>
    <w:pPr>
      <w:numPr>
        <w:ilvl w:val="7"/>
        <w:numId w:val="3"/>
      </w:numPr>
      <w:tabs>
        <w:tab w:val="left" w:pos="5760"/>
      </w:tabs>
      <w:spacing w:after="120"/>
      <w:ind w:left="5760" w:hanging="720"/>
      <w:outlineLvl w:val="7"/>
    </w:pPr>
    <w:rPr>
      <w:rFonts w:ascii="Calibri" w:hAnsi="Calibri" w:cs="Calibri"/>
      <w:i/>
      <w:iCs/>
      <w:sz w:val="24"/>
      <w:szCs w:val="24"/>
    </w:rPr>
  </w:style>
  <w:style w:type="paragraph" w:styleId="Heading9">
    <w:name w:val="heading 9"/>
    <w:basedOn w:val="Normal"/>
    <w:next w:val="ParaNum"/>
    <w:link w:val="Heading9Char"/>
    <w:uiPriority w:val="9"/>
    <w:qFormat/>
    <w:rsid w:val="002A1B0B"/>
    <w:pPr>
      <w:numPr>
        <w:ilvl w:val="8"/>
        <w:numId w:val="3"/>
      </w:numPr>
      <w:tabs>
        <w:tab w:val="left" w:pos="6480"/>
      </w:tabs>
      <w:spacing w:after="120"/>
      <w:ind w:left="6480" w:hanging="720"/>
      <w:outlineLvl w:val="8"/>
    </w:pPr>
    <w:rPr>
      <w:rFonts w:ascii="Cambria" w:hAnsi="Cambria" w:cs="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1143D"/>
    <w:rPr>
      <w:rFonts w:ascii="Cambria" w:hAnsi="Cambria" w:cs="Cambria"/>
      <w:b/>
      <w:bCs/>
      <w:kern w:val="32"/>
      <w:sz w:val="32"/>
      <w:szCs w:val="32"/>
    </w:rPr>
  </w:style>
  <w:style w:type="character" w:customStyle="1" w:styleId="Heading2Char">
    <w:name w:val="Heading 2 Char"/>
    <w:link w:val="Heading2"/>
    <w:uiPriority w:val="9"/>
    <w:locked/>
    <w:rsid w:val="00D31237"/>
    <w:rPr>
      <w:rFonts w:cs="Cambria"/>
      <w:b/>
      <w:bCs/>
      <w:iCs/>
      <w:kern w:val="28"/>
      <w:sz w:val="22"/>
      <w:szCs w:val="28"/>
    </w:rPr>
  </w:style>
  <w:style w:type="character" w:customStyle="1" w:styleId="Heading3Char">
    <w:name w:val="Heading 3 Char"/>
    <w:link w:val="Heading3"/>
    <w:uiPriority w:val="9"/>
    <w:locked/>
    <w:rsid w:val="00E1143D"/>
    <w:rPr>
      <w:rFonts w:ascii="Cambria" w:hAnsi="Cambria" w:cs="Cambria"/>
      <w:b/>
      <w:bCs/>
      <w:kern w:val="28"/>
      <w:sz w:val="26"/>
      <w:szCs w:val="26"/>
    </w:rPr>
  </w:style>
  <w:style w:type="character" w:customStyle="1" w:styleId="Heading4Char">
    <w:name w:val="Heading 4 Char"/>
    <w:link w:val="Heading4"/>
    <w:uiPriority w:val="9"/>
    <w:locked/>
    <w:rsid w:val="00E1143D"/>
    <w:rPr>
      <w:rFonts w:ascii="Calibri" w:hAnsi="Calibri" w:cs="Calibri"/>
      <w:b/>
      <w:bCs/>
      <w:kern w:val="28"/>
      <w:sz w:val="28"/>
      <w:szCs w:val="28"/>
    </w:rPr>
  </w:style>
  <w:style w:type="character" w:customStyle="1" w:styleId="Heading5Char">
    <w:name w:val="Heading 5 Char"/>
    <w:link w:val="Heading5"/>
    <w:uiPriority w:val="9"/>
    <w:locked/>
    <w:rsid w:val="00E1143D"/>
    <w:rPr>
      <w:rFonts w:ascii="Calibri" w:hAnsi="Calibri" w:cs="Calibri"/>
      <w:b/>
      <w:bCs/>
      <w:i/>
      <w:iCs/>
      <w:kern w:val="28"/>
      <w:sz w:val="26"/>
      <w:szCs w:val="26"/>
    </w:rPr>
  </w:style>
  <w:style w:type="character" w:customStyle="1" w:styleId="Heading6Char">
    <w:name w:val="Heading 6 Char"/>
    <w:link w:val="Heading6"/>
    <w:uiPriority w:val="9"/>
    <w:locked/>
    <w:rsid w:val="00E1143D"/>
    <w:rPr>
      <w:rFonts w:ascii="Calibri" w:hAnsi="Calibri" w:cs="Calibri"/>
      <w:b/>
      <w:bCs/>
      <w:kern w:val="28"/>
    </w:rPr>
  </w:style>
  <w:style w:type="character" w:customStyle="1" w:styleId="Heading7Char">
    <w:name w:val="Heading 7 Char"/>
    <w:link w:val="Heading7"/>
    <w:uiPriority w:val="9"/>
    <w:locked/>
    <w:rsid w:val="00E1143D"/>
    <w:rPr>
      <w:rFonts w:ascii="Calibri" w:hAnsi="Calibri" w:cs="Calibri"/>
      <w:kern w:val="28"/>
      <w:sz w:val="24"/>
      <w:szCs w:val="24"/>
    </w:rPr>
  </w:style>
  <w:style w:type="character" w:customStyle="1" w:styleId="Heading8Char">
    <w:name w:val="Heading 8 Char"/>
    <w:link w:val="Heading8"/>
    <w:uiPriority w:val="9"/>
    <w:locked/>
    <w:rsid w:val="00E1143D"/>
    <w:rPr>
      <w:rFonts w:ascii="Calibri" w:hAnsi="Calibri" w:cs="Calibri"/>
      <w:i/>
      <w:iCs/>
      <w:kern w:val="28"/>
      <w:sz w:val="24"/>
      <w:szCs w:val="24"/>
    </w:rPr>
  </w:style>
  <w:style w:type="character" w:customStyle="1" w:styleId="Heading9Char">
    <w:name w:val="Heading 9 Char"/>
    <w:link w:val="Heading9"/>
    <w:uiPriority w:val="9"/>
    <w:locked/>
    <w:rsid w:val="00E1143D"/>
    <w:rPr>
      <w:rFonts w:ascii="Cambria" w:hAnsi="Cambria" w:cs="Cambria"/>
      <w:kern w:val="28"/>
    </w:rPr>
  </w:style>
  <w:style w:type="paragraph" w:styleId="Caption">
    <w:name w:val="caption"/>
    <w:basedOn w:val="Normal"/>
    <w:next w:val="Normal"/>
    <w:uiPriority w:val="35"/>
    <w:qFormat/>
    <w:rsid w:val="00D50B4D"/>
    <w:pPr>
      <w:spacing w:before="120" w:after="120"/>
    </w:pPr>
    <w:rPr>
      <w:b/>
      <w:bCs/>
    </w:rPr>
  </w:style>
  <w:style w:type="paragraph" w:customStyle="1" w:styleId="ParaNum">
    <w:name w:val="ParaNum"/>
    <w:basedOn w:val="Normal"/>
    <w:rsid w:val="00505488"/>
    <w:pPr>
      <w:numPr>
        <w:numId w:val="2"/>
      </w:numPr>
      <w:spacing w:after="120"/>
    </w:pPr>
  </w:style>
  <w:style w:type="paragraph" w:styleId="FootnoteText">
    <w:name w:val="footnote text"/>
    <w:aliases w:val="Footnote Text Char Char,Footnote Text Char Char Char,Footnote Text Char Char Char Char Char Char,Footnote Text Char1,Footnote Text Char1 Char Char Char,Footnote Text Char1 Char3,Footnote Text Char2,Footnote Text Char2 Char Char Char Char"/>
    <w:basedOn w:val="Normal"/>
    <w:link w:val="FootnoteTextChar3"/>
    <w:uiPriority w:val="99"/>
    <w:rsid w:val="003E1A54"/>
    <w:pPr>
      <w:widowControl/>
      <w:spacing w:after="120"/>
    </w:pPr>
    <w:rPr>
      <w:kern w:val="0"/>
      <w:sz w:val="20"/>
      <w:szCs w:val="20"/>
    </w:rPr>
  </w:style>
  <w:style w:type="character" w:customStyle="1" w:styleId="ALTSFOOTNOTEChar">
    <w:name w:val="ALTS FOOTNOTE Char"/>
    <w:aliases w:val="Footnote Text Char Char Char Char Char,Footnote Text Char Char2 Char Char Char,Footnote Text Char2 Char Char,Footnote Text Char2 Char1 Char Char Char Char Char,Footnote Text Char4 Char Char Char Char Char,fn Char"/>
    <w:locked/>
    <w:rsid w:val="00AC4E91"/>
    <w:rPr>
      <w:sz w:val="22"/>
      <w:lang w:val="en-US" w:eastAsia="en-US"/>
    </w:rPr>
  </w:style>
  <w:style w:type="character" w:customStyle="1" w:styleId="ALTSFOOTNOTEChar2">
    <w:name w:val="ALTS FOOTNOTE Char2"/>
    <w:aliases w:val="Footnote Text Char Char2 Char Char Char2,Footnote Text Char1 Char,Footnote Text Char1 Char Char Char2,Footnote Text Char2 Char Char2,Footnote Text Char4 Char Char Char Char Char2,f Char1,fn Ch Char,fn Ch Char Char,fn Char2"/>
    <w:semiHidden/>
    <w:locked/>
    <w:rsid w:val="00AC4E91"/>
    <w:rPr>
      <w:sz w:val="20"/>
    </w:rPr>
  </w:style>
  <w:style w:type="paragraph" w:styleId="BalloonText">
    <w:name w:val="Balloon Text"/>
    <w:basedOn w:val="Normal"/>
    <w:link w:val="BalloonTextChar"/>
    <w:uiPriority w:val="99"/>
    <w:rsid w:val="007835FB"/>
    <w:rPr>
      <w:sz w:val="20"/>
      <w:szCs w:val="24"/>
    </w:rPr>
  </w:style>
  <w:style w:type="character" w:customStyle="1" w:styleId="BalloonTextChar">
    <w:name w:val="Balloon Text Char"/>
    <w:link w:val="BalloonText"/>
    <w:uiPriority w:val="99"/>
    <w:locked/>
    <w:rsid w:val="007835FB"/>
    <w:rPr>
      <w:kern w:val="28"/>
      <w:sz w:val="24"/>
    </w:rPr>
  </w:style>
  <w:style w:type="paragraph" w:styleId="DocumentMap">
    <w:name w:val="Document Map"/>
    <w:basedOn w:val="Normal"/>
    <w:link w:val="DocumentMapChar"/>
    <w:uiPriority w:val="99"/>
    <w:semiHidden/>
    <w:rsid w:val="002A1B0B"/>
    <w:pPr>
      <w:shd w:val="clear" w:color="auto" w:fill="000080"/>
    </w:pPr>
    <w:rPr>
      <w:sz w:val="2"/>
      <w:szCs w:val="2"/>
    </w:rPr>
  </w:style>
  <w:style w:type="character" w:customStyle="1" w:styleId="DocumentMapChar">
    <w:name w:val="Document Map Char"/>
    <w:link w:val="DocumentMap"/>
    <w:uiPriority w:val="99"/>
    <w:semiHidden/>
    <w:locked/>
    <w:rsid w:val="00E1143D"/>
    <w:rPr>
      <w:kern w:val="28"/>
      <w:sz w:val="2"/>
      <w:shd w:val="clear" w:color="auto" w:fill="000080"/>
    </w:rPr>
  </w:style>
  <w:style w:type="character" w:customStyle="1" w:styleId="FootnoteTextChar">
    <w:name w:val="Footnote Text Char"/>
    <w:aliases w:val="Footnote Text Char Char Char Char,Footnote Text Char Char Char Char Char Char Char,Footnote Text Char1 Char Char Char Char,Footnote Text Char1 Char3 Char,Footnote Text Char2 Char,Footnote Text Char2 Char Char Char Char Char,f Char"/>
    <w:locked/>
    <w:rsid w:val="002A1B0B"/>
    <w:rPr>
      <w:kern w:val="28"/>
      <w:sz w:val="20"/>
    </w:rPr>
  </w:style>
  <w:style w:type="paragraph" w:customStyle="1" w:styleId="Bullet">
    <w:name w:val="Bullet"/>
    <w:basedOn w:val="Normal"/>
    <w:rsid w:val="003E1A54"/>
    <w:pPr>
      <w:tabs>
        <w:tab w:val="left" w:pos="2160"/>
      </w:tabs>
      <w:spacing w:after="220"/>
      <w:ind w:left="2160" w:hanging="720"/>
    </w:pPr>
  </w:style>
  <w:style w:type="paragraph" w:styleId="BlockText">
    <w:name w:val="Block Text"/>
    <w:basedOn w:val="Normal"/>
    <w:uiPriority w:val="99"/>
    <w:rsid w:val="003E1A54"/>
    <w:pPr>
      <w:spacing w:after="240"/>
      <w:ind w:left="1440" w:right="1440"/>
    </w:pPr>
  </w:style>
  <w:style w:type="paragraph" w:customStyle="1" w:styleId="TableFormat">
    <w:name w:val="TableFormat"/>
    <w:basedOn w:val="Bullet"/>
    <w:rsid w:val="003E1A54"/>
    <w:pPr>
      <w:tabs>
        <w:tab w:val="clear" w:pos="2160"/>
        <w:tab w:val="left" w:pos="5040"/>
      </w:tabs>
      <w:ind w:left="5040" w:hanging="3600"/>
    </w:pPr>
  </w:style>
  <w:style w:type="character" w:styleId="FootnoteReference">
    <w:name w:val="footnote reference"/>
    <w:aliases w:val="(NECG) Footnote Reference,Appel note de bas de p,FR,Footnote Reference/,Style 12,Style 124,Style 13,Style 17,Style 3,Style 6,fr,o"/>
    <w:uiPriority w:val="99"/>
    <w:rsid w:val="00D50B4D"/>
    <w:rPr>
      <w:vertAlign w:val="superscript"/>
    </w:rPr>
  </w:style>
  <w:style w:type="paragraph" w:styleId="Header">
    <w:name w:val="header"/>
    <w:basedOn w:val="Normal"/>
    <w:link w:val="HeaderChar"/>
    <w:autoRedefine/>
    <w:uiPriority w:val="99"/>
    <w:rsid w:val="0090465F"/>
    <w:pPr>
      <w:widowControl/>
      <w:tabs>
        <w:tab w:val="center" w:pos="4680"/>
        <w:tab w:val="right" w:pos="9360"/>
      </w:tabs>
      <w:jc w:val="center"/>
    </w:pPr>
    <w:rPr>
      <w:b/>
    </w:rPr>
  </w:style>
  <w:style w:type="character" w:customStyle="1" w:styleId="HeaderChar">
    <w:name w:val="Header Char"/>
    <w:link w:val="Header"/>
    <w:uiPriority w:val="99"/>
    <w:locked/>
    <w:rsid w:val="0090465F"/>
    <w:rPr>
      <w:b/>
      <w:kern w:val="28"/>
      <w:sz w:val="22"/>
    </w:rPr>
  </w:style>
  <w:style w:type="paragraph" w:styleId="Footer">
    <w:name w:val="footer"/>
    <w:basedOn w:val="Normal"/>
    <w:link w:val="FooterChar"/>
    <w:uiPriority w:val="99"/>
    <w:rsid w:val="002A1B0B"/>
    <w:pPr>
      <w:tabs>
        <w:tab w:val="center" w:pos="4320"/>
        <w:tab w:val="right" w:pos="8640"/>
      </w:tabs>
    </w:pPr>
    <w:rPr>
      <w:sz w:val="20"/>
      <w:szCs w:val="20"/>
    </w:rPr>
  </w:style>
  <w:style w:type="character" w:customStyle="1" w:styleId="FooterChar">
    <w:name w:val="Footer Char"/>
    <w:link w:val="Footer"/>
    <w:uiPriority w:val="99"/>
    <w:locked/>
    <w:rsid w:val="00E1143D"/>
    <w:rPr>
      <w:kern w:val="28"/>
      <w:sz w:val="20"/>
    </w:rPr>
  </w:style>
  <w:style w:type="paragraph" w:styleId="TOC2">
    <w:name w:val="toc 2"/>
    <w:basedOn w:val="Normal"/>
    <w:next w:val="Normal"/>
    <w:autoRedefine/>
    <w:uiPriority w:val="39"/>
    <w:semiHidden/>
    <w:rsid w:val="002A1B0B"/>
    <w:pPr>
      <w:tabs>
        <w:tab w:val="left" w:pos="720"/>
        <w:tab w:val="right" w:leader="dot" w:pos="9360"/>
      </w:tabs>
      <w:suppressAutoHyphens/>
      <w:ind w:left="720" w:right="720" w:hanging="360"/>
    </w:pPr>
    <w:rPr>
      <w:noProof/>
    </w:rPr>
  </w:style>
  <w:style w:type="paragraph" w:customStyle="1" w:styleId="NumberedList">
    <w:name w:val="Numbered List"/>
    <w:basedOn w:val="Normal"/>
    <w:rsid w:val="00D50B4D"/>
    <w:pPr>
      <w:numPr>
        <w:numId w:val="1"/>
      </w:numPr>
      <w:spacing w:after="220"/>
    </w:pPr>
  </w:style>
  <w:style w:type="paragraph" w:styleId="TOC1">
    <w:name w:val="toc 1"/>
    <w:basedOn w:val="Normal"/>
    <w:next w:val="Normal"/>
    <w:autoRedefine/>
    <w:uiPriority w:val="39"/>
    <w:semiHidden/>
    <w:rsid w:val="002A1B0B"/>
    <w:pPr>
      <w:tabs>
        <w:tab w:val="left" w:pos="360"/>
        <w:tab w:val="right" w:leader="dot" w:pos="9360"/>
      </w:tabs>
      <w:suppressAutoHyphens/>
      <w:ind w:left="360" w:right="720" w:hanging="360"/>
    </w:pPr>
    <w:rPr>
      <w:caps/>
      <w:noProof/>
    </w:rPr>
  </w:style>
  <w:style w:type="paragraph" w:styleId="TOC3">
    <w:name w:val="toc 3"/>
    <w:basedOn w:val="Normal"/>
    <w:next w:val="Normal"/>
    <w:autoRedefine/>
    <w:uiPriority w:val="39"/>
    <w:semiHidden/>
    <w:rsid w:val="002A1B0B"/>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semiHidden/>
    <w:rsid w:val="003E1A54"/>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semiHidden/>
    <w:rsid w:val="003E1A54"/>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39"/>
    <w:semiHidden/>
    <w:rsid w:val="003E1A54"/>
    <w:pPr>
      <w:tabs>
        <w:tab w:val="left" w:pos="2160"/>
        <w:tab w:val="right" w:leader="dot" w:pos="9360"/>
      </w:tabs>
      <w:suppressAutoHyphens/>
      <w:ind w:left="2160" w:hanging="360"/>
    </w:pPr>
    <w:rPr>
      <w:noProof/>
    </w:rPr>
  </w:style>
  <w:style w:type="paragraph" w:styleId="TOC7">
    <w:name w:val="toc 7"/>
    <w:basedOn w:val="Normal"/>
    <w:next w:val="Normal"/>
    <w:autoRedefine/>
    <w:uiPriority w:val="39"/>
    <w:semiHidden/>
    <w:rsid w:val="003E1A54"/>
    <w:pPr>
      <w:tabs>
        <w:tab w:val="left" w:pos="2520"/>
        <w:tab w:val="right" w:leader="dot" w:pos="9360"/>
      </w:tabs>
      <w:suppressAutoHyphens/>
      <w:ind w:left="2520" w:hanging="360"/>
    </w:pPr>
    <w:rPr>
      <w:noProof/>
    </w:rPr>
  </w:style>
  <w:style w:type="paragraph" w:styleId="TOC8">
    <w:name w:val="toc 8"/>
    <w:basedOn w:val="Normal"/>
    <w:next w:val="Normal"/>
    <w:autoRedefine/>
    <w:uiPriority w:val="39"/>
    <w:semiHidden/>
    <w:rsid w:val="003E1A54"/>
    <w:pPr>
      <w:tabs>
        <w:tab w:val="left" w:pos="2880"/>
        <w:tab w:val="right" w:leader="dot" w:pos="9360"/>
      </w:tabs>
      <w:suppressAutoHyphens/>
      <w:ind w:left="2880" w:hanging="360"/>
    </w:pPr>
    <w:rPr>
      <w:noProof/>
    </w:rPr>
  </w:style>
  <w:style w:type="paragraph" w:styleId="TOC9">
    <w:name w:val="toc 9"/>
    <w:basedOn w:val="Normal"/>
    <w:next w:val="Normal"/>
    <w:autoRedefine/>
    <w:uiPriority w:val="39"/>
    <w:semiHidden/>
    <w:rsid w:val="003E1A54"/>
    <w:pPr>
      <w:tabs>
        <w:tab w:val="left" w:pos="3240"/>
        <w:tab w:val="right" w:leader="dot" w:pos="9360"/>
      </w:tabs>
      <w:suppressAutoHyphens/>
      <w:ind w:left="3240" w:hanging="360"/>
    </w:pPr>
    <w:rPr>
      <w:noProof/>
    </w:rPr>
  </w:style>
  <w:style w:type="character" w:styleId="PageNumber">
    <w:name w:val="page number"/>
    <w:uiPriority w:val="99"/>
    <w:rsid w:val="00D50B4D"/>
    <w:rPr>
      <w:rFonts w:cs="Times New Roman"/>
    </w:rPr>
  </w:style>
  <w:style w:type="paragraph" w:styleId="Title">
    <w:name w:val="Title"/>
    <w:basedOn w:val="Normal"/>
    <w:link w:val="TitleChar"/>
    <w:uiPriority w:val="10"/>
    <w:qFormat/>
    <w:rsid w:val="002A1B0B"/>
    <w:pPr>
      <w:jc w:val="center"/>
    </w:pPr>
    <w:rPr>
      <w:rFonts w:ascii="Cambria" w:hAnsi="Cambria" w:cs="Cambria"/>
      <w:b/>
      <w:bCs/>
      <w:sz w:val="32"/>
      <w:szCs w:val="32"/>
    </w:rPr>
  </w:style>
  <w:style w:type="character" w:customStyle="1" w:styleId="TitleChar">
    <w:name w:val="Title Char"/>
    <w:link w:val="Title"/>
    <w:uiPriority w:val="10"/>
    <w:locked/>
    <w:rsid w:val="00E1143D"/>
    <w:rPr>
      <w:rFonts w:ascii="Cambria" w:hAnsi="Cambria"/>
      <w:b/>
      <w:kern w:val="28"/>
      <w:sz w:val="32"/>
    </w:rPr>
  </w:style>
  <w:style w:type="character" w:customStyle="1" w:styleId="FootnoteTextChar3">
    <w:name w:val="Footnote Text Char3"/>
    <w:aliases w:val="Footnote Text Char Char Char Char Char Char Char1,Footnote Text Char Char Char Char1,Footnote Text Char1 Char Char Char Char1,Footnote Text Char1 Char3 Char1,Footnote Text Char2 Char Char Char Char Char1,Footnote Text Char2 Char1"/>
    <w:link w:val="FootnoteText"/>
    <w:uiPriority w:val="99"/>
    <w:locked/>
    <w:rsid w:val="00E87AF6"/>
    <w:rPr>
      <w:lang w:val="en-US" w:eastAsia="en-US"/>
    </w:rPr>
  </w:style>
  <w:style w:type="character" w:styleId="CommentReference">
    <w:name w:val="annotation reference"/>
    <w:uiPriority w:val="99"/>
    <w:rsid w:val="00D925D5"/>
    <w:rPr>
      <w:sz w:val="16"/>
    </w:rPr>
  </w:style>
  <w:style w:type="paragraph" w:styleId="CommentText">
    <w:name w:val="annotation text"/>
    <w:basedOn w:val="Normal"/>
    <w:link w:val="CommentTextChar"/>
    <w:autoRedefine/>
    <w:uiPriority w:val="99"/>
    <w:rsid w:val="009F5DC9"/>
    <w:rPr>
      <w:sz w:val="20"/>
      <w:szCs w:val="20"/>
      <w:shd w:val="clear" w:color="auto" w:fill="FFFFFF"/>
    </w:rPr>
  </w:style>
  <w:style w:type="character" w:customStyle="1" w:styleId="CommentTextChar">
    <w:name w:val="Comment Text Char"/>
    <w:link w:val="CommentText"/>
    <w:uiPriority w:val="99"/>
    <w:locked/>
    <w:rsid w:val="009F5DC9"/>
    <w:rPr>
      <w:kern w:val="28"/>
    </w:rPr>
  </w:style>
  <w:style w:type="paragraph" w:styleId="CommentSubject">
    <w:name w:val="annotation subject"/>
    <w:basedOn w:val="CommentText"/>
    <w:next w:val="CommentText"/>
    <w:link w:val="CommentSubjectChar"/>
    <w:uiPriority w:val="99"/>
    <w:rsid w:val="002A1B0B"/>
    <w:rPr>
      <w:b/>
      <w:bCs/>
      <w:kern w:val="0"/>
    </w:rPr>
  </w:style>
  <w:style w:type="character" w:customStyle="1" w:styleId="CommentSubjectChar">
    <w:name w:val="Comment Subject Char"/>
    <w:link w:val="CommentSubject"/>
    <w:uiPriority w:val="99"/>
    <w:locked/>
    <w:rsid w:val="00F57C1A"/>
    <w:rPr>
      <w:b/>
      <w:kern w:val="28"/>
      <w:sz w:val="22"/>
    </w:rPr>
  </w:style>
  <w:style w:type="character" w:styleId="Hyperlink">
    <w:name w:val="Hyperlink"/>
    <w:uiPriority w:val="99"/>
    <w:rsid w:val="006A438D"/>
    <w:rPr>
      <w:color w:val="0000FF"/>
      <w:u w:val="single"/>
    </w:rPr>
  </w:style>
  <w:style w:type="character" w:customStyle="1" w:styleId="documentbody">
    <w:name w:val="documentbody"/>
    <w:rsid w:val="00A97676"/>
  </w:style>
  <w:style w:type="paragraph" w:customStyle="1" w:styleId="ColorfulShading-Accent11">
    <w:name w:val="Colorful Shading - Accent 11"/>
    <w:hidden/>
    <w:uiPriority w:val="99"/>
    <w:semiHidden/>
    <w:rsid w:val="00962757"/>
    <w:rPr>
      <w:sz w:val="22"/>
      <w:szCs w:val="22"/>
    </w:rPr>
  </w:style>
  <w:style w:type="paragraph" w:styleId="EndnoteText">
    <w:name w:val="endnote text"/>
    <w:basedOn w:val="Normal"/>
    <w:link w:val="EndnoteTextChar"/>
    <w:uiPriority w:val="99"/>
    <w:rsid w:val="003E1A54"/>
    <w:rPr>
      <w:sz w:val="20"/>
      <w:szCs w:val="20"/>
    </w:rPr>
  </w:style>
  <w:style w:type="character" w:customStyle="1" w:styleId="EndnoteTextChar">
    <w:name w:val="Endnote Text Char"/>
    <w:link w:val="EndnoteText"/>
    <w:uiPriority w:val="99"/>
    <w:locked/>
    <w:rsid w:val="0011252B"/>
    <w:rPr>
      <w:kern w:val="28"/>
    </w:rPr>
  </w:style>
  <w:style w:type="character" w:customStyle="1" w:styleId="displayhltext">
    <w:name w:val="display_hl_text"/>
    <w:rsid w:val="00794562"/>
  </w:style>
  <w:style w:type="character" w:styleId="EndnoteReference">
    <w:name w:val="endnote reference"/>
    <w:uiPriority w:val="99"/>
    <w:rsid w:val="00721B94"/>
    <w:rPr>
      <w:vertAlign w:val="superscript"/>
    </w:rPr>
  </w:style>
  <w:style w:type="paragraph" w:styleId="TOAHeading">
    <w:name w:val="toa heading"/>
    <w:basedOn w:val="Normal"/>
    <w:next w:val="Normal"/>
    <w:uiPriority w:val="99"/>
    <w:rsid w:val="00721B94"/>
    <w:pPr>
      <w:tabs>
        <w:tab w:val="right" w:pos="9360"/>
      </w:tabs>
      <w:suppressAutoHyphens/>
    </w:pPr>
  </w:style>
  <w:style w:type="character" w:customStyle="1" w:styleId="EquationCaption">
    <w:name w:val="_Equation Caption"/>
    <w:rsid w:val="00721B94"/>
  </w:style>
  <w:style w:type="paragraph" w:customStyle="1" w:styleId="Paratitle">
    <w:name w:val="Para title"/>
    <w:basedOn w:val="Normal"/>
    <w:rsid w:val="00721B94"/>
    <w:pPr>
      <w:tabs>
        <w:tab w:val="center" w:pos="9270"/>
      </w:tabs>
      <w:spacing w:after="240"/>
    </w:pPr>
    <w:rPr>
      <w:spacing w:val="-2"/>
    </w:rPr>
  </w:style>
  <w:style w:type="paragraph" w:customStyle="1" w:styleId="TOCTitle">
    <w:name w:val="TOC Title"/>
    <w:basedOn w:val="Normal"/>
    <w:rsid w:val="00721B94"/>
    <w:pPr>
      <w:spacing w:before="240" w:after="240"/>
      <w:jc w:val="center"/>
    </w:pPr>
    <w:rPr>
      <w:rFonts w:ascii="Times New Roman Bold" w:hAnsi="Times New Roman Bold" w:cs="Times New Roman Bold"/>
      <w:b/>
      <w:bCs/>
      <w:caps/>
      <w:spacing w:val="-2"/>
    </w:rPr>
  </w:style>
  <w:style w:type="paragraph" w:customStyle="1" w:styleId="StyleBoldCentered">
    <w:name w:val="Style Bold Centered"/>
    <w:basedOn w:val="Normal"/>
    <w:rsid w:val="00721B94"/>
    <w:pPr>
      <w:jc w:val="center"/>
    </w:pPr>
    <w:rPr>
      <w:rFonts w:ascii="Times New Roman Bold" w:hAnsi="Times New Roman Bold" w:cs="Times New Roman Bold"/>
      <w:b/>
      <w:bCs/>
      <w:caps/>
    </w:rPr>
  </w:style>
  <w:style w:type="paragraph" w:customStyle="1" w:styleId="ColorfulShading-Accent12">
    <w:name w:val="Colorful Shading - Accent 12"/>
    <w:hidden/>
    <w:uiPriority w:val="99"/>
    <w:semiHidden/>
    <w:rsid w:val="00134FC3"/>
    <w:rPr>
      <w:kern w:val="28"/>
      <w:sz w:val="22"/>
      <w:szCs w:val="22"/>
    </w:rPr>
  </w:style>
  <w:style w:type="character" w:customStyle="1" w:styleId="costarpage2">
    <w:name w:val="co_starpage2"/>
    <w:rsid w:val="00B33497"/>
  </w:style>
  <w:style w:type="character" w:styleId="FollowedHyperlink">
    <w:name w:val="FollowedHyperlink"/>
    <w:uiPriority w:val="99"/>
    <w:semiHidden/>
    <w:rsid w:val="00643A4F"/>
    <w:rPr>
      <w:color w:val="800080"/>
      <w:u w:val="single"/>
    </w:rPr>
  </w:style>
  <w:style w:type="character" w:customStyle="1" w:styleId="UnresolvedMention1">
    <w:name w:val="Unresolved Mention1"/>
    <w:uiPriority w:val="99"/>
    <w:semiHidden/>
    <w:unhideWhenUsed/>
    <w:rsid w:val="00A378EC"/>
    <w:rPr>
      <w:color w:val="605E5C"/>
      <w:shd w:val="clear" w:color="auto" w:fill="E1DFDD"/>
    </w:rPr>
  </w:style>
  <w:style w:type="paragraph" w:styleId="ListParagraph">
    <w:name w:val="List Paragraph"/>
    <w:basedOn w:val="Normal"/>
    <w:uiPriority w:val="34"/>
    <w:qFormat/>
    <w:rsid w:val="00C15D96"/>
    <w:pPr>
      <w:widowControl/>
      <w:snapToGrid w:val="0"/>
      <w:spacing w:after="200"/>
      <w:ind w:left="720"/>
    </w:pPr>
    <w:rPr>
      <w:kern w:val="0"/>
    </w:rPr>
  </w:style>
  <w:style w:type="paragraph" w:customStyle="1" w:styleId="xxmsolistparagraph">
    <w:name w:val="x_x_msolistparagraph"/>
    <w:basedOn w:val="Normal"/>
    <w:rsid w:val="00955C6F"/>
    <w:pPr>
      <w:widowControl/>
      <w:spacing w:before="100" w:beforeAutospacing="1" w:after="100" w:afterAutospacing="1"/>
    </w:pPr>
    <w:rPr>
      <w:kern w:val="0"/>
      <w:sz w:val="24"/>
      <w:szCs w:val="24"/>
    </w:rPr>
  </w:style>
  <w:style w:type="paragraph" w:styleId="NormalWeb">
    <w:name w:val="Normal (Web)"/>
    <w:basedOn w:val="Normal"/>
    <w:uiPriority w:val="99"/>
    <w:unhideWhenUsed/>
    <w:locked/>
    <w:rsid w:val="0096641C"/>
    <w:pPr>
      <w:widowControl/>
      <w:spacing w:before="100" w:beforeAutospacing="1" w:after="100" w:afterAutospacing="1"/>
    </w:pPr>
    <w:rPr>
      <w:kern w:val="0"/>
      <w:sz w:val="24"/>
      <w:szCs w:val="24"/>
    </w:rPr>
  </w:style>
  <w:style w:type="paragraph" w:customStyle="1" w:styleId="xmsolistparagraph">
    <w:name w:val="x_msolistparagraph"/>
    <w:basedOn w:val="Normal"/>
    <w:rsid w:val="001B6F27"/>
    <w:pPr>
      <w:widowControl/>
      <w:spacing w:before="100" w:beforeAutospacing="1" w:after="100" w:afterAutospacing="1"/>
    </w:pPr>
    <w:rPr>
      <w:kern w:val="0"/>
      <w:sz w:val="24"/>
      <w:szCs w:val="24"/>
    </w:rPr>
  </w:style>
  <w:style w:type="paragraph" w:styleId="Revision">
    <w:name w:val="Revision"/>
    <w:hidden/>
    <w:uiPriority w:val="99"/>
    <w:semiHidden/>
    <w:rsid w:val="00EB77DB"/>
    <w:rPr>
      <w:kern w:val="28"/>
      <w:sz w:val="22"/>
      <w:szCs w:val="22"/>
    </w:rPr>
  </w:style>
  <w:style w:type="character" w:customStyle="1" w:styleId="UnresolvedMention2">
    <w:name w:val="Unresolved Mention2"/>
    <w:uiPriority w:val="99"/>
    <w:semiHidden/>
    <w:unhideWhenUsed/>
    <w:rsid w:val="00765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