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E5884" w:rsidRPr="007E7363" w:rsidP="00C82B6B" w14:paraId="0B14F22B" w14:textId="77777777">
      <w:pPr>
        <w:jc w:val="right"/>
        <w:rPr>
          <w:szCs w:val="22"/>
        </w:rPr>
      </w:pPr>
    </w:p>
    <w:p w:rsidR="00013A8B" w:rsidRPr="007E7363" w:rsidP="00013A8B" w14:paraId="3D9B0D26" w14:textId="4D234F0C">
      <w:pPr>
        <w:jc w:val="right"/>
        <w:rPr>
          <w:b/>
          <w:szCs w:val="22"/>
        </w:rPr>
      </w:pPr>
      <w:r w:rsidRPr="007E7363">
        <w:rPr>
          <w:b/>
          <w:szCs w:val="22"/>
        </w:rPr>
        <w:t>DA 20-</w:t>
      </w:r>
      <w:r w:rsidR="00977BAA">
        <w:rPr>
          <w:b/>
          <w:szCs w:val="22"/>
        </w:rPr>
        <w:t>673</w:t>
      </w:r>
    </w:p>
    <w:p w:rsidR="00013A8B" w:rsidRPr="007E7363" w:rsidP="00013A8B" w14:paraId="0054471F" w14:textId="330531BB">
      <w:pPr>
        <w:spacing w:before="60"/>
        <w:jc w:val="right"/>
        <w:rPr>
          <w:b/>
          <w:szCs w:val="22"/>
        </w:rPr>
      </w:pPr>
      <w:r w:rsidRPr="007E7363">
        <w:rPr>
          <w:b/>
          <w:szCs w:val="22"/>
        </w:rPr>
        <w:t xml:space="preserve">Released:  </w:t>
      </w:r>
      <w:r w:rsidRPr="007E7363" w:rsidR="00487CA0">
        <w:rPr>
          <w:b/>
          <w:szCs w:val="22"/>
        </w:rPr>
        <w:t xml:space="preserve">June </w:t>
      </w:r>
      <w:r w:rsidR="003226E3">
        <w:rPr>
          <w:b/>
          <w:szCs w:val="22"/>
        </w:rPr>
        <w:t>25</w:t>
      </w:r>
      <w:r w:rsidRPr="007E7363" w:rsidR="00487CA0">
        <w:rPr>
          <w:b/>
          <w:szCs w:val="22"/>
        </w:rPr>
        <w:t>, 2020</w:t>
      </w:r>
    </w:p>
    <w:p w:rsidR="00013A8B" w:rsidRPr="007E7363" w:rsidP="00013A8B" w14:paraId="3C391B59" w14:textId="77777777">
      <w:pPr>
        <w:jc w:val="right"/>
        <w:rPr>
          <w:szCs w:val="22"/>
        </w:rPr>
      </w:pPr>
    </w:p>
    <w:p w:rsidR="00094BB8" w:rsidP="00094BB8" w14:paraId="0EA11C52" w14:textId="5B4C937C">
      <w:pPr>
        <w:widowControl/>
        <w:jc w:val="center"/>
        <w:rPr>
          <w:b/>
          <w:bCs/>
          <w:snapToGrid/>
          <w:kern w:val="0"/>
          <w:szCs w:val="22"/>
        </w:rPr>
      </w:pPr>
      <w:bookmarkStart w:id="0" w:name="_Hlk519509475"/>
      <w:bookmarkStart w:id="1" w:name="_Hlk502044717"/>
      <w:bookmarkStart w:id="2" w:name="_Hlk516578398"/>
      <w:r w:rsidRPr="00094BB8">
        <w:rPr>
          <w:b/>
          <w:bCs/>
          <w:snapToGrid/>
          <w:kern w:val="0"/>
          <w:szCs w:val="22"/>
        </w:rPr>
        <w:t>APPLICATION</w:t>
      </w:r>
      <w:r>
        <w:rPr>
          <w:b/>
          <w:bCs/>
          <w:snapToGrid/>
          <w:kern w:val="0"/>
          <w:szCs w:val="22"/>
        </w:rPr>
        <w:t>S</w:t>
      </w:r>
      <w:r w:rsidRPr="00094BB8">
        <w:rPr>
          <w:b/>
          <w:bCs/>
          <w:snapToGrid/>
          <w:kern w:val="0"/>
          <w:szCs w:val="22"/>
        </w:rPr>
        <w:t xml:space="preserve"> FILED FOR THE </w:t>
      </w:r>
      <w:bookmarkEnd w:id="0"/>
      <w:bookmarkEnd w:id="1"/>
      <w:bookmarkEnd w:id="2"/>
      <w:r w:rsidRPr="00094BB8">
        <w:rPr>
          <w:b/>
          <w:bCs/>
          <w:snapToGrid/>
          <w:kern w:val="0"/>
          <w:szCs w:val="22"/>
        </w:rPr>
        <w:t xml:space="preserve">TRANSFER OF CONTROL OF </w:t>
      </w:r>
    </w:p>
    <w:p w:rsidR="00094BB8" w:rsidP="00094BB8" w14:paraId="32F0CF47" w14:textId="77777777">
      <w:pPr>
        <w:widowControl/>
        <w:jc w:val="center"/>
        <w:rPr>
          <w:b/>
          <w:bCs/>
          <w:snapToGrid/>
          <w:kern w:val="0"/>
          <w:szCs w:val="22"/>
        </w:rPr>
      </w:pPr>
      <w:r>
        <w:rPr>
          <w:b/>
          <w:bCs/>
          <w:snapToGrid/>
          <w:kern w:val="0"/>
          <w:szCs w:val="22"/>
        </w:rPr>
        <w:t xml:space="preserve">CENTURYLINK PUBLIC COMMUNICATIONS, INC. </w:t>
      </w:r>
    </w:p>
    <w:p w:rsidR="00094BB8" w:rsidRPr="00094BB8" w:rsidP="00094BB8" w14:paraId="1847233D" w14:textId="399C0ECE">
      <w:pPr>
        <w:widowControl/>
        <w:jc w:val="center"/>
        <w:rPr>
          <w:rFonts w:eastAsia="Calibri"/>
          <w:b/>
          <w:caps/>
          <w:snapToGrid/>
          <w:kern w:val="0"/>
          <w:szCs w:val="22"/>
        </w:rPr>
      </w:pPr>
      <w:r>
        <w:rPr>
          <w:b/>
          <w:bCs/>
          <w:snapToGrid/>
          <w:kern w:val="0"/>
          <w:szCs w:val="22"/>
        </w:rPr>
        <w:t xml:space="preserve">TO INMATE CALLING SOLUTIONS, LLC D/B/A ICSOLUTIONS </w:t>
      </w:r>
    </w:p>
    <w:p w:rsidR="00094BB8" w:rsidRPr="00094BB8" w:rsidP="00094BB8" w14:paraId="7C1F923B" w14:textId="77777777">
      <w:pPr>
        <w:widowControl/>
        <w:autoSpaceDE w:val="0"/>
        <w:autoSpaceDN w:val="0"/>
        <w:adjustRightInd w:val="0"/>
        <w:rPr>
          <w:b/>
          <w:bCs/>
          <w:snapToGrid/>
          <w:kern w:val="0"/>
          <w:szCs w:val="22"/>
        </w:rPr>
      </w:pPr>
    </w:p>
    <w:p w:rsidR="00094BB8" w:rsidRPr="00094BB8" w:rsidP="00094BB8" w14:paraId="6239CEAD" w14:textId="77777777">
      <w:pPr>
        <w:widowControl/>
        <w:jc w:val="center"/>
        <w:rPr>
          <w:b/>
          <w:snapToGrid/>
          <w:kern w:val="0"/>
          <w:szCs w:val="22"/>
        </w:rPr>
      </w:pPr>
      <w:r w:rsidRPr="00094BB8">
        <w:rPr>
          <w:b/>
          <w:bCs/>
          <w:snapToGrid/>
          <w:kern w:val="0"/>
          <w:szCs w:val="22"/>
        </w:rPr>
        <w:t>NON-STREA</w:t>
      </w:r>
      <w:r w:rsidRPr="00094BB8">
        <w:rPr>
          <w:b/>
          <w:snapToGrid/>
          <w:kern w:val="0"/>
          <w:szCs w:val="22"/>
        </w:rPr>
        <w:t>MLINED PLEADING CYCLE ESTABLISHED</w:t>
      </w:r>
    </w:p>
    <w:p w:rsidR="00094BB8" w:rsidP="007E7363" w14:paraId="66FF1B15" w14:textId="77777777">
      <w:pPr>
        <w:autoSpaceDE w:val="0"/>
        <w:autoSpaceDN w:val="0"/>
        <w:adjustRightInd w:val="0"/>
        <w:ind w:firstLine="720"/>
        <w:jc w:val="center"/>
        <w:rPr>
          <w:b/>
          <w:caps/>
          <w:szCs w:val="22"/>
        </w:rPr>
      </w:pPr>
    </w:p>
    <w:p w:rsidR="00013A8B" w:rsidRPr="007E7363" w:rsidP="00013A8B" w14:paraId="08C266D4" w14:textId="77777777">
      <w:pPr>
        <w:jc w:val="center"/>
        <w:rPr>
          <w:b/>
          <w:szCs w:val="22"/>
        </w:rPr>
      </w:pPr>
      <w:r w:rsidRPr="007E7363">
        <w:rPr>
          <w:b/>
          <w:szCs w:val="22"/>
        </w:rPr>
        <w:t>WC Docket No. 20-150</w:t>
      </w:r>
    </w:p>
    <w:p w:rsidR="00F96F63" w:rsidRPr="007E7363" w:rsidP="00F96F63" w14:paraId="24EF988D" w14:textId="77777777">
      <w:pPr>
        <w:rPr>
          <w:szCs w:val="22"/>
        </w:rPr>
      </w:pPr>
      <w:bookmarkStart w:id="3" w:name="TOChere"/>
    </w:p>
    <w:bookmarkEnd w:id="3"/>
    <w:p w:rsidR="00487CA0" w:rsidRPr="007E7363" w:rsidP="00487CA0" w14:paraId="4A7BDB74" w14:textId="69519817">
      <w:pPr>
        <w:suppressAutoHyphens/>
        <w:rPr>
          <w:b/>
          <w:szCs w:val="22"/>
        </w:rPr>
      </w:pPr>
      <w:r w:rsidRPr="007E7363">
        <w:rPr>
          <w:b/>
          <w:szCs w:val="22"/>
        </w:rPr>
        <w:t xml:space="preserve">Comments Due:  </w:t>
      </w:r>
      <w:r w:rsidRPr="007E7363" w:rsidR="007E7363">
        <w:rPr>
          <w:b/>
          <w:szCs w:val="22"/>
        </w:rPr>
        <w:t>July</w:t>
      </w:r>
      <w:r w:rsidRPr="007E7363">
        <w:rPr>
          <w:b/>
          <w:szCs w:val="22"/>
        </w:rPr>
        <w:t xml:space="preserve"> </w:t>
      </w:r>
      <w:r w:rsidR="003226E3">
        <w:rPr>
          <w:b/>
          <w:szCs w:val="22"/>
        </w:rPr>
        <w:t>09</w:t>
      </w:r>
      <w:r w:rsidRPr="007E7363">
        <w:rPr>
          <w:b/>
          <w:szCs w:val="22"/>
        </w:rPr>
        <w:t xml:space="preserve">, 2020 </w:t>
      </w:r>
    </w:p>
    <w:p w:rsidR="00487CA0" w:rsidRPr="007E7363" w:rsidP="00487CA0" w14:paraId="0C9ECCEE" w14:textId="7A449D4B">
      <w:pPr>
        <w:suppressAutoHyphens/>
        <w:rPr>
          <w:b/>
          <w:szCs w:val="22"/>
        </w:rPr>
      </w:pPr>
      <w:r w:rsidRPr="007E7363">
        <w:rPr>
          <w:b/>
          <w:szCs w:val="22"/>
        </w:rPr>
        <w:t xml:space="preserve">Reply Comments Due:  </w:t>
      </w:r>
      <w:r w:rsidRPr="007E7363" w:rsidR="007E7363">
        <w:rPr>
          <w:b/>
          <w:szCs w:val="22"/>
        </w:rPr>
        <w:t>July</w:t>
      </w:r>
      <w:r w:rsidRPr="007E7363">
        <w:rPr>
          <w:b/>
          <w:szCs w:val="22"/>
        </w:rPr>
        <w:t xml:space="preserve"> </w:t>
      </w:r>
      <w:r w:rsidR="003226E3">
        <w:rPr>
          <w:b/>
          <w:szCs w:val="22"/>
        </w:rPr>
        <w:t>16</w:t>
      </w:r>
      <w:r w:rsidRPr="007E7363">
        <w:rPr>
          <w:b/>
          <w:szCs w:val="22"/>
        </w:rPr>
        <w:t xml:space="preserve">, 2020 </w:t>
      </w:r>
    </w:p>
    <w:p w:rsidR="00487CA0" w:rsidRPr="007E7363" w:rsidP="00487CA0" w14:paraId="43288D7E" w14:textId="77777777">
      <w:pPr>
        <w:autoSpaceDE w:val="0"/>
        <w:autoSpaceDN w:val="0"/>
        <w:adjustRightInd w:val="0"/>
        <w:rPr>
          <w:szCs w:val="22"/>
        </w:rPr>
      </w:pPr>
    </w:p>
    <w:p w:rsidR="00487CA0" w:rsidRPr="007E7363" w:rsidP="00487CA0" w14:paraId="05C8FC1C" w14:textId="77777777">
      <w:pPr>
        <w:autoSpaceDE w:val="0"/>
        <w:autoSpaceDN w:val="0"/>
        <w:adjustRightInd w:val="0"/>
        <w:ind w:firstLine="720"/>
        <w:rPr>
          <w:szCs w:val="22"/>
        </w:rPr>
      </w:pPr>
      <w:r w:rsidRPr="007E7363">
        <w:rPr>
          <w:szCs w:val="22"/>
        </w:rPr>
        <w:t>By this Public Notice, the Wireline Competition Bureau and International Bureau (Bureaus) seek comment from interested parties on applications filed by Embarq Corporation (Embarq) and Inmate Calling Solutions, LLC d/b/a ICSolutions (ICSolutions) (together, Applicants), pursuant to section 214 of the Communications Act of 1934, as amended (Act), and sections 63.03-04, 63.18, and 63.24 of the Commission’s rules,</w:t>
      </w:r>
      <w:r>
        <w:rPr>
          <w:rStyle w:val="FootnoteReference"/>
          <w:szCs w:val="22"/>
        </w:rPr>
        <w:footnoteReference w:id="3"/>
      </w:r>
      <w:r w:rsidRPr="007E7363">
        <w:rPr>
          <w:szCs w:val="22"/>
        </w:rPr>
        <w:t xml:space="preserve"> requesting consent to transfer control of CenturyLink Public Communications, Inc. (CPCI) from Embarq to ICSolutions.</w:t>
      </w:r>
      <w:r>
        <w:rPr>
          <w:szCs w:val="22"/>
          <w:vertAlign w:val="superscript"/>
        </w:rPr>
        <w:footnoteReference w:id="4"/>
      </w:r>
      <w:r w:rsidRPr="007E7363">
        <w:rPr>
          <w:szCs w:val="22"/>
        </w:rPr>
        <w:t xml:space="preserve">  </w:t>
      </w:r>
    </w:p>
    <w:p w:rsidR="00487CA0" w:rsidRPr="007E7363" w:rsidP="00487CA0" w14:paraId="0A7C6FC7" w14:textId="77777777">
      <w:pPr>
        <w:autoSpaceDE w:val="0"/>
        <w:autoSpaceDN w:val="0"/>
        <w:adjustRightInd w:val="0"/>
        <w:ind w:firstLine="720"/>
        <w:rPr>
          <w:szCs w:val="22"/>
        </w:rPr>
      </w:pPr>
    </w:p>
    <w:p w:rsidR="00487CA0" w:rsidRPr="007E7363" w:rsidP="00487CA0" w14:paraId="62D8E235" w14:textId="0063E45C">
      <w:pPr>
        <w:widowControl/>
        <w:autoSpaceDE w:val="0"/>
        <w:autoSpaceDN w:val="0"/>
        <w:adjustRightInd w:val="0"/>
        <w:ind w:firstLine="720"/>
        <w:rPr>
          <w:snapToGrid/>
          <w:kern w:val="0"/>
          <w:szCs w:val="22"/>
        </w:rPr>
      </w:pPr>
      <w:r w:rsidRPr="007E7363">
        <w:rPr>
          <w:szCs w:val="22"/>
        </w:rPr>
        <w:t xml:space="preserve">CPCI, a Florida corporation, </w:t>
      </w:r>
      <w:r w:rsidRPr="007E7363" w:rsidR="009B4344">
        <w:rPr>
          <w:snapToGrid/>
          <w:kern w:val="0"/>
          <w:szCs w:val="22"/>
        </w:rPr>
        <w:t>provides inmate calling services to state, county, and municipal correctional institutions through wholesale capacity provided by CenturyLink.</w:t>
      </w:r>
      <w:r>
        <w:rPr>
          <w:snapToGrid/>
          <w:kern w:val="0"/>
          <w:szCs w:val="22"/>
          <w:vertAlign w:val="superscript"/>
        </w:rPr>
        <w:footnoteReference w:id="5"/>
      </w:r>
      <w:r w:rsidRPr="007E7363" w:rsidR="009B4344">
        <w:rPr>
          <w:snapToGrid/>
          <w:kern w:val="0"/>
          <w:szCs w:val="22"/>
        </w:rPr>
        <w:t xml:space="preserve">  Applicants state that CPCI currently has contracts to provide telecommunications services to certain correctional facilities in Arizona, Florida, Idaho, Kansas, Louisiana, Missouri, Montana, North Carolina, Nevada, Oregon, </w:t>
      </w:r>
      <w:r w:rsidR="00F86FEC">
        <w:rPr>
          <w:snapToGrid/>
          <w:kern w:val="0"/>
          <w:szCs w:val="22"/>
        </w:rPr>
        <w:t xml:space="preserve">Texas, </w:t>
      </w:r>
      <w:r w:rsidRPr="007E7363" w:rsidR="009B4344">
        <w:rPr>
          <w:snapToGrid/>
          <w:kern w:val="0"/>
          <w:szCs w:val="22"/>
        </w:rPr>
        <w:t>Utah, West Virginia, and Wisconsin.</w:t>
      </w:r>
      <w:r>
        <w:rPr>
          <w:rStyle w:val="FootnoteReference"/>
          <w:snapToGrid/>
          <w:kern w:val="0"/>
          <w:szCs w:val="22"/>
        </w:rPr>
        <w:footnoteReference w:id="6"/>
      </w:r>
      <w:r w:rsidRPr="007E7363" w:rsidR="009B4344">
        <w:rPr>
          <w:snapToGrid/>
          <w:kern w:val="0"/>
          <w:szCs w:val="22"/>
        </w:rPr>
        <w:t xml:space="preserve">  CPCI </w:t>
      </w:r>
      <w:r w:rsidRPr="007E7363">
        <w:rPr>
          <w:szCs w:val="22"/>
        </w:rPr>
        <w:t>is a wholly owned direct subsidiary of Embarq, a Delaware corporation that is a wholly owned</w:t>
      </w:r>
      <w:r w:rsidRPr="007E7363" w:rsidR="009B4344">
        <w:rPr>
          <w:szCs w:val="22"/>
        </w:rPr>
        <w:t>,</w:t>
      </w:r>
      <w:r w:rsidRPr="007E7363">
        <w:rPr>
          <w:szCs w:val="22"/>
        </w:rPr>
        <w:t xml:space="preserve"> direct subsidiary of CenturyLink, Inc.</w:t>
      </w:r>
      <w:r w:rsidRPr="007E7363" w:rsidR="00272AFF">
        <w:rPr>
          <w:szCs w:val="22"/>
        </w:rPr>
        <w:t xml:space="preserve"> </w:t>
      </w:r>
      <w:r w:rsidRPr="007E7363">
        <w:rPr>
          <w:szCs w:val="22"/>
        </w:rPr>
        <w:t>(CenturyLink).</w:t>
      </w:r>
      <w:r>
        <w:rPr>
          <w:rStyle w:val="FootnoteReference"/>
          <w:szCs w:val="22"/>
        </w:rPr>
        <w:footnoteReference w:id="7"/>
      </w:r>
      <w:r w:rsidRPr="007E7363">
        <w:rPr>
          <w:szCs w:val="22"/>
        </w:rPr>
        <w:t xml:space="preserve">  CenturyLink</w:t>
      </w:r>
      <w:r w:rsidRPr="007E7363" w:rsidR="007F4987">
        <w:rPr>
          <w:szCs w:val="22"/>
        </w:rPr>
        <w:t>,</w:t>
      </w:r>
      <w:r w:rsidRPr="007E7363">
        <w:rPr>
          <w:szCs w:val="22"/>
        </w:rPr>
        <w:t xml:space="preserve"> a Louisiana corporation</w:t>
      </w:r>
      <w:r w:rsidRPr="007E7363" w:rsidR="007F4987">
        <w:rPr>
          <w:szCs w:val="22"/>
        </w:rPr>
        <w:t>,</w:t>
      </w:r>
      <w:r w:rsidRPr="007E7363">
        <w:rPr>
          <w:szCs w:val="22"/>
        </w:rPr>
        <w:t xml:space="preserve"> provides telecommunications services in multiple states.</w:t>
      </w:r>
      <w:r>
        <w:rPr>
          <w:rStyle w:val="FootnoteReference"/>
          <w:szCs w:val="22"/>
        </w:rPr>
        <w:footnoteReference w:id="8"/>
      </w:r>
      <w:r w:rsidRPr="007E7363">
        <w:rPr>
          <w:szCs w:val="22"/>
        </w:rPr>
        <w:t xml:space="preserve">  </w:t>
      </w:r>
    </w:p>
    <w:p w:rsidR="00487CA0" w:rsidRPr="007E7363" w:rsidP="00487CA0" w14:paraId="356AFEF2" w14:textId="77777777">
      <w:pPr>
        <w:autoSpaceDE w:val="0"/>
        <w:autoSpaceDN w:val="0"/>
        <w:adjustRightInd w:val="0"/>
        <w:ind w:firstLine="720"/>
        <w:rPr>
          <w:szCs w:val="22"/>
        </w:rPr>
      </w:pPr>
    </w:p>
    <w:p w:rsidR="00487CA0" w:rsidRPr="007E7363" w:rsidP="00487CA0" w14:paraId="64C34EC5" w14:textId="6E4FF913">
      <w:pPr>
        <w:autoSpaceDE w:val="0"/>
        <w:autoSpaceDN w:val="0"/>
        <w:adjustRightInd w:val="0"/>
        <w:ind w:firstLine="720"/>
        <w:rPr>
          <w:szCs w:val="22"/>
        </w:rPr>
      </w:pPr>
      <w:r w:rsidRPr="007E7363">
        <w:rPr>
          <w:szCs w:val="22"/>
        </w:rPr>
        <w:t>ICSolutions, a California limited liability company,</w:t>
      </w:r>
      <w:r w:rsidRPr="007E7363">
        <w:rPr>
          <w:color w:val="231F20"/>
          <w:szCs w:val="22"/>
        </w:rPr>
        <w:t xml:space="preserve"> provides telecommunications services to </w:t>
      </w:r>
      <w:r w:rsidRPr="007E7363">
        <w:rPr>
          <w:color w:val="231F20"/>
          <w:szCs w:val="22"/>
        </w:rPr>
        <w:t>confinement and correctional facilities in 39 states,</w:t>
      </w:r>
      <w:r w:rsidRPr="007E7363">
        <w:rPr>
          <w:snapToGrid/>
          <w:kern w:val="0"/>
          <w:szCs w:val="22"/>
        </w:rPr>
        <w:t xml:space="preserve"> including inmate calling and video visitation </w:t>
      </w:r>
      <w:bookmarkStart w:id="4" w:name="_GoBack"/>
      <w:bookmarkEnd w:id="4"/>
      <w:r w:rsidRPr="007E7363">
        <w:rPr>
          <w:snapToGrid/>
          <w:kern w:val="0"/>
          <w:szCs w:val="22"/>
        </w:rPr>
        <w:t>services.</w:t>
      </w:r>
      <w:r>
        <w:rPr>
          <w:snapToGrid/>
          <w:kern w:val="0"/>
          <w:szCs w:val="22"/>
          <w:vertAlign w:val="superscript"/>
        </w:rPr>
        <w:footnoteReference w:id="9"/>
      </w:r>
      <w:r w:rsidRPr="007E7363">
        <w:rPr>
          <w:snapToGrid/>
          <w:kern w:val="0"/>
          <w:szCs w:val="22"/>
        </w:rPr>
        <w:t xml:space="preserve">  ICSolutions is a wholly-owned direct subsidiary of Keefe Group, LLC (Keefe), a Missouri limited liability company that provides products and services to the correctional industry</w:t>
      </w:r>
      <w:r w:rsidRPr="007E7363">
        <w:rPr>
          <w:color w:val="231F20"/>
          <w:szCs w:val="22"/>
        </w:rPr>
        <w:t>.</w:t>
      </w:r>
      <w:r>
        <w:rPr>
          <w:rStyle w:val="FootnoteReference"/>
          <w:color w:val="231F20"/>
          <w:szCs w:val="22"/>
        </w:rPr>
        <w:footnoteReference w:id="10"/>
      </w:r>
      <w:r w:rsidRPr="007E7363">
        <w:rPr>
          <w:color w:val="231F20"/>
          <w:szCs w:val="22"/>
        </w:rPr>
        <w:t xml:space="preserve">  </w:t>
      </w:r>
      <w:r w:rsidRPr="007E7363">
        <w:rPr>
          <w:szCs w:val="22"/>
        </w:rPr>
        <w:t>Keefe, in turn, is a wholly-owned direct subsidiary of TKC Holdings, Inc. (TKC Holdings), a Delaware corporation and holding company that provides products and services to correctional and lodging markets.</w:t>
      </w:r>
      <w:r>
        <w:rPr>
          <w:rStyle w:val="FootnoteReference"/>
          <w:szCs w:val="22"/>
        </w:rPr>
        <w:footnoteReference w:id="11"/>
      </w:r>
      <w:r w:rsidRPr="007E7363">
        <w:rPr>
          <w:szCs w:val="22"/>
        </w:rPr>
        <w:t xml:space="preserve">   TKC Holdings is indirectly controlled by </w:t>
      </w:r>
      <w:r w:rsidRPr="007E7363" w:rsidR="007F4987">
        <w:rPr>
          <w:szCs w:val="22"/>
        </w:rPr>
        <w:t>H</w:t>
      </w:r>
      <w:r w:rsidRPr="007E7363">
        <w:rPr>
          <w:szCs w:val="22"/>
        </w:rPr>
        <w:t>.I.G. Capital, L.L.C. (H.I.G. Capital), a U.S-based private equity investment entity that is ultimately controlled by Sami Mnaymneh and Anthony Tamer, both U.S. citizens.</w:t>
      </w:r>
      <w:r>
        <w:rPr>
          <w:rStyle w:val="FootnoteReference"/>
          <w:szCs w:val="22"/>
        </w:rPr>
        <w:footnoteReference w:id="12"/>
      </w:r>
      <w:r w:rsidRPr="007E7363">
        <w:rPr>
          <w:szCs w:val="22"/>
        </w:rPr>
        <w:t xml:space="preserve">  Applicants state that neither TKC Holdings or its affiliates provide telecommunications services.</w:t>
      </w:r>
      <w:r>
        <w:rPr>
          <w:rStyle w:val="FootnoteReference"/>
          <w:szCs w:val="22"/>
        </w:rPr>
        <w:footnoteReference w:id="13"/>
      </w:r>
      <w:r w:rsidRPr="007E7363">
        <w:rPr>
          <w:szCs w:val="22"/>
        </w:rPr>
        <w:t xml:space="preserve">  </w:t>
      </w:r>
      <w:r w:rsidRPr="007E7363" w:rsidR="00277A6D">
        <w:rPr>
          <w:szCs w:val="22"/>
        </w:rPr>
        <w:t>Applicants note that in the post-closing ownership structure, no other person or entity will hold a direct or indirect 10</w:t>
      </w:r>
      <w:r w:rsidRPr="007E7363" w:rsidR="0018455C">
        <w:rPr>
          <w:szCs w:val="22"/>
        </w:rPr>
        <w:t>%</w:t>
      </w:r>
      <w:r w:rsidRPr="007E7363" w:rsidR="00277A6D">
        <w:rPr>
          <w:szCs w:val="22"/>
        </w:rPr>
        <w:t xml:space="preserve"> or greater equity interest in CPCI.</w:t>
      </w:r>
      <w:r>
        <w:rPr>
          <w:rStyle w:val="FootnoteReference"/>
          <w:szCs w:val="22"/>
        </w:rPr>
        <w:footnoteReference w:id="14"/>
      </w:r>
    </w:p>
    <w:p w:rsidR="00487CA0" w:rsidRPr="007E7363" w:rsidP="00487CA0" w14:paraId="33B1D8FF" w14:textId="77777777">
      <w:pPr>
        <w:autoSpaceDE w:val="0"/>
        <w:autoSpaceDN w:val="0"/>
        <w:adjustRightInd w:val="0"/>
        <w:ind w:firstLine="720"/>
        <w:rPr>
          <w:szCs w:val="22"/>
        </w:rPr>
      </w:pPr>
    </w:p>
    <w:p w:rsidR="00487CA0" w:rsidRPr="007E7363" w:rsidP="00487CA0" w14:paraId="48DE8B06" w14:textId="4F1523FD">
      <w:pPr>
        <w:widowControl/>
        <w:autoSpaceDE w:val="0"/>
        <w:autoSpaceDN w:val="0"/>
        <w:adjustRightInd w:val="0"/>
        <w:ind w:firstLine="720"/>
        <w:rPr>
          <w:snapToGrid/>
          <w:kern w:val="0"/>
          <w:szCs w:val="22"/>
        </w:rPr>
      </w:pPr>
      <w:r w:rsidRPr="007E7363">
        <w:rPr>
          <w:snapToGrid/>
          <w:kern w:val="0"/>
          <w:szCs w:val="22"/>
        </w:rPr>
        <w:t>Pursuant to the terms of the proposed transaction, ICSolutions will acquire 100% of the stock of CPCI from Embarq.</w:t>
      </w:r>
      <w:r>
        <w:rPr>
          <w:rStyle w:val="FootnoteReference"/>
          <w:snapToGrid/>
          <w:kern w:val="0"/>
          <w:szCs w:val="22"/>
        </w:rPr>
        <w:footnoteReference w:id="15"/>
      </w:r>
      <w:r w:rsidRPr="007E7363">
        <w:rPr>
          <w:snapToGrid/>
          <w:kern w:val="0"/>
          <w:szCs w:val="22"/>
        </w:rPr>
        <w:t xml:space="preserve">  As a result, CPCI will become a wholly-owned</w:t>
      </w:r>
      <w:r w:rsidRPr="007E7363" w:rsidR="007F4987">
        <w:rPr>
          <w:snapToGrid/>
          <w:kern w:val="0"/>
          <w:szCs w:val="22"/>
        </w:rPr>
        <w:t>,</w:t>
      </w:r>
      <w:r w:rsidRPr="007E7363">
        <w:rPr>
          <w:snapToGrid/>
          <w:kern w:val="0"/>
          <w:szCs w:val="22"/>
        </w:rPr>
        <w:t xml:space="preserve"> direct subsidiary of ICSolutions and be ultimately controlled by H.I.G. Capital.</w:t>
      </w:r>
      <w:r>
        <w:rPr>
          <w:snapToGrid/>
          <w:kern w:val="0"/>
          <w:szCs w:val="22"/>
          <w:vertAlign w:val="superscript"/>
        </w:rPr>
        <w:footnoteReference w:id="16"/>
      </w:r>
      <w:r w:rsidRPr="007E7363">
        <w:rPr>
          <w:snapToGrid/>
          <w:kern w:val="0"/>
          <w:szCs w:val="22"/>
        </w:rPr>
        <w:t xml:space="preserve">  Embarq and CPCI will undertake certain internal pre-closing transactions to facilitate the transfer of CPCI to ICSolutions.  Specifically, to the extent CPCI owns any remaining payphones or provides payphone service outside correctional facilities, such business will cease or be transferred to another affiliate of Embarq prior to closing.</w:t>
      </w:r>
      <w:r>
        <w:rPr>
          <w:rStyle w:val="FootnoteReference"/>
          <w:snapToGrid/>
          <w:kern w:val="0"/>
          <w:szCs w:val="22"/>
        </w:rPr>
        <w:footnoteReference w:id="17"/>
      </w:r>
      <w:r w:rsidRPr="007E7363">
        <w:rPr>
          <w:snapToGrid/>
          <w:kern w:val="0"/>
          <w:szCs w:val="22"/>
        </w:rPr>
        <w:t xml:space="preserve">  In addition, prior to closing, CPCI will transfer to another Embarq affiliate CPCI’s contract with the Texas Department of Criminal Justice (Texas DCJ) to provide communications services to certain correctional institutions in Texas.  Neither CPCI’s non-correctional payphone business nor the Texas DCJ contract will be transferred to ICSolutions.</w:t>
      </w:r>
      <w:r>
        <w:rPr>
          <w:rStyle w:val="FootnoteReference"/>
          <w:snapToGrid/>
          <w:kern w:val="0"/>
          <w:szCs w:val="22"/>
        </w:rPr>
        <w:footnoteReference w:id="18"/>
      </w:r>
    </w:p>
    <w:p w:rsidR="00487CA0" w:rsidRPr="007E7363" w:rsidP="00487CA0" w14:paraId="1C883D99" w14:textId="77777777">
      <w:pPr>
        <w:autoSpaceDE w:val="0"/>
        <w:autoSpaceDN w:val="0"/>
        <w:adjustRightInd w:val="0"/>
        <w:ind w:firstLine="720"/>
        <w:rPr>
          <w:szCs w:val="22"/>
        </w:rPr>
      </w:pPr>
    </w:p>
    <w:p w:rsidR="00487CA0" w:rsidRPr="007E7363" w:rsidP="00487CA0" w14:paraId="31AFD6F2" w14:textId="511EAA87">
      <w:pPr>
        <w:autoSpaceDE w:val="0"/>
        <w:autoSpaceDN w:val="0"/>
        <w:adjustRightInd w:val="0"/>
        <w:ind w:firstLine="720"/>
        <w:rPr>
          <w:szCs w:val="22"/>
        </w:rPr>
      </w:pPr>
      <w:r w:rsidRPr="007E7363">
        <w:rPr>
          <w:szCs w:val="22"/>
        </w:rPr>
        <w:t>Applicants assert that the proposed transaction is in the public interest and will not harm competition or customers.  They state that ICSolutions will continue to serve correctional facilities as Embarq withdraws from the inmate calling industry, and that</w:t>
      </w:r>
      <w:r w:rsidRPr="007E7363" w:rsidR="00AC24ED">
        <w:rPr>
          <w:szCs w:val="22"/>
        </w:rPr>
        <w:t>,</w:t>
      </w:r>
      <w:r w:rsidRPr="007E7363">
        <w:rPr>
          <w:szCs w:val="22"/>
        </w:rPr>
        <w:t xml:space="preserve"> post-closing, ICSolutions will be financially sound and better positioned to bid for inmate calling service contracts against larger providers for state department of corrections and other contracts.</w:t>
      </w:r>
      <w:r>
        <w:rPr>
          <w:rStyle w:val="FootnoteReference"/>
          <w:szCs w:val="22"/>
        </w:rPr>
        <w:footnoteReference w:id="19"/>
      </w:r>
      <w:r w:rsidRPr="007E7363">
        <w:rPr>
          <w:szCs w:val="22"/>
        </w:rPr>
        <w:t xml:space="preserve">  Because ICSolutions is CPCI’s subcontractor for almost all of the contracts in which CPCI is the primary contractor, Applicants further assert that inmates and their families will continue to receive all services without disruption.</w:t>
      </w:r>
      <w:r>
        <w:rPr>
          <w:rStyle w:val="FootnoteReference"/>
          <w:szCs w:val="22"/>
        </w:rPr>
        <w:footnoteReference w:id="20"/>
      </w:r>
      <w:r w:rsidRPr="007E7363">
        <w:rPr>
          <w:szCs w:val="22"/>
        </w:rPr>
        <w:t xml:space="preserve">  They state, “the </w:t>
      </w:r>
      <w:r w:rsidRPr="007E7363">
        <w:rPr>
          <w:szCs w:val="22"/>
        </w:rPr>
        <w:t>transaction will not result in any interruption, reduction, loss, impairment, or disruption of services.  Post-closing</w:t>
      </w:r>
      <w:r w:rsidRPr="007E7363" w:rsidR="007E7363">
        <w:rPr>
          <w:szCs w:val="22"/>
        </w:rPr>
        <w:t>,</w:t>
      </w:r>
      <w:r w:rsidRPr="007E7363">
        <w:rPr>
          <w:szCs w:val="22"/>
        </w:rPr>
        <w:t xml:space="preserve"> ICSolutions will continue to honor CPCI’s correctional facility customer contracts.  For correctional facilities and for inmate</w:t>
      </w:r>
      <w:r w:rsidR="00C60A5B">
        <w:rPr>
          <w:szCs w:val="22"/>
        </w:rPr>
        <w:t>s</w:t>
      </w:r>
      <w:r w:rsidRPr="007E7363">
        <w:rPr>
          <w:szCs w:val="22"/>
        </w:rPr>
        <w:t xml:space="preserve"> and inmate families, it will continue to provide services at the same rates and on the same terms and conditions as are currently in effect.”</w:t>
      </w:r>
      <w:r>
        <w:rPr>
          <w:rStyle w:val="FootnoteReference"/>
          <w:szCs w:val="22"/>
        </w:rPr>
        <w:footnoteReference w:id="21"/>
      </w:r>
      <w:r w:rsidRPr="007E7363">
        <w:rPr>
          <w:szCs w:val="22"/>
        </w:rPr>
        <w:t xml:space="preserve">  </w:t>
      </w:r>
    </w:p>
    <w:p w:rsidR="00487CA0" w:rsidRPr="007E7363" w:rsidP="00487CA0" w14:paraId="41D5DCE1" w14:textId="77777777">
      <w:pPr>
        <w:autoSpaceDE w:val="0"/>
        <w:autoSpaceDN w:val="0"/>
        <w:adjustRightInd w:val="0"/>
        <w:ind w:firstLine="720"/>
        <w:rPr>
          <w:szCs w:val="22"/>
        </w:rPr>
      </w:pPr>
    </w:p>
    <w:p w:rsidR="00487CA0" w:rsidRPr="007E7363" w:rsidP="00487CA0" w14:paraId="44876AD8" w14:textId="77777777">
      <w:pPr>
        <w:widowControl/>
        <w:autoSpaceDE w:val="0"/>
        <w:autoSpaceDN w:val="0"/>
        <w:adjustRightInd w:val="0"/>
        <w:rPr>
          <w:snapToGrid/>
          <w:kern w:val="0"/>
          <w:szCs w:val="22"/>
        </w:rPr>
      </w:pPr>
      <w:r w:rsidRPr="007E7363">
        <w:rPr>
          <w:b/>
          <w:snapToGrid/>
          <w:kern w:val="0"/>
          <w:szCs w:val="22"/>
          <w:u w:val="single"/>
        </w:rPr>
        <w:t>GENERAL INFORMATION</w:t>
      </w:r>
    </w:p>
    <w:p w:rsidR="00487CA0" w:rsidRPr="007E7363" w:rsidP="00487CA0" w14:paraId="1A1AC8C6" w14:textId="77777777">
      <w:pPr>
        <w:widowControl/>
        <w:autoSpaceDE w:val="0"/>
        <w:autoSpaceDN w:val="0"/>
        <w:adjustRightInd w:val="0"/>
        <w:rPr>
          <w:snapToGrid/>
          <w:kern w:val="0"/>
          <w:szCs w:val="22"/>
        </w:rPr>
      </w:pPr>
    </w:p>
    <w:p w:rsidR="00487CA0" w:rsidRPr="007E7363" w:rsidP="00487CA0" w14:paraId="1095016A" w14:textId="77777777">
      <w:pPr>
        <w:widowControl/>
        <w:autoSpaceDE w:val="0"/>
        <w:autoSpaceDN w:val="0"/>
        <w:adjustRightInd w:val="0"/>
        <w:spacing w:after="120"/>
        <w:ind w:firstLine="720"/>
        <w:rPr>
          <w:snapToGrid/>
          <w:kern w:val="0"/>
          <w:szCs w:val="22"/>
        </w:rPr>
      </w:pPr>
      <w:r w:rsidRPr="007E7363">
        <w:rPr>
          <w:snapToGrid/>
          <w:kern w:val="0"/>
          <w:szCs w:val="22"/>
        </w:rPr>
        <w:t>The application identified herein has been found, upon initial review, to be acceptable for filing.  The Commission reserves the right to return any application if, upon further examination, it is determined to be defective and not in conformance with the Commission’s rules and policies.</w:t>
      </w:r>
    </w:p>
    <w:p w:rsidR="00487CA0" w:rsidRPr="007E7363" w:rsidP="00487CA0" w14:paraId="3F63FCCD" w14:textId="6E743F60">
      <w:pPr>
        <w:widowControl/>
        <w:autoSpaceDE w:val="0"/>
        <w:autoSpaceDN w:val="0"/>
        <w:adjustRightInd w:val="0"/>
        <w:spacing w:after="120"/>
        <w:ind w:firstLine="720"/>
        <w:rPr>
          <w:snapToGrid/>
          <w:kern w:val="0"/>
          <w:szCs w:val="22"/>
        </w:rPr>
      </w:pPr>
      <w:r w:rsidRPr="007E7363">
        <w:rPr>
          <w:snapToGrid/>
          <w:kern w:val="0"/>
          <w:szCs w:val="22"/>
        </w:rPr>
        <w:t xml:space="preserve">Interested parties may file comments and petitions </w:t>
      </w:r>
      <w:r w:rsidRPr="007E7363">
        <w:rPr>
          <w:b/>
          <w:snapToGrid/>
          <w:kern w:val="0"/>
          <w:szCs w:val="22"/>
        </w:rPr>
        <w:t>on or</w:t>
      </w:r>
      <w:r w:rsidRPr="007E7363">
        <w:rPr>
          <w:snapToGrid/>
          <w:kern w:val="0"/>
          <w:szCs w:val="22"/>
        </w:rPr>
        <w:t xml:space="preserve"> </w:t>
      </w:r>
      <w:r w:rsidRPr="003F08EF" w:rsidR="003F08EF">
        <w:rPr>
          <w:b/>
          <w:bCs/>
          <w:snapToGrid/>
          <w:kern w:val="0"/>
          <w:szCs w:val="22"/>
        </w:rPr>
        <w:t xml:space="preserve">before </w:t>
      </w:r>
      <w:r w:rsidRPr="00CC0DD7" w:rsidR="002A2D74">
        <w:rPr>
          <w:b/>
          <w:bCs/>
          <w:snapToGrid/>
          <w:kern w:val="0"/>
          <w:szCs w:val="22"/>
        </w:rPr>
        <w:t>July</w:t>
      </w:r>
      <w:r w:rsidRPr="007E7363">
        <w:rPr>
          <w:b/>
          <w:bCs/>
          <w:snapToGrid/>
          <w:kern w:val="0"/>
          <w:szCs w:val="22"/>
        </w:rPr>
        <w:t xml:space="preserve"> </w:t>
      </w:r>
      <w:r w:rsidR="002A2D74">
        <w:rPr>
          <w:b/>
          <w:bCs/>
          <w:snapToGrid/>
          <w:kern w:val="0"/>
          <w:szCs w:val="22"/>
        </w:rPr>
        <w:t>09</w:t>
      </w:r>
      <w:r w:rsidRPr="007E7363">
        <w:rPr>
          <w:b/>
          <w:snapToGrid/>
          <w:kern w:val="0"/>
          <w:szCs w:val="22"/>
        </w:rPr>
        <w:t>, 2020</w:t>
      </w:r>
      <w:r w:rsidRPr="007E7363">
        <w:rPr>
          <w:snapToGrid/>
          <w:kern w:val="0"/>
          <w:szCs w:val="22"/>
        </w:rPr>
        <w:t xml:space="preserve"> and reply comments or oppositions to petitions </w:t>
      </w:r>
      <w:r w:rsidRPr="007E7363">
        <w:rPr>
          <w:b/>
          <w:snapToGrid/>
          <w:kern w:val="0"/>
          <w:szCs w:val="22"/>
        </w:rPr>
        <w:t xml:space="preserve">on or before </w:t>
      </w:r>
      <w:r w:rsidR="002A2D74">
        <w:rPr>
          <w:b/>
          <w:snapToGrid/>
          <w:kern w:val="0"/>
          <w:szCs w:val="22"/>
        </w:rPr>
        <w:t>July</w:t>
      </w:r>
      <w:r w:rsidRPr="007E7363">
        <w:rPr>
          <w:b/>
          <w:snapToGrid/>
          <w:kern w:val="0"/>
          <w:szCs w:val="22"/>
        </w:rPr>
        <w:t xml:space="preserve"> </w:t>
      </w:r>
      <w:r w:rsidR="002A2D74">
        <w:rPr>
          <w:b/>
          <w:snapToGrid/>
          <w:kern w:val="0"/>
          <w:szCs w:val="22"/>
        </w:rPr>
        <w:t>16</w:t>
      </w:r>
      <w:r w:rsidRPr="007E7363">
        <w:rPr>
          <w:b/>
          <w:snapToGrid/>
          <w:kern w:val="0"/>
          <w:szCs w:val="22"/>
        </w:rPr>
        <w:t>, 2020</w:t>
      </w:r>
      <w:r w:rsidRPr="007E7363">
        <w:rPr>
          <w:snapToGrid/>
          <w:kern w:val="0"/>
          <w:szCs w:val="22"/>
        </w:rPr>
        <w:t>.  Comments may be filed using the Commission’s Electronic Comment Filing System (ECFS) or by paper.  All filings must be addressed to the Commission’s Secretary, Office of the Secretary, Federal Communications Commission.</w:t>
      </w:r>
    </w:p>
    <w:p w:rsidR="00487CA0" w:rsidRPr="007E7363" w:rsidP="00487CA0" w14:paraId="79E60E46" w14:textId="77777777">
      <w:pPr>
        <w:widowControl/>
        <w:numPr>
          <w:ilvl w:val="0"/>
          <w:numId w:val="7"/>
        </w:numPr>
        <w:autoSpaceDE w:val="0"/>
        <w:autoSpaceDN w:val="0"/>
        <w:adjustRightInd w:val="0"/>
        <w:rPr>
          <w:snapToGrid/>
          <w:kern w:val="0"/>
          <w:szCs w:val="22"/>
        </w:rPr>
      </w:pPr>
      <w:r w:rsidRPr="007E7363">
        <w:rPr>
          <w:snapToGrid/>
          <w:kern w:val="0"/>
          <w:szCs w:val="22"/>
        </w:rPr>
        <w:t>Electronic Filers:  Comments may be filed electronically by accessing ECFS at </w:t>
      </w:r>
      <w:hyperlink r:id="rId5" w:history="1">
        <w:r w:rsidRPr="007E7363">
          <w:rPr>
            <w:snapToGrid/>
            <w:color w:val="0000FF"/>
            <w:kern w:val="0"/>
            <w:szCs w:val="22"/>
            <w:u w:val="single"/>
          </w:rPr>
          <w:t>http://apps.fcc.gov/ecfs/</w:t>
        </w:r>
      </w:hyperlink>
      <w:r w:rsidRPr="007E7363">
        <w:rPr>
          <w:snapToGrid/>
          <w:kern w:val="0"/>
          <w:szCs w:val="22"/>
        </w:rPr>
        <w:t>.</w:t>
      </w:r>
    </w:p>
    <w:p w:rsidR="00487CA0" w:rsidRPr="007E7363" w:rsidP="00487CA0" w14:paraId="09BE906A" w14:textId="77777777">
      <w:pPr>
        <w:widowControl/>
        <w:autoSpaceDE w:val="0"/>
        <w:autoSpaceDN w:val="0"/>
        <w:adjustRightInd w:val="0"/>
        <w:ind w:left="720"/>
        <w:rPr>
          <w:snapToGrid/>
          <w:kern w:val="0"/>
          <w:szCs w:val="22"/>
        </w:rPr>
      </w:pPr>
    </w:p>
    <w:p w:rsidR="00487CA0" w:rsidRPr="007E7363" w:rsidP="00487CA0" w14:paraId="6EB6E515" w14:textId="77777777">
      <w:pPr>
        <w:widowControl/>
        <w:numPr>
          <w:ilvl w:val="0"/>
          <w:numId w:val="8"/>
        </w:numPr>
        <w:autoSpaceDE w:val="0"/>
        <w:autoSpaceDN w:val="0"/>
        <w:adjustRightInd w:val="0"/>
        <w:rPr>
          <w:snapToGrid/>
          <w:kern w:val="0"/>
          <w:szCs w:val="22"/>
        </w:rPr>
      </w:pPr>
      <w:r w:rsidRPr="007E7363">
        <w:rPr>
          <w:i/>
          <w:iCs/>
          <w:snapToGrid/>
          <w:kern w:val="0"/>
          <w:szCs w:val="22"/>
        </w:rPr>
        <w:t>Paper Filers</w:t>
      </w:r>
      <w:r w:rsidRPr="007E7363">
        <w:rPr>
          <w:snapToGrid/>
          <w:kern w:val="0"/>
          <w:szCs w:val="22"/>
        </w:rPr>
        <w:t>: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487CA0" w:rsidRPr="007E7363" w:rsidP="00487CA0" w14:paraId="797F47C4" w14:textId="77777777">
      <w:pPr>
        <w:widowControl/>
        <w:autoSpaceDE w:val="0"/>
        <w:autoSpaceDN w:val="0"/>
        <w:adjustRightInd w:val="0"/>
        <w:ind w:left="720"/>
        <w:rPr>
          <w:snapToGrid/>
          <w:kern w:val="0"/>
          <w:szCs w:val="22"/>
        </w:rPr>
      </w:pPr>
    </w:p>
    <w:p w:rsidR="00487CA0" w:rsidRPr="007E7363" w:rsidP="00487CA0" w14:paraId="22F13532" w14:textId="77777777">
      <w:pPr>
        <w:widowControl/>
        <w:numPr>
          <w:ilvl w:val="1"/>
          <w:numId w:val="8"/>
        </w:numPr>
        <w:autoSpaceDE w:val="0"/>
        <w:autoSpaceDN w:val="0"/>
        <w:adjustRightInd w:val="0"/>
        <w:rPr>
          <w:snapToGrid/>
          <w:kern w:val="0"/>
          <w:szCs w:val="22"/>
        </w:rPr>
      </w:pPr>
      <w:r w:rsidRPr="007E7363">
        <w:rPr>
          <w:snapToGrid/>
          <w:kern w:val="0"/>
          <w:szCs w:val="22"/>
        </w:rPr>
        <w:t>Filings can be sent by commercial overnight courier or by first-class or overnight U.S. Postal Service mail.</w:t>
      </w:r>
      <w:r>
        <w:rPr>
          <w:snapToGrid/>
          <w:kern w:val="0"/>
          <w:szCs w:val="22"/>
          <w:vertAlign w:val="superscript"/>
        </w:rPr>
        <w:footnoteReference w:id="22"/>
      </w:r>
      <w:r w:rsidRPr="007E7363">
        <w:rPr>
          <w:snapToGrid/>
          <w:kern w:val="0"/>
          <w:szCs w:val="22"/>
        </w:rPr>
        <w:t xml:space="preserve">  All filings must be addressed to the Commission’s Secretary, Office of the Secretary, Federal Communications Commission.</w:t>
      </w:r>
    </w:p>
    <w:p w:rsidR="00487CA0" w:rsidRPr="007E7363" w:rsidP="00487CA0" w14:paraId="1A9296E8" w14:textId="77777777">
      <w:pPr>
        <w:widowControl/>
        <w:autoSpaceDE w:val="0"/>
        <w:autoSpaceDN w:val="0"/>
        <w:adjustRightInd w:val="0"/>
        <w:ind w:left="720"/>
        <w:rPr>
          <w:snapToGrid/>
          <w:kern w:val="0"/>
          <w:szCs w:val="22"/>
        </w:rPr>
      </w:pPr>
    </w:p>
    <w:p w:rsidR="00487CA0" w:rsidRPr="007E7363" w:rsidP="00487CA0" w14:paraId="04B410A9" w14:textId="77777777">
      <w:pPr>
        <w:widowControl/>
        <w:numPr>
          <w:ilvl w:val="1"/>
          <w:numId w:val="8"/>
        </w:numPr>
        <w:autoSpaceDE w:val="0"/>
        <w:autoSpaceDN w:val="0"/>
        <w:adjustRightInd w:val="0"/>
        <w:rPr>
          <w:snapToGrid/>
          <w:kern w:val="0"/>
          <w:szCs w:val="22"/>
        </w:rPr>
      </w:pPr>
      <w:r w:rsidRPr="007E7363">
        <w:rPr>
          <w:snapToGrid/>
          <w:kern w:val="0"/>
          <w:szCs w:val="22"/>
        </w:rPr>
        <w:t>Commercial overnight mail (other than U.S. Postal Service Express Mail and Priority Mail) must be sent to 9050 Junction Drive, Annapolis Junction, MD 20701.</w:t>
      </w:r>
    </w:p>
    <w:p w:rsidR="00487CA0" w:rsidRPr="007E7363" w:rsidP="00487CA0" w14:paraId="0AEFD6B9" w14:textId="77777777">
      <w:pPr>
        <w:widowControl/>
        <w:autoSpaceDE w:val="0"/>
        <w:autoSpaceDN w:val="0"/>
        <w:adjustRightInd w:val="0"/>
        <w:ind w:left="720"/>
        <w:rPr>
          <w:snapToGrid/>
          <w:kern w:val="0"/>
          <w:szCs w:val="22"/>
        </w:rPr>
      </w:pPr>
    </w:p>
    <w:p w:rsidR="00487CA0" w:rsidP="00487CA0" w14:paraId="2E0D3AF2" w14:textId="34B8D566">
      <w:pPr>
        <w:widowControl/>
        <w:numPr>
          <w:ilvl w:val="1"/>
          <w:numId w:val="8"/>
        </w:numPr>
        <w:autoSpaceDE w:val="0"/>
        <w:autoSpaceDN w:val="0"/>
        <w:adjustRightInd w:val="0"/>
        <w:rPr>
          <w:snapToGrid/>
          <w:kern w:val="0"/>
          <w:szCs w:val="22"/>
        </w:rPr>
      </w:pPr>
      <w:r w:rsidRPr="007E7363">
        <w:rPr>
          <w:snapToGrid/>
          <w:kern w:val="0"/>
          <w:szCs w:val="22"/>
        </w:rPr>
        <w:t>U.S. Postal Service first-class, Express, and Priority mail must be addressed to 445 12</w:t>
      </w:r>
      <w:r w:rsidRPr="007E7363">
        <w:rPr>
          <w:snapToGrid/>
          <w:kern w:val="0"/>
          <w:szCs w:val="22"/>
          <w:vertAlign w:val="superscript"/>
        </w:rPr>
        <w:t>th</w:t>
      </w:r>
      <w:r w:rsidRPr="007E7363">
        <w:rPr>
          <w:snapToGrid/>
          <w:kern w:val="0"/>
          <w:szCs w:val="22"/>
        </w:rPr>
        <w:t xml:space="preserve"> Street, SW, Washington, DC 20554.</w:t>
      </w:r>
    </w:p>
    <w:p w:rsidR="00094BB8" w:rsidRPr="003226E3" w:rsidP="00CC0DD7" w14:paraId="0551EE9B" w14:textId="77777777">
      <w:pPr>
        <w:widowControl/>
        <w:autoSpaceDE w:val="0"/>
        <w:autoSpaceDN w:val="0"/>
        <w:adjustRightInd w:val="0"/>
        <w:ind w:left="1440"/>
        <w:rPr>
          <w:snapToGrid/>
          <w:kern w:val="0"/>
          <w:szCs w:val="22"/>
        </w:rPr>
      </w:pPr>
    </w:p>
    <w:p w:rsidR="00487CA0" w:rsidRPr="007E7363" w:rsidP="00487CA0" w14:paraId="73EF058C" w14:textId="23C2DAD5">
      <w:pPr>
        <w:widowControl/>
        <w:autoSpaceDE w:val="0"/>
        <w:autoSpaceDN w:val="0"/>
        <w:adjustRightInd w:val="0"/>
        <w:spacing w:after="120"/>
        <w:ind w:firstLine="720"/>
        <w:rPr>
          <w:snapToGrid/>
          <w:kern w:val="0"/>
          <w:szCs w:val="22"/>
        </w:rPr>
      </w:pPr>
      <w:r w:rsidRPr="007E7363">
        <w:rPr>
          <w:snapToGrid/>
          <w:kern w:val="0"/>
          <w:szCs w:val="22"/>
        </w:rPr>
        <w:t>People with Disabilities:  To request materials in accessible formats for people with disabilities (braille, large print, electronic files, audio format), send an e-mail to fcc504@fcc.gov or call the Consumer and Governmental Affairs Bureau at 202-418-0530 (voice), 1-888-835-5322 (tty).</w:t>
      </w:r>
    </w:p>
    <w:p w:rsidR="00C275E6" w:rsidRPr="007E7363" w:rsidP="00487CA0" w14:paraId="0D5173A3" w14:textId="77777777">
      <w:pPr>
        <w:widowControl/>
        <w:autoSpaceDE w:val="0"/>
        <w:autoSpaceDN w:val="0"/>
        <w:adjustRightInd w:val="0"/>
        <w:ind w:firstLine="720"/>
        <w:rPr>
          <w:b/>
          <w:snapToGrid/>
          <w:kern w:val="0"/>
          <w:szCs w:val="22"/>
        </w:rPr>
      </w:pPr>
    </w:p>
    <w:p w:rsidR="00487CA0" w:rsidRPr="007E7363" w:rsidP="00487CA0" w14:paraId="38F71FB7" w14:textId="5B3B4EF8">
      <w:pPr>
        <w:widowControl/>
        <w:autoSpaceDE w:val="0"/>
        <w:autoSpaceDN w:val="0"/>
        <w:adjustRightInd w:val="0"/>
        <w:ind w:firstLine="720"/>
        <w:rPr>
          <w:b/>
          <w:snapToGrid/>
          <w:kern w:val="0"/>
          <w:szCs w:val="22"/>
        </w:rPr>
      </w:pPr>
      <w:r w:rsidRPr="007E7363">
        <w:rPr>
          <w:b/>
          <w:snapToGrid/>
          <w:kern w:val="0"/>
          <w:szCs w:val="22"/>
        </w:rPr>
        <w:t>In addition, e-mail one copy of each pleading to each of the following:</w:t>
      </w:r>
    </w:p>
    <w:p w:rsidR="00487CA0" w:rsidRPr="007E7363" w:rsidP="00487CA0" w14:paraId="7B889395" w14:textId="77777777">
      <w:pPr>
        <w:widowControl/>
        <w:autoSpaceDE w:val="0"/>
        <w:autoSpaceDN w:val="0"/>
        <w:adjustRightInd w:val="0"/>
        <w:ind w:firstLine="720"/>
        <w:rPr>
          <w:b/>
          <w:snapToGrid/>
          <w:kern w:val="0"/>
          <w:szCs w:val="22"/>
        </w:rPr>
      </w:pPr>
    </w:p>
    <w:p w:rsidR="00487CA0" w:rsidRPr="007E7363" w:rsidP="00487CA0" w14:paraId="4192AEBE" w14:textId="77777777">
      <w:pPr>
        <w:widowControl/>
        <w:numPr>
          <w:ilvl w:val="0"/>
          <w:numId w:val="9"/>
        </w:numPr>
        <w:autoSpaceDE w:val="0"/>
        <w:autoSpaceDN w:val="0"/>
        <w:adjustRightInd w:val="0"/>
        <w:rPr>
          <w:snapToGrid/>
          <w:kern w:val="0"/>
          <w:szCs w:val="22"/>
        </w:rPr>
      </w:pPr>
      <w:r w:rsidRPr="007E7363">
        <w:rPr>
          <w:snapToGrid/>
          <w:kern w:val="0"/>
          <w:szCs w:val="22"/>
        </w:rPr>
        <w:t xml:space="preserve">Tracey Wilson, Competition Policy Division, Wireline Competition Bureau,  </w:t>
      </w:r>
      <w:hyperlink r:id="rId6" w:history="1">
        <w:r w:rsidRPr="007E7363">
          <w:rPr>
            <w:snapToGrid/>
            <w:color w:val="0000FF"/>
            <w:kern w:val="0"/>
            <w:szCs w:val="22"/>
            <w:u w:val="single"/>
          </w:rPr>
          <w:t>tracey.wilson@fcc.gov</w:t>
        </w:r>
      </w:hyperlink>
      <w:r w:rsidRPr="007E7363">
        <w:rPr>
          <w:snapToGrid/>
          <w:kern w:val="0"/>
          <w:szCs w:val="22"/>
        </w:rPr>
        <w:t>;</w:t>
      </w:r>
    </w:p>
    <w:p w:rsidR="00487CA0" w:rsidRPr="007E7363" w:rsidP="00487CA0" w14:paraId="3346935B" w14:textId="77777777">
      <w:pPr>
        <w:widowControl/>
        <w:autoSpaceDE w:val="0"/>
        <w:autoSpaceDN w:val="0"/>
        <w:adjustRightInd w:val="0"/>
        <w:ind w:firstLine="720"/>
        <w:rPr>
          <w:snapToGrid/>
          <w:kern w:val="0"/>
          <w:szCs w:val="22"/>
        </w:rPr>
      </w:pPr>
    </w:p>
    <w:p w:rsidR="00487CA0" w:rsidRPr="007E7363" w:rsidP="00487CA0" w14:paraId="358FC5DA" w14:textId="67B1456E">
      <w:pPr>
        <w:widowControl/>
        <w:numPr>
          <w:ilvl w:val="0"/>
          <w:numId w:val="9"/>
        </w:numPr>
        <w:autoSpaceDE w:val="0"/>
        <w:autoSpaceDN w:val="0"/>
        <w:adjustRightInd w:val="0"/>
        <w:rPr>
          <w:snapToGrid/>
          <w:kern w:val="0"/>
          <w:szCs w:val="22"/>
        </w:rPr>
      </w:pPr>
      <w:r>
        <w:rPr>
          <w:snapToGrid/>
          <w:kern w:val="0"/>
          <w:szCs w:val="22"/>
        </w:rPr>
        <w:t xml:space="preserve">Dennis Johnson or </w:t>
      </w:r>
      <w:r w:rsidRPr="007E7363" w:rsidR="00C275E6">
        <w:rPr>
          <w:snapToGrid/>
          <w:kern w:val="0"/>
          <w:szCs w:val="22"/>
        </w:rPr>
        <w:t>Jordan Reth</w:t>
      </w:r>
      <w:r w:rsidRPr="007E7363">
        <w:rPr>
          <w:snapToGrid/>
          <w:kern w:val="0"/>
          <w:szCs w:val="22"/>
        </w:rPr>
        <w:t xml:space="preserve">, Competition Policy Division, Wireline Competition Bureau, </w:t>
      </w:r>
      <w:hyperlink r:id="rId7" w:history="1">
        <w:r w:rsidRPr="00A86356">
          <w:rPr>
            <w:rStyle w:val="Hyperlink"/>
            <w:snapToGrid/>
            <w:kern w:val="0"/>
            <w:szCs w:val="22"/>
          </w:rPr>
          <w:t>dennis.johnson@fcc.gov; jordan.reth@fcc.gov</w:t>
        </w:r>
      </w:hyperlink>
      <w:r w:rsidRPr="007E7363" w:rsidR="00C275E6">
        <w:rPr>
          <w:snapToGrid/>
          <w:kern w:val="0"/>
          <w:szCs w:val="22"/>
        </w:rPr>
        <w:t xml:space="preserve">; </w:t>
      </w:r>
      <w:r w:rsidRPr="007E7363">
        <w:rPr>
          <w:snapToGrid/>
          <w:kern w:val="0"/>
          <w:szCs w:val="22"/>
        </w:rPr>
        <w:t xml:space="preserve"> </w:t>
      </w:r>
    </w:p>
    <w:p w:rsidR="00487CA0" w:rsidRPr="007E7363" w:rsidP="00487CA0" w14:paraId="67A61416" w14:textId="77777777">
      <w:pPr>
        <w:widowControl/>
        <w:ind w:left="720"/>
        <w:rPr>
          <w:snapToGrid/>
          <w:kern w:val="0"/>
          <w:szCs w:val="22"/>
        </w:rPr>
      </w:pPr>
    </w:p>
    <w:p w:rsidR="00487CA0" w:rsidRPr="007E7363" w:rsidP="00487CA0" w14:paraId="695D6C4D" w14:textId="171D11F7">
      <w:pPr>
        <w:widowControl/>
        <w:numPr>
          <w:ilvl w:val="0"/>
          <w:numId w:val="9"/>
        </w:numPr>
        <w:autoSpaceDE w:val="0"/>
        <w:autoSpaceDN w:val="0"/>
        <w:adjustRightInd w:val="0"/>
        <w:rPr>
          <w:snapToGrid/>
          <w:kern w:val="0"/>
          <w:szCs w:val="22"/>
        </w:rPr>
      </w:pPr>
      <w:r w:rsidRPr="007E7363">
        <w:rPr>
          <w:snapToGrid/>
          <w:kern w:val="0"/>
          <w:szCs w:val="22"/>
        </w:rPr>
        <w:t>David Krech</w:t>
      </w:r>
      <w:r w:rsidRPr="007E7363" w:rsidR="00C275E6">
        <w:rPr>
          <w:snapToGrid/>
          <w:kern w:val="0"/>
          <w:szCs w:val="22"/>
        </w:rPr>
        <w:t xml:space="preserve"> or Sumita Mukhoty</w:t>
      </w:r>
      <w:r w:rsidRPr="007E7363">
        <w:rPr>
          <w:snapToGrid/>
          <w:kern w:val="0"/>
          <w:szCs w:val="22"/>
        </w:rPr>
        <w:t xml:space="preserve">, </w:t>
      </w:r>
      <w:r w:rsidRPr="007E7363" w:rsidR="00E11542">
        <w:rPr>
          <w:snapToGrid/>
          <w:kern w:val="0"/>
          <w:szCs w:val="22"/>
        </w:rPr>
        <w:t xml:space="preserve">Telecommunications &amp; Analysis Division, </w:t>
      </w:r>
      <w:r w:rsidRPr="007E7363">
        <w:rPr>
          <w:snapToGrid/>
          <w:kern w:val="0"/>
          <w:szCs w:val="22"/>
        </w:rPr>
        <w:t xml:space="preserve">International Bureau, </w:t>
      </w:r>
      <w:hyperlink r:id="rId8" w:history="1">
        <w:r w:rsidRPr="007E7363">
          <w:rPr>
            <w:rStyle w:val="Hyperlink"/>
            <w:snapToGrid/>
            <w:kern w:val="0"/>
            <w:szCs w:val="22"/>
          </w:rPr>
          <w:t>david.krech@fcc.gov</w:t>
        </w:r>
      </w:hyperlink>
      <w:r w:rsidRPr="007E7363">
        <w:rPr>
          <w:snapToGrid/>
          <w:kern w:val="0"/>
          <w:szCs w:val="22"/>
        </w:rPr>
        <w:t xml:space="preserve">, </w:t>
      </w:r>
      <w:r w:rsidRPr="007E7363" w:rsidR="00C275E6">
        <w:rPr>
          <w:snapToGrid/>
          <w:kern w:val="0"/>
          <w:szCs w:val="22"/>
        </w:rPr>
        <w:t>sumita.mukhoty@fcc.gov,</w:t>
      </w:r>
      <w:hyperlink r:id="rId9" w:history="1"/>
      <w:r w:rsidRPr="007E7363">
        <w:rPr>
          <w:snapToGrid/>
          <w:kern w:val="0"/>
          <w:szCs w:val="22"/>
        </w:rPr>
        <w:t xml:space="preserve"> and</w:t>
      </w:r>
    </w:p>
    <w:p w:rsidR="00487CA0" w:rsidRPr="007E7363" w:rsidP="00C275E6" w14:paraId="4010BDC9" w14:textId="46054357">
      <w:pPr>
        <w:widowControl/>
        <w:tabs>
          <w:tab w:val="left" w:pos="3588"/>
        </w:tabs>
        <w:ind w:left="720"/>
        <w:rPr>
          <w:snapToGrid/>
          <w:kern w:val="0"/>
          <w:szCs w:val="22"/>
        </w:rPr>
      </w:pPr>
      <w:r w:rsidRPr="007E7363">
        <w:rPr>
          <w:snapToGrid/>
          <w:kern w:val="0"/>
          <w:szCs w:val="22"/>
        </w:rPr>
        <w:tab/>
      </w:r>
    </w:p>
    <w:p w:rsidR="00487CA0" w:rsidRPr="007E7363" w:rsidP="00487CA0" w14:paraId="5D4D8C81" w14:textId="77777777">
      <w:pPr>
        <w:widowControl/>
        <w:numPr>
          <w:ilvl w:val="0"/>
          <w:numId w:val="9"/>
        </w:numPr>
        <w:autoSpaceDE w:val="0"/>
        <w:autoSpaceDN w:val="0"/>
        <w:adjustRightInd w:val="0"/>
        <w:rPr>
          <w:snapToGrid/>
          <w:kern w:val="0"/>
          <w:szCs w:val="22"/>
        </w:rPr>
      </w:pPr>
      <w:r w:rsidRPr="007E7363">
        <w:rPr>
          <w:snapToGrid/>
          <w:kern w:val="0"/>
          <w:szCs w:val="22"/>
        </w:rPr>
        <w:t xml:space="preserve">Jim Bird, Office of General Counsel, </w:t>
      </w:r>
      <w:hyperlink r:id="rId10" w:history="1">
        <w:r w:rsidRPr="007E7363">
          <w:rPr>
            <w:snapToGrid/>
            <w:color w:val="0000FF"/>
            <w:kern w:val="0"/>
            <w:szCs w:val="22"/>
            <w:u w:val="single"/>
          </w:rPr>
          <w:t>jim.bird@fcc.gov</w:t>
        </w:r>
      </w:hyperlink>
      <w:r w:rsidRPr="007E7363">
        <w:rPr>
          <w:snapToGrid/>
          <w:kern w:val="0"/>
          <w:szCs w:val="22"/>
        </w:rPr>
        <w:t>.</w:t>
      </w:r>
    </w:p>
    <w:p w:rsidR="00487CA0" w:rsidRPr="007E7363" w:rsidP="00487CA0" w14:paraId="03140B75" w14:textId="77777777">
      <w:pPr>
        <w:widowControl/>
        <w:autoSpaceDE w:val="0"/>
        <w:autoSpaceDN w:val="0"/>
        <w:adjustRightInd w:val="0"/>
        <w:ind w:firstLine="720"/>
        <w:rPr>
          <w:snapToGrid/>
          <w:kern w:val="0"/>
          <w:szCs w:val="22"/>
        </w:rPr>
      </w:pPr>
    </w:p>
    <w:p w:rsidR="00487CA0" w:rsidRPr="007E7363" w:rsidP="00487CA0" w14:paraId="33082BC5" w14:textId="77777777">
      <w:pPr>
        <w:widowControl/>
        <w:autoSpaceDE w:val="0"/>
        <w:autoSpaceDN w:val="0"/>
        <w:adjustRightInd w:val="0"/>
        <w:spacing w:after="120"/>
        <w:ind w:firstLine="720"/>
        <w:rPr>
          <w:snapToGrid/>
          <w:kern w:val="0"/>
          <w:szCs w:val="22"/>
        </w:rPr>
      </w:pPr>
      <w:r w:rsidRPr="007E7363">
        <w:rPr>
          <w:snapToGrid/>
          <w:kern w:val="0"/>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487CA0" w:rsidRPr="007E7363" w:rsidP="00487CA0" w14:paraId="5B83FB1C" w14:textId="77777777">
      <w:pPr>
        <w:widowControl/>
        <w:autoSpaceDE w:val="0"/>
        <w:autoSpaceDN w:val="0"/>
        <w:adjustRightInd w:val="0"/>
        <w:spacing w:after="120"/>
        <w:ind w:firstLine="720"/>
        <w:rPr>
          <w:snapToGrid/>
          <w:kern w:val="0"/>
          <w:szCs w:val="22"/>
        </w:rPr>
      </w:pPr>
      <w:r w:rsidRPr="007E7363">
        <w:rPr>
          <w:snapToGrid/>
          <w:kern w:val="0"/>
          <w:szCs w:val="22"/>
        </w:rPr>
        <w:t xml:space="preserve">The proceeding in this Notice shall be treated as a “permit-but-disclose” proceeding in accordance with the Commission’s </w:t>
      </w:r>
      <w:r w:rsidRPr="007E7363">
        <w:rPr>
          <w:i/>
          <w:snapToGrid/>
          <w:kern w:val="0"/>
          <w:szCs w:val="22"/>
        </w:rPr>
        <w:t>ex parte</w:t>
      </w:r>
      <w:r w:rsidRPr="007E7363">
        <w:rPr>
          <w:snapToGrid/>
          <w:kern w:val="0"/>
          <w:szCs w:val="22"/>
        </w:rPr>
        <w:t xml:space="preserve"> rules.  Persons making </w:t>
      </w:r>
      <w:r w:rsidRPr="007E7363">
        <w:rPr>
          <w:i/>
          <w:snapToGrid/>
          <w:kern w:val="0"/>
          <w:szCs w:val="22"/>
        </w:rPr>
        <w:t>ex parte</w:t>
      </w:r>
      <w:r w:rsidRPr="007E7363">
        <w:rPr>
          <w:snapToGrid/>
          <w:kern w:val="0"/>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7E7363">
        <w:rPr>
          <w:i/>
          <w:snapToGrid/>
          <w:kern w:val="0"/>
          <w:szCs w:val="22"/>
        </w:rPr>
        <w:t>ex parte</w:t>
      </w:r>
      <w:r w:rsidRPr="007E7363">
        <w:rPr>
          <w:snapToGrid/>
          <w:kern w:val="0"/>
          <w:szCs w:val="22"/>
        </w:rPr>
        <w:t xml:space="preserve"> presentations are reminded that memoranda summarizing the presentation must (1) list all persons attending or otherwise participating in the meeting at which the </w:t>
      </w:r>
      <w:r w:rsidRPr="007E7363">
        <w:rPr>
          <w:i/>
          <w:snapToGrid/>
          <w:kern w:val="0"/>
          <w:szCs w:val="22"/>
        </w:rPr>
        <w:t>ex parte</w:t>
      </w:r>
      <w:r w:rsidRPr="007E7363">
        <w:rPr>
          <w:snapToGrid/>
          <w:kern w:val="0"/>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7E7363">
        <w:rPr>
          <w:i/>
          <w:snapToGrid/>
          <w:kern w:val="0"/>
          <w:szCs w:val="22"/>
        </w:rPr>
        <w:t>ex parte</w:t>
      </w:r>
      <w:r w:rsidRPr="007E7363">
        <w:rPr>
          <w:snapToGrid/>
          <w:kern w:val="0"/>
          <w:szCs w:val="22"/>
        </w:rPr>
        <w:t xml:space="preserve"> meetings are deemed to be written </w:t>
      </w:r>
      <w:r w:rsidRPr="007E7363">
        <w:rPr>
          <w:i/>
          <w:snapToGrid/>
          <w:kern w:val="0"/>
          <w:szCs w:val="22"/>
        </w:rPr>
        <w:t>ex parte</w:t>
      </w:r>
      <w:r w:rsidRPr="007E7363">
        <w:rPr>
          <w:snapToGrid/>
          <w:kern w:val="0"/>
          <w:szCs w:val="22"/>
        </w:rPr>
        <w:t xml:space="preserve"> presentations and must be filed consistent with rule 1.1206(b), 47 CFR § 1.1206(b).  Participants in this proceeding should familiarize themselves with the Commission’s </w:t>
      </w:r>
      <w:r w:rsidRPr="007E7363">
        <w:rPr>
          <w:i/>
          <w:snapToGrid/>
          <w:kern w:val="0"/>
          <w:szCs w:val="22"/>
        </w:rPr>
        <w:t>ex parte</w:t>
      </w:r>
      <w:r w:rsidRPr="007E7363">
        <w:rPr>
          <w:snapToGrid/>
          <w:kern w:val="0"/>
          <w:szCs w:val="22"/>
        </w:rPr>
        <w:t xml:space="preserve"> rules.</w:t>
      </w:r>
    </w:p>
    <w:p w:rsidR="00487CA0" w:rsidRPr="007E7363" w:rsidP="00CC0DD7" w14:paraId="0A3A59A4" w14:textId="04F39033">
      <w:pPr>
        <w:widowControl/>
        <w:autoSpaceDE w:val="0"/>
        <w:autoSpaceDN w:val="0"/>
        <w:adjustRightInd w:val="0"/>
        <w:spacing w:after="120"/>
        <w:ind w:firstLine="720"/>
        <w:rPr>
          <w:b/>
          <w:snapToGrid/>
          <w:kern w:val="0"/>
          <w:szCs w:val="22"/>
          <w:u w:val="single"/>
        </w:rPr>
      </w:pPr>
      <w:r w:rsidRPr="007E7363">
        <w:rPr>
          <w:snapToGrid/>
          <w:kern w:val="0"/>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napToGrid/>
          <w:kern w:val="0"/>
          <w:szCs w:val="22"/>
          <w:vertAlign w:val="superscript"/>
        </w:rPr>
        <w:footnoteReference w:id="23"/>
      </w:r>
      <w:r w:rsidRPr="007E7363">
        <w:rPr>
          <w:snapToGrid/>
          <w:kern w:val="0"/>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487CA0" w:rsidRPr="007E7363" w:rsidP="00487CA0" w14:paraId="7B8DA724" w14:textId="53796B68">
      <w:pPr>
        <w:widowControl/>
        <w:autoSpaceDE w:val="0"/>
        <w:autoSpaceDN w:val="0"/>
        <w:adjustRightInd w:val="0"/>
        <w:ind w:firstLine="720"/>
        <w:rPr>
          <w:snapToGrid/>
          <w:kern w:val="0"/>
          <w:szCs w:val="22"/>
        </w:rPr>
      </w:pPr>
      <w:r w:rsidRPr="007E7363">
        <w:rPr>
          <w:snapToGrid/>
          <w:kern w:val="0"/>
          <w:szCs w:val="22"/>
        </w:rPr>
        <w:t xml:space="preserve">For further information, please contact </w:t>
      </w:r>
      <w:r w:rsidR="00094BB8">
        <w:rPr>
          <w:snapToGrid/>
          <w:kern w:val="0"/>
          <w:szCs w:val="22"/>
        </w:rPr>
        <w:t xml:space="preserve">Dennis Johnson, Wireline Competition Bureau, (202) 418-0809; </w:t>
      </w:r>
      <w:r w:rsidRPr="007E7363" w:rsidR="00C275E6">
        <w:rPr>
          <w:snapToGrid/>
          <w:kern w:val="0"/>
          <w:szCs w:val="22"/>
        </w:rPr>
        <w:t>Jordan Reth</w:t>
      </w:r>
      <w:r w:rsidRPr="007E7363">
        <w:rPr>
          <w:szCs w:val="22"/>
        </w:rPr>
        <w:t>, Wireline Competition Bureau, (202) 418-</w:t>
      </w:r>
      <w:r w:rsidRPr="007E7363" w:rsidR="00C275E6">
        <w:rPr>
          <w:szCs w:val="22"/>
        </w:rPr>
        <w:t>1418</w:t>
      </w:r>
      <w:r w:rsidRPr="007E7363">
        <w:rPr>
          <w:szCs w:val="22"/>
        </w:rPr>
        <w:t>; David Krech, International Bureau, (202) 418-7443</w:t>
      </w:r>
      <w:r w:rsidR="00094BB8">
        <w:rPr>
          <w:szCs w:val="22"/>
        </w:rPr>
        <w:t xml:space="preserve">; </w:t>
      </w:r>
      <w:r w:rsidRPr="007E7363" w:rsidR="00C275E6">
        <w:rPr>
          <w:szCs w:val="22"/>
        </w:rPr>
        <w:t>or Sumita Mukhoty, International Bureau,</w:t>
      </w:r>
      <w:r w:rsidRPr="007E7363">
        <w:rPr>
          <w:szCs w:val="22"/>
        </w:rPr>
        <w:t xml:space="preserve"> (202) 418-7165.</w:t>
      </w:r>
    </w:p>
    <w:p w:rsidR="00487CA0" w:rsidRPr="007E7363" w:rsidP="00487CA0" w14:paraId="0303AE86" w14:textId="77777777">
      <w:pPr>
        <w:ind w:right="720"/>
        <w:rPr>
          <w:b/>
          <w:szCs w:val="22"/>
        </w:rPr>
      </w:pPr>
    </w:p>
    <w:p w:rsidR="00427C8E" w:rsidRPr="007E7363" w14:paraId="3F4B0486" w14:textId="7D3020AA">
      <w:pPr>
        <w:widowControl/>
        <w:rPr>
          <w:b/>
          <w:szCs w:val="22"/>
        </w:rPr>
      </w:pPr>
      <w:r w:rsidRPr="007E7363">
        <w:rPr>
          <w:b/>
          <w:szCs w:val="22"/>
        </w:rPr>
        <w:br w:type="page"/>
      </w:r>
    </w:p>
    <w:p w:rsidR="00487CA0" w:rsidRPr="007E7363" w:rsidP="00487CA0" w14:paraId="3A621025" w14:textId="77777777">
      <w:pPr>
        <w:ind w:right="720"/>
        <w:rPr>
          <w:b/>
          <w:szCs w:val="22"/>
        </w:rPr>
      </w:pPr>
    </w:p>
    <w:p w:rsidR="00487CA0" w:rsidRPr="007E7363" w:rsidP="00487CA0" w14:paraId="3BF96B37" w14:textId="77777777">
      <w:pPr>
        <w:keepNext/>
        <w:rPr>
          <w:color w:val="000000"/>
          <w:szCs w:val="22"/>
        </w:rPr>
      </w:pPr>
      <w:r w:rsidRPr="007E7363">
        <w:rPr>
          <w:b/>
          <w:color w:val="000000"/>
          <w:szCs w:val="22"/>
        </w:rPr>
        <w:t>SECTION 214 AUTHORIZATIONS</w:t>
      </w:r>
    </w:p>
    <w:p w:rsidR="00487CA0" w:rsidRPr="007E7363" w:rsidP="00487CA0" w14:paraId="6A92E1FD" w14:textId="77777777">
      <w:pPr>
        <w:keepNext/>
        <w:rPr>
          <w:color w:val="000000"/>
          <w:szCs w:val="22"/>
        </w:rPr>
      </w:pPr>
    </w:p>
    <w:p w:rsidR="00487CA0" w:rsidRPr="007E7363" w:rsidP="00487CA0" w14:paraId="1FF48BEA" w14:textId="77777777">
      <w:pPr>
        <w:keepNext/>
        <w:ind w:firstLine="720"/>
        <w:rPr>
          <w:b/>
          <w:color w:val="000000"/>
          <w:szCs w:val="22"/>
        </w:rPr>
      </w:pPr>
      <w:r w:rsidRPr="007E7363">
        <w:rPr>
          <w:b/>
          <w:color w:val="000000"/>
          <w:szCs w:val="22"/>
        </w:rPr>
        <w:t>A.</w:t>
      </w:r>
      <w:r w:rsidRPr="007E7363">
        <w:rPr>
          <w:b/>
          <w:color w:val="000000"/>
          <w:szCs w:val="22"/>
        </w:rPr>
        <w:tab/>
        <w:t>International</w:t>
      </w:r>
    </w:p>
    <w:p w:rsidR="00487CA0" w:rsidRPr="007E7363" w:rsidP="00487CA0" w14:paraId="03A86428" w14:textId="77777777">
      <w:pPr>
        <w:keepNext/>
        <w:rPr>
          <w:color w:val="000000"/>
          <w:szCs w:val="22"/>
        </w:rPr>
      </w:pPr>
    </w:p>
    <w:tbl>
      <w:tblPr>
        <w:tblW w:w="9738" w:type="dxa"/>
        <w:tblLook w:val="01E0"/>
      </w:tblPr>
      <w:tblGrid>
        <w:gridCol w:w="2880"/>
        <w:gridCol w:w="3888"/>
        <w:gridCol w:w="2970"/>
      </w:tblGrid>
      <w:tr w14:paraId="6869DBE6" w14:textId="77777777" w:rsidTr="00160791">
        <w:tblPrEx>
          <w:tblW w:w="9738" w:type="dxa"/>
          <w:tblLook w:val="01E0"/>
        </w:tblPrEx>
        <w:tc>
          <w:tcPr>
            <w:tcW w:w="2880" w:type="dxa"/>
          </w:tcPr>
          <w:p w:rsidR="00487CA0" w:rsidRPr="007E7363" w:rsidP="00160791" w14:paraId="6E170555" w14:textId="77777777">
            <w:pPr>
              <w:rPr>
                <w:b/>
                <w:color w:val="000000"/>
                <w:szCs w:val="22"/>
              </w:rPr>
            </w:pPr>
            <w:r w:rsidRPr="007E7363">
              <w:rPr>
                <w:b/>
                <w:color w:val="000000"/>
                <w:szCs w:val="22"/>
                <w:u w:val="single"/>
              </w:rPr>
              <w:t>File Number</w:t>
            </w:r>
          </w:p>
        </w:tc>
        <w:tc>
          <w:tcPr>
            <w:tcW w:w="3888" w:type="dxa"/>
          </w:tcPr>
          <w:p w:rsidR="00487CA0" w:rsidRPr="007E7363" w:rsidP="00160791" w14:paraId="04346D91" w14:textId="77777777">
            <w:pPr>
              <w:rPr>
                <w:b/>
                <w:color w:val="000000"/>
                <w:szCs w:val="22"/>
              </w:rPr>
            </w:pPr>
            <w:r w:rsidRPr="007E7363">
              <w:rPr>
                <w:b/>
                <w:color w:val="000000"/>
                <w:szCs w:val="22"/>
                <w:u w:val="single"/>
              </w:rPr>
              <w:t>Authorization Holder</w:t>
            </w:r>
          </w:p>
        </w:tc>
        <w:tc>
          <w:tcPr>
            <w:tcW w:w="2970" w:type="dxa"/>
          </w:tcPr>
          <w:p w:rsidR="00487CA0" w:rsidRPr="007E7363" w:rsidP="00160791" w14:paraId="6A5C0580" w14:textId="77777777">
            <w:pPr>
              <w:rPr>
                <w:b/>
                <w:color w:val="000000"/>
                <w:szCs w:val="22"/>
                <w:u w:val="single"/>
              </w:rPr>
            </w:pPr>
            <w:r w:rsidRPr="007E7363">
              <w:rPr>
                <w:b/>
                <w:color w:val="000000"/>
                <w:szCs w:val="22"/>
                <w:u w:val="single"/>
              </w:rPr>
              <w:t>Authorization Number</w:t>
            </w:r>
          </w:p>
          <w:p w:rsidR="00487CA0" w:rsidRPr="007E7363" w:rsidP="00160791" w14:paraId="674BF7AF" w14:textId="77777777">
            <w:pPr>
              <w:rPr>
                <w:b/>
                <w:color w:val="000000"/>
                <w:szCs w:val="22"/>
                <w:u w:val="single"/>
              </w:rPr>
            </w:pPr>
          </w:p>
        </w:tc>
      </w:tr>
      <w:tr w14:paraId="0C19E7A9" w14:textId="77777777" w:rsidTr="00160791">
        <w:tblPrEx>
          <w:tblW w:w="9738" w:type="dxa"/>
          <w:tblLook w:val="01E0"/>
        </w:tblPrEx>
        <w:tc>
          <w:tcPr>
            <w:tcW w:w="2880" w:type="dxa"/>
          </w:tcPr>
          <w:p w:rsidR="00487CA0" w:rsidRPr="007E7363" w:rsidP="00160791" w14:paraId="4025F2E7" w14:textId="69314278">
            <w:pPr>
              <w:rPr>
                <w:color w:val="000000"/>
                <w:szCs w:val="22"/>
              </w:rPr>
            </w:pPr>
            <w:r w:rsidRPr="007E7363">
              <w:rPr>
                <w:color w:val="000000"/>
                <w:szCs w:val="22"/>
              </w:rPr>
              <w:t>ITC-T/C-20200522-00080</w:t>
            </w:r>
          </w:p>
        </w:tc>
        <w:tc>
          <w:tcPr>
            <w:tcW w:w="3888" w:type="dxa"/>
          </w:tcPr>
          <w:p w:rsidR="00487CA0" w:rsidRPr="007E7363" w:rsidP="00160791" w14:paraId="0AE4546C" w14:textId="7CD0E060">
            <w:pPr>
              <w:rPr>
                <w:szCs w:val="22"/>
              </w:rPr>
            </w:pPr>
            <w:r w:rsidRPr="007E7363">
              <w:rPr>
                <w:szCs w:val="22"/>
              </w:rPr>
              <w:t>CenturyLink Public Communications, Inc.</w:t>
            </w:r>
          </w:p>
        </w:tc>
        <w:tc>
          <w:tcPr>
            <w:tcW w:w="2970" w:type="dxa"/>
          </w:tcPr>
          <w:p w:rsidR="00487CA0" w:rsidRPr="007E7363" w:rsidP="00160791" w14:paraId="7487782A" w14:textId="6B064057">
            <w:pPr>
              <w:rPr>
                <w:szCs w:val="22"/>
              </w:rPr>
            </w:pPr>
            <w:r w:rsidRPr="007E7363">
              <w:rPr>
                <w:szCs w:val="22"/>
              </w:rPr>
              <w:t>ITC-214-20150420-00094</w:t>
            </w:r>
          </w:p>
        </w:tc>
      </w:tr>
      <w:tr w14:paraId="1C36E8E7" w14:textId="77777777" w:rsidTr="00160791">
        <w:tblPrEx>
          <w:tblW w:w="9738" w:type="dxa"/>
          <w:tblLook w:val="01E0"/>
        </w:tblPrEx>
        <w:tc>
          <w:tcPr>
            <w:tcW w:w="2880" w:type="dxa"/>
          </w:tcPr>
          <w:p w:rsidR="00487CA0" w:rsidRPr="007E7363" w:rsidP="00160791" w14:paraId="58D8F05F" w14:textId="77777777">
            <w:pPr>
              <w:rPr>
                <w:color w:val="000000"/>
                <w:szCs w:val="22"/>
              </w:rPr>
            </w:pPr>
          </w:p>
        </w:tc>
        <w:tc>
          <w:tcPr>
            <w:tcW w:w="3888" w:type="dxa"/>
          </w:tcPr>
          <w:p w:rsidR="00487CA0" w:rsidRPr="007E7363" w:rsidP="00160791" w14:paraId="158A4C46" w14:textId="77777777">
            <w:pPr>
              <w:rPr>
                <w:szCs w:val="22"/>
              </w:rPr>
            </w:pPr>
          </w:p>
        </w:tc>
        <w:tc>
          <w:tcPr>
            <w:tcW w:w="2970" w:type="dxa"/>
          </w:tcPr>
          <w:p w:rsidR="00487CA0" w:rsidRPr="007E7363" w:rsidP="00160791" w14:paraId="759CD226" w14:textId="77777777">
            <w:pPr>
              <w:rPr>
                <w:szCs w:val="22"/>
              </w:rPr>
            </w:pPr>
          </w:p>
        </w:tc>
      </w:tr>
      <w:tr w14:paraId="5FA65EB3" w14:textId="77777777" w:rsidTr="00160791">
        <w:tblPrEx>
          <w:tblW w:w="9738" w:type="dxa"/>
          <w:tblLook w:val="01E0"/>
        </w:tblPrEx>
        <w:tc>
          <w:tcPr>
            <w:tcW w:w="2880" w:type="dxa"/>
          </w:tcPr>
          <w:p w:rsidR="00487CA0" w:rsidRPr="007E7363" w:rsidP="00160791" w14:paraId="0191AB61" w14:textId="77777777">
            <w:pPr>
              <w:rPr>
                <w:color w:val="000000"/>
                <w:szCs w:val="22"/>
              </w:rPr>
            </w:pPr>
          </w:p>
        </w:tc>
        <w:tc>
          <w:tcPr>
            <w:tcW w:w="3888" w:type="dxa"/>
          </w:tcPr>
          <w:p w:rsidR="00487CA0" w:rsidRPr="007E7363" w:rsidP="00160791" w14:paraId="4C686A53" w14:textId="77777777">
            <w:pPr>
              <w:rPr>
                <w:szCs w:val="22"/>
              </w:rPr>
            </w:pPr>
          </w:p>
        </w:tc>
        <w:tc>
          <w:tcPr>
            <w:tcW w:w="2970" w:type="dxa"/>
          </w:tcPr>
          <w:p w:rsidR="00487CA0" w:rsidRPr="007E7363" w:rsidP="00160791" w14:paraId="5CC3D3EF" w14:textId="77777777">
            <w:pPr>
              <w:rPr>
                <w:szCs w:val="22"/>
              </w:rPr>
            </w:pPr>
          </w:p>
        </w:tc>
      </w:tr>
    </w:tbl>
    <w:p w:rsidR="00487CA0" w:rsidRPr="007E7363" w:rsidP="00487CA0" w14:paraId="0C8BE1EE" w14:textId="77777777">
      <w:pPr>
        <w:keepNext/>
        <w:ind w:firstLine="720"/>
        <w:rPr>
          <w:b/>
          <w:color w:val="000000"/>
          <w:szCs w:val="22"/>
        </w:rPr>
      </w:pPr>
      <w:r w:rsidRPr="007E7363">
        <w:rPr>
          <w:b/>
          <w:color w:val="000000"/>
          <w:szCs w:val="22"/>
        </w:rPr>
        <w:t>B.</w:t>
      </w:r>
      <w:r w:rsidRPr="007E7363">
        <w:rPr>
          <w:b/>
          <w:color w:val="000000"/>
          <w:szCs w:val="22"/>
        </w:rPr>
        <w:tab/>
        <w:t>Domestic</w:t>
      </w:r>
    </w:p>
    <w:p w:rsidR="00487CA0" w:rsidRPr="007E7363" w:rsidP="00487CA0" w14:paraId="6D672653" w14:textId="77777777">
      <w:pPr>
        <w:keepNext/>
        <w:rPr>
          <w:color w:val="000000"/>
          <w:szCs w:val="22"/>
        </w:rPr>
      </w:pPr>
    </w:p>
    <w:p w:rsidR="00487CA0" w:rsidRPr="007E7363" w:rsidP="00487CA0" w14:paraId="29362734" w14:textId="6BB09C14">
      <w:pPr>
        <w:ind w:firstLine="720"/>
        <w:rPr>
          <w:szCs w:val="22"/>
        </w:rPr>
      </w:pPr>
      <w:r w:rsidRPr="007E7363">
        <w:rPr>
          <w:color w:val="000000"/>
          <w:szCs w:val="22"/>
        </w:rPr>
        <w:t>Applicants filed an application to transfer control of domestic section 214 authority in connection with the proposed transaction.</w:t>
      </w:r>
      <w:bookmarkStart w:id="5" w:name="sp_999_4"/>
      <w:bookmarkStart w:id="6" w:name="SDU_4"/>
      <w:bookmarkStart w:id="7" w:name="citeas((Cite_as:_26_F.C.C.R._13372,_*133"/>
      <w:bookmarkEnd w:id="5"/>
      <w:bookmarkEnd w:id="6"/>
      <w:bookmarkEnd w:id="7"/>
      <w:r w:rsidRPr="007E7363">
        <w:rPr>
          <w:color w:val="000000"/>
          <w:szCs w:val="22"/>
        </w:rPr>
        <w:t xml:space="preserve">  </w:t>
      </w:r>
      <w:r w:rsidRPr="007E7363">
        <w:rPr>
          <w:snapToGrid/>
          <w:color w:val="000000"/>
          <w:kern w:val="0"/>
          <w:szCs w:val="22"/>
        </w:rPr>
        <w:t>In light of the multiple applications pending before the Commission with respect to this transaction and the public interest review associated with them, the domestic transfer of control application is not subject to streamlined treatment.</w:t>
      </w:r>
      <w:r>
        <w:rPr>
          <w:snapToGrid/>
          <w:color w:val="000000"/>
          <w:kern w:val="0"/>
          <w:szCs w:val="22"/>
          <w:vertAlign w:val="superscript"/>
        </w:rPr>
        <w:footnoteReference w:id="24"/>
      </w:r>
    </w:p>
    <w:tbl>
      <w:tblPr>
        <w:tblW w:w="9744" w:type="dxa"/>
        <w:tblLook w:val="01E0"/>
      </w:tblPr>
      <w:tblGrid>
        <w:gridCol w:w="2882"/>
        <w:gridCol w:w="3890"/>
        <w:gridCol w:w="2972"/>
      </w:tblGrid>
      <w:tr w14:paraId="20087F74" w14:textId="77777777" w:rsidTr="00160791">
        <w:tblPrEx>
          <w:tblW w:w="9744" w:type="dxa"/>
          <w:tblLook w:val="01E0"/>
        </w:tblPrEx>
        <w:trPr>
          <w:trHeight w:val="297"/>
        </w:trPr>
        <w:tc>
          <w:tcPr>
            <w:tcW w:w="2882" w:type="dxa"/>
          </w:tcPr>
          <w:p w:rsidR="00487CA0" w:rsidRPr="007E7363" w:rsidP="00160791" w14:paraId="1D8AC2D8" w14:textId="77777777">
            <w:pPr>
              <w:rPr>
                <w:color w:val="000000"/>
                <w:szCs w:val="22"/>
              </w:rPr>
            </w:pPr>
          </w:p>
        </w:tc>
        <w:tc>
          <w:tcPr>
            <w:tcW w:w="3890" w:type="dxa"/>
          </w:tcPr>
          <w:p w:rsidR="00487CA0" w:rsidRPr="007E7363" w:rsidP="00160791" w14:paraId="6F61A0D9" w14:textId="77777777">
            <w:pPr>
              <w:rPr>
                <w:color w:val="000000"/>
                <w:szCs w:val="22"/>
              </w:rPr>
            </w:pPr>
          </w:p>
        </w:tc>
        <w:tc>
          <w:tcPr>
            <w:tcW w:w="2972" w:type="dxa"/>
          </w:tcPr>
          <w:p w:rsidR="00487CA0" w:rsidRPr="007E7363" w:rsidP="00160791" w14:paraId="0F649082" w14:textId="77777777">
            <w:pPr>
              <w:rPr>
                <w:color w:val="000000"/>
                <w:szCs w:val="22"/>
              </w:rPr>
            </w:pPr>
          </w:p>
        </w:tc>
      </w:tr>
    </w:tbl>
    <w:p w:rsidR="00487CA0" w:rsidRPr="007E7363" w:rsidP="00487CA0" w14:paraId="010E4FC6" w14:textId="77777777">
      <w:pPr>
        <w:rPr>
          <w:b/>
          <w:snapToGrid/>
          <w:kern w:val="0"/>
          <w:szCs w:val="22"/>
        </w:rPr>
      </w:pPr>
    </w:p>
    <w:p w:rsidR="00930ECF" w:rsidRPr="007E7363" w:rsidP="00427C8E" w14:paraId="1D170F1C" w14:textId="2BA53790">
      <w:pPr>
        <w:ind w:left="3600" w:firstLine="720"/>
        <w:rPr>
          <w:szCs w:val="22"/>
        </w:rPr>
      </w:pPr>
      <w:r w:rsidRPr="007E7363">
        <w:rPr>
          <w:b/>
          <w:bCs/>
          <w:color w:val="000000"/>
          <w:szCs w:val="22"/>
        </w:rPr>
        <w:t>-FCC-</w:t>
      </w:r>
    </w:p>
    <w:sectPr w:rsidSect="000E5884">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CD5F5B4"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773FD2E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54B34C2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02882D6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B1224" w14:paraId="1A4123EE" w14:textId="77777777">
      <w:r>
        <w:separator/>
      </w:r>
    </w:p>
  </w:footnote>
  <w:footnote w:type="continuationSeparator" w:id="1">
    <w:p w:rsidR="002B1224" w14:paraId="7ABFCA87" w14:textId="77777777">
      <w:pPr>
        <w:rPr>
          <w:sz w:val="20"/>
        </w:rPr>
      </w:pPr>
      <w:r>
        <w:rPr>
          <w:sz w:val="20"/>
        </w:rPr>
        <w:t xml:space="preserve">(Continued from previous page)  </w:t>
      </w:r>
      <w:r>
        <w:rPr>
          <w:sz w:val="20"/>
        </w:rPr>
        <w:separator/>
      </w:r>
    </w:p>
  </w:footnote>
  <w:footnote w:type="continuationNotice" w:id="2">
    <w:p w:rsidR="002B1224" w:rsidP="00910F12" w14:paraId="13F2C804" w14:textId="77777777">
      <w:pPr>
        <w:jc w:val="right"/>
        <w:rPr>
          <w:sz w:val="20"/>
        </w:rPr>
      </w:pPr>
    </w:p>
  </w:footnote>
  <w:footnote w:id="3">
    <w:p w:rsidR="00487CA0" w:rsidRPr="00487CA0" w:rsidP="00487CA0" w14:paraId="0604C1FB" w14:textId="77777777">
      <w:pPr>
        <w:pStyle w:val="FootnoteText"/>
      </w:pPr>
      <w:r w:rsidRPr="00487CA0">
        <w:rPr>
          <w:rStyle w:val="FootnoteReference"/>
          <w:sz w:val="20"/>
        </w:rPr>
        <w:footnoteRef/>
      </w:r>
      <w:r w:rsidRPr="00487CA0">
        <w:t xml:space="preserve"> 47 U.S.C. §§ 214, 310(d); 47 CFR §§ 63.03-04, 63.18, 63.24.</w:t>
      </w:r>
    </w:p>
  </w:footnote>
  <w:footnote w:id="4">
    <w:p w:rsidR="00487CA0" w:rsidRPr="00487CA0" w:rsidP="00487CA0" w14:paraId="7F927A65" w14:textId="77777777">
      <w:pPr>
        <w:pStyle w:val="FootnoteText"/>
      </w:pPr>
      <w:r w:rsidRPr="009B4344">
        <w:rPr>
          <w:rStyle w:val="FootnoteReference"/>
          <w:sz w:val="20"/>
        </w:rPr>
        <w:footnoteRef/>
      </w:r>
      <w:r w:rsidRPr="009B4344">
        <w:t xml:space="preserve"> Joint Application of Embarq Corporation and Inmate Calling Solutions, LLC d/b/a ICSolutions for Consent to Transfer Control of Domestic and International Section 214 Authorizations, WC Docket No. 20-150 (filed May 22, 2020) (Application).  Applicants </w:t>
      </w:r>
      <w:r w:rsidRPr="009B4344" w:rsidR="00C84BC4">
        <w:t xml:space="preserve">also </w:t>
      </w:r>
      <w:r w:rsidRPr="009B4344">
        <w:t xml:space="preserve">filed a supplement </w:t>
      </w:r>
      <w:r w:rsidRPr="009B4344" w:rsidR="00C84BC4">
        <w:t xml:space="preserve">to their application </w:t>
      </w:r>
      <w:r w:rsidRPr="009B4344">
        <w:t xml:space="preserve">on </w:t>
      </w:r>
      <w:r w:rsidRPr="009B4344" w:rsidR="00C84BC4">
        <w:t xml:space="preserve">June 12, 2020.  </w:t>
      </w:r>
      <w:r w:rsidRPr="009B4344">
        <w:t xml:space="preserve"> Letter from </w:t>
      </w:r>
      <w:r w:rsidRPr="009B4344" w:rsidR="00ED72F8">
        <w:t>Howard M. Liberman</w:t>
      </w:r>
      <w:r w:rsidRPr="009B4344">
        <w:t>, Counsel to ICSolutions,</w:t>
      </w:r>
      <w:r w:rsidRPr="009B4344" w:rsidR="00C84BC4">
        <w:t xml:space="preserve"> </w:t>
      </w:r>
      <w:r w:rsidRPr="009B4344">
        <w:t xml:space="preserve">to Marlene H. Dortch, Secretary, FCC, WC Docket 20-150 (filed June </w:t>
      </w:r>
      <w:r w:rsidRPr="009B4344" w:rsidR="00C84BC4">
        <w:t>12</w:t>
      </w:r>
      <w:r w:rsidRPr="009B4344">
        <w:t>, 2020) (Supplement Letter).</w:t>
      </w:r>
      <w:r w:rsidRPr="00487CA0">
        <w:t xml:space="preserve">  </w:t>
      </w:r>
    </w:p>
  </w:footnote>
  <w:footnote w:id="5">
    <w:p w:rsidR="009B4344" w:rsidRPr="000276D6" w:rsidP="009B4344" w14:paraId="4E4C45EB" w14:textId="73867B17">
      <w:pPr>
        <w:autoSpaceDE w:val="0"/>
        <w:autoSpaceDN w:val="0"/>
        <w:adjustRightInd w:val="0"/>
        <w:spacing w:after="120"/>
        <w:rPr>
          <w:sz w:val="20"/>
        </w:rPr>
      </w:pPr>
      <w:r w:rsidRPr="00487CA0">
        <w:rPr>
          <w:rStyle w:val="FootnoteReference"/>
          <w:sz w:val="20"/>
        </w:rPr>
        <w:footnoteRef/>
      </w:r>
      <w:r w:rsidRPr="00487CA0">
        <w:rPr>
          <w:sz w:val="20"/>
        </w:rPr>
        <w:t xml:space="preserve"> </w:t>
      </w:r>
      <w:r w:rsidR="0018455C">
        <w:rPr>
          <w:sz w:val="20"/>
        </w:rPr>
        <w:t>Application</w:t>
      </w:r>
      <w:r w:rsidRPr="00487CA0">
        <w:rPr>
          <w:sz w:val="20"/>
        </w:rPr>
        <w:t xml:space="preserve"> at 3, 5-6</w:t>
      </w:r>
      <w:r w:rsidR="00C275E6">
        <w:rPr>
          <w:sz w:val="20"/>
        </w:rPr>
        <w:t>; Supplement Letter at 1</w:t>
      </w:r>
      <w:r w:rsidRPr="00487CA0">
        <w:rPr>
          <w:sz w:val="20"/>
        </w:rPr>
        <w:t xml:space="preserve">.  CPCI also historically provided public payphone services, although Applicants state that today these reflect a very small portion of CPCI’s business.  </w:t>
      </w:r>
      <w:r w:rsidRPr="00C275E6" w:rsidR="00C275E6">
        <w:rPr>
          <w:sz w:val="20"/>
        </w:rPr>
        <w:t xml:space="preserve">Application </w:t>
      </w:r>
      <w:r w:rsidRPr="00487CA0">
        <w:rPr>
          <w:sz w:val="20"/>
        </w:rPr>
        <w:t xml:space="preserve">at </w:t>
      </w:r>
      <w:r w:rsidR="003226E3">
        <w:rPr>
          <w:sz w:val="20"/>
        </w:rPr>
        <w:t xml:space="preserve">3, </w:t>
      </w:r>
      <w:r w:rsidRPr="00487CA0">
        <w:rPr>
          <w:sz w:val="20"/>
        </w:rPr>
        <w:t>n.3.</w:t>
      </w:r>
    </w:p>
  </w:footnote>
  <w:footnote w:id="6">
    <w:p w:rsidR="009B4344" w:rsidRPr="00487CA0" w:rsidP="009B4344" w14:paraId="5F23292D" w14:textId="029A9346">
      <w:pPr>
        <w:pStyle w:val="FootnoteText"/>
      </w:pPr>
      <w:r w:rsidRPr="00487CA0">
        <w:rPr>
          <w:rStyle w:val="FootnoteReference"/>
          <w:sz w:val="20"/>
        </w:rPr>
        <w:footnoteRef/>
      </w:r>
      <w:r w:rsidRPr="00487CA0">
        <w:t xml:space="preserve"> </w:t>
      </w:r>
      <w:r w:rsidR="00C275E6">
        <w:t>Application</w:t>
      </w:r>
      <w:r w:rsidRPr="00487CA0">
        <w:t xml:space="preserve"> at 10.</w:t>
      </w:r>
    </w:p>
  </w:footnote>
  <w:footnote w:id="7">
    <w:p w:rsidR="00487CA0" w:rsidRPr="00487CA0" w:rsidP="00487CA0" w14:paraId="316E6815" w14:textId="6964B380">
      <w:pPr>
        <w:pStyle w:val="FootnoteText"/>
      </w:pPr>
      <w:r w:rsidRPr="00487CA0">
        <w:rPr>
          <w:rStyle w:val="FootnoteReference"/>
          <w:sz w:val="20"/>
        </w:rPr>
        <w:footnoteRef/>
      </w:r>
      <w:r w:rsidRPr="00487CA0">
        <w:t xml:space="preserve"> </w:t>
      </w:r>
      <w:r w:rsidRPr="0018455C" w:rsidR="0018455C">
        <w:rPr>
          <w:i/>
          <w:iCs/>
        </w:rPr>
        <w:t>Id</w:t>
      </w:r>
      <w:r w:rsidR="0018455C">
        <w:t>.</w:t>
      </w:r>
      <w:r w:rsidRPr="00487CA0">
        <w:t xml:space="preserve"> at 2.</w:t>
      </w:r>
    </w:p>
  </w:footnote>
  <w:footnote w:id="8">
    <w:p w:rsidR="00487CA0" w:rsidRPr="00487CA0" w:rsidP="00487CA0" w14:paraId="739BBCFA" w14:textId="77777777">
      <w:pPr>
        <w:pStyle w:val="FootnoteText"/>
      </w:pPr>
      <w:r w:rsidRPr="00487CA0">
        <w:rPr>
          <w:rStyle w:val="FootnoteReference"/>
          <w:sz w:val="20"/>
        </w:rPr>
        <w:footnoteRef/>
      </w:r>
      <w:r w:rsidRPr="00487CA0">
        <w:t xml:space="preserve"> </w:t>
      </w:r>
      <w:r w:rsidRPr="00487CA0">
        <w:rPr>
          <w:i/>
          <w:iCs/>
        </w:rPr>
        <w:t>Id</w:t>
      </w:r>
      <w:r w:rsidRPr="00487CA0">
        <w:t>.</w:t>
      </w:r>
    </w:p>
  </w:footnote>
  <w:footnote w:id="9">
    <w:p w:rsidR="00487CA0" w:rsidRPr="00487CA0" w:rsidP="00487CA0" w14:paraId="45518858" w14:textId="6F540361">
      <w:pPr>
        <w:autoSpaceDE w:val="0"/>
        <w:autoSpaceDN w:val="0"/>
        <w:adjustRightInd w:val="0"/>
        <w:spacing w:after="120"/>
        <w:rPr>
          <w:sz w:val="20"/>
        </w:rPr>
      </w:pPr>
      <w:r w:rsidRPr="00487CA0">
        <w:rPr>
          <w:rStyle w:val="FootnoteReference"/>
          <w:sz w:val="20"/>
        </w:rPr>
        <w:footnoteRef/>
      </w:r>
      <w:r w:rsidRPr="00487CA0">
        <w:rPr>
          <w:sz w:val="20"/>
        </w:rPr>
        <w:t xml:space="preserve"> </w:t>
      </w:r>
      <w:r w:rsidRPr="00487CA0">
        <w:rPr>
          <w:i/>
          <w:iCs/>
          <w:sz w:val="20"/>
        </w:rPr>
        <w:t>Id</w:t>
      </w:r>
      <w:r w:rsidRPr="00487CA0">
        <w:rPr>
          <w:sz w:val="20"/>
        </w:rPr>
        <w:t>. at 3</w:t>
      </w:r>
      <w:r w:rsidR="003226E3">
        <w:rPr>
          <w:sz w:val="20"/>
        </w:rPr>
        <w:t>, n.4</w:t>
      </w:r>
      <w:r w:rsidRPr="00487CA0">
        <w:rPr>
          <w:sz w:val="20"/>
        </w:rPr>
        <w:t xml:space="preserve">.  ICSolutions provides telecommunications to correctional facilities in Alabama, Arizona, Arkansas, California, Colorado, Florida, Georgia, Idaho, Illinois, Indiana, Iowa, Kansas, Louisiana, Maryland, Massachusetts, Michigan, Minnesota, Mississippi, Missouri, Montana, Nebraska, Nevada, New Hampshire, New Mexico, New York, North Carolina, Ohio, Oregon, Pennsylvania, South Carolina, South Dakota, Tennessee, Texas, Utah, Virginia, Washington, West Virginia, Wisconsin, and Wyoming.  </w:t>
      </w:r>
    </w:p>
  </w:footnote>
  <w:footnote w:id="10">
    <w:p w:rsidR="00487CA0" w:rsidRPr="00487CA0" w:rsidP="00487CA0" w14:paraId="63E86FDC" w14:textId="77777777">
      <w:pPr>
        <w:pStyle w:val="FootnoteText"/>
      </w:pPr>
      <w:r w:rsidRPr="00487CA0">
        <w:rPr>
          <w:rStyle w:val="FootnoteReference"/>
          <w:sz w:val="20"/>
        </w:rPr>
        <w:footnoteRef/>
      </w:r>
      <w:r w:rsidRPr="00487CA0">
        <w:t xml:space="preserve"> </w:t>
      </w:r>
      <w:r w:rsidRPr="00487CA0">
        <w:rPr>
          <w:i/>
          <w:iCs/>
        </w:rPr>
        <w:t>Id</w:t>
      </w:r>
      <w:r w:rsidRPr="00487CA0">
        <w:t>. at 3-4.</w:t>
      </w:r>
    </w:p>
  </w:footnote>
  <w:footnote w:id="11">
    <w:p w:rsidR="00487CA0" w:rsidRPr="00487CA0" w:rsidP="00487CA0" w14:paraId="6718273B" w14:textId="77777777">
      <w:pPr>
        <w:pStyle w:val="FootnoteText"/>
      </w:pPr>
      <w:r w:rsidRPr="00487CA0">
        <w:rPr>
          <w:rStyle w:val="FootnoteReference"/>
          <w:sz w:val="20"/>
        </w:rPr>
        <w:footnoteRef/>
      </w:r>
      <w:r w:rsidRPr="00487CA0">
        <w:t xml:space="preserve"> </w:t>
      </w:r>
      <w:r w:rsidRPr="00487CA0">
        <w:rPr>
          <w:i/>
          <w:iCs/>
        </w:rPr>
        <w:t>Id</w:t>
      </w:r>
      <w:r w:rsidRPr="00487CA0">
        <w:t>. at 4.</w:t>
      </w:r>
    </w:p>
  </w:footnote>
  <w:footnote w:id="12">
    <w:p w:rsidR="00487CA0" w:rsidRPr="00487CA0" w:rsidP="00487CA0" w14:paraId="24A5FA3F" w14:textId="73B91D59">
      <w:pPr>
        <w:pStyle w:val="FootnoteText"/>
      </w:pPr>
      <w:r w:rsidRPr="00487CA0">
        <w:rPr>
          <w:rStyle w:val="FootnoteReference"/>
          <w:sz w:val="20"/>
        </w:rPr>
        <w:footnoteRef/>
      </w:r>
      <w:r w:rsidRPr="00487CA0">
        <w:t xml:space="preserve"> </w:t>
      </w:r>
      <w:r w:rsidRPr="00487CA0">
        <w:rPr>
          <w:i/>
          <w:iCs/>
        </w:rPr>
        <w:t>Id</w:t>
      </w:r>
      <w:r w:rsidRPr="00487CA0">
        <w:t>. at 8-9</w:t>
      </w:r>
      <w:r w:rsidR="00C275E6">
        <w:t>; Supplement Letter at 2</w:t>
      </w:r>
      <w:r w:rsidRPr="00487CA0">
        <w:t xml:space="preserve">. </w:t>
      </w:r>
      <w:r w:rsidRPr="00487CA0">
        <w:rPr>
          <w:i/>
          <w:iCs/>
        </w:rPr>
        <w:t xml:space="preserve"> </w:t>
      </w:r>
      <w:r w:rsidRPr="00487CA0">
        <w:t xml:space="preserve">Applicants provided charts depicting pre-closing and post-closing ownership structures.  </w:t>
      </w:r>
      <w:r w:rsidR="00C275E6">
        <w:t>Application at</w:t>
      </w:r>
      <w:r w:rsidRPr="00487CA0">
        <w:t xml:space="preserve"> Exh. A.</w:t>
      </w:r>
    </w:p>
  </w:footnote>
  <w:footnote w:id="13">
    <w:p w:rsidR="00487CA0" w:rsidRPr="00487CA0" w:rsidP="00487CA0" w14:paraId="0E7E0760" w14:textId="4421F450">
      <w:pPr>
        <w:pStyle w:val="FootnoteText"/>
      </w:pPr>
      <w:r w:rsidRPr="00487CA0">
        <w:rPr>
          <w:rStyle w:val="FootnoteReference"/>
          <w:sz w:val="20"/>
        </w:rPr>
        <w:footnoteRef/>
      </w:r>
      <w:r w:rsidRPr="00487CA0">
        <w:t xml:space="preserve"> </w:t>
      </w:r>
      <w:r w:rsidR="00C275E6">
        <w:t>Application at</w:t>
      </w:r>
      <w:r w:rsidRPr="00487CA0">
        <w:t xml:space="preserve"> 10.</w:t>
      </w:r>
    </w:p>
  </w:footnote>
  <w:footnote w:id="14">
    <w:p w:rsidR="00277A6D" w:rsidRPr="00C275E6" w14:paraId="1E708A14" w14:textId="4FFB08C5">
      <w:pPr>
        <w:pStyle w:val="FootnoteText"/>
      </w:pPr>
      <w:r w:rsidRPr="00272AFF">
        <w:rPr>
          <w:rStyle w:val="FootnoteReference"/>
        </w:rPr>
        <w:footnoteRef/>
      </w:r>
      <w:r w:rsidRPr="00272AFF">
        <w:t xml:space="preserve"> </w:t>
      </w:r>
      <w:r w:rsidR="00C275E6">
        <w:t>Application at 10; Supplement Letter at 2.</w:t>
      </w:r>
    </w:p>
  </w:footnote>
  <w:footnote w:id="15">
    <w:p w:rsidR="00487CA0" w:rsidRPr="00487CA0" w:rsidP="00487CA0" w14:paraId="5E6DD171" w14:textId="6A9F9255">
      <w:pPr>
        <w:pStyle w:val="FootnoteText"/>
      </w:pPr>
      <w:r w:rsidRPr="00272AFF">
        <w:rPr>
          <w:rStyle w:val="FootnoteReference"/>
          <w:sz w:val="20"/>
        </w:rPr>
        <w:footnoteRef/>
      </w:r>
      <w:r w:rsidRPr="00272AFF">
        <w:t xml:space="preserve"> </w:t>
      </w:r>
      <w:r w:rsidR="00C275E6">
        <w:t>Application</w:t>
      </w:r>
      <w:r w:rsidRPr="00272AFF">
        <w:t xml:space="preserve"> at 4.</w:t>
      </w:r>
    </w:p>
  </w:footnote>
  <w:footnote w:id="16">
    <w:p w:rsidR="00487CA0" w:rsidRPr="00487CA0" w:rsidP="00487CA0" w14:paraId="3608D463" w14:textId="77777777">
      <w:pPr>
        <w:autoSpaceDE w:val="0"/>
        <w:autoSpaceDN w:val="0"/>
        <w:adjustRightInd w:val="0"/>
        <w:spacing w:after="120"/>
        <w:rPr>
          <w:sz w:val="20"/>
        </w:rPr>
      </w:pPr>
      <w:r w:rsidRPr="00487CA0">
        <w:rPr>
          <w:rStyle w:val="FootnoteReference"/>
          <w:sz w:val="20"/>
        </w:rPr>
        <w:footnoteRef/>
      </w:r>
      <w:r w:rsidRPr="00487CA0">
        <w:rPr>
          <w:sz w:val="20"/>
        </w:rPr>
        <w:t xml:space="preserve"> </w:t>
      </w:r>
      <w:r w:rsidRPr="00487CA0">
        <w:rPr>
          <w:i/>
          <w:iCs/>
          <w:sz w:val="20"/>
        </w:rPr>
        <w:t>Id</w:t>
      </w:r>
      <w:r w:rsidRPr="00487CA0">
        <w:rPr>
          <w:sz w:val="20"/>
        </w:rPr>
        <w:t>.</w:t>
      </w:r>
    </w:p>
  </w:footnote>
  <w:footnote w:id="17">
    <w:p w:rsidR="00487CA0" w:rsidRPr="00487CA0" w:rsidP="00487CA0" w14:paraId="0BC8A8DE" w14:textId="77777777">
      <w:pPr>
        <w:pStyle w:val="FootnoteText"/>
      </w:pPr>
      <w:r w:rsidRPr="00487CA0">
        <w:rPr>
          <w:rStyle w:val="FootnoteReference"/>
          <w:sz w:val="20"/>
        </w:rPr>
        <w:footnoteRef/>
      </w:r>
      <w:r w:rsidRPr="00487CA0">
        <w:t xml:space="preserve"> </w:t>
      </w:r>
      <w:r w:rsidRPr="00487CA0">
        <w:rPr>
          <w:i/>
          <w:iCs/>
        </w:rPr>
        <w:t>Id</w:t>
      </w:r>
      <w:r w:rsidRPr="00487CA0">
        <w:t>. at 4-5.</w:t>
      </w:r>
    </w:p>
  </w:footnote>
  <w:footnote w:id="18">
    <w:p w:rsidR="00487CA0" w:rsidRPr="00487CA0" w:rsidP="00487CA0" w14:paraId="2C030A64" w14:textId="77777777">
      <w:pPr>
        <w:pStyle w:val="FootnoteText"/>
      </w:pPr>
      <w:r w:rsidRPr="00487CA0">
        <w:rPr>
          <w:rStyle w:val="FootnoteReference"/>
          <w:sz w:val="20"/>
        </w:rPr>
        <w:footnoteRef/>
      </w:r>
      <w:r w:rsidRPr="00487CA0">
        <w:t xml:space="preserve"> </w:t>
      </w:r>
      <w:r w:rsidRPr="00487CA0">
        <w:rPr>
          <w:i/>
          <w:iCs/>
        </w:rPr>
        <w:t>Id</w:t>
      </w:r>
      <w:r w:rsidRPr="00487CA0">
        <w:t>.</w:t>
      </w:r>
    </w:p>
  </w:footnote>
  <w:footnote w:id="19">
    <w:p w:rsidR="00487CA0" w:rsidRPr="0054221D" w:rsidP="00487CA0" w14:paraId="0BB26B95" w14:textId="77777777">
      <w:pPr>
        <w:pStyle w:val="FootnoteText"/>
      </w:pPr>
      <w:r w:rsidRPr="00487CA0">
        <w:rPr>
          <w:rStyle w:val="FootnoteReference"/>
          <w:sz w:val="20"/>
        </w:rPr>
        <w:footnoteRef/>
      </w:r>
      <w:r w:rsidRPr="00487CA0">
        <w:t xml:space="preserve"> </w:t>
      </w:r>
      <w:r w:rsidRPr="00487CA0">
        <w:rPr>
          <w:i/>
          <w:iCs/>
        </w:rPr>
        <w:t>Id</w:t>
      </w:r>
      <w:r w:rsidRPr="00487CA0">
        <w:t>. at 5.</w:t>
      </w:r>
    </w:p>
  </w:footnote>
  <w:footnote w:id="20">
    <w:p w:rsidR="00487CA0" w:rsidRPr="00487CA0" w:rsidP="00487CA0" w14:paraId="56D5F105" w14:textId="77777777">
      <w:pPr>
        <w:pStyle w:val="FootnoteText"/>
      </w:pPr>
      <w:r w:rsidRPr="00487CA0">
        <w:rPr>
          <w:rStyle w:val="FootnoteReference"/>
          <w:sz w:val="20"/>
        </w:rPr>
        <w:footnoteRef/>
      </w:r>
      <w:r w:rsidRPr="00487CA0">
        <w:t xml:space="preserve"> </w:t>
      </w:r>
      <w:r w:rsidRPr="00487CA0">
        <w:rPr>
          <w:i/>
          <w:iCs/>
        </w:rPr>
        <w:t>Id</w:t>
      </w:r>
      <w:r w:rsidRPr="00487CA0">
        <w:t>. at 6.</w:t>
      </w:r>
    </w:p>
  </w:footnote>
  <w:footnote w:id="21">
    <w:p w:rsidR="00487CA0" w:rsidRPr="00487CA0" w:rsidP="00487CA0" w14:paraId="688C2801" w14:textId="77777777">
      <w:pPr>
        <w:pStyle w:val="FootnoteText"/>
      </w:pPr>
      <w:r w:rsidRPr="00487CA0">
        <w:rPr>
          <w:rStyle w:val="FootnoteReference"/>
          <w:sz w:val="20"/>
        </w:rPr>
        <w:footnoteRef/>
      </w:r>
      <w:r w:rsidRPr="00487CA0">
        <w:t xml:space="preserve"> </w:t>
      </w:r>
      <w:r w:rsidRPr="00487CA0">
        <w:rPr>
          <w:i/>
          <w:iCs/>
        </w:rPr>
        <w:t>Id</w:t>
      </w:r>
      <w:r w:rsidRPr="00487CA0">
        <w:t xml:space="preserve">. </w:t>
      </w:r>
    </w:p>
  </w:footnote>
  <w:footnote w:id="22">
    <w:p w:rsidR="00487CA0" w:rsidRPr="000276D6" w:rsidP="00487CA0" w14:paraId="63E78A60" w14:textId="77777777">
      <w:pPr>
        <w:pStyle w:val="FootnoteText"/>
      </w:pPr>
      <w:r w:rsidRPr="00487CA0">
        <w:rPr>
          <w:rStyle w:val="FootnoteReference"/>
          <w:sz w:val="20"/>
        </w:rPr>
        <w:footnoteRef/>
      </w:r>
      <w:r w:rsidRPr="00487CA0">
        <w:t xml:space="preserve"> 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487CA0">
        <w:rPr>
          <w:i/>
          <w:iCs/>
        </w:rPr>
        <w:t xml:space="preserve">  FCC Announces Closure of FCC Headquarters Open Window and Change in Hand-Delivery Filing</w:t>
      </w:r>
      <w:r w:rsidRPr="00487CA0">
        <w:t>,</w:t>
      </w:r>
      <w:r w:rsidRPr="00487CA0">
        <w:rPr>
          <w:i/>
          <w:iCs/>
        </w:rPr>
        <w:t xml:space="preserve"> </w:t>
      </w:r>
      <w:r w:rsidRPr="00487CA0">
        <w:t xml:space="preserve">Public Notice, DA 20-304 (rel. Mar. 19, 2020).  </w:t>
      </w:r>
      <w:r w:rsidRPr="00487CA0">
        <w:rPr>
          <w:b/>
          <w:bCs/>
          <w:color w:val="201F1E"/>
          <w:shd w:val="clear" w:color="auto" w:fill="FFFFFF"/>
        </w:rPr>
        <w:t> </w:t>
      </w:r>
      <w:hyperlink r:id="rId1" w:tgtFrame="_blank" w:history="1">
        <w:r w:rsidRPr="00487CA0">
          <w:rPr>
            <w:color w:val="0563C1"/>
            <w:u w:val="single"/>
            <w:bdr w:val="none" w:sz="0" w:space="0" w:color="auto" w:frame="1"/>
            <w:shd w:val="clear" w:color="auto" w:fill="FFFFFF"/>
          </w:rPr>
          <w:t>https://www.fcc.gov/document/fcc-closes-headquarters-open-window-and-changes-hand-delivery-policy</w:t>
        </w:r>
      </w:hyperlink>
      <w:r w:rsidRPr="00487CA0">
        <w:t>.</w:t>
      </w:r>
      <w:r w:rsidRPr="000276D6">
        <w:rPr>
          <w:color w:val="201F1E"/>
          <w:shd w:val="clear" w:color="auto" w:fill="FFFFFF"/>
        </w:rPr>
        <w:t> </w:t>
      </w:r>
    </w:p>
  </w:footnote>
  <w:footnote w:id="23">
    <w:p w:rsidR="00487CA0" w:rsidRPr="00487CA0" w:rsidP="00487CA0" w14:paraId="44B460D0" w14:textId="77777777">
      <w:pPr>
        <w:pStyle w:val="FootnoteText"/>
      </w:pPr>
      <w:r w:rsidRPr="00487CA0">
        <w:rPr>
          <w:rStyle w:val="FootnoteReference"/>
          <w:sz w:val="20"/>
        </w:rPr>
        <w:footnoteRef/>
      </w:r>
      <w:r w:rsidRPr="00487CA0">
        <w:t xml:space="preserve"> </w:t>
      </w:r>
      <w:r w:rsidRPr="00487CA0">
        <w:rPr>
          <w:i/>
        </w:rPr>
        <w:t>See</w:t>
      </w:r>
      <w:r w:rsidRPr="00487CA0">
        <w:t xml:space="preserve"> 47 CFR § 1.45(c).</w:t>
      </w:r>
    </w:p>
  </w:footnote>
  <w:footnote w:id="24">
    <w:p w:rsidR="00487CA0" w:rsidRPr="00487CA0" w:rsidP="00487CA0" w14:paraId="56F2E088" w14:textId="77777777">
      <w:pPr>
        <w:pStyle w:val="FootnoteText"/>
        <w:rPr>
          <w:color w:val="000000"/>
        </w:rPr>
      </w:pPr>
      <w:r w:rsidRPr="00487CA0">
        <w:rPr>
          <w:rStyle w:val="FootnoteReference"/>
          <w:color w:val="000000"/>
          <w:sz w:val="20"/>
        </w:rPr>
        <w:footnoteRef/>
      </w:r>
      <w:r w:rsidRPr="00487CA0">
        <w:rPr>
          <w:color w:val="000000"/>
        </w:rPr>
        <w:t xml:space="preserve"> 47 CFR § 63.03.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4BFF5B84" w14:textId="0CFDD01B">
    <w:pPr>
      <w:tabs>
        <w:tab w:val="center" w:pos="4680"/>
        <w:tab w:val="right" w:pos="9360"/>
      </w:tabs>
    </w:pPr>
    <w:r w:rsidRPr="009838BC">
      <w:rPr>
        <w:b/>
      </w:rPr>
      <w:tab/>
      <w:t>Federal Communications Commission</w:t>
    </w:r>
    <w:r w:rsidRPr="009838BC">
      <w:rPr>
        <w:b/>
      </w:rPr>
      <w:tab/>
    </w:r>
    <w:r w:rsidR="00977BAA">
      <w:rPr>
        <w:b/>
      </w:rPr>
      <w:t>DA 20-673</w:t>
    </w:r>
  </w:p>
  <w:p w:rsidR="009838BC" w:rsidRPr="009838BC" w:rsidP="009838BC" w14:paraId="1E66A448" w14:textId="250E1BF2">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62B92303"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5F652B39" w14:textId="6BEC7BB9">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18DFD2DB" w14:textId="77777777">
                    <w:pPr>
                      <w:rPr>
                        <w:rFonts w:ascii="Arial" w:hAnsi="Arial"/>
                        <w:b/>
                      </w:rPr>
                    </w:pPr>
                    <w:r>
                      <w:rPr>
                        <w:rFonts w:ascii="Arial" w:hAnsi="Arial"/>
                        <w:b/>
                      </w:rPr>
                      <w:t>Federal Communications Commission</w:t>
                    </w:r>
                  </w:p>
                  <w:p w:rsidR="009838BC" w:rsidP="009838BC" w14:paraId="5DA8D16E"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307759CE"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584150"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47380F62" w14:textId="5BBE4A0A">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8" w:name="_Hlt233824"/>
                          <w:hyperlink r:id="rId2" w:history="1">
                            <w:r w:rsidRPr="00D216CD">
                              <w:rPr>
                                <w:rStyle w:val="Hyperlink"/>
                                <w:rFonts w:ascii="Arial" w:hAnsi="Arial"/>
                                <w:b/>
                                <w:sz w:val="16"/>
                              </w:rPr>
                              <w:t>h</w:t>
                            </w:r>
                            <w:bookmarkEnd w:id="8"/>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062D5545" w14:textId="77777777">
                    <w:pPr>
                      <w:spacing w:before="40"/>
                      <w:jc w:val="right"/>
                      <w:rPr>
                        <w:rFonts w:ascii="Arial" w:hAnsi="Arial"/>
                        <w:b/>
                        <w:sz w:val="16"/>
                      </w:rPr>
                    </w:pPr>
                    <w:r>
                      <w:rPr>
                        <w:rFonts w:ascii="Arial" w:hAnsi="Arial"/>
                        <w:b/>
                        <w:sz w:val="16"/>
                      </w:rPr>
                      <w:t>News Media Information 202 / 418-0500</w:t>
                    </w:r>
                  </w:p>
                  <w:p w:rsidR="009838BC" w:rsidP="009838BC" w14:paraId="142CDFDB" w14:textId="77777777">
                    <w:pPr>
                      <w:jc w:val="right"/>
                      <w:rPr>
                        <w:rFonts w:ascii="Arial" w:hAnsi="Arial"/>
                        <w:b/>
                        <w:sz w:val="16"/>
                      </w:rPr>
                    </w:pPr>
                    <w:r>
                      <w:rPr>
                        <w:rFonts w:ascii="Arial" w:hAnsi="Arial"/>
                        <w:b/>
                        <w:sz w:val="16"/>
                      </w:rPr>
                      <w:t xml:space="preserve">Internet: </w:t>
                    </w:r>
                    <w:bookmarkStart w:id="8" w:name="_Hlt233824"/>
                    <w:hyperlink r:id="rId2" w:history="1">
                      <w:r w:rsidRPr="00D216CD">
                        <w:rPr>
                          <w:rStyle w:val="Hyperlink"/>
                          <w:rFonts w:ascii="Arial" w:hAnsi="Arial"/>
                          <w:b/>
                          <w:sz w:val="16"/>
                        </w:rPr>
                        <w:t>h</w:t>
                      </w:r>
                      <w:bookmarkEnd w:id="8"/>
                      <w:r w:rsidRPr="00D216CD">
                        <w:rPr>
                          <w:rStyle w:val="Hyperlink"/>
                          <w:rFonts w:ascii="Arial" w:hAnsi="Arial"/>
                          <w:b/>
                          <w:sz w:val="16"/>
                        </w:rPr>
                        <w:t>ttps://www.fcc.gov</w:t>
                      </w:r>
                    </w:hyperlink>
                  </w:p>
                  <w:p w:rsidR="009838BC" w:rsidP="009838BC" w14:paraId="18949958" w14:textId="77777777">
                    <w:pPr>
                      <w:jc w:val="right"/>
                    </w:pPr>
                    <w:r>
                      <w:rPr>
                        <w:rFonts w:ascii="Arial" w:hAnsi="Arial"/>
                        <w:b/>
                        <w:sz w:val="16"/>
                      </w:rPr>
                      <w:t>TTY: 1-888-835-5322</w:t>
                    </w:r>
                  </w:p>
                </w:txbxContent>
              </v:textbox>
            </v:shape>
          </w:pict>
        </mc:Fallback>
      </mc:AlternateContent>
    </w:r>
  </w:p>
  <w:p w:rsidR="006F7393" w:rsidRPr="009838BC" w:rsidP="009838BC" w14:paraId="4CB30F19"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7">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CA0"/>
    <w:rsid w:val="000072CE"/>
    <w:rsid w:val="00013A8B"/>
    <w:rsid w:val="00021445"/>
    <w:rsid w:val="000276D6"/>
    <w:rsid w:val="00036039"/>
    <w:rsid w:val="00037F90"/>
    <w:rsid w:val="000875BF"/>
    <w:rsid w:val="00094BB8"/>
    <w:rsid w:val="00096D8C"/>
    <w:rsid w:val="000C0B65"/>
    <w:rsid w:val="000E3D42"/>
    <w:rsid w:val="000E5884"/>
    <w:rsid w:val="00122BD5"/>
    <w:rsid w:val="00160791"/>
    <w:rsid w:val="0018455C"/>
    <w:rsid w:val="001979D9"/>
    <w:rsid w:val="001D6BCF"/>
    <w:rsid w:val="001E01CA"/>
    <w:rsid w:val="002060D9"/>
    <w:rsid w:val="00226822"/>
    <w:rsid w:val="002347BF"/>
    <w:rsid w:val="00260594"/>
    <w:rsid w:val="00272AFF"/>
    <w:rsid w:val="00277A6D"/>
    <w:rsid w:val="00285017"/>
    <w:rsid w:val="002A2D2E"/>
    <w:rsid w:val="002A2D74"/>
    <w:rsid w:val="002B1224"/>
    <w:rsid w:val="003224D0"/>
    <w:rsid w:val="003226E3"/>
    <w:rsid w:val="00343749"/>
    <w:rsid w:val="00357D50"/>
    <w:rsid w:val="003925DC"/>
    <w:rsid w:val="003B0550"/>
    <w:rsid w:val="003B694F"/>
    <w:rsid w:val="003F08EF"/>
    <w:rsid w:val="003F171C"/>
    <w:rsid w:val="00412FC5"/>
    <w:rsid w:val="00422276"/>
    <w:rsid w:val="004242F1"/>
    <w:rsid w:val="00427C8E"/>
    <w:rsid w:val="00445A00"/>
    <w:rsid w:val="00451B0F"/>
    <w:rsid w:val="0046125F"/>
    <w:rsid w:val="00463C7D"/>
    <w:rsid w:val="00487524"/>
    <w:rsid w:val="00487CA0"/>
    <w:rsid w:val="00496106"/>
    <w:rsid w:val="004C12D0"/>
    <w:rsid w:val="004C2EE3"/>
    <w:rsid w:val="004E4A22"/>
    <w:rsid w:val="00511968"/>
    <w:rsid w:val="0054221D"/>
    <w:rsid w:val="0055614C"/>
    <w:rsid w:val="00607BA5"/>
    <w:rsid w:val="00626EB6"/>
    <w:rsid w:val="006353A3"/>
    <w:rsid w:val="00655D03"/>
    <w:rsid w:val="00683F84"/>
    <w:rsid w:val="006A6A81"/>
    <w:rsid w:val="006E26AF"/>
    <w:rsid w:val="006F7393"/>
    <w:rsid w:val="0070224F"/>
    <w:rsid w:val="007115F7"/>
    <w:rsid w:val="00785689"/>
    <w:rsid w:val="0079754B"/>
    <w:rsid w:val="007A1E6D"/>
    <w:rsid w:val="007E654A"/>
    <w:rsid w:val="007E7363"/>
    <w:rsid w:val="007F4987"/>
    <w:rsid w:val="00822CE0"/>
    <w:rsid w:val="00837C62"/>
    <w:rsid w:val="00841AB1"/>
    <w:rsid w:val="008C22FD"/>
    <w:rsid w:val="00910F12"/>
    <w:rsid w:val="00926503"/>
    <w:rsid w:val="00930ECF"/>
    <w:rsid w:val="00977BAA"/>
    <w:rsid w:val="009838BC"/>
    <w:rsid w:val="009B4344"/>
    <w:rsid w:val="00A45F4F"/>
    <w:rsid w:val="00A600A9"/>
    <w:rsid w:val="00A86356"/>
    <w:rsid w:val="00A866AC"/>
    <w:rsid w:val="00AA55B7"/>
    <w:rsid w:val="00AA5B9E"/>
    <w:rsid w:val="00AB2407"/>
    <w:rsid w:val="00AB53DF"/>
    <w:rsid w:val="00AC24ED"/>
    <w:rsid w:val="00B07E5C"/>
    <w:rsid w:val="00B326E3"/>
    <w:rsid w:val="00B74061"/>
    <w:rsid w:val="00B811F7"/>
    <w:rsid w:val="00BA5DC6"/>
    <w:rsid w:val="00BA6196"/>
    <w:rsid w:val="00BC6D8C"/>
    <w:rsid w:val="00C16AF2"/>
    <w:rsid w:val="00C275E6"/>
    <w:rsid w:val="00C34006"/>
    <w:rsid w:val="00C426B1"/>
    <w:rsid w:val="00C60A5B"/>
    <w:rsid w:val="00C82B6B"/>
    <w:rsid w:val="00C84BC4"/>
    <w:rsid w:val="00C90D6A"/>
    <w:rsid w:val="00CC0DD7"/>
    <w:rsid w:val="00CC72B6"/>
    <w:rsid w:val="00D0218D"/>
    <w:rsid w:val="00D216CD"/>
    <w:rsid w:val="00DA2529"/>
    <w:rsid w:val="00DB130A"/>
    <w:rsid w:val="00DB5429"/>
    <w:rsid w:val="00DC10A1"/>
    <w:rsid w:val="00DC655F"/>
    <w:rsid w:val="00DD24E1"/>
    <w:rsid w:val="00DD7EBD"/>
    <w:rsid w:val="00DF62B6"/>
    <w:rsid w:val="00E02E6D"/>
    <w:rsid w:val="00E07225"/>
    <w:rsid w:val="00E11542"/>
    <w:rsid w:val="00E155B7"/>
    <w:rsid w:val="00E271AD"/>
    <w:rsid w:val="00E5409F"/>
    <w:rsid w:val="00EC0185"/>
    <w:rsid w:val="00ED64FC"/>
    <w:rsid w:val="00ED72F8"/>
    <w:rsid w:val="00F021FA"/>
    <w:rsid w:val="00F2319B"/>
    <w:rsid w:val="00F57ACA"/>
    <w:rsid w:val="00F62E97"/>
    <w:rsid w:val="00F64209"/>
    <w:rsid w:val="00F86FEC"/>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7482EFD-44C6-4E8A-89CA-BC51D4365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1 Char Char Char,Footnote Text Char Char Char2 Char Char,Footnote Text Char1 Char1 Char Char Char,Footnote Text Char2 Char,Footnote Text Char2 Char Char Char,Footnote Text Char3 Char Char,f,fn"/>
    <w:link w:val="FootnoteTextChar"/>
    <w:rsid w:val="000E3D42"/>
    <w:pPr>
      <w:spacing w:after="120"/>
    </w:pPr>
  </w:style>
  <w:style w:type="character" w:styleId="FootnoteReference">
    <w:name w:val="footnote reference"/>
    <w:aliases w:val="(NECG) Footnote Reference,Appel note de bas de p,FR,Style 12,Style 124,Style 17,Style 3,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Footnote Text Char Char Char1 Char Char Char Char,Footnote Text Char1 Char1 Char Char Char Char,Footnote Text Char2 Char Char,Footnote Text Char2 Char Char Char Char,Footnote Text Char3 Char Char Char,f Char,fn Char"/>
    <w:link w:val="FootnoteText"/>
    <w:rsid w:val="00487CA0"/>
  </w:style>
  <w:style w:type="character" w:styleId="CommentReference">
    <w:name w:val="annotation reference"/>
    <w:basedOn w:val="DefaultParagraphFont"/>
    <w:uiPriority w:val="99"/>
    <w:semiHidden/>
    <w:unhideWhenUsed/>
    <w:rsid w:val="00277A6D"/>
    <w:rPr>
      <w:sz w:val="16"/>
      <w:szCs w:val="16"/>
    </w:rPr>
  </w:style>
  <w:style w:type="paragraph" w:styleId="CommentText">
    <w:name w:val="annotation text"/>
    <w:basedOn w:val="Normal"/>
    <w:link w:val="CommentTextChar"/>
    <w:uiPriority w:val="99"/>
    <w:semiHidden/>
    <w:unhideWhenUsed/>
    <w:rsid w:val="00277A6D"/>
    <w:rPr>
      <w:sz w:val="20"/>
    </w:rPr>
  </w:style>
  <w:style w:type="character" w:customStyle="1" w:styleId="CommentTextChar">
    <w:name w:val="Comment Text Char"/>
    <w:basedOn w:val="DefaultParagraphFont"/>
    <w:link w:val="CommentText"/>
    <w:uiPriority w:val="99"/>
    <w:semiHidden/>
    <w:rsid w:val="00277A6D"/>
    <w:rPr>
      <w:snapToGrid w:val="0"/>
      <w:kern w:val="28"/>
    </w:rPr>
  </w:style>
  <w:style w:type="paragraph" w:styleId="CommentSubject">
    <w:name w:val="annotation subject"/>
    <w:basedOn w:val="CommentText"/>
    <w:next w:val="CommentText"/>
    <w:link w:val="CommentSubjectChar"/>
    <w:uiPriority w:val="99"/>
    <w:semiHidden/>
    <w:unhideWhenUsed/>
    <w:rsid w:val="00277A6D"/>
    <w:rPr>
      <w:b/>
      <w:bCs/>
    </w:rPr>
  </w:style>
  <w:style w:type="character" w:customStyle="1" w:styleId="CommentSubjectChar">
    <w:name w:val="Comment Subject Char"/>
    <w:basedOn w:val="CommentTextChar"/>
    <w:link w:val="CommentSubject"/>
    <w:uiPriority w:val="99"/>
    <w:semiHidden/>
    <w:rsid w:val="00277A6D"/>
    <w:rPr>
      <w:b/>
      <w:bCs/>
      <w:snapToGrid w:val="0"/>
      <w:kern w:val="28"/>
    </w:rPr>
  </w:style>
  <w:style w:type="paragraph" w:styleId="BalloonText">
    <w:name w:val="Balloon Text"/>
    <w:basedOn w:val="Normal"/>
    <w:link w:val="BalloonTextChar"/>
    <w:uiPriority w:val="99"/>
    <w:semiHidden/>
    <w:unhideWhenUsed/>
    <w:rsid w:val="00277A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A6D"/>
    <w:rPr>
      <w:rFonts w:ascii="Segoe UI" w:hAnsi="Segoe UI" w:cs="Segoe UI"/>
      <w:snapToGrid w:val="0"/>
      <w:kern w:val="28"/>
      <w:sz w:val="18"/>
      <w:szCs w:val="18"/>
    </w:rPr>
  </w:style>
  <w:style w:type="character" w:customStyle="1" w:styleId="UnresolvedMention">
    <w:name w:val="Unresolved Mention"/>
    <w:basedOn w:val="DefaultParagraphFont"/>
    <w:uiPriority w:val="99"/>
    <w:semiHidden/>
    <w:unhideWhenUsed/>
    <w:rsid w:val="00E11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jim.bird@fcc.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tracey.wilson@fcc.gov" TargetMode="External" /><Relationship Id="rId7" Type="http://schemas.openxmlformats.org/officeDocument/2006/relationships/hyperlink" Target="mailto:dennis.johnson@fcc.gov;%20jordan.reth@fcc.gov" TargetMode="External" /><Relationship Id="rId8" Type="http://schemas.openxmlformats.org/officeDocument/2006/relationships/hyperlink" Target="mailto:david.krech@fcc.gov" TargetMode="External" /><Relationship Id="rId9" Type="http://schemas.openxmlformats.org/officeDocument/2006/relationships/hyperlink" Target="mailto:"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