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112C691E"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6FC95C18" w14:textId="77777777">
      <w:pPr>
        <w:pStyle w:val="StyleBoldCentered"/>
      </w:pPr>
      <w:r>
        <w:t>F</w:t>
      </w:r>
      <w:r>
        <w:rPr>
          <w:caps w:val="0"/>
        </w:rPr>
        <w:t>ederal Communications Commission</w:t>
      </w:r>
    </w:p>
    <w:p w:rsidR="004C2EE3" w:rsidP="00096D8C" w14:paraId="1ADEE767" w14:textId="53D85BBE">
      <w:pPr>
        <w:pStyle w:val="StyleBoldCentered"/>
      </w:pPr>
      <w:r>
        <w:rPr>
          <w:caps w:val="0"/>
        </w:rPr>
        <w:t>Washington, D.C. 20554</w:t>
      </w:r>
    </w:p>
    <w:p w:rsidR="004C2EE3" w:rsidP="0070224F" w14:paraId="25498D1F" w14:textId="77777777"/>
    <w:tbl>
      <w:tblPr>
        <w:tblW w:w="9576" w:type="dxa"/>
        <w:tblLayout w:type="fixed"/>
        <w:tblLook w:val="0000"/>
      </w:tblPr>
      <w:tblGrid>
        <w:gridCol w:w="4500"/>
        <w:gridCol w:w="828"/>
        <w:gridCol w:w="4248"/>
      </w:tblGrid>
      <w:tr w14:paraId="0D7764DF" w14:textId="77777777" w:rsidTr="00021A1C">
        <w:tblPrEx>
          <w:tblW w:w="9576" w:type="dxa"/>
          <w:tblLayout w:type="fixed"/>
          <w:tblLook w:val="0000"/>
        </w:tblPrEx>
        <w:tc>
          <w:tcPr>
            <w:tcW w:w="4500" w:type="dxa"/>
          </w:tcPr>
          <w:p w:rsidR="0032539C" w14:paraId="53952AC5" w14:textId="77777777">
            <w:pPr>
              <w:tabs>
                <w:tab w:val="center" w:pos="4680"/>
              </w:tabs>
              <w:suppressAutoHyphens/>
              <w:rPr>
                <w:spacing w:val="-2"/>
              </w:rPr>
            </w:pPr>
          </w:p>
          <w:p w:rsidR="004C2EE3" w14:paraId="11B7AE37" w14:textId="5F6F802D">
            <w:pPr>
              <w:tabs>
                <w:tab w:val="center" w:pos="4680"/>
              </w:tabs>
              <w:suppressAutoHyphens/>
              <w:rPr>
                <w:spacing w:val="-2"/>
              </w:rPr>
            </w:pPr>
            <w:r>
              <w:rPr>
                <w:spacing w:val="-2"/>
              </w:rPr>
              <w:t>In the Matter of</w:t>
            </w:r>
          </w:p>
          <w:p w:rsidR="004C2EE3" w14:paraId="4EA32030" w14:textId="77777777">
            <w:pPr>
              <w:tabs>
                <w:tab w:val="center" w:pos="4680"/>
              </w:tabs>
              <w:suppressAutoHyphens/>
              <w:rPr>
                <w:spacing w:val="-2"/>
              </w:rPr>
            </w:pPr>
          </w:p>
          <w:p w:rsidR="004C2EE3" w:rsidRPr="007115F7" w:rsidP="007115F7" w14:paraId="6316B1B8" w14:textId="4C7031BF">
            <w:pPr>
              <w:tabs>
                <w:tab w:val="center" w:pos="4680"/>
              </w:tabs>
              <w:suppressAutoHyphens/>
              <w:rPr>
                <w:spacing w:val="-2"/>
              </w:rPr>
            </w:pPr>
            <w:r w:rsidRPr="00781E08">
              <w:rPr>
                <w:spacing w:val="-2"/>
              </w:rPr>
              <w:t>Sponsorship Identification Requirements</w:t>
            </w:r>
          </w:p>
        </w:tc>
        <w:tc>
          <w:tcPr>
            <w:tcW w:w="828" w:type="dxa"/>
          </w:tcPr>
          <w:p w:rsidR="0032539C" w14:paraId="274A919A" w14:textId="72C089B3">
            <w:pPr>
              <w:tabs>
                <w:tab w:val="center" w:pos="4680"/>
              </w:tabs>
              <w:suppressAutoHyphens/>
              <w:rPr>
                <w:b/>
                <w:spacing w:val="-2"/>
              </w:rPr>
            </w:pPr>
            <w:r>
              <w:rPr>
                <w:b/>
                <w:spacing w:val="-2"/>
              </w:rPr>
              <w:t>)</w:t>
            </w:r>
          </w:p>
          <w:p w:rsidR="004C2EE3" w14:paraId="78ACC957" w14:textId="61983588">
            <w:pPr>
              <w:tabs>
                <w:tab w:val="center" w:pos="4680"/>
              </w:tabs>
              <w:suppressAutoHyphens/>
              <w:rPr>
                <w:b/>
                <w:spacing w:val="-2"/>
              </w:rPr>
            </w:pPr>
            <w:r>
              <w:rPr>
                <w:b/>
                <w:spacing w:val="-2"/>
              </w:rPr>
              <w:t>)</w:t>
            </w:r>
          </w:p>
          <w:p w:rsidR="004C2EE3" w14:paraId="17B50538" w14:textId="77777777">
            <w:pPr>
              <w:tabs>
                <w:tab w:val="center" w:pos="4680"/>
              </w:tabs>
              <w:suppressAutoHyphens/>
              <w:rPr>
                <w:b/>
                <w:spacing w:val="-2"/>
              </w:rPr>
            </w:pPr>
            <w:r>
              <w:rPr>
                <w:b/>
                <w:spacing w:val="-2"/>
              </w:rPr>
              <w:t>)</w:t>
            </w:r>
          </w:p>
          <w:p w:rsidR="004C2EE3" w:rsidP="00021A1C" w14:paraId="1695FD81" w14:textId="77777777">
            <w:pPr>
              <w:tabs>
                <w:tab w:val="center" w:pos="4680"/>
              </w:tabs>
              <w:suppressAutoHyphens/>
              <w:rPr>
                <w:b/>
                <w:spacing w:val="-2"/>
              </w:rPr>
            </w:pPr>
            <w:r>
              <w:rPr>
                <w:b/>
                <w:spacing w:val="-2"/>
              </w:rPr>
              <w:t>)</w:t>
            </w:r>
          </w:p>
          <w:p w:rsidR="004C2EE3" w:rsidRPr="00781E08" w14:paraId="2D1A8F63" w14:textId="3D498413">
            <w:pPr>
              <w:tabs>
                <w:tab w:val="center" w:pos="4680"/>
              </w:tabs>
              <w:suppressAutoHyphens/>
              <w:rPr>
                <w:b/>
                <w:spacing w:val="-2"/>
              </w:rPr>
            </w:pPr>
            <w:r>
              <w:rPr>
                <w:b/>
                <w:spacing w:val="-2"/>
              </w:rPr>
              <w:t>)</w:t>
            </w:r>
          </w:p>
        </w:tc>
        <w:tc>
          <w:tcPr>
            <w:tcW w:w="4248" w:type="dxa"/>
          </w:tcPr>
          <w:p w:rsidR="004C2EE3" w14:paraId="6EFB837B" w14:textId="77777777">
            <w:pPr>
              <w:tabs>
                <w:tab w:val="center" w:pos="4680"/>
              </w:tabs>
              <w:suppressAutoHyphens/>
              <w:rPr>
                <w:spacing w:val="-2"/>
              </w:rPr>
            </w:pPr>
          </w:p>
          <w:p w:rsidR="004C2EE3" w14:paraId="41F00091" w14:textId="77777777">
            <w:pPr>
              <w:pStyle w:val="TOAHeading"/>
              <w:tabs>
                <w:tab w:val="center" w:pos="4680"/>
                <w:tab w:val="clear" w:pos="9360"/>
              </w:tabs>
              <w:rPr>
                <w:spacing w:val="-2"/>
              </w:rPr>
            </w:pPr>
          </w:p>
          <w:p w:rsidR="004C2EE3" w14:paraId="2F529052" w14:textId="21839B6C">
            <w:pPr>
              <w:tabs>
                <w:tab w:val="center" w:pos="4680"/>
              </w:tabs>
              <w:suppressAutoHyphens/>
              <w:rPr>
                <w:spacing w:val="-2"/>
              </w:rPr>
            </w:pPr>
          </w:p>
        </w:tc>
      </w:tr>
    </w:tbl>
    <w:p w:rsidR="004C2EE3" w:rsidP="0070224F" w14:paraId="386572A3" w14:textId="77777777"/>
    <w:p w:rsidR="00841AB1" w:rsidP="00F021FA" w14:paraId="26EBB6D3" w14:textId="30E51EE9">
      <w:pPr>
        <w:pStyle w:val="StyleBoldCentered"/>
      </w:pPr>
      <w:r>
        <w:t>Order</w:t>
      </w:r>
    </w:p>
    <w:p w:rsidR="004C2EE3" w14:paraId="3BD18DCD" w14:textId="77777777">
      <w:pPr>
        <w:tabs>
          <w:tab w:val="left" w:pos="-720"/>
        </w:tabs>
        <w:suppressAutoHyphens/>
        <w:spacing w:line="227" w:lineRule="auto"/>
        <w:rPr>
          <w:spacing w:val="-2"/>
        </w:rPr>
      </w:pPr>
    </w:p>
    <w:p w:rsidR="004C2EE3" w:rsidP="00133F79" w14:paraId="7139C072" w14:textId="5D9A80A5">
      <w:pPr>
        <w:tabs>
          <w:tab w:val="left" w:pos="720"/>
          <w:tab w:val="right" w:pos="9360"/>
        </w:tabs>
        <w:suppressAutoHyphens/>
        <w:spacing w:line="227" w:lineRule="auto"/>
        <w:rPr>
          <w:spacing w:val="-2"/>
        </w:rPr>
      </w:pPr>
      <w:r>
        <w:rPr>
          <w:b/>
          <w:spacing w:val="-2"/>
        </w:rPr>
        <w:t xml:space="preserve">Adopted:  </w:t>
      </w:r>
      <w:r w:rsidR="00F9736B">
        <w:rPr>
          <w:b/>
          <w:spacing w:val="-2"/>
        </w:rPr>
        <w:t xml:space="preserve">June </w:t>
      </w:r>
      <w:r w:rsidR="005B2207">
        <w:rPr>
          <w:b/>
          <w:spacing w:val="-2"/>
        </w:rPr>
        <w:t>26</w:t>
      </w:r>
      <w:r w:rsidR="00781E08">
        <w:rPr>
          <w:b/>
          <w:spacing w:val="-2"/>
        </w:rPr>
        <w:t>,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9736B">
        <w:rPr>
          <w:b/>
          <w:spacing w:val="-2"/>
        </w:rPr>
        <w:t xml:space="preserve">June </w:t>
      </w:r>
      <w:r w:rsidR="005B2207">
        <w:rPr>
          <w:b/>
          <w:spacing w:val="-2"/>
        </w:rPr>
        <w:t>26</w:t>
      </w:r>
      <w:r w:rsidR="00781E08">
        <w:rPr>
          <w:b/>
          <w:spacing w:val="-2"/>
        </w:rPr>
        <w:t>, 2020</w:t>
      </w:r>
    </w:p>
    <w:p w:rsidR="00822CE0" w14:paraId="4F98C07C" w14:textId="77777777"/>
    <w:p w:rsidR="004C2EE3" w14:paraId="321D449E" w14:textId="0B85A7D0">
      <w:pPr>
        <w:rPr>
          <w:spacing w:val="-2"/>
        </w:rPr>
      </w:pPr>
      <w:r>
        <w:t xml:space="preserve">By </w:t>
      </w:r>
      <w:r w:rsidR="004E4A22">
        <w:t>the</w:t>
      </w:r>
      <w:r w:rsidR="002A2D2E">
        <w:t xml:space="preserve"> </w:t>
      </w:r>
      <w:r w:rsidR="00781E08">
        <w:rPr>
          <w:spacing w:val="-2"/>
        </w:rPr>
        <w:t>Chief, Media Bureau</w:t>
      </w:r>
      <w:r>
        <w:rPr>
          <w:spacing w:val="-2"/>
        </w:rPr>
        <w:t>:</w:t>
      </w:r>
    </w:p>
    <w:p w:rsidR="00822CE0" w14:paraId="27DE26A2" w14:textId="77777777">
      <w:pPr>
        <w:rPr>
          <w:spacing w:val="-2"/>
        </w:rPr>
      </w:pPr>
    </w:p>
    <w:p w:rsidR="00586779" w:rsidP="00781E08" w14:paraId="715D46F5" w14:textId="451C2139">
      <w:pPr>
        <w:pStyle w:val="ParaNum"/>
      </w:pPr>
      <w:r>
        <w:t>In light of the ongoing COVID-19 national emergency</w:t>
      </w:r>
      <w:r w:rsidR="001706FB">
        <w:t>,</w:t>
      </w:r>
      <w:r>
        <w:rPr>
          <w:vertAlign w:val="superscript"/>
        </w:rPr>
        <w:footnoteReference w:id="3"/>
      </w:r>
      <w:r w:rsidR="001706FB">
        <w:t xml:space="preserve"> </w:t>
      </w:r>
      <w:r w:rsidRPr="001706FB" w:rsidR="001706FB">
        <w:t xml:space="preserve">with this Order, the </w:t>
      </w:r>
      <w:r w:rsidR="001706FB">
        <w:t>Media</w:t>
      </w:r>
      <w:r w:rsidRPr="001706FB" w:rsidR="001706FB">
        <w:t xml:space="preserve"> Bureau (Bureau) of the Federal Communications Commission (Commission) extends through August 31, 2020</w:t>
      </w:r>
      <w:r w:rsidR="001706FB">
        <w:t xml:space="preserve"> the temporary waiver previously granted by the Bureau regarding certain sponsorship identification requirements.</w:t>
      </w:r>
      <w:r>
        <w:rPr>
          <w:rStyle w:val="FootnoteReference"/>
        </w:rPr>
        <w:footnoteReference w:id="4"/>
      </w:r>
      <w:r w:rsidR="001706FB">
        <w:t xml:space="preserve"> </w:t>
      </w:r>
    </w:p>
    <w:p w:rsidR="00781E08" w:rsidP="00F65CBC" w14:paraId="240B3E46" w14:textId="7FD76A3C">
      <w:pPr>
        <w:pStyle w:val="ParaNum"/>
      </w:pPr>
      <w:r w:rsidRPr="004721BE">
        <w:t xml:space="preserve">In </w:t>
      </w:r>
      <w:r w:rsidR="00586779">
        <w:t xml:space="preserve">the </w:t>
      </w:r>
      <w:r w:rsidRPr="00586779" w:rsidR="00586779">
        <w:rPr>
          <w:i/>
          <w:iCs/>
        </w:rPr>
        <w:t>Sponsorship ID Waiver Order</w:t>
      </w:r>
      <w:r w:rsidR="002D501D">
        <w:t>,</w:t>
      </w:r>
      <w:r w:rsidR="00DF0A4A">
        <w:t xml:space="preserve"> released April 3, 2020</w:t>
      </w:r>
      <w:r w:rsidR="00183513">
        <w:t>,</w:t>
      </w:r>
      <w:r w:rsidRPr="00586779" w:rsidR="00586779">
        <w:t xml:space="preserve"> </w:t>
      </w:r>
      <w:r w:rsidR="00DF0A4A">
        <w:t xml:space="preserve">the </w:t>
      </w:r>
      <w:r>
        <w:t>Bureau</w:t>
      </w:r>
      <w:r w:rsidR="00DF0A4A">
        <w:t>,</w:t>
      </w:r>
      <w:r w:rsidRPr="004721BE">
        <w:t xml:space="preserve"> act</w:t>
      </w:r>
      <w:r w:rsidR="00586779">
        <w:t>ing</w:t>
      </w:r>
      <w:r>
        <w:t xml:space="preserve"> pursuant to the waiver authority granted in section 317(d) of the </w:t>
      </w:r>
      <w:r w:rsidRPr="00C23A1F">
        <w:t>Communications Act</w:t>
      </w:r>
      <w:r w:rsidR="00183513">
        <w:t xml:space="preserve"> of 1934</w:t>
      </w:r>
      <w:r w:rsidRPr="00C23A1F">
        <w:t>, as amended</w:t>
      </w:r>
      <w:r>
        <w:t>,</w:t>
      </w:r>
      <w:r w:rsidRPr="00C23A1F">
        <w:t xml:space="preserve"> (the Act)</w:t>
      </w:r>
      <w:r w:rsidR="00183513">
        <w:t>,</w:t>
      </w:r>
      <w:r>
        <w:rPr>
          <w:rStyle w:val="FootnoteReference"/>
        </w:rPr>
        <w:footnoteReference w:id="5"/>
      </w:r>
      <w:r w:rsidRPr="004721BE">
        <w:t xml:space="preserve"> </w:t>
      </w:r>
      <w:r>
        <w:t>waive</w:t>
      </w:r>
      <w:r w:rsidR="00586779">
        <w:t>d</w:t>
      </w:r>
      <w:r>
        <w:t xml:space="preserve"> the sponsorship identification requirements contained in</w:t>
      </w:r>
      <w:r w:rsidRPr="004721BE">
        <w:t xml:space="preserve"> section 317(a)</w:t>
      </w:r>
      <w:r>
        <w:t xml:space="preserve"> </w:t>
      </w:r>
      <w:r w:rsidRPr="00784E06">
        <w:t xml:space="preserve">of </w:t>
      </w:r>
      <w:bookmarkStart w:id="0" w:name="_Hlk36624217"/>
      <w:r w:rsidRPr="00784E06">
        <w:t>the Act</w:t>
      </w:r>
      <w:bookmarkEnd w:id="0"/>
      <w:r>
        <w:rPr>
          <w:rStyle w:val="FootnoteReference"/>
        </w:rPr>
        <w:footnoteReference w:id="6"/>
      </w:r>
      <w:r>
        <w:t xml:space="preserve"> </w:t>
      </w:r>
      <w:r w:rsidRPr="004721BE">
        <w:t>and section</w:t>
      </w:r>
      <w:r>
        <w:t>s</w:t>
      </w:r>
      <w:r w:rsidRPr="004721BE">
        <w:t xml:space="preserve"> 73.1212</w:t>
      </w:r>
      <w:r>
        <w:t>(a)</w:t>
      </w:r>
      <w:bookmarkStart w:id="3" w:name="_Hlk36467919"/>
      <w:r>
        <w:t>(1)</w:t>
      </w:r>
      <w:r w:rsidRPr="00DD3F0C">
        <w:t xml:space="preserve"> and (a)(2)(i) </w:t>
      </w:r>
      <w:bookmarkEnd w:id="3"/>
      <w:r w:rsidRPr="004721BE">
        <w:t xml:space="preserve">of </w:t>
      </w:r>
      <w:r>
        <w:t>the Commission’s</w:t>
      </w:r>
      <w:r w:rsidRPr="004721BE">
        <w:t xml:space="preserve"> rules</w:t>
      </w:r>
      <w:bookmarkStart w:id="4" w:name="_Hlk36547437"/>
      <w:r>
        <w:rPr>
          <w:vertAlign w:val="superscript"/>
        </w:rPr>
        <w:footnoteReference w:id="7"/>
      </w:r>
      <w:bookmarkEnd w:id="4"/>
      <w:r w:rsidRPr="0090734C">
        <w:t xml:space="preserve"> </w:t>
      </w:r>
      <w:r>
        <w:t>in</w:t>
      </w:r>
      <w:r w:rsidRPr="004721BE">
        <w:t xml:space="preserve"> the </w:t>
      </w:r>
      <w:r>
        <w:t xml:space="preserve">limited </w:t>
      </w:r>
      <w:r w:rsidRPr="004721BE">
        <w:t xml:space="preserve">circumstances </w:t>
      </w:r>
      <w:r w:rsidR="00586779">
        <w:t xml:space="preserve">arising </w:t>
      </w:r>
      <w:r w:rsidR="00DF0A4A">
        <w:t>from</w:t>
      </w:r>
      <w:r>
        <w:t xml:space="preserve"> the outbreak of COVID-19</w:t>
      </w:r>
      <w:r w:rsidRPr="004721BE">
        <w:t xml:space="preserve">. </w:t>
      </w:r>
      <w:r>
        <w:t xml:space="preserve"> The Bureau ha</w:t>
      </w:r>
      <w:r w:rsidR="00CF11EA">
        <w:t>d</w:t>
      </w:r>
      <w:r>
        <w:t xml:space="preserve"> learned that, a</w:t>
      </w:r>
      <w:r w:rsidRPr="004721BE">
        <w:t xml:space="preserve">s a result of the outbreak of COVID-19 and the </w:t>
      </w:r>
      <w:r>
        <w:t xml:space="preserve">associated </w:t>
      </w:r>
      <w:r w:rsidRPr="004721BE">
        <w:t>social distancing requirements</w:t>
      </w:r>
      <w:r>
        <w:t>, suspension of regular business operations, and cancellation of events</w:t>
      </w:r>
      <w:r w:rsidRPr="004721BE">
        <w:t xml:space="preserve">, many </w:t>
      </w:r>
      <w:r>
        <w:t>entitie</w:t>
      </w:r>
      <w:r w:rsidRPr="004721BE">
        <w:t>s f</w:t>
      </w:r>
      <w:r w:rsidR="00CF11EA">
        <w:t>ound</w:t>
      </w:r>
      <w:r w:rsidRPr="004721BE">
        <w:t xml:space="preserve"> they c</w:t>
      </w:r>
      <w:r w:rsidR="00CF11EA">
        <w:t>ould</w:t>
      </w:r>
      <w:r w:rsidRPr="004721BE">
        <w:t xml:space="preserve"> no longer use the </w:t>
      </w:r>
      <w:r>
        <w:t xml:space="preserve">commercial </w:t>
      </w:r>
      <w:r w:rsidRPr="004721BE">
        <w:t>advertising time</w:t>
      </w:r>
      <w:r w:rsidR="002D501D">
        <w:t xml:space="preserve"> that</w:t>
      </w:r>
      <w:r w:rsidRPr="004721BE">
        <w:t xml:space="preserve"> they had previously purchased</w:t>
      </w:r>
      <w:r>
        <w:t xml:space="preserve"> from broadcast television and radio stations</w:t>
      </w:r>
      <w:r w:rsidRPr="004721BE">
        <w:t xml:space="preserve">.  </w:t>
      </w:r>
      <w:r>
        <w:t xml:space="preserve">In </w:t>
      </w:r>
      <w:r w:rsidR="002D501D">
        <w:t>other</w:t>
      </w:r>
      <w:r>
        <w:t xml:space="preserve"> cases,</w:t>
      </w:r>
      <w:r w:rsidRPr="004721BE">
        <w:t xml:space="preserve"> the </w:t>
      </w:r>
      <w:r>
        <w:t>entiti</w:t>
      </w:r>
      <w:r w:rsidRPr="004721BE">
        <w:t xml:space="preserve">es </w:t>
      </w:r>
      <w:r>
        <w:t xml:space="preserve">that purchased advertising time </w:t>
      </w:r>
      <w:r w:rsidRPr="004721BE">
        <w:t>f</w:t>
      </w:r>
      <w:r w:rsidR="00CF11EA">
        <w:t>ound</w:t>
      </w:r>
      <w:r w:rsidRPr="004721BE">
        <w:t xml:space="preserve"> that the planned advertising </w:t>
      </w:r>
      <w:r w:rsidR="00CF11EA">
        <w:t>was</w:t>
      </w:r>
      <w:r w:rsidRPr="004721BE">
        <w:t xml:space="preserve"> no longer appropriate under the circumstances.  In order to make use of the previously purchased</w:t>
      </w:r>
      <w:r>
        <w:t xml:space="preserve"> advertising</w:t>
      </w:r>
      <w:r w:rsidRPr="004721BE">
        <w:t xml:space="preserve"> time, </w:t>
      </w:r>
      <w:r>
        <w:t>some of these entities</w:t>
      </w:r>
      <w:r w:rsidRPr="004721BE">
        <w:t xml:space="preserve"> </w:t>
      </w:r>
      <w:r w:rsidR="00183513">
        <w:t>sought</w:t>
      </w:r>
      <w:r w:rsidRPr="004721BE">
        <w:t xml:space="preserve"> to donate </w:t>
      </w:r>
      <w:r>
        <w:t>the</w:t>
      </w:r>
      <w:r w:rsidRPr="004721BE">
        <w:t xml:space="preserve"> time </w:t>
      </w:r>
      <w:r>
        <w:t xml:space="preserve">for the purpose of broadcasting </w:t>
      </w:r>
      <w:r w:rsidRPr="004721BE">
        <w:t>public service announcements (PSAs) prepared by, or on behalf of, the Centers for Disease Control and Prevention (CDC)</w:t>
      </w:r>
      <w:r>
        <w:t xml:space="preserve">, or other governmental </w:t>
      </w:r>
      <w:r>
        <w:t>agencies or public health authorities,</w:t>
      </w:r>
      <w:r w:rsidRPr="004721BE">
        <w:t xml:space="preserve"> regarding COVID-19.</w:t>
      </w:r>
      <w:r>
        <w:rPr>
          <w:rStyle w:val="FootnoteReference"/>
        </w:rPr>
        <w:footnoteReference w:id="8"/>
      </w:r>
      <w:r w:rsidRPr="004721BE">
        <w:t xml:space="preserve">  </w:t>
      </w:r>
      <w:r w:rsidR="0032539C">
        <w:t>Such</w:t>
      </w:r>
      <w:r w:rsidRPr="004721BE" w:rsidR="0032539C">
        <w:t xml:space="preserve"> </w:t>
      </w:r>
      <w:r w:rsidRPr="004721BE">
        <w:t xml:space="preserve">PSAs </w:t>
      </w:r>
      <w:r w:rsidR="0032539C">
        <w:t>can</w:t>
      </w:r>
      <w:r w:rsidRPr="004721BE" w:rsidR="0032539C">
        <w:t xml:space="preserve"> </w:t>
      </w:r>
      <w:r>
        <w:t>provide critical public health information to viewers and listeners</w:t>
      </w:r>
      <w:r w:rsidR="0032539C">
        <w:t xml:space="preserve">.  The PSAs </w:t>
      </w:r>
      <w:r>
        <w:t xml:space="preserve">identify the CDC, or other governmental agency or public health authority, as the source of the announcement.  Notably, such PSAs would </w:t>
      </w:r>
      <w:r w:rsidRPr="004721BE">
        <w:t xml:space="preserve">not display the name of the entity that had </w:t>
      </w:r>
      <w:r>
        <w:t xml:space="preserve">originally </w:t>
      </w:r>
      <w:r w:rsidRPr="004721BE">
        <w:t>purchased</w:t>
      </w:r>
      <w:r>
        <w:t xml:space="preserve"> and then donated</w:t>
      </w:r>
      <w:r w:rsidRPr="004721BE">
        <w:t xml:space="preserve"> the advertising time</w:t>
      </w:r>
      <w:r>
        <w:t>, which could run afoul of section 317(a) of the Act</w:t>
      </w:r>
      <w:r>
        <w:rPr>
          <w:vertAlign w:val="superscript"/>
        </w:rPr>
        <w:footnoteReference w:id="9"/>
      </w:r>
      <w:r>
        <w:t xml:space="preserve"> and the Commission’s sponsorship identification rules</w:t>
      </w:r>
      <w:r w:rsidRPr="004721BE">
        <w:t>.</w:t>
      </w:r>
      <w:r>
        <w:rPr>
          <w:vertAlign w:val="superscript"/>
        </w:rPr>
        <w:footnoteReference w:id="10"/>
      </w:r>
      <w:r w:rsidRPr="004721BE">
        <w:t xml:space="preserve">  </w:t>
      </w:r>
      <w:r w:rsidR="004D39F1">
        <w:t xml:space="preserve">Finding that </w:t>
      </w:r>
      <w:r w:rsidRPr="004D39F1" w:rsidR="004D39F1">
        <w:t>the public interest, convenience, and necessity would be best served by encouraging entities that ha</w:t>
      </w:r>
      <w:r w:rsidR="004D39F1">
        <w:t>ve</w:t>
      </w:r>
      <w:r w:rsidRPr="004D39F1" w:rsidR="004D39F1">
        <w:t xml:space="preserve"> previously purchased advertising time but can no longer use it to donate such time for the broadcast of COVID-19-related PSAs</w:t>
      </w:r>
      <w:r w:rsidR="004D39F1">
        <w:t>, we granted</w:t>
      </w:r>
      <w:r w:rsidR="00F65CBC">
        <w:t xml:space="preserve"> a </w:t>
      </w:r>
      <w:r w:rsidR="004D39F1">
        <w:t xml:space="preserve">limited </w:t>
      </w:r>
      <w:r w:rsidR="00F65CBC">
        <w:t xml:space="preserve">waiver of the sponsorship identification </w:t>
      </w:r>
      <w:r w:rsidR="002D501D">
        <w:t xml:space="preserve">rules </w:t>
      </w:r>
      <w:r w:rsidR="004D39F1">
        <w:t xml:space="preserve">in such circumstances </w:t>
      </w:r>
      <w:r w:rsidR="00F65CBC">
        <w:t>effective through June 30, 2020.  We noted that we would continue to monitor this situation and address in a further order any necessary extension of this relief.</w:t>
      </w:r>
      <w:r>
        <w:rPr>
          <w:rStyle w:val="FootnoteReference"/>
        </w:rPr>
        <w:footnoteReference w:id="11"/>
      </w:r>
      <w:r w:rsidR="004D39F1">
        <w:t xml:space="preserve"> </w:t>
      </w:r>
    </w:p>
    <w:p w:rsidR="0082566D" w:rsidP="00D765D1" w14:paraId="74428BC8" w14:textId="544DC006">
      <w:pPr>
        <w:pStyle w:val="ParaNum"/>
        <w:widowControl/>
      </w:pPr>
      <w:r>
        <w:t>At this time, the COVID-19 national emergency continues.  Although many states have lifted “stay-at-home” orders through various phased reopening approaches, many restrictions, including “social distancing” measures, remain in effect with uncertain timetables for their removal.</w:t>
      </w:r>
      <w:r>
        <w:rPr>
          <w:rStyle w:val="FootnoteReference"/>
        </w:rPr>
        <w:footnoteReference w:id="12"/>
      </w:r>
      <w:r>
        <w:t xml:space="preserve">  Federal, state, and local governments remain engaged in planning how they will allow schools, businesses, and </w:t>
      </w:r>
      <w:r>
        <w:t>localities to reopen.</w:t>
      </w:r>
      <w:r>
        <w:rPr>
          <w:rStyle w:val="FootnoteReference"/>
        </w:rPr>
        <w:footnoteReference w:id="13"/>
      </w:r>
      <w:r>
        <w:t xml:space="preserve">  And, even with the loosening of </w:t>
      </w:r>
      <w:r w:rsidR="002D501D">
        <w:t xml:space="preserve">state </w:t>
      </w:r>
      <w:r>
        <w:t>restrictions, many employers continue to maintain much of their workforce working remotely.</w:t>
      </w:r>
      <w:r>
        <w:rPr>
          <w:rStyle w:val="FootnoteReference"/>
        </w:rPr>
        <w:footnoteReference w:id="14"/>
      </w:r>
      <w:r>
        <w:t xml:space="preserve">  </w:t>
      </w:r>
    </w:p>
    <w:p w:rsidR="00781E08" w14:paraId="4225D9C0" w14:textId="13265CC3">
      <w:pPr>
        <w:pStyle w:val="ParaNum"/>
      </w:pPr>
      <w:r>
        <w:t>Given the absence of material change</w:t>
      </w:r>
      <w:r w:rsidR="00DE685D">
        <w:t>s</w:t>
      </w:r>
      <w:r>
        <w:t xml:space="preserve"> in the circumstances </w:t>
      </w:r>
      <w:r w:rsidR="006F686A">
        <w:t xml:space="preserve">underlying </w:t>
      </w:r>
      <w:r>
        <w:t xml:space="preserve">the </w:t>
      </w:r>
      <w:r w:rsidR="00DE685D">
        <w:t xml:space="preserve">initial </w:t>
      </w:r>
      <w:r>
        <w:t>grant</w:t>
      </w:r>
      <w:r w:rsidR="00DE685D">
        <w:t xml:space="preserve"> of waiver of the sponsorship identification requirements</w:t>
      </w:r>
      <w:r>
        <w:t>, and consistent with other Commission actions related to the pandemic,</w:t>
      </w:r>
      <w:r>
        <w:rPr>
          <w:rStyle w:val="FootnoteReference"/>
        </w:rPr>
        <w:footnoteReference w:id="15"/>
      </w:r>
      <w:r>
        <w:t xml:space="preserve"> we find </w:t>
      </w:r>
      <w:r w:rsidR="0082566D">
        <w:t xml:space="preserve">that </w:t>
      </w:r>
      <w:r>
        <w:t xml:space="preserve">good cause </w:t>
      </w:r>
      <w:r w:rsidR="0082566D">
        <w:t xml:space="preserve">exists </w:t>
      </w:r>
      <w:r>
        <w:t>to extend the previously</w:t>
      </w:r>
      <w:r w:rsidR="006F686A">
        <w:t xml:space="preserve"> </w:t>
      </w:r>
      <w:r>
        <w:t>granted waiver of our sponsorship identification requirements thr</w:t>
      </w:r>
      <w:r w:rsidRPr="00581FF2">
        <w:t>ough August 31, 2020</w:t>
      </w:r>
      <w:r w:rsidR="0082566D">
        <w:t>,</w:t>
      </w:r>
      <w:r>
        <w:t xml:space="preserve"> </w:t>
      </w:r>
      <w:r w:rsidR="008B0A06">
        <w:t>in this unique situation.  Specifically, the Bureau acts pursuant to authority granted in section 317(d) of the Act,</w:t>
      </w:r>
      <w:r>
        <w:rPr>
          <w:rStyle w:val="FootnoteReference"/>
        </w:rPr>
        <w:footnoteReference w:id="16"/>
      </w:r>
      <w:r w:rsidR="008B0A06">
        <w:t xml:space="preserve"> to waive the requirements of section 317(a) of the Act and sections 73.1212(a)(</w:t>
      </w:r>
      <w:r w:rsidRPr="00BF434F" w:rsidR="008B0A06">
        <w:t xml:space="preserve">1) and (a)(2)(i) </w:t>
      </w:r>
      <w:r w:rsidR="008B0A06">
        <w:t>of the Commission’s rules.  Consequently, in t</w:t>
      </w:r>
      <w:r w:rsidRPr="002A21DF" w:rsidR="008B0A06">
        <w:t xml:space="preserve">his particular instance, </w:t>
      </w:r>
      <w:r w:rsidR="008B0A06">
        <w:t xml:space="preserve">the use of donated advertising time without disclosure of the entity that originally paid for the advertising time will not constitute a violation of the Act or the Commission’s related rules.  </w:t>
      </w:r>
      <w:r w:rsidRPr="00212260" w:rsidR="008B0A06">
        <w:t xml:space="preserve">This flexibility will be afforded until </w:t>
      </w:r>
      <w:r>
        <w:t>August 31</w:t>
      </w:r>
      <w:r w:rsidRPr="00212260" w:rsidR="008B0A06">
        <w:t>, 2020, at which time we will evaluate whether circumstances warrant a</w:t>
      </w:r>
      <w:r w:rsidR="008B0A06">
        <w:t xml:space="preserve"> further</w:t>
      </w:r>
      <w:r w:rsidRPr="00212260" w:rsidR="008B0A06">
        <w:t xml:space="preserve"> extension</w:t>
      </w:r>
      <w:r w:rsidR="008B0A06">
        <w:t xml:space="preserve">.   </w:t>
      </w:r>
    </w:p>
    <w:p w:rsidR="00781E08" w:rsidP="00781E08" w14:paraId="411F7437" w14:textId="44526A10">
      <w:pPr>
        <w:pStyle w:val="ParaNum"/>
      </w:pPr>
      <w:r w:rsidRPr="00DF79D5">
        <w:t xml:space="preserve">Accordingly, </w:t>
      </w:r>
      <w:r w:rsidRPr="00781E08">
        <w:rPr>
          <w:b/>
          <w:bCs/>
        </w:rPr>
        <w:t>IT IS ORDERED</w:t>
      </w:r>
      <w:r w:rsidRPr="00DF79D5">
        <w:t xml:space="preserve"> that, pursuant to the authority found in </w:t>
      </w:r>
      <w:r w:rsidR="00AF2BB2">
        <w:t>s</w:t>
      </w:r>
      <w:r w:rsidRPr="00DF79D5">
        <w:t xml:space="preserve">ections 4(i), 4(j), and </w:t>
      </w:r>
      <w:r>
        <w:t>317(d)</w:t>
      </w:r>
      <w:r w:rsidRPr="00DF79D5">
        <w:t xml:space="preserve"> of the Communications Act of 1934, as amended, 47 U.S.C. §§ 154(i), 154(j), and </w:t>
      </w:r>
      <w:r>
        <w:t>317(d)</w:t>
      </w:r>
      <w:r w:rsidRPr="00DF79D5">
        <w:t xml:space="preserve">, and </w:t>
      </w:r>
      <w:r w:rsidR="00AF2BB2">
        <w:t>s</w:t>
      </w:r>
      <w:r w:rsidRPr="00DF79D5">
        <w:t xml:space="preserve">ections 0.61, 0.283, and 1.3 of the Commission’s rules, 47 CFR §§ 0.61, 0.283, and 1.3, this Order </w:t>
      </w:r>
      <w:r w:rsidRPr="00781E08">
        <w:rPr>
          <w:b/>
          <w:bCs/>
        </w:rPr>
        <w:t>IS ADOPTED</w:t>
      </w:r>
      <w:r w:rsidRPr="00DF79D5">
        <w:t>.</w:t>
      </w:r>
    </w:p>
    <w:p w:rsidR="00412FC5" w:rsidP="00781E08" w14:paraId="107CE866" w14:textId="059C25D2">
      <w:pPr>
        <w:pStyle w:val="ParaNum"/>
      </w:pPr>
      <w:r w:rsidRPr="00781E08">
        <w:rPr>
          <w:b/>
          <w:bCs/>
        </w:rPr>
        <w:t>IT IS FURTHER ORDERED</w:t>
      </w:r>
      <w:r w:rsidRPr="00C50344">
        <w:t xml:space="preserve">, that pursuant to section 1.102(b)(1) of the Commission’s rules, 47 CFR § 1.102(b)(1), this Order </w:t>
      </w:r>
      <w:r w:rsidRPr="00781E08">
        <w:rPr>
          <w:b/>
          <w:bCs/>
        </w:rPr>
        <w:t>SHALL BE EFFECTIVE</w:t>
      </w:r>
      <w:r w:rsidRPr="00C50344">
        <w:t xml:space="preserve"> upon release</w:t>
      </w:r>
      <w:r>
        <w:t>.</w:t>
      </w:r>
    </w:p>
    <w:p w:rsidR="00781E08" w:rsidP="0017296B" w14:paraId="1D37696F" w14:textId="77777777">
      <w:r>
        <w:tab/>
      </w:r>
      <w:r>
        <w:tab/>
      </w:r>
      <w:r>
        <w:tab/>
      </w:r>
      <w:r>
        <w:tab/>
      </w:r>
      <w:r>
        <w:tab/>
      </w:r>
      <w:r>
        <w:tab/>
        <w:t>FEDERAL COMMUNICATIONS COMMISSION</w:t>
      </w:r>
    </w:p>
    <w:p w:rsidR="00781E08" w:rsidP="0017296B" w14:paraId="71D47D1F" w14:textId="77777777"/>
    <w:p w:rsidR="00781E08" w:rsidP="0017296B" w14:paraId="7FD0F822" w14:textId="77777777"/>
    <w:p w:rsidR="00781E08" w:rsidP="0017296B" w14:paraId="0ECC2385" w14:textId="77777777"/>
    <w:p w:rsidR="00781E08" w:rsidP="0017296B" w14:paraId="487B5FD6" w14:textId="77777777"/>
    <w:p w:rsidR="00781E08" w:rsidP="0017296B" w14:paraId="40186943" w14:textId="3952E416">
      <w:r>
        <w:tab/>
      </w:r>
      <w:r>
        <w:tab/>
      </w:r>
      <w:r>
        <w:tab/>
      </w:r>
      <w:r>
        <w:tab/>
      </w:r>
      <w:r>
        <w:tab/>
      </w:r>
      <w:r>
        <w:tab/>
        <w:t>Michelle M. Carey</w:t>
      </w:r>
    </w:p>
    <w:p w:rsidR="00781E08" w:rsidP="0017296B" w14:paraId="038B04FD" w14:textId="3FFEB6B2">
      <w:r>
        <w:tab/>
      </w:r>
      <w:r>
        <w:tab/>
      </w:r>
      <w:r>
        <w:tab/>
      </w:r>
      <w:r>
        <w:tab/>
      </w:r>
      <w:r>
        <w:tab/>
      </w:r>
      <w:r>
        <w:tab/>
        <w:t>Chief, Media Bureau</w:t>
      </w:r>
    </w:p>
    <w:p w:rsidR="00781E08" w:rsidP="00781E08" w14:paraId="5263AD8C" w14:textId="77777777">
      <w:pPr>
        <w:pStyle w:val="ParaNum"/>
        <w:numPr>
          <w:ilvl w:val="0"/>
          <w:numId w:val="0"/>
        </w:numPr>
      </w:pP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85F34A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773C40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781E08" w14:paraId="5851C0FF" w14:textId="69CC437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75633E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C7985" w14:paraId="479ADB0C" w14:textId="77777777">
      <w:r>
        <w:separator/>
      </w:r>
    </w:p>
  </w:footnote>
  <w:footnote w:type="continuationSeparator" w:id="1">
    <w:p w:rsidR="00FC7985" w:rsidP="00C721AC" w14:paraId="0C19452B" w14:textId="77777777">
      <w:pPr>
        <w:spacing w:before="120"/>
        <w:rPr>
          <w:sz w:val="20"/>
        </w:rPr>
      </w:pPr>
      <w:r>
        <w:rPr>
          <w:sz w:val="20"/>
        </w:rPr>
        <w:t xml:space="preserve">(Continued from previous page)  </w:t>
      </w:r>
      <w:r>
        <w:rPr>
          <w:sz w:val="20"/>
        </w:rPr>
        <w:separator/>
      </w:r>
    </w:p>
  </w:footnote>
  <w:footnote w:type="continuationNotice" w:id="2">
    <w:p w:rsidR="00FC7985" w:rsidP="00C721AC" w14:paraId="6EAF47B2" w14:textId="0EBBB429">
      <w:pPr>
        <w:jc w:val="right"/>
        <w:rPr>
          <w:sz w:val="20"/>
        </w:rPr>
      </w:pPr>
    </w:p>
  </w:footnote>
  <w:footnote w:id="3">
    <w:p w:rsidR="001706FB" w:rsidP="001706FB" w14:paraId="4B21C3E9" w14:textId="01ACCD80">
      <w:pPr>
        <w:pStyle w:val="FootnoteText"/>
        <w:widowControl w:val="0"/>
      </w:pPr>
      <w:r>
        <w:rPr>
          <w:rStyle w:val="FootnoteReference"/>
        </w:rPr>
        <w:footnoteRef/>
      </w:r>
      <w:r>
        <w:t xml:space="preserve"> </w:t>
      </w:r>
      <w:r w:rsidRPr="00635BF0">
        <w:t xml:space="preserve">Proclamation on Declaring a National Emergency Concerning the Novel Coronavirus Disease (COVID-19) Outbreak (Mar. 13, 2020), </w:t>
      </w:r>
      <w:hyperlink r:id="rId1" w:history="1">
        <w:r w:rsidRPr="00892879">
          <w:rPr>
            <w:rStyle w:val="Hyperlink"/>
          </w:rPr>
          <w:t>https://www.whitehouse.gov/presidential-actions/proclamation-declaring-national-emergency-concerning-novel-coronavirus-disease-covid-19-outbreak/</w:t>
        </w:r>
      </w:hyperlink>
      <w:r>
        <w:t xml:space="preserve">. </w:t>
      </w:r>
    </w:p>
  </w:footnote>
  <w:footnote w:id="4">
    <w:p w:rsidR="00AC1940" w:rsidRPr="00586779" w:rsidP="00AC1940" w14:paraId="378F6E4E" w14:textId="6F9F5F6F">
      <w:pPr>
        <w:pStyle w:val="FootnoteText"/>
      </w:pPr>
      <w:r>
        <w:rPr>
          <w:rStyle w:val="FootnoteReference"/>
        </w:rPr>
        <w:footnoteRef/>
      </w:r>
      <w:r>
        <w:t xml:space="preserve"> </w:t>
      </w:r>
      <w:r>
        <w:rPr>
          <w:i/>
          <w:iCs/>
        </w:rPr>
        <w:t>Sponsorship Identification Requirements</w:t>
      </w:r>
      <w:r>
        <w:t>, Order, DA 20-376 (MB rel. Apr. 3, 2020) (</w:t>
      </w:r>
      <w:r>
        <w:rPr>
          <w:i/>
          <w:iCs/>
        </w:rPr>
        <w:t>Sponsorship ID Waiver Order</w:t>
      </w:r>
      <w:r>
        <w:t>).</w:t>
      </w:r>
      <w:r w:rsidR="00702353">
        <w:t xml:space="preserve">  On June 17, 2020, The Ad Council requested that the Commission extend th</w:t>
      </w:r>
      <w:r w:rsidR="00CD3374">
        <w:t xml:space="preserve">e temporary waiver beyond the June 30, 2020 expiration.  </w:t>
      </w:r>
      <w:r w:rsidR="00F328E9">
        <w:rPr>
          <w:i/>
          <w:iCs/>
        </w:rPr>
        <w:t>E</w:t>
      </w:r>
      <w:r w:rsidRPr="0045220B" w:rsidR="00702353">
        <w:rPr>
          <w:i/>
          <w:iCs/>
        </w:rPr>
        <w:t>-ma</w:t>
      </w:r>
      <w:r w:rsidRPr="00CD3374" w:rsidR="00702353">
        <w:rPr>
          <w:i/>
          <w:iCs/>
        </w:rPr>
        <w:t>il</w:t>
      </w:r>
      <w:r w:rsidR="00CD3374">
        <w:rPr>
          <w:i/>
          <w:iCs/>
        </w:rPr>
        <w:t xml:space="preserve"> </w:t>
      </w:r>
      <w:r w:rsidR="00F328E9">
        <w:rPr>
          <w:i/>
          <w:iCs/>
        </w:rPr>
        <w:t>from</w:t>
      </w:r>
      <w:r w:rsidRPr="00CD3374" w:rsidR="00702353">
        <w:rPr>
          <w:i/>
          <w:iCs/>
        </w:rPr>
        <w:t xml:space="preserve"> Lisa Sherman, President and CEO The Ad Council, to Michelle M. Carey, Chief, Media Bureau</w:t>
      </w:r>
      <w:r w:rsidR="003D1EA1">
        <w:rPr>
          <w:i/>
          <w:iCs/>
        </w:rPr>
        <w:t>, Federal Communications Commission</w:t>
      </w:r>
      <w:r w:rsidR="00702353">
        <w:t xml:space="preserve"> </w:t>
      </w:r>
      <w:r w:rsidR="0045220B">
        <w:t>(</w:t>
      </w:r>
      <w:r w:rsidR="00702353">
        <w:t>June 17, 2020</w:t>
      </w:r>
      <w:r w:rsidR="003D1EA1">
        <w:t>, 13:03 EDT</w:t>
      </w:r>
      <w:r w:rsidR="0045220B">
        <w:t>)</w:t>
      </w:r>
      <w:r w:rsidR="00702353">
        <w:t>.</w:t>
      </w:r>
      <w:r w:rsidR="0045220B">
        <w:t xml:space="preserve">  </w:t>
      </w:r>
    </w:p>
  </w:footnote>
  <w:footnote w:id="5">
    <w:p w:rsidR="00781E08" w:rsidP="00781E08" w14:paraId="6CBF5A22" w14:textId="421635C2">
      <w:pPr>
        <w:pStyle w:val="FootnoteText"/>
        <w:widowControl w:val="0"/>
      </w:pPr>
      <w:r>
        <w:rPr>
          <w:rStyle w:val="FootnoteReference"/>
        </w:rPr>
        <w:footnoteRef/>
      </w:r>
      <w:r>
        <w:t xml:space="preserve"> </w:t>
      </w:r>
      <w:r>
        <w:rPr>
          <w:i/>
          <w:iCs/>
        </w:rPr>
        <w:t xml:space="preserve">See </w:t>
      </w:r>
      <w:r>
        <w:t xml:space="preserve">47 U.S.C. </w:t>
      </w:r>
      <w:r w:rsidRPr="00C23A1F">
        <w:t>§ 317(</w:t>
      </w:r>
      <w:r>
        <w:t>d</w:t>
      </w:r>
      <w:r w:rsidRPr="00C23A1F">
        <w:t>)</w:t>
      </w:r>
      <w:r>
        <w:t xml:space="preserve"> (granting the Commission authority to </w:t>
      </w:r>
      <w:r w:rsidRPr="00956D9F">
        <w:t>waive the</w:t>
      </w:r>
      <w:r>
        <w:t xml:space="preserve"> disclosure</w:t>
      </w:r>
      <w:r w:rsidRPr="00956D9F">
        <w:t xml:space="preserve"> requirement</w:t>
      </w:r>
      <w:r>
        <w:t xml:space="preserve"> contained in section 317 “i</w:t>
      </w:r>
      <w:r w:rsidRPr="00956D9F">
        <w:t>n any case or class of cases with respect to which it determines that the public interest, convenience, or necessity does not require the</w:t>
      </w:r>
      <w:r>
        <w:t xml:space="preserve"> broadcasting o</w:t>
      </w:r>
      <w:r w:rsidRPr="00956D9F">
        <w:t>f such announcement</w:t>
      </w:r>
      <w:r>
        <w:t>”).</w:t>
      </w:r>
    </w:p>
  </w:footnote>
  <w:footnote w:id="6">
    <w:p w:rsidR="00781E08" w:rsidP="00781E08" w14:paraId="03F1C41D" w14:textId="473857D3">
      <w:pPr>
        <w:pStyle w:val="FootnoteText"/>
        <w:widowControl w:val="0"/>
      </w:pPr>
      <w:r>
        <w:rPr>
          <w:rStyle w:val="FootnoteReference"/>
        </w:rPr>
        <w:footnoteRef/>
      </w:r>
      <w:r>
        <w:t xml:space="preserve"> </w:t>
      </w:r>
      <w:r w:rsidRPr="0090734C">
        <w:t xml:space="preserve">47 U.S.C. </w:t>
      </w:r>
      <w:bookmarkStart w:id="1" w:name="_Hlk36624266"/>
      <w:r w:rsidRPr="0090734C">
        <w:t>§ 317(</w:t>
      </w:r>
      <w:r>
        <w:t>a</w:t>
      </w:r>
      <w:r w:rsidRPr="0090734C">
        <w:t>)</w:t>
      </w:r>
      <w:bookmarkEnd w:id="1"/>
      <w:r>
        <w:t>.</w:t>
      </w:r>
      <w:r w:rsidR="00CD2A2C">
        <w:t xml:space="preserve">  </w:t>
      </w:r>
      <w:r w:rsidRPr="00CD2A2C" w:rsidR="00CD2A2C">
        <w:t>Pursuant to section 317(a) of the Act and the Commission’s implementing regulations, when a broadcast station transmits any matter for which money, service, or other valuable consideration is either directly or indirectly paid or promised to, or charged or accepted, by such station, the station, at the time of the broadcast, shall announce: (1) that such matter is sponsored, paid for, or furnished, either in whole or in part, and (2) by whom or on whose behalf such consideration was supplied</w:t>
      </w:r>
      <w:r w:rsidR="00CD2A2C">
        <w:t xml:space="preserve">. </w:t>
      </w:r>
      <w:r w:rsidR="008C3718">
        <w:t xml:space="preserve"> </w:t>
      </w:r>
      <w:r w:rsidRPr="00CD2A2C" w:rsidR="00CD2A2C">
        <w:rPr>
          <w:i/>
          <w:iCs/>
        </w:rPr>
        <w:t xml:space="preserve">See </w:t>
      </w:r>
      <w:r w:rsidR="00CD2A2C">
        <w:rPr>
          <w:i/>
          <w:iCs/>
        </w:rPr>
        <w:t>Id.</w:t>
      </w:r>
      <w:r w:rsidRPr="00CD2A2C" w:rsidR="00CD2A2C">
        <w:t xml:space="preserve"> and 47 CFR </w:t>
      </w:r>
      <w:bookmarkStart w:id="2" w:name="_Hlk36469510"/>
      <w:r w:rsidRPr="00CD2A2C" w:rsidR="00CD2A2C">
        <w:t>§</w:t>
      </w:r>
      <w:bookmarkEnd w:id="2"/>
      <w:r w:rsidRPr="00CD2A2C" w:rsidR="00CD2A2C">
        <w:t xml:space="preserve">§ 73.1212(a)(1) and (a)(2)(i). </w:t>
      </w:r>
    </w:p>
  </w:footnote>
  <w:footnote w:id="7">
    <w:p w:rsidR="00781E08" w:rsidP="00781E08" w14:paraId="6CFD4674" w14:textId="77777777">
      <w:pPr>
        <w:pStyle w:val="FootnoteText"/>
        <w:widowControl w:val="0"/>
      </w:pPr>
      <w:r>
        <w:rPr>
          <w:rStyle w:val="FootnoteReference"/>
        </w:rPr>
        <w:footnoteRef/>
      </w:r>
      <w:r>
        <w:rPr>
          <w:i/>
          <w:iCs/>
        </w:rPr>
        <w:t xml:space="preserve"> </w:t>
      </w:r>
      <w:r>
        <w:t>47 CFR §</w:t>
      </w:r>
      <w:r w:rsidRPr="0090734C">
        <w:t>§</w:t>
      </w:r>
      <w:r>
        <w:t xml:space="preserve"> 73.1212(a)(1) and (a)(2)(i). </w:t>
      </w:r>
    </w:p>
  </w:footnote>
  <w:footnote w:id="8">
    <w:p w:rsidR="00781E08" w:rsidP="00781E08" w14:paraId="4B84B9A4" w14:textId="5B6149F3">
      <w:pPr>
        <w:pStyle w:val="FootnoteText"/>
        <w:widowControl w:val="0"/>
      </w:pPr>
      <w:r>
        <w:rPr>
          <w:rStyle w:val="FootnoteReference"/>
        </w:rPr>
        <w:footnoteRef/>
      </w:r>
      <w:r>
        <w:t xml:space="preserve"> As the Ad Council explains on its website, the objective of a PSA is to raise awareness or change behaviors and attitudes on a particular issue, and ordinarily the airing of PSAs relies on the donation of time by a media outlet.  PSAs typically are sponsored by a nonprofit or government agency, whereas commercials are paid for by private companies who purchase airtime to run their ads.  </w:t>
      </w:r>
      <w:r w:rsidRPr="00715F14">
        <w:rPr>
          <w:i/>
          <w:iCs/>
        </w:rPr>
        <w:t>See</w:t>
      </w:r>
      <w:r>
        <w:t xml:space="preserve"> </w:t>
      </w:r>
      <w:hyperlink r:id="rId2" w:anchor="What%E2%80%99s%20the%20difference%20between%20a%20commercial%20and%20a%20PSA" w:history="1">
        <w:r w:rsidRPr="002F4F79">
          <w:rPr>
            <w:rStyle w:val="Hyperlink"/>
          </w:rPr>
          <w:t>https://www.adcouncil.org/About-Us/Frequently-Asked-Questions#What%E2%80%99s%20the%20difference%20between%20a%20commercial%20and%20a%20PSA</w:t>
        </w:r>
      </w:hyperlink>
      <w:r w:rsidR="00354B6D">
        <w:t xml:space="preserve"> </w:t>
      </w:r>
      <w:r>
        <w:t>(last visited June 23, 2020).  The Ad Council is a nonprofit organization that, through a collaboration among the advertising, media, and business communities, creates PSAs to inform the public about significant public issues and stimulate action on those issues.</w:t>
      </w:r>
    </w:p>
  </w:footnote>
  <w:footnote w:id="9">
    <w:p w:rsidR="00781E08" w:rsidP="00781E08" w14:paraId="3DD298D4" w14:textId="77777777">
      <w:pPr>
        <w:pStyle w:val="FootnoteText"/>
        <w:widowControl w:val="0"/>
      </w:pPr>
      <w:r>
        <w:rPr>
          <w:rStyle w:val="FootnoteReference"/>
        </w:rPr>
        <w:footnoteRef/>
      </w:r>
      <w:r>
        <w:t xml:space="preserve"> </w:t>
      </w:r>
      <w:r w:rsidRPr="0090734C">
        <w:t>47 U.S.C. § 317(</w:t>
      </w:r>
      <w:r>
        <w:t>a</w:t>
      </w:r>
      <w:r w:rsidRPr="0090734C">
        <w:t>)</w:t>
      </w:r>
      <w:r>
        <w:t>.</w:t>
      </w:r>
    </w:p>
  </w:footnote>
  <w:footnote w:id="10">
    <w:p w:rsidR="00781E08" w:rsidP="00781E08" w14:paraId="533DC519" w14:textId="77777777">
      <w:pPr>
        <w:pStyle w:val="FootnoteText"/>
        <w:widowControl w:val="0"/>
      </w:pPr>
      <w:r>
        <w:rPr>
          <w:rStyle w:val="FootnoteReference"/>
        </w:rPr>
        <w:footnoteRef/>
      </w:r>
      <w:r>
        <w:rPr>
          <w:i/>
          <w:iCs/>
        </w:rPr>
        <w:t xml:space="preserve"> </w:t>
      </w:r>
      <w:r>
        <w:t>47 CFR §</w:t>
      </w:r>
      <w:r w:rsidRPr="0090734C">
        <w:t>§</w:t>
      </w:r>
      <w:r>
        <w:t xml:space="preserve"> 73.1212(a)(1) and (a)(2)(i). </w:t>
      </w:r>
    </w:p>
  </w:footnote>
  <w:footnote w:id="11">
    <w:p w:rsidR="004D39F1" w:rsidRPr="004D39F1" w14:paraId="5E956F00" w14:textId="75D94EB4">
      <w:pPr>
        <w:pStyle w:val="FootnoteText"/>
      </w:pPr>
      <w:r>
        <w:rPr>
          <w:rStyle w:val="FootnoteReference"/>
        </w:rPr>
        <w:footnoteRef/>
      </w:r>
      <w:r>
        <w:t xml:space="preserve"> </w:t>
      </w:r>
      <w:r w:rsidRPr="004D39F1">
        <w:rPr>
          <w:i/>
          <w:iCs/>
        </w:rPr>
        <w:t>Sponsorship ID Waiver Order</w:t>
      </w:r>
      <w:r>
        <w:t xml:space="preserve"> at </w:t>
      </w:r>
      <w:r w:rsidR="00FA0F0F">
        <w:t>para. 6</w:t>
      </w:r>
      <w:r>
        <w:t>.</w:t>
      </w:r>
    </w:p>
  </w:footnote>
  <w:footnote w:id="12">
    <w:p w:rsidR="00CF11EA" w:rsidRPr="00C9347C" w:rsidP="00CF11EA" w14:paraId="1942B85A" w14:textId="2FE76683">
      <w:pPr>
        <w:widowControl/>
        <w:autoSpaceDE w:val="0"/>
        <w:autoSpaceDN w:val="0"/>
        <w:adjustRightInd w:val="0"/>
        <w:spacing w:after="120"/>
        <w:rPr>
          <w:rFonts w:ascii="TimesNewRomanPSMT" w:hAnsi="TimesNewRomanPSMT" w:cs="TimesNewRomanPSMT"/>
          <w:snapToGrid/>
          <w:color w:val="000000"/>
          <w:kern w:val="0"/>
          <w:sz w:val="20"/>
        </w:rPr>
      </w:pPr>
      <w:r>
        <w:rPr>
          <w:rStyle w:val="FootnoteReference"/>
        </w:rPr>
        <w:footnoteRef/>
      </w:r>
      <w:r>
        <w:t xml:space="preserve"> </w:t>
      </w:r>
      <w:r>
        <w:rPr>
          <w:rFonts w:ascii="TimesNewRomanPS-ItalicMT" w:hAnsi="TimesNewRomanPS-ItalicMT" w:cs="TimesNewRomanPS-ItalicMT"/>
          <w:i/>
          <w:iCs/>
          <w:snapToGrid/>
          <w:color w:val="000000"/>
          <w:kern w:val="0"/>
          <w:sz w:val="20"/>
        </w:rPr>
        <w:t xml:space="preserve">See, e.g., </w:t>
      </w:r>
      <w:r>
        <w:rPr>
          <w:rFonts w:ascii="TimesNewRomanPSMT" w:hAnsi="TimesNewRomanPSMT" w:cs="TimesNewRomanPSMT"/>
          <w:snapToGrid/>
          <w:color w:val="000000"/>
          <w:kern w:val="0"/>
          <w:sz w:val="20"/>
        </w:rPr>
        <w:t xml:space="preserve">White House Briefings, Guidelines for Opening Up America Again (Apr. 16, 2020), </w:t>
      </w:r>
      <w:hyperlink r:id="rId3" w:history="1">
        <w:r w:rsidRPr="00405CF1">
          <w:rPr>
            <w:rStyle w:val="Hyperlink"/>
            <w:rFonts w:ascii="TimesNewRomanPSMT" w:hAnsi="TimesNewRomanPSMT" w:cs="TimesNewRomanPSMT"/>
            <w:snapToGrid/>
            <w:kern w:val="0"/>
            <w:sz w:val="20"/>
          </w:rPr>
          <w:t>https://www.whitehouse.gov/openingamerica</w:t>
        </w:r>
      </w:hyperlink>
      <w:r>
        <w:rPr>
          <w:rFonts w:ascii="TimesNewRomanPSMT" w:hAnsi="TimesNewRomanPSMT" w:cs="TimesNewRomanPSMT"/>
          <w:snapToGrid/>
          <w:color w:val="0000FF"/>
          <w:kern w:val="0"/>
          <w:sz w:val="20"/>
        </w:rPr>
        <w:t xml:space="preserve"> </w:t>
      </w:r>
      <w:r>
        <w:rPr>
          <w:rFonts w:ascii="TimesNewRomanPSMT" w:hAnsi="TimesNewRomanPSMT" w:cs="TimesNewRomanPSMT"/>
          <w:snapToGrid/>
          <w:color w:val="000000"/>
          <w:kern w:val="0"/>
          <w:sz w:val="20"/>
        </w:rPr>
        <w:t xml:space="preserve">(proposing a three phased approach to recovery from the COVID-19 pandemic); </w:t>
      </w:r>
      <w:r>
        <w:rPr>
          <w:rFonts w:ascii="TimesNewRomanPSMT" w:hAnsi="TimesNewRomanPSMT" w:cs="TimesNewRomanPSMT"/>
          <w:i/>
          <w:iCs/>
          <w:snapToGrid/>
          <w:color w:val="000000"/>
          <w:kern w:val="0"/>
          <w:sz w:val="20"/>
        </w:rPr>
        <w:t xml:space="preserve">see also </w:t>
      </w:r>
      <w:r>
        <w:rPr>
          <w:rFonts w:ascii="TimesNewRomanPSMT" w:hAnsi="TimesNewRomanPSMT" w:cs="TimesNewRomanPSMT"/>
          <w:snapToGrid/>
          <w:color w:val="000000"/>
          <w:kern w:val="0"/>
          <w:sz w:val="20"/>
        </w:rPr>
        <w:t xml:space="preserve">Safe Start Washington, A Phased Approach to Recovery (May 4, 2020) </w:t>
      </w:r>
      <w:hyperlink r:id="rId4" w:history="1">
        <w:r w:rsidRPr="00405CF1">
          <w:rPr>
            <w:rStyle w:val="Hyperlink"/>
            <w:rFonts w:ascii="TimesNewRomanPSMT" w:hAnsi="TimesNewRomanPSMT" w:cs="TimesNewRomanPSMT"/>
            <w:snapToGrid/>
            <w:kern w:val="0"/>
            <w:sz w:val="20"/>
          </w:rPr>
          <w:t>https://www.governor.wa.gov/sites/default/files/SafeStartWA_4May20_1pm.pdf</w:t>
        </w:r>
      </w:hyperlink>
      <w:r>
        <w:rPr>
          <w:rStyle w:val="Hyperlink"/>
          <w:rFonts w:ascii="TimesNewRomanPSMT" w:hAnsi="TimesNewRomanPSMT" w:cs="TimesNewRomanPSMT"/>
          <w:snapToGrid/>
          <w:kern w:val="0"/>
          <w:sz w:val="20"/>
        </w:rPr>
        <w:t xml:space="preserve"> </w:t>
      </w:r>
      <w:r>
        <w:rPr>
          <w:rFonts w:ascii="TimesNewRomanPSMT" w:hAnsi="TimesNewRomanPSMT" w:cs="TimesNewRomanPSMT"/>
          <w:snapToGrid/>
          <w:color w:val="000000"/>
          <w:kern w:val="0"/>
          <w:sz w:val="20"/>
        </w:rPr>
        <w:t>(establishing a four</w:t>
      </w:r>
      <w:r w:rsidR="002D501D">
        <w:rPr>
          <w:rFonts w:ascii="TimesNewRomanPSMT" w:hAnsi="TimesNewRomanPSMT" w:cs="TimesNewRomanPSMT"/>
          <w:snapToGrid/>
          <w:color w:val="000000"/>
          <w:kern w:val="0"/>
          <w:sz w:val="20"/>
        </w:rPr>
        <w:t>-</w:t>
      </w:r>
      <w:r>
        <w:rPr>
          <w:rFonts w:ascii="TimesNewRomanPSMT" w:hAnsi="TimesNewRomanPSMT" w:cs="TimesNewRomanPSMT"/>
          <w:snapToGrid/>
          <w:color w:val="000000"/>
          <w:kern w:val="0"/>
          <w:sz w:val="20"/>
        </w:rPr>
        <w:t>phased approach to recovery);</w:t>
      </w:r>
      <w:r>
        <w:rPr>
          <w:rFonts w:ascii="TimesNewRomanPSMT" w:hAnsi="TimesNewRomanPSMT" w:cs="TimesNewRomanPSMT"/>
          <w:i/>
          <w:iCs/>
          <w:snapToGrid/>
          <w:color w:val="000000"/>
          <w:kern w:val="0"/>
          <w:sz w:val="20"/>
        </w:rPr>
        <w:t xml:space="preserve"> </w:t>
      </w:r>
      <w:r>
        <w:rPr>
          <w:rFonts w:ascii="TimesNewRomanPSMT" w:hAnsi="TimesNewRomanPSMT" w:cs="TimesNewRomanPSMT"/>
          <w:snapToGrid/>
          <w:color w:val="000000"/>
          <w:kern w:val="0"/>
          <w:sz w:val="20"/>
        </w:rPr>
        <w:t>Restore Illinois, A Public Health Approach to Safely Reopen Our State (May 5, 2020) (executing a five</w:t>
      </w:r>
      <w:r w:rsidR="002D501D">
        <w:rPr>
          <w:rFonts w:ascii="TimesNewRomanPSMT" w:hAnsi="TimesNewRomanPSMT" w:cs="TimesNewRomanPSMT"/>
          <w:snapToGrid/>
          <w:color w:val="000000"/>
          <w:kern w:val="0"/>
          <w:sz w:val="20"/>
        </w:rPr>
        <w:t>-</w:t>
      </w:r>
      <w:r>
        <w:rPr>
          <w:rFonts w:ascii="TimesNewRomanPSMT" w:hAnsi="TimesNewRomanPSMT" w:cs="TimesNewRomanPSMT"/>
          <w:snapToGrid/>
          <w:color w:val="000000"/>
          <w:kern w:val="0"/>
          <w:sz w:val="20"/>
        </w:rPr>
        <w:t xml:space="preserve">phased approach to recovery) </w:t>
      </w:r>
      <w:hyperlink r:id="rId5" w:history="1">
        <w:r w:rsidRPr="002D38E8">
          <w:rPr>
            <w:rStyle w:val="Hyperlink"/>
            <w:rFonts w:ascii="TimesNewRomanPSMT" w:hAnsi="TimesNewRomanPSMT" w:cs="TimesNewRomanPSMT"/>
            <w:snapToGrid/>
            <w:kern w:val="0"/>
            <w:sz w:val="20"/>
          </w:rPr>
          <w:t>https://coronavirus.illinois.gov/sfc/servlet.shepherd/document/download/069t000000BadS0AAJ?operationContext=S1</w:t>
        </w:r>
      </w:hyperlink>
      <w:r w:rsidRPr="009343B5">
        <w:rPr>
          <w:sz w:val="20"/>
        </w:rPr>
        <w:t>;</w:t>
      </w:r>
      <w:r>
        <w:rPr>
          <w:sz w:val="20"/>
        </w:rPr>
        <w:t xml:space="preserve"> </w:t>
      </w:r>
      <w:r w:rsidRPr="009343B5">
        <w:rPr>
          <w:sz w:val="20"/>
        </w:rPr>
        <w:t xml:space="preserve">Rachel Chason, Dana Hedgpeth, and Antonio Olivo, </w:t>
      </w:r>
      <w:r w:rsidRPr="009343B5">
        <w:rPr>
          <w:i/>
          <w:iCs/>
          <w:sz w:val="20"/>
        </w:rPr>
        <w:t>Prince George’s Will Loosen Restrictions Next Week, While Northern VA Enters Phase 2 on Friday</w:t>
      </w:r>
      <w:r w:rsidRPr="009343B5">
        <w:rPr>
          <w:sz w:val="20"/>
        </w:rPr>
        <w:t xml:space="preserve"> (June 11, 2020) </w:t>
      </w:r>
      <w:hyperlink r:id="rId6" w:history="1">
        <w:r w:rsidRPr="009343B5">
          <w:rPr>
            <w:color w:val="0000FF"/>
            <w:sz w:val="20"/>
            <w:u w:val="single"/>
            <w:lang w:bidi="he-IL"/>
          </w:rPr>
          <w:t>https://www.washingtonpost.com/local/coronavirus-maryland-prince-georges-virginia-dc-phase-2/2020/06/11/0b88bd34-abe7-11ea-9063-e69bd6520940_story.html</w:t>
        </w:r>
      </w:hyperlink>
      <w:r w:rsidRPr="009343B5">
        <w:rPr>
          <w:sz w:val="20"/>
          <w:lang w:bidi="he-IL"/>
        </w:rPr>
        <w:t>. (noting the need to continue social distancing to make reopening safer</w:t>
      </w:r>
      <w:r w:rsidR="00B31CBE">
        <w:rPr>
          <w:sz w:val="20"/>
          <w:lang w:bidi="he-IL"/>
        </w:rPr>
        <w:t xml:space="preserve">, </w:t>
      </w:r>
      <w:r w:rsidRPr="00B31CBE" w:rsidR="00B31CBE">
        <w:rPr>
          <w:sz w:val="20"/>
          <w:lang w:bidi="he-IL"/>
        </w:rPr>
        <w:t>with Maryland’s Prince George’s County “tread[ing] carefully in its next stage, warning residents that it won’t mean going back to a pre-covid lifestyle”.)</w:t>
      </w:r>
      <w:r w:rsidRPr="009343B5">
        <w:rPr>
          <w:sz w:val="20"/>
          <w:lang w:bidi="he-IL"/>
        </w:rPr>
        <w:t xml:space="preserve">; Ethan May, </w:t>
      </w:r>
      <w:r w:rsidRPr="009343B5">
        <w:rPr>
          <w:i/>
          <w:iCs/>
          <w:sz w:val="20"/>
          <w:lang w:bidi="he-IL"/>
        </w:rPr>
        <w:t>Indianapolis Will Move to its Next Reopening Phase on June 19. Here's What to Know</w:t>
      </w:r>
      <w:r w:rsidRPr="009343B5">
        <w:rPr>
          <w:sz w:val="20"/>
          <w:lang w:bidi="he-IL"/>
        </w:rPr>
        <w:t xml:space="preserve"> (June 11, 2020) </w:t>
      </w:r>
      <w:hyperlink r:id="rId7" w:history="1">
        <w:r w:rsidRPr="009343B5">
          <w:rPr>
            <w:color w:val="0000FF"/>
            <w:sz w:val="20"/>
            <w:u w:val="single"/>
            <w:lang w:bidi="he-IL"/>
          </w:rPr>
          <w:t>https://www.indystar.com/story/news/local/indianapolis/2020/06/11/coronavirus-indiana-indianapolis-reopening-stage-4/5341726002/</w:t>
        </w:r>
      </w:hyperlink>
      <w:r w:rsidRPr="009343B5">
        <w:rPr>
          <w:sz w:val="20"/>
          <w:lang w:bidi="he-IL"/>
        </w:rPr>
        <w:t xml:space="preserve"> (“While professional office buildings may reopen with precautions, [the Director of the Marion County Public Health Department] encouraged workers, especially those at the highest risk, to continue working from home.”).</w:t>
      </w:r>
    </w:p>
  </w:footnote>
  <w:footnote w:id="13">
    <w:p w:rsidR="00CF11EA" w:rsidRPr="00895833" w:rsidP="00CF11EA" w14:paraId="2FA7076C" w14:textId="544A5040">
      <w:pPr>
        <w:pStyle w:val="FootnoteText"/>
        <w:rPr>
          <w:i/>
          <w:iCs/>
        </w:rPr>
      </w:pPr>
      <w:r>
        <w:rPr>
          <w:rStyle w:val="FootnoteReference"/>
        </w:rPr>
        <w:footnoteRef/>
      </w:r>
      <w:r>
        <w:t xml:space="preserve"> </w:t>
      </w:r>
      <w:r>
        <w:rPr>
          <w:i/>
          <w:iCs/>
        </w:rPr>
        <w:t>See, e.g.,</w:t>
      </w:r>
      <w:r w:rsidRPr="00895833">
        <w:t xml:space="preserve"> </w:t>
      </w:r>
      <w:r>
        <w:t xml:space="preserve">Josie Fischels, </w:t>
      </w:r>
      <w:r w:rsidRPr="00754B1F">
        <w:rPr>
          <w:i/>
          <w:iCs/>
        </w:rPr>
        <w:t xml:space="preserve">University of Iowa to </w:t>
      </w:r>
      <w:r>
        <w:rPr>
          <w:i/>
          <w:iCs/>
        </w:rPr>
        <w:t>B</w:t>
      </w:r>
      <w:r w:rsidRPr="00754B1F">
        <w:rPr>
          <w:i/>
          <w:iCs/>
        </w:rPr>
        <w:t xml:space="preserve">egin </w:t>
      </w:r>
      <w:r>
        <w:rPr>
          <w:i/>
          <w:iCs/>
        </w:rPr>
        <w:t>P</w:t>
      </w:r>
      <w:r w:rsidRPr="00754B1F">
        <w:rPr>
          <w:i/>
          <w:iCs/>
        </w:rPr>
        <w:t xml:space="preserve">hased </w:t>
      </w:r>
      <w:r>
        <w:rPr>
          <w:i/>
          <w:iCs/>
        </w:rPr>
        <w:t>R</w:t>
      </w:r>
      <w:r w:rsidRPr="00754B1F">
        <w:rPr>
          <w:i/>
          <w:iCs/>
        </w:rPr>
        <w:t xml:space="preserve">eopening of </w:t>
      </w:r>
      <w:r>
        <w:rPr>
          <w:i/>
          <w:iCs/>
        </w:rPr>
        <w:t>S</w:t>
      </w:r>
      <w:r w:rsidRPr="00754B1F">
        <w:rPr>
          <w:i/>
          <w:iCs/>
        </w:rPr>
        <w:t xml:space="preserve">elect </w:t>
      </w:r>
      <w:r>
        <w:rPr>
          <w:i/>
          <w:iCs/>
        </w:rPr>
        <w:t>C</w:t>
      </w:r>
      <w:r w:rsidRPr="00754B1F">
        <w:rPr>
          <w:i/>
          <w:iCs/>
        </w:rPr>
        <w:t xml:space="preserve">ampus </w:t>
      </w:r>
      <w:r>
        <w:rPr>
          <w:i/>
          <w:iCs/>
        </w:rPr>
        <w:t>O</w:t>
      </w:r>
      <w:r w:rsidRPr="00754B1F">
        <w:rPr>
          <w:i/>
          <w:iCs/>
        </w:rPr>
        <w:t>perations</w:t>
      </w:r>
      <w:r>
        <w:rPr>
          <w:i/>
          <w:iCs/>
        </w:rPr>
        <w:t xml:space="preserve">, </w:t>
      </w:r>
      <w:r w:rsidRPr="00A02A5C">
        <w:t>Daily Iowan</w:t>
      </w:r>
      <w:r>
        <w:rPr>
          <w:i/>
          <w:iCs/>
        </w:rPr>
        <w:t xml:space="preserve"> </w:t>
      </w:r>
      <w:r>
        <w:t xml:space="preserve">(May 26, 2020) </w:t>
      </w:r>
      <w:hyperlink r:id="rId8" w:history="1">
        <w:r w:rsidRPr="005D5FCC">
          <w:rPr>
            <w:rStyle w:val="Hyperlink"/>
          </w:rPr>
          <w:t>https://dailyiowan.com/2020/05/22/university-of-iowa-to-begin-phased-reopening-of-select-campus-operations</w:t>
        </w:r>
      </w:hyperlink>
      <w:r>
        <w:t xml:space="preserve"> (announcing the University of Iowa’s pilot program for a phased reopening</w:t>
      </w:r>
      <w:r w:rsidRPr="002E50EB" w:rsidR="002E50EB">
        <w:rPr>
          <w:snapToGrid w:val="0"/>
          <w:kern w:val="28"/>
          <w:sz w:val="22"/>
        </w:rPr>
        <w:t xml:space="preserve"> </w:t>
      </w:r>
      <w:r w:rsidRPr="002E50EB" w:rsidR="002E50EB">
        <w:t>which “is being instituted in smaller settings in order to gauge how to implement recommended health and safety guidelines on a larger scale”</w:t>
      </w:r>
      <w:r>
        <w:t>).</w:t>
      </w:r>
    </w:p>
  </w:footnote>
  <w:footnote w:id="14">
    <w:p w:rsidR="00CF11EA" w:rsidRPr="00771AA0" w:rsidP="00CF11EA" w14:paraId="35D492F3" w14:textId="77777777">
      <w:pPr>
        <w:pStyle w:val="FootnoteText"/>
      </w:pPr>
      <w:r>
        <w:rPr>
          <w:rStyle w:val="FootnoteReference"/>
        </w:rPr>
        <w:footnoteRef/>
      </w:r>
      <w:r>
        <w:t xml:space="preserve"> </w:t>
      </w:r>
      <w:r>
        <w:rPr>
          <w:i/>
          <w:iCs/>
        </w:rPr>
        <w:t>See, e.g.</w:t>
      </w:r>
      <w:r>
        <w:t>,</w:t>
      </w:r>
      <w:r w:rsidRPr="005B3998">
        <w:t xml:space="preserve"> </w:t>
      </w:r>
      <w:r>
        <w:t xml:space="preserve">Shannon Murray, </w:t>
      </w:r>
      <w:r>
        <w:rPr>
          <w:i/>
          <w:iCs/>
        </w:rPr>
        <w:t xml:space="preserve">Many Large Companies Plan to Keep Employees Working from Home for Now </w:t>
      </w:r>
      <w:r>
        <w:t xml:space="preserve">(June 4, 2020) </w:t>
      </w:r>
      <w:hyperlink r:id="rId9" w:history="1">
        <w:r w:rsidRPr="005D5FCC">
          <w:rPr>
            <w:rStyle w:val="Hyperlink"/>
          </w:rPr>
          <w:t>https://www.fox4news.com/news/many-large-companies-plan-to-keep-employees-working-from-home-for-now</w:t>
        </w:r>
      </w:hyperlink>
      <w:r>
        <w:t xml:space="preserve">. </w:t>
      </w:r>
    </w:p>
  </w:footnote>
  <w:footnote w:id="15">
    <w:p w:rsidR="00CF11EA" w:rsidP="00CF11EA" w14:paraId="6E1BA26E" w14:textId="77777777">
      <w:pPr>
        <w:pStyle w:val="FootnoteText"/>
      </w:pPr>
      <w:r>
        <w:rPr>
          <w:rStyle w:val="FootnoteReference"/>
        </w:rPr>
        <w:footnoteRef/>
      </w:r>
      <w:r>
        <w:t xml:space="preserve"> </w:t>
      </w:r>
      <w:r>
        <w:rPr>
          <w:i/>
          <w:iCs/>
        </w:rPr>
        <w:t>See, e.g.,</w:t>
      </w:r>
      <w:r>
        <w:t xml:space="preserve"> </w:t>
      </w:r>
      <w:r>
        <w:rPr>
          <w:i/>
          <w:iCs/>
        </w:rPr>
        <w:t>Lifeline and Link Up Reform and Modernization</w:t>
      </w:r>
      <w:r>
        <w:t>, WC Docket No.11-42, Order, DA 20-577, paras. 3, 12-15 (WCB rel. Jun. 1, 2020) (</w:t>
      </w:r>
      <w:r w:rsidRPr="00D7128D">
        <w:t>extend</w:t>
      </w:r>
      <w:r>
        <w:t>ing</w:t>
      </w:r>
      <w:r w:rsidRPr="00D7128D">
        <w:t xml:space="preserve"> prior waivers of the Lifeline</w:t>
      </w:r>
      <w:r>
        <w:t xml:space="preserve"> </w:t>
      </w:r>
      <w:r w:rsidRPr="00D7128D">
        <w:t>program’s recertification, reverification, general de-enrollment, usage requirements</w:t>
      </w:r>
      <w:r>
        <w:t>, and income documentation requirements through August 31, 2020).</w:t>
      </w:r>
    </w:p>
  </w:footnote>
  <w:footnote w:id="16">
    <w:p w:rsidR="00781E08" w:rsidP="00781E08" w14:paraId="7492C0EC" w14:textId="77777777">
      <w:pPr>
        <w:pStyle w:val="FootnoteText"/>
        <w:widowControl w:val="0"/>
      </w:pPr>
      <w:r>
        <w:rPr>
          <w:rStyle w:val="FootnoteReference"/>
        </w:rPr>
        <w:footnoteRef/>
      </w:r>
      <w:r>
        <w:t xml:space="preserve"> </w:t>
      </w:r>
      <w:r w:rsidRPr="00BD236C">
        <w:t>47 U.S.C. § 317(d)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7D14" w14:paraId="26B08A1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40E5EEE" w14:textId="71FFD2DD">
    <w:pPr>
      <w:pStyle w:val="Header"/>
      <w:rPr>
        <w:b w:val="0"/>
      </w:rPr>
    </w:pPr>
    <w:r>
      <w:tab/>
      <w:t>Federal Communications Commission</w:t>
    </w:r>
    <w:r>
      <w:tab/>
    </w:r>
    <w:r w:rsidR="00354B6D">
      <w:t>DA 20-376</w:t>
    </w:r>
  </w:p>
  <w:p w:rsidR="00D25FB5" w14:paraId="565CA37B" w14:textId="0385F78B">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3AF8896A"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61531D0" w14:textId="73D344FA">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8B0A06">
      <w:tab/>
      <w:t>Federal Communications Commission</w:t>
    </w:r>
    <w:r w:rsidR="008B0A06">
      <w:tab/>
    </w:r>
    <w:r w:rsidR="00354B6D">
      <w:rPr>
        <w:spacing w:val="-2"/>
      </w:rPr>
      <w:t>DA 20-</w:t>
    </w:r>
    <w:r w:rsidR="00F77D14">
      <w:rPr>
        <w:spacing w:val="-2"/>
      </w:rPr>
      <w:t>679</w:t>
    </w:r>
    <w:bookmarkStart w:id="5" w:name="_GoBack"/>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E08"/>
    <w:rsid w:val="00021A1C"/>
    <w:rsid w:val="00036039"/>
    <w:rsid w:val="00037F90"/>
    <w:rsid w:val="000875BF"/>
    <w:rsid w:val="00096D8C"/>
    <w:rsid w:val="000C0B65"/>
    <w:rsid w:val="000E05FE"/>
    <w:rsid w:val="000E3D42"/>
    <w:rsid w:val="00122BD5"/>
    <w:rsid w:val="00133F79"/>
    <w:rsid w:val="00157D8F"/>
    <w:rsid w:val="001706FB"/>
    <w:rsid w:val="0017296B"/>
    <w:rsid w:val="00183513"/>
    <w:rsid w:val="00194A66"/>
    <w:rsid w:val="001D6BCF"/>
    <w:rsid w:val="001E01CA"/>
    <w:rsid w:val="00212260"/>
    <w:rsid w:val="002441B1"/>
    <w:rsid w:val="00275CF5"/>
    <w:rsid w:val="0028301F"/>
    <w:rsid w:val="00285017"/>
    <w:rsid w:val="002A21DF"/>
    <w:rsid w:val="002A2D2E"/>
    <w:rsid w:val="002B203A"/>
    <w:rsid w:val="002C00E8"/>
    <w:rsid w:val="002D38E8"/>
    <w:rsid w:val="002D501D"/>
    <w:rsid w:val="002E50EB"/>
    <w:rsid w:val="002F4F79"/>
    <w:rsid w:val="0032539C"/>
    <w:rsid w:val="00343749"/>
    <w:rsid w:val="0035398C"/>
    <w:rsid w:val="00354B6D"/>
    <w:rsid w:val="003660ED"/>
    <w:rsid w:val="003B0550"/>
    <w:rsid w:val="003B694F"/>
    <w:rsid w:val="003D1EA1"/>
    <w:rsid w:val="003E2254"/>
    <w:rsid w:val="003E4BCC"/>
    <w:rsid w:val="003F171C"/>
    <w:rsid w:val="003F189C"/>
    <w:rsid w:val="00405CF1"/>
    <w:rsid w:val="00412FC5"/>
    <w:rsid w:val="00422276"/>
    <w:rsid w:val="004242F1"/>
    <w:rsid w:val="00425C59"/>
    <w:rsid w:val="00445A00"/>
    <w:rsid w:val="00451B0F"/>
    <w:rsid w:val="0045220B"/>
    <w:rsid w:val="004721BE"/>
    <w:rsid w:val="004B1330"/>
    <w:rsid w:val="004C2EE3"/>
    <w:rsid w:val="004D39F1"/>
    <w:rsid w:val="004E4A22"/>
    <w:rsid w:val="00510DCB"/>
    <w:rsid w:val="00511968"/>
    <w:rsid w:val="0055614C"/>
    <w:rsid w:val="00566D06"/>
    <w:rsid w:val="00581FF2"/>
    <w:rsid w:val="0058340B"/>
    <w:rsid w:val="00586779"/>
    <w:rsid w:val="0059264A"/>
    <w:rsid w:val="005A1DC8"/>
    <w:rsid w:val="005B2207"/>
    <w:rsid w:val="005B3998"/>
    <w:rsid w:val="005D5FCC"/>
    <w:rsid w:val="005E14C2"/>
    <w:rsid w:val="00607BA5"/>
    <w:rsid w:val="0061180A"/>
    <w:rsid w:val="00626EB6"/>
    <w:rsid w:val="00635BF0"/>
    <w:rsid w:val="00655D03"/>
    <w:rsid w:val="00661B93"/>
    <w:rsid w:val="00677DFA"/>
    <w:rsid w:val="00683388"/>
    <w:rsid w:val="00683F84"/>
    <w:rsid w:val="006A5243"/>
    <w:rsid w:val="006A6A81"/>
    <w:rsid w:val="006F686A"/>
    <w:rsid w:val="006F7393"/>
    <w:rsid w:val="0070224F"/>
    <w:rsid w:val="00702353"/>
    <w:rsid w:val="00710844"/>
    <w:rsid w:val="007115F7"/>
    <w:rsid w:val="00715F14"/>
    <w:rsid w:val="00754B1F"/>
    <w:rsid w:val="00771AA0"/>
    <w:rsid w:val="00781E08"/>
    <w:rsid w:val="00784E06"/>
    <w:rsid w:val="00785689"/>
    <w:rsid w:val="00796398"/>
    <w:rsid w:val="0079754B"/>
    <w:rsid w:val="007A1E6D"/>
    <w:rsid w:val="007A45AD"/>
    <w:rsid w:val="007B0EB2"/>
    <w:rsid w:val="00810B6F"/>
    <w:rsid w:val="00822CE0"/>
    <w:rsid w:val="0082566D"/>
    <w:rsid w:val="00841AB1"/>
    <w:rsid w:val="00892879"/>
    <w:rsid w:val="00895833"/>
    <w:rsid w:val="008B0A06"/>
    <w:rsid w:val="008C299E"/>
    <w:rsid w:val="008C3718"/>
    <w:rsid w:val="008C68F1"/>
    <w:rsid w:val="0090734C"/>
    <w:rsid w:val="00921803"/>
    <w:rsid w:val="00926503"/>
    <w:rsid w:val="009343B5"/>
    <w:rsid w:val="00952EF1"/>
    <w:rsid w:val="00956D9F"/>
    <w:rsid w:val="00961D80"/>
    <w:rsid w:val="009726D8"/>
    <w:rsid w:val="0097799A"/>
    <w:rsid w:val="00995466"/>
    <w:rsid w:val="009973E0"/>
    <w:rsid w:val="009B54F1"/>
    <w:rsid w:val="009D7308"/>
    <w:rsid w:val="009F76DB"/>
    <w:rsid w:val="00A02A5C"/>
    <w:rsid w:val="00A04A1B"/>
    <w:rsid w:val="00A32C3B"/>
    <w:rsid w:val="00A37643"/>
    <w:rsid w:val="00A45F4F"/>
    <w:rsid w:val="00A600A9"/>
    <w:rsid w:val="00A64865"/>
    <w:rsid w:val="00AA55B7"/>
    <w:rsid w:val="00AA5B9E"/>
    <w:rsid w:val="00AB2407"/>
    <w:rsid w:val="00AB53DF"/>
    <w:rsid w:val="00AC1940"/>
    <w:rsid w:val="00AF2BB2"/>
    <w:rsid w:val="00B07E5C"/>
    <w:rsid w:val="00B2615C"/>
    <w:rsid w:val="00B31CBE"/>
    <w:rsid w:val="00B811F7"/>
    <w:rsid w:val="00BA5DC6"/>
    <w:rsid w:val="00BA6196"/>
    <w:rsid w:val="00BC6D8C"/>
    <w:rsid w:val="00BD236C"/>
    <w:rsid w:val="00BF434F"/>
    <w:rsid w:val="00C23A1F"/>
    <w:rsid w:val="00C34006"/>
    <w:rsid w:val="00C36B4C"/>
    <w:rsid w:val="00C426B1"/>
    <w:rsid w:val="00C50344"/>
    <w:rsid w:val="00C66160"/>
    <w:rsid w:val="00C721AC"/>
    <w:rsid w:val="00C74BB9"/>
    <w:rsid w:val="00C90D6A"/>
    <w:rsid w:val="00C9347C"/>
    <w:rsid w:val="00CA247E"/>
    <w:rsid w:val="00CA6D21"/>
    <w:rsid w:val="00CB72DB"/>
    <w:rsid w:val="00CC72B6"/>
    <w:rsid w:val="00CD2A2C"/>
    <w:rsid w:val="00CD3374"/>
    <w:rsid w:val="00CF11EA"/>
    <w:rsid w:val="00D0218D"/>
    <w:rsid w:val="00D25FB5"/>
    <w:rsid w:val="00D44212"/>
    <w:rsid w:val="00D44223"/>
    <w:rsid w:val="00D7128D"/>
    <w:rsid w:val="00D765D1"/>
    <w:rsid w:val="00DA2529"/>
    <w:rsid w:val="00DB130A"/>
    <w:rsid w:val="00DB2EBB"/>
    <w:rsid w:val="00DB5024"/>
    <w:rsid w:val="00DC10A1"/>
    <w:rsid w:val="00DC655F"/>
    <w:rsid w:val="00DD0B59"/>
    <w:rsid w:val="00DD3F0C"/>
    <w:rsid w:val="00DD7EBD"/>
    <w:rsid w:val="00DE685D"/>
    <w:rsid w:val="00DF0A4A"/>
    <w:rsid w:val="00DF62B6"/>
    <w:rsid w:val="00DF79D5"/>
    <w:rsid w:val="00E07225"/>
    <w:rsid w:val="00E400E8"/>
    <w:rsid w:val="00E505AC"/>
    <w:rsid w:val="00E5409F"/>
    <w:rsid w:val="00E6645E"/>
    <w:rsid w:val="00EC6A71"/>
    <w:rsid w:val="00EE6488"/>
    <w:rsid w:val="00EF67C8"/>
    <w:rsid w:val="00F021FA"/>
    <w:rsid w:val="00F328E9"/>
    <w:rsid w:val="00F62E97"/>
    <w:rsid w:val="00F64209"/>
    <w:rsid w:val="00F65CBC"/>
    <w:rsid w:val="00F77D14"/>
    <w:rsid w:val="00F93BF5"/>
    <w:rsid w:val="00F9736B"/>
    <w:rsid w:val="00FA0F0F"/>
    <w:rsid w:val="00FA32E0"/>
    <w:rsid w:val="00FC798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96B50A4-45EF-4A44-BB55-33FC0B9B8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89C"/>
    <w:pPr>
      <w:widowControl w:val="0"/>
    </w:pPr>
    <w:rPr>
      <w:snapToGrid w:val="0"/>
      <w:kern w:val="28"/>
      <w:sz w:val="22"/>
    </w:rPr>
  </w:style>
  <w:style w:type="paragraph" w:styleId="Heading1">
    <w:name w:val="heading 1"/>
    <w:basedOn w:val="Normal"/>
    <w:next w:val="ParaNum"/>
    <w:qFormat/>
    <w:rsid w:val="003F189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F189C"/>
    <w:pPr>
      <w:keepNext/>
      <w:numPr>
        <w:ilvl w:val="1"/>
        <w:numId w:val="3"/>
      </w:numPr>
      <w:spacing w:after="120"/>
      <w:outlineLvl w:val="1"/>
    </w:pPr>
    <w:rPr>
      <w:b/>
    </w:rPr>
  </w:style>
  <w:style w:type="paragraph" w:styleId="Heading3">
    <w:name w:val="heading 3"/>
    <w:basedOn w:val="Normal"/>
    <w:next w:val="ParaNum"/>
    <w:qFormat/>
    <w:rsid w:val="003F189C"/>
    <w:pPr>
      <w:keepNext/>
      <w:numPr>
        <w:ilvl w:val="2"/>
        <w:numId w:val="3"/>
      </w:numPr>
      <w:tabs>
        <w:tab w:val="left" w:pos="2160"/>
      </w:tabs>
      <w:spacing w:after="120"/>
      <w:outlineLvl w:val="2"/>
    </w:pPr>
    <w:rPr>
      <w:b/>
    </w:rPr>
  </w:style>
  <w:style w:type="paragraph" w:styleId="Heading4">
    <w:name w:val="heading 4"/>
    <w:basedOn w:val="Normal"/>
    <w:next w:val="ParaNum"/>
    <w:qFormat/>
    <w:rsid w:val="003F189C"/>
    <w:pPr>
      <w:keepNext/>
      <w:numPr>
        <w:ilvl w:val="3"/>
        <w:numId w:val="3"/>
      </w:numPr>
      <w:tabs>
        <w:tab w:val="left" w:pos="2880"/>
      </w:tabs>
      <w:spacing w:after="120"/>
      <w:outlineLvl w:val="3"/>
    </w:pPr>
    <w:rPr>
      <w:b/>
    </w:rPr>
  </w:style>
  <w:style w:type="paragraph" w:styleId="Heading5">
    <w:name w:val="heading 5"/>
    <w:basedOn w:val="Normal"/>
    <w:next w:val="ParaNum"/>
    <w:qFormat/>
    <w:rsid w:val="003F189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F189C"/>
    <w:pPr>
      <w:numPr>
        <w:ilvl w:val="5"/>
        <w:numId w:val="3"/>
      </w:numPr>
      <w:tabs>
        <w:tab w:val="left" w:pos="4320"/>
      </w:tabs>
      <w:spacing w:after="120"/>
      <w:outlineLvl w:val="5"/>
    </w:pPr>
    <w:rPr>
      <w:b/>
    </w:rPr>
  </w:style>
  <w:style w:type="paragraph" w:styleId="Heading7">
    <w:name w:val="heading 7"/>
    <w:basedOn w:val="Normal"/>
    <w:next w:val="ParaNum"/>
    <w:qFormat/>
    <w:rsid w:val="003F189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F189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F189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F189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F189C"/>
  </w:style>
  <w:style w:type="paragraph" w:customStyle="1" w:styleId="ParaNum">
    <w:name w:val="ParaNum"/>
    <w:basedOn w:val="Normal"/>
    <w:rsid w:val="003F189C"/>
    <w:pPr>
      <w:numPr>
        <w:numId w:val="2"/>
      </w:numPr>
      <w:tabs>
        <w:tab w:val="clear" w:pos="1080"/>
        <w:tab w:val="num" w:pos="1440"/>
      </w:tabs>
      <w:spacing w:after="120"/>
    </w:pPr>
  </w:style>
  <w:style w:type="paragraph" w:styleId="EndnoteText">
    <w:name w:val="endnote text"/>
    <w:basedOn w:val="Normal"/>
    <w:semiHidden/>
    <w:rsid w:val="003F189C"/>
    <w:rPr>
      <w:sz w:val="20"/>
    </w:rPr>
  </w:style>
  <w:style w:type="character" w:styleId="EndnoteReference">
    <w:name w:val="endnote reference"/>
    <w:semiHidden/>
    <w:rsid w:val="003F189C"/>
    <w:rPr>
      <w:vertAlign w:val="superscript"/>
    </w:rPr>
  </w:style>
  <w:style w:type="paragraph" w:styleId="FootnoteText">
    <w:name w:val="footnote text"/>
    <w:rsid w:val="003F189C"/>
    <w:pPr>
      <w:spacing w:after="120"/>
    </w:pPr>
  </w:style>
  <w:style w:type="character" w:styleId="FootnoteReference">
    <w:name w:val="footnote reference"/>
    <w:rsid w:val="003F189C"/>
    <w:rPr>
      <w:rFonts w:ascii="Times New Roman" w:hAnsi="Times New Roman"/>
      <w:dstrike w:val="0"/>
      <w:color w:val="auto"/>
      <w:sz w:val="20"/>
      <w:vertAlign w:val="superscript"/>
    </w:rPr>
  </w:style>
  <w:style w:type="paragraph" w:styleId="TOC1">
    <w:name w:val="toc 1"/>
    <w:basedOn w:val="Normal"/>
    <w:next w:val="Normal"/>
    <w:semiHidden/>
    <w:rsid w:val="003F189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F189C"/>
    <w:pPr>
      <w:tabs>
        <w:tab w:val="left" w:pos="720"/>
        <w:tab w:val="right" w:leader="dot" w:pos="9360"/>
      </w:tabs>
      <w:suppressAutoHyphens/>
      <w:ind w:left="720" w:right="720" w:hanging="360"/>
    </w:pPr>
    <w:rPr>
      <w:noProof/>
    </w:rPr>
  </w:style>
  <w:style w:type="paragraph" w:styleId="TOC3">
    <w:name w:val="toc 3"/>
    <w:basedOn w:val="Normal"/>
    <w:next w:val="Normal"/>
    <w:semiHidden/>
    <w:rsid w:val="003F189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F189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F189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F189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F189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F189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F189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F189C"/>
    <w:pPr>
      <w:tabs>
        <w:tab w:val="right" w:pos="9360"/>
      </w:tabs>
      <w:suppressAutoHyphens/>
    </w:pPr>
  </w:style>
  <w:style w:type="character" w:customStyle="1" w:styleId="EquationCaption">
    <w:name w:val="_Equation Caption"/>
    <w:rsid w:val="003F189C"/>
  </w:style>
  <w:style w:type="paragraph" w:styleId="Header">
    <w:name w:val="header"/>
    <w:basedOn w:val="Normal"/>
    <w:autoRedefine/>
    <w:rsid w:val="003F189C"/>
    <w:pPr>
      <w:tabs>
        <w:tab w:val="center" w:pos="4680"/>
        <w:tab w:val="right" w:pos="9360"/>
      </w:tabs>
    </w:pPr>
    <w:rPr>
      <w:b/>
    </w:rPr>
  </w:style>
  <w:style w:type="paragraph" w:styleId="Footer">
    <w:name w:val="footer"/>
    <w:basedOn w:val="Normal"/>
    <w:link w:val="FooterChar"/>
    <w:uiPriority w:val="99"/>
    <w:rsid w:val="003F189C"/>
    <w:pPr>
      <w:tabs>
        <w:tab w:val="center" w:pos="4320"/>
        <w:tab w:val="right" w:pos="8640"/>
      </w:tabs>
    </w:pPr>
  </w:style>
  <w:style w:type="character" w:styleId="PageNumber">
    <w:name w:val="page number"/>
    <w:basedOn w:val="DefaultParagraphFont"/>
    <w:rsid w:val="003F189C"/>
  </w:style>
  <w:style w:type="paragraph" w:styleId="BlockText">
    <w:name w:val="Block Text"/>
    <w:basedOn w:val="Normal"/>
    <w:rsid w:val="003F189C"/>
    <w:pPr>
      <w:spacing w:after="240"/>
      <w:ind w:left="1440" w:right="1440"/>
    </w:pPr>
  </w:style>
  <w:style w:type="paragraph" w:customStyle="1" w:styleId="Paratitle">
    <w:name w:val="Para title"/>
    <w:basedOn w:val="Normal"/>
    <w:rsid w:val="003F189C"/>
    <w:pPr>
      <w:tabs>
        <w:tab w:val="center" w:pos="9270"/>
      </w:tabs>
      <w:spacing w:after="240"/>
    </w:pPr>
    <w:rPr>
      <w:spacing w:val="-2"/>
    </w:rPr>
  </w:style>
  <w:style w:type="paragraph" w:customStyle="1" w:styleId="Bullet">
    <w:name w:val="Bullet"/>
    <w:basedOn w:val="Normal"/>
    <w:rsid w:val="003F189C"/>
    <w:pPr>
      <w:tabs>
        <w:tab w:val="left" w:pos="2160"/>
      </w:tabs>
      <w:spacing w:after="220"/>
      <w:ind w:left="2160" w:hanging="720"/>
    </w:pPr>
  </w:style>
  <w:style w:type="paragraph" w:customStyle="1" w:styleId="TableFormat">
    <w:name w:val="TableFormat"/>
    <w:basedOn w:val="Bullet"/>
    <w:rsid w:val="003F189C"/>
    <w:pPr>
      <w:tabs>
        <w:tab w:val="clear" w:pos="2160"/>
        <w:tab w:val="left" w:pos="5040"/>
      </w:tabs>
      <w:ind w:left="5040" w:hanging="3600"/>
    </w:pPr>
  </w:style>
  <w:style w:type="paragraph" w:customStyle="1" w:styleId="TOCTitle">
    <w:name w:val="TOC Title"/>
    <w:basedOn w:val="Normal"/>
    <w:rsid w:val="003F189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F189C"/>
    <w:pPr>
      <w:jc w:val="center"/>
    </w:pPr>
    <w:rPr>
      <w:rFonts w:ascii="Times New Roman Bold" w:hAnsi="Times New Roman Bold"/>
      <w:b/>
      <w:bCs/>
      <w:caps/>
      <w:szCs w:val="22"/>
    </w:rPr>
  </w:style>
  <w:style w:type="character" w:styleId="Hyperlink">
    <w:name w:val="Hyperlink"/>
    <w:rsid w:val="003F189C"/>
    <w:rPr>
      <w:color w:val="0000FF"/>
      <w:u w:val="single"/>
    </w:rPr>
  </w:style>
  <w:style w:type="character" w:customStyle="1" w:styleId="FooterChar">
    <w:name w:val="Footer Char"/>
    <w:link w:val="Footer"/>
    <w:uiPriority w:val="99"/>
    <w:rsid w:val="003F189C"/>
    <w:rPr>
      <w:snapToGrid w:val="0"/>
      <w:kern w:val="28"/>
      <w:sz w:val="22"/>
    </w:rPr>
  </w:style>
  <w:style w:type="character" w:styleId="FollowedHyperlink">
    <w:name w:val="FollowedHyperlink"/>
    <w:basedOn w:val="DefaultParagraphFont"/>
    <w:rsid w:val="00354B6D"/>
    <w:rPr>
      <w:color w:val="954F72" w:themeColor="followedHyperlink"/>
      <w:u w:val="single"/>
    </w:rPr>
  </w:style>
  <w:style w:type="character" w:customStyle="1" w:styleId="UnresolvedMention1">
    <w:name w:val="Unresolved Mention1"/>
    <w:basedOn w:val="DefaultParagraphFont"/>
    <w:uiPriority w:val="99"/>
    <w:semiHidden/>
    <w:unhideWhenUsed/>
    <w:rsid w:val="00FA32E0"/>
    <w:rPr>
      <w:color w:val="605E5C"/>
      <w:shd w:val="clear" w:color="auto" w:fill="E1DFDD"/>
    </w:rPr>
  </w:style>
  <w:style w:type="character" w:styleId="CommentReference">
    <w:name w:val="annotation reference"/>
    <w:basedOn w:val="DefaultParagraphFont"/>
    <w:rsid w:val="00F9736B"/>
    <w:rPr>
      <w:sz w:val="16"/>
      <w:szCs w:val="16"/>
    </w:rPr>
  </w:style>
  <w:style w:type="paragraph" w:styleId="CommentText">
    <w:name w:val="annotation text"/>
    <w:basedOn w:val="Normal"/>
    <w:link w:val="CommentTextChar"/>
    <w:rsid w:val="00F9736B"/>
    <w:rPr>
      <w:sz w:val="20"/>
    </w:rPr>
  </w:style>
  <w:style w:type="character" w:customStyle="1" w:styleId="CommentTextChar">
    <w:name w:val="Comment Text Char"/>
    <w:basedOn w:val="DefaultParagraphFont"/>
    <w:link w:val="CommentText"/>
    <w:rsid w:val="00F9736B"/>
    <w:rPr>
      <w:snapToGrid w:val="0"/>
      <w:kern w:val="28"/>
    </w:rPr>
  </w:style>
  <w:style w:type="paragraph" w:styleId="CommentSubject">
    <w:name w:val="annotation subject"/>
    <w:basedOn w:val="CommentText"/>
    <w:next w:val="CommentText"/>
    <w:link w:val="CommentSubjectChar"/>
    <w:rsid w:val="00F9736B"/>
    <w:rPr>
      <w:b/>
      <w:bCs/>
    </w:rPr>
  </w:style>
  <w:style w:type="character" w:customStyle="1" w:styleId="CommentSubjectChar">
    <w:name w:val="Comment Subject Char"/>
    <w:basedOn w:val="CommentTextChar"/>
    <w:link w:val="CommentSubject"/>
    <w:rsid w:val="00F9736B"/>
    <w:rPr>
      <w:b/>
      <w:bCs/>
      <w:snapToGrid w:val="0"/>
      <w:kern w:val="28"/>
    </w:rPr>
  </w:style>
  <w:style w:type="paragraph" w:styleId="BalloonText">
    <w:name w:val="Balloon Text"/>
    <w:basedOn w:val="Normal"/>
    <w:link w:val="BalloonTextChar"/>
    <w:rsid w:val="00F9736B"/>
    <w:rPr>
      <w:rFonts w:ascii="Segoe UI" w:hAnsi="Segoe UI" w:cs="Segoe UI"/>
      <w:sz w:val="18"/>
      <w:szCs w:val="18"/>
    </w:rPr>
  </w:style>
  <w:style w:type="character" w:customStyle="1" w:styleId="BalloonTextChar">
    <w:name w:val="Balloon Text Char"/>
    <w:basedOn w:val="DefaultParagraphFont"/>
    <w:link w:val="BalloonText"/>
    <w:rsid w:val="00F9736B"/>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whitehouse.gov/presidential-actions/proclamation-declaring-national-emergency-concerning-novel-coronavirus-disease-covid-19-outbreak/" TargetMode="External" /><Relationship Id="rId2" Type="http://schemas.openxmlformats.org/officeDocument/2006/relationships/hyperlink" Target="https://www.adcouncil.org/About-Us/Frequently-Asked-Questions" TargetMode="External" /><Relationship Id="rId3" Type="http://schemas.openxmlformats.org/officeDocument/2006/relationships/hyperlink" Target="https://www.whitehouse.gov/openingamerica/" TargetMode="External" /><Relationship Id="rId4" Type="http://schemas.openxmlformats.org/officeDocument/2006/relationships/hyperlink" Target="https://www.governor.wa.gov/sites/default/files/SafeStartWA_4May20_1pm.pdf" TargetMode="External" /><Relationship Id="rId5" Type="http://schemas.openxmlformats.org/officeDocument/2006/relationships/hyperlink" Target="https://coronavirus.illinois.gov/sfc/servlet.shepherd/document/download/069t000000BadS0AAJ?operationContext=S1" TargetMode="External" /><Relationship Id="rId6" Type="http://schemas.openxmlformats.org/officeDocument/2006/relationships/hyperlink" Target="https://www.washingtonpost.com/local/coronavirus-maryland-prince-georges-virginia-dc-phase-2/2020/06/11/0b88bd34-abe7-11ea-9063-e69bd6520940_story.html" TargetMode="External" /><Relationship Id="rId7" Type="http://schemas.openxmlformats.org/officeDocument/2006/relationships/hyperlink" Target="https://www.indystar.com/story/news/local/indianapolis/2020/06/11/coronavirus-indiana-indianapolis-reopening-stage-4/5341726002/" TargetMode="External" /><Relationship Id="rId8" Type="http://schemas.openxmlformats.org/officeDocument/2006/relationships/hyperlink" Target="https://dailyiowan.com/2020/05/22/university-of-iowa-to-begin-phased-reopening-of-select-campus-operations/" TargetMode="External" /><Relationship Id="rId9" Type="http://schemas.openxmlformats.org/officeDocument/2006/relationships/hyperlink" Target="https://www.fox4news.com/news/many-large-companies-plan-to-keep-employees-working-from-home-for-now"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