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E5884" w:rsidRPr="00EE17A2" w:rsidP="00C82B6B" w14:paraId="2D9952F0" w14:textId="77777777">
      <w:pPr>
        <w:jc w:val="right"/>
        <w:rPr>
          <w:szCs w:val="22"/>
        </w:rPr>
      </w:pPr>
    </w:p>
    <w:p w:rsidR="00013A8B" w:rsidRPr="00EE17A2" w:rsidP="00013A8B" w14:paraId="6E0F9F25" w14:textId="7358F0E7">
      <w:pPr>
        <w:jc w:val="right"/>
        <w:rPr>
          <w:b/>
          <w:szCs w:val="22"/>
        </w:rPr>
      </w:pPr>
      <w:r>
        <w:rPr>
          <w:b/>
          <w:szCs w:val="22"/>
        </w:rPr>
        <w:t xml:space="preserve">DA </w:t>
      </w:r>
      <w:r w:rsidR="00FE22FD">
        <w:rPr>
          <w:b/>
          <w:szCs w:val="22"/>
        </w:rPr>
        <w:t>20-</w:t>
      </w:r>
      <w:r w:rsidR="00F3540E">
        <w:rPr>
          <w:b/>
          <w:szCs w:val="22"/>
        </w:rPr>
        <w:t>680</w:t>
      </w:r>
    </w:p>
    <w:p w:rsidR="00013A8B" w:rsidRPr="00EE17A2" w:rsidP="00013A8B" w14:paraId="6859461A" w14:textId="7D6132D5">
      <w:pPr>
        <w:spacing w:before="60"/>
        <w:jc w:val="right"/>
        <w:rPr>
          <w:b/>
          <w:szCs w:val="22"/>
        </w:rPr>
      </w:pPr>
      <w:r w:rsidRPr="00EE17A2">
        <w:rPr>
          <w:b/>
          <w:szCs w:val="22"/>
        </w:rPr>
        <w:t xml:space="preserve">Released:  </w:t>
      </w:r>
      <w:r w:rsidR="00E77D7F">
        <w:rPr>
          <w:b/>
          <w:szCs w:val="22"/>
        </w:rPr>
        <w:t xml:space="preserve">June </w:t>
      </w:r>
      <w:r w:rsidR="00F3540E">
        <w:rPr>
          <w:b/>
          <w:szCs w:val="22"/>
        </w:rPr>
        <w:t xml:space="preserve">29, </w:t>
      </w:r>
      <w:r w:rsidR="00EA4BB5">
        <w:rPr>
          <w:b/>
          <w:szCs w:val="22"/>
        </w:rPr>
        <w:t>2020</w:t>
      </w:r>
    </w:p>
    <w:p w:rsidR="00013A8B" w:rsidRPr="00EE17A2" w:rsidP="00013A8B" w14:paraId="43E3306E" w14:textId="77777777">
      <w:pPr>
        <w:jc w:val="right"/>
        <w:rPr>
          <w:szCs w:val="22"/>
        </w:rPr>
      </w:pPr>
    </w:p>
    <w:p w:rsidR="005F2D09" w:rsidRPr="002D735F" w:rsidP="005F2D09" w14:paraId="7DC5D5C2" w14:textId="16BF14A6">
      <w:pPr>
        <w:spacing w:after="120"/>
        <w:jc w:val="center"/>
        <w:rPr>
          <w:rFonts w:ascii="Times New Roman Bold" w:hAnsi="Times New Roman Bold"/>
          <w:b/>
          <w:caps/>
          <w:szCs w:val="22"/>
        </w:rPr>
      </w:pPr>
      <w:bookmarkStart w:id="0" w:name="_Hlk44321747"/>
      <w:r w:rsidRPr="002D735F">
        <w:rPr>
          <w:rFonts w:ascii="Times New Roman Bold" w:hAnsi="Times New Roman Bold"/>
          <w:b/>
          <w:caps/>
          <w:szCs w:val="22"/>
        </w:rPr>
        <w:t xml:space="preserve">wireline competition bureau </w:t>
      </w:r>
      <w:r w:rsidR="006F4FC0">
        <w:rPr>
          <w:rFonts w:ascii="Times New Roman Bold" w:hAnsi="Times New Roman Bold"/>
          <w:b/>
          <w:caps/>
          <w:szCs w:val="22"/>
        </w:rPr>
        <w:t xml:space="preserve">announces </w:t>
      </w:r>
      <w:r w:rsidR="001E125A">
        <w:rPr>
          <w:rFonts w:ascii="Times New Roman Bold" w:hAnsi="Times New Roman Bold"/>
          <w:b/>
          <w:caps/>
          <w:szCs w:val="22"/>
        </w:rPr>
        <w:t xml:space="preserve">that parties’ work product </w:t>
      </w:r>
      <w:r w:rsidR="00C8589F">
        <w:rPr>
          <w:rFonts w:ascii="Times New Roman Bold" w:hAnsi="Times New Roman Bold"/>
          <w:b/>
          <w:caps/>
          <w:szCs w:val="22"/>
        </w:rPr>
        <w:t xml:space="preserve">will no longer be archived </w:t>
      </w:r>
      <w:r w:rsidRPr="002D735F">
        <w:rPr>
          <w:rFonts w:ascii="Times New Roman Bold" w:hAnsi="Times New Roman Bold"/>
          <w:b/>
          <w:caps/>
          <w:szCs w:val="22"/>
        </w:rPr>
        <w:t xml:space="preserve">in </w:t>
      </w:r>
      <w:r w:rsidR="00C8589F">
        <w:rPr>
          <w:rFonts w:ascii="Times New Roman Bold" w:hAnsi="Times New Roman Bold"/>
          <w:b/>
          <w:caps/>
          <w:szCs w:val="22"/>
        </w:rPr>
        <w:t xml:space="preserve">the </w:t>
      </w:r>
      <w:r w:rsidR="001E125A">
        <w:rPr>
          <w:rFonts w:ascii="Times New Roman Bold" w:hAnsi="Times New Roman Bold"/>
          <w:b/>
          <w:caps/>
          <w:szCs w:val="22"/>
        </w:rPr>
        <w:t>secure data enclave</w:t>
      </w:r>
      <w:r w:rsidR="00C8589F">
        <w:rPr>
          <w:rFonts w:ascii="Times New Roman Bold" w:hAnsi="Times New Roman Bold"/>
          <w:b/>
          <w:caps/>
          <w:szCs w:val="22"/>
        </w:rPr>
        <w:t xml:space="preserve"> in the BDS and USTelecom Forbearance proceedings</w:t>
      </w:r>
    </w:p>
    <w:bookmarkEnd w:id="0"/>
    <w:p w:rsidR="005F2D09" w:rsidRPr="002D735F" w:rsidP="005F2D09" w14:paraId="29A65F9A" w14:textId="3B87D1C9">
      <w:pPr>
        <w:spacing w:after="240"/>
        <w:jc w:val="center"/>
        <w:rPr>
          <w:b/>
          <w:szCs w:val="22"/>
        </w:rPr>
      </w:pPr>
      <w:r>
        <w:rPr>
          <w:b/>
          <w:szCs w:val="22"/>
        </w:rPr>
        <w:t xml:space="preserve">WC Docket Nos. </w:t>
      </w:r>
      <w:r w:rsidRPr="00E77D7F">
        <w:rPr>
          <w:b/>
          <w:szCs w:val="22"/>
        </w:rPr>
        <w:t>18-14</w:t>
      </w:r>
      <w:r w:rsidR="00C8589F">
        <w:rPr>
          <w:b/>
          <w:szCs w:val="22"/>
        </w:rPr>
        <w:t>1</w:t>
      </w:r>
      <w:r w:rsidRPr="00E77D7F">
        <w:rPr>
          <w:b/>
          <w:szCs w:val="22"/>
        </w:rPr>
        <w:t>, 17-144, 16-143, 05-25; RM 10593</w:t>
      </w:r>
    </w:p>
    <w:p w:rsidR="004E1F50" w:rsidP="005F2D09" w14:paraId="1B5D0FF5" w14:textId="1EFBB848">
      <w:pPr>
        <w:spacing w:after="120"/>
        <w:ind w:firstLine="720"/>
        <w:rPr>
          <w:szCs w:val="22"/>
        </w:rPr>
      </w:pPr>
      <w:r w:rsidRPr="00EE17A2">
        <w:rPr>
          <w:szCs w:val="22"/>
        </w:rPr>
        <w:t xml:space="preserve">By this Public Notice, the Wireline Competition Bureau (Bureau) announces that </w:t>
      </w:r>
      <w:r w:rsidR="000F64DB">
        <w:rPr>
          <w:szCs w:val="22"/>
        </w:rPr>
        <w:t>as of</w:t>
      </w:r>
      <w:r w:rsidR="002A7311">
        <w:rPr>
          <w:szCs w:val="22"/>
        </w:rPr>
        <w:t xml:space="preserve"> </w:t>
      </w:r>
      <w:r w:rsidR="00EA020E">
        <w:rPr>
          <w:szCs w:val="22"/>
        </w:rPr>
        <w:t xml:space="preserve">July 3, 2020 it will </w:t>
      </w:r>
      <w:r w:rsidR="000F64DB">
        <w:rPr>
          <w:szCs w:val="22"/>
        </w:rPr>
        <w:t xml:space="preserve">no longer </w:t>
      </w:r>
      <w:r w:rsidR="00EA020E">
        <w:rPr>
          <w:szCs w:val="22"/>
        </w:rPr>
        <w:t>archive work product</w:t>
      </w:r>
      <w:r w:rsidR="00C0268C">
        <w:rPr>
          <w:szCs w:val="22"/>
        </w:rPr>
        <w:t>s</w:t>
      </w:r>
      <w:r w:rsidR="00EA020E">
        <w:rPr>
          <w:szCs w:val="22"/>
        </w:rPr>
        <w:t xml:space="preserve"> created by participants </w:t>
      </w:r>
      <w:r w:rsidRPr="00EE17A2">
        <w:rPr>
          <w:szCs w:val="22"/>
        </w:rPr>
        <w:t>in the business data services (BDS</w:t>
      </w:r>
      <w:r w:rsidR="00DC2452">
        <w:rPr>
          <w:szCs w:val="22"/>
        </w:rPr>
        <w:t>, formerly special access</w:t>
      </w:r>
      <w:r w:rsidRPr="00EE17A2">
        <w:rPr>
          <w:szCs w:val="22"/>
        </w:rPr>
        <w:t xml:space="preserve">) </w:t>
      </w:r>
      <w:r w:rsidR="00EE4E95">
        <w:rPr>
          <w:szCs w:val="22"/>
        </w:rPr>
        <w:t xml:space="preserve">and USTelecom </w:t>
      </w:r>
      <w:r w:rsidR="001B77D4">
        <w:rPr>
          <w:szCs w:val="22"/>
        </w:rPr>
        <w:t>F</w:t>
      </w:r>
      <w:r w:rsidR="00EE4E95">
        <w:rPr>
          <w:szCs w:val="22"/>
        </w:rPr>
        <w:t xml:space="preserve">orbearance </w:t>
      </w:r>
      <w:r w:rsidR="001B77D4">
        <w:rPr>
          <w:szCs w:val="22"/>
        </w:rPr>
        <w:t>P</w:t>
      </w:r>
      <w:r w:rsidR="00EE4E95">
        <w:rPr>
          <w:szCs w:val="22"/>
        </w:rPr>
        <w:t xml:space="preserve">etition </w:t>
      </w:r>
      <w:r w:rsidRPr="00EE17A2">
        <w:rPr>
          <w:szCs w:val="22"/>
        </w:rPr>
        <w:t>proceedings</w:t>
      </w:r>
      <w:r w:rsidR="003D4981">
        <w:rPr>
          <w:szCs w:val="22"/>
        </w:rPr>
        <w:t xml:space="preserve"> in the secure data enclave established for that purpose</w:t>
      </w:r>
      <w:r w:rsidRPr="00EE17A2">
        <w:rPr>
          <w:szCs w:val="22"/>
        </w:rPr>
        <w:t>.</w:t>
      </w:r>
      <w:r>
        <w:rPr>
          <w:rStyle w:val="FootnoteReference"/>
          <w:szCs w:val="22"/>
        </w:rPr>
        <w:footnoteReference w:id="3"/>
      </w:r>
      <w:r w:rsidRPr="00EE17A2">
        <w:rPr>
          <w:szCs w:val="22"/>
        </w:rPr>
        <w:t xml:space="preserve">  </w:t>
      </w:r>
      <w:r w:rsidR="000F64DB">
        <w:rPr>
          <w:szCs w:val="22"/>
        </w:rPr>
        <w:t>A</w:t>
      </w:r>
      <w:r w:rsidRPr="00EE17A2">
        <w:rPr>
          <w:szCs w:val="22"/>
        </w:rPr>
        <w:t>ll data and work product</w:t>
      </w:r>
      <w:r w:rsidR="002A7311">
        <w:rPr>
          <w:szCs w:val="22"/>
        </w:rPr>
        <w:t>s</w:t>
      </w:r>
      <w:r w:rsidRPr="00EE17A2">
        <w:rPr>
          <w:szCs w:val="22"/>
        </w:rPr>
        <w:t xml:space="preserve"> </w:t>
      </w:r>
      <w:r w:rsidR="000F64DB">
        <w:rPr>
          <w:szCs w:val="22"/>
        </w:rPr>
        <w:t xml:space="preserve">currently </w:t>
      </w:r>
      <w:r w:rsidR="00C8589F">
        <w:rPr>
          <w:szCs w:val="22"/>
        </w:rPr>
        <w:t xml:space="preserve">archived </w:t>
      </w:r>
      <w:r w:rsidRPr="00EE17A2">
        <w:rPr>
          <w:szCs w:val="22"/>
        </w:rPr>
        <w:t xml:space="preserve">in </w:t>
      </w:r>
      <w:r w:rsidR="00EA020E">
        <w:rPr>
          <w:szCs w:val="22"/>
        </w:rPr>
        <w:t xml:space="preserve">“virtual lockers” in </w:t>
      </w:r>
      <w:r w:rsidRPr="00EE17A2">
        <w:rPr>
          <w:szCs w:val="22"/>
        </w:rPr>
        <w:t xml:space="preserve">the </w:t>
      </w:r>
      <w:r w:rsidR="00E94122">
        <w:rPr>
          <w:szCs w:val="22"/>
        </w:rPr>
        <w:t>secure d</w:t>
      </w:r>
      <w:r w:rsidRPr="00EE17A2">
        <w:rPr>
          <w:szCs w:val="22"/>
        </w:rPr>
        <w:t xml:space="preserve">ata </w:t>
      </w:r>
      <w:r w:rsidR="00E94122">
        <w:rPr>
          <w:szCs w:val="22"/>
        </w:rPr>
        <w:t>e</w:t>
      </w:r>
      <w:r w:rsidRPr="00EE17A2">
        <w:rPr>
          <w:szCs w:val="22"/>
        </w:rPr>
        <w:t>nclave</w:t>
      </w:r>
      <w:r w:rsidR="000F64DB">
        <w:rPr>
          <w:szCs w:val="22"/>
        </w:rPr>
        <w:t xml:space="preserve"> </w:t>
      </w:r>
      <w:r w:rsidRPr="00EE17A2">
        <w:rPr>
          <w:szCs w:val="22"/>
        </w:rPr>
        <w:t xml:space="preserve">will be </w:t>
      </w:r>
      <w:r w:rsidR="00EE4E95">
        <w:rPr>
          <w:szCs w:val="22"/>
        </w:rPr>
        <w:t>destroyed</w:t>
      </w:r>
      <w:r w:rsidRPr="00EE17A2">
        <w:rPr>
          <w:szCs w:val="22"/>
        </w:rPr>
        <w:t>.</w:t>
      </w:r>
      <w:r>
        <w:rPr>
          <w:szCs w:val="22"/>
        </w:rPr>
        <w:t xml:space="preserve"> </w:t>
      </w:r>
      <w:r w:rsidR="003D4981">
        <w:rPr>
          <w:szCs w:val="22"/>
        </w:rPr>
        <w:t xml:space="preserve"> </w:t>
      </w:r>
      <w:r w:rsidR="00EA020E">
        <w:rPr>
          <w:szCs w:val="22"/>
        </w:rPr>
        <w:t>The B</w:t>
      </w:r>
      <w:bookmarkStart w:id="1" w:name="_GoBack"/>
      <w:bookmarkEnd w:id="1"/>
      <w:r w:rsidR="00EA020E">
        <w:rPr>
          <w:szCs w:val="22"/>
        </w:rPr>
        <w:t xml:space="preserve">ureau will </w:t>
      </w:r>
      <w:r w:rsidR="003D4981">
        <w:rPr>
          <w:szCs w:val="22"/>
        </w:rPr>
        <w:t xml:space="preserve">continue to </w:t>
      </w:r>
      <w:r w:rsidR="000F64DB">
        <w:rPr>
          <w:szCs w:val="22"/>
        </w:rPr>
        <w:t xml:space="preserve">store copies of </w:t>
      </w:r>
      <w:r w:rsidR="00EA020E">
        <w:rPr>
          <w:szCs w:val="22"/>
        </w:rPr>
        <w:t>the highly</w:t>
      </w:r>
      <w:r w:rsidR="00C0268C">
        <w:rPr>
          <w:szCs w:val="22"/>
        </w:rPr>
        <w:t>-</w:t>
      </w:r>
      <w:r w:rsidR="00EA020E">
        <w:rPr>
          <w:szCs w:val="22"/>
        </w:rPr>
        <w:t xml:space="preserve">confidential data submitted </w:t>
      </w:r>
      <w:r w:rsidR="00DC2452">
        <w:rPr>
          <w:szCs w:val="22"/>
        </w:rPr>
        <w:t xml:space="preserve">in response to </w:t>
      </w:r>
      <w:r w:rsidR="00EA020E">
        <w:rPr>
          <w:szCs w:val="22"/>
        </w:rPr>
        <w:t>the</w:t>
      </w:r>
      <w:r w:rsidR="00DC2452">
        <w:rPr>
          <w:szCs w:val="22"/>
        </w:rPr>
        <w:t xml:space="preserve"> Commission’s data request</w:t>
      </w:r>
      <w:r w:rsidR="00EA020E">
        <w:rPr>
          <w:szCs w:val="22"/>
        </w:rPr>
        <w:t xml:space="preserve"> in the above</w:t>
      </w:r>
      <w:r w:rsidR="008701FE">
        <w:rPr>
          <w:szCs w:val="22"/>
        </w:rPr>
        <w:t>-</w:t>
      </w:r>
      <w:r w:rsidR="00EA020E">
        <w:rPr>
          <w:szCs w:val="22"/>
        </w:rPr>
        <w:t xml:space="preserve">captioned proceedings </w:t>
      </w:r>
      <w:r w:rsidR="000A5FC0">
        <w:rPr>
          <w:szCs w:val="22"/>
        </w:rPr>
        <w:t xml:space="preserve">pursuant to </w:t>
      </w:r>
      <w:r w:rsidR="00EA020E">
        <w:rPr>
          <w:szCs w:val="22"/>
        </w:rPr>
        <w:t>federal records retention laws.</w:t>
      </w:r>
    </w:p>
    <w:p w:rsidR="008C7534" w:rsidRPr="00004540" w:rsidP="00485F86" w14:paraId="28A0AD03" w14:textId="56925B98">
      <w:pPr>
        <w:spacing w:after="120"/>
        <w:ind w:firstLine="720"/>
        <w:rPr>
          <w:snapToGrid/>
          <w:kern w:val="0"/>
          <w:szCs w:val="22"/>
        </w:rPr>
      </w:pPr>
      <w:r w:rsidRPr="00320D50">
        <w:rPr>
          <w:snapToGrid/>
          <w:kern w:val="0"/>
          <w:szCs w:val="22"/>
        </w:rPr>
        <w:t>The Commission contracted with the National Opinion Research Center</w:t>
      </w:r>
      <w:r w:rsidR="00B571FC">
        <w:rPr>
          <w:snapToGrid/>
          <w:kern w:val="0"/>
          <w:szCs w:val="22"/>
        </w:rPr>
        <w:t>,</w:t>
      </w:r>
      <w:r w:rsidRPr="00320D50">
        <w:rPr>
          <w:snapToGrid/>
          <w:kern w:val="0"/>
          <w:szCs w:val="22"/>
        </w:rPr>
        <w:t xml:space="preserve"> dba NORC</w:t>
      </w:r>
      <w:r w:rsidR="00C0268C">
        <w:rPr>
          <w:snapToGrid/>
          <w:kern w:val="0"/>
          <w:szCs w:val="22"/>
        </w:rPr>
        <w:t>,</w:t>
      </w:r>
      <w:r w:rsidRPr="00320D50">
        <w:rPr>
          <w:snapToGrid/>
          <w:kern w:val="0"/>
          <w:szCs w:val="22"/>
        </w:rPr>
        <w:t xml:space="preserve"> at the University of Chicago (NORC) to </w:t>
      </w:r>
      <w:r w:rsidR="00485F86">
        <w:rPr>
          <w:snapToGrid/>
          <w:kern w:val="0"/>
          <w:szCs w:val="22"/>
        </w:rPr>
        <w:t xml:space="preserve">provide authorized participants </w:t>
      </w:r>
      <w:r w:rsidR="003F74A9">
        <w:rPr>
          <w:snapToGrid/>
          <w:kern w:val="0"/>
          <w:szCs w:val="22"/>
        </w:rPr>
        <w:t xml:space="preserve">in the BDS proceedings </w:t>
      </w:r>
      <w:r w:rsidR="00C0268C">
        <w:rPr>
          <w:snapToGrid/>
          <w:kern w:val="0"/>
          <w:szCs w:val="22"/>
        </w:rPr>
        <w:t xml:space="preserve">remote access </w:t>
      </w:r>
      <w:r w:rsidR="00485F86">
        <w:rPr>
          <w:snapToGrid/>
          <w:kern w:val="0"/>
          <w:szCs w:val="22"/>
        </w:rPr>
        <w:t>to</w:t>
      </w:r>
      <w:r>
        <w:rPr>
          <w:snapToGrid/>
          <w:kern w:val="0"/>
          <w:szCs w:val="22"/>
        </w:rPr>
        <w:t xml:space="preserve"> the </w:t>
      </w:r>
      <w:r w:rsidRPr="00004540">
        <w:rPr>
          <w:i/>
          <w:iCs/>
          <w:snapToGrid/>
          <w:kern w:val="0"/>
          <w:szCs w:val="22"/>
        </w:rPr>
        <w:t>2015 Data Collection</w:t>
      </w:r>
      <w:r w:rsidR="007F7F4C">
        <w:rPr>
          <w:snapToGrid/>
          <w:kern w:val="0"/>
          <w:szCs w:val="22"/>
        </w:rPr>
        <w:t xml:space="preserve"> </w:t>
      </w:r>
      <w:r w:rsidRPr="00320D50">
        <w:rPr>
          <w:snapToGrid/>
          <w:kern w:val="0"/>
          <w:szCs w:val="22"/>
        </w:rPr>
        <w:t xml:space="preserve">through </w:t>
      </w:r>
      <w:r w:rsidR="000F64DB">
        <w:rPr>
          <w:snapToGrid/>
          <w:kern w:val="0"/>
          <w:szCs w:val="22"/>
        </w:rPr>
        <w:t>a</w:t>
      </w:r>
      <w:r w:rsidRPr="00320D50">
        <w:rPr>
          <w:snapToGrid/>
          <w:kern w:val="0"/>
          <w:szCs w:val="22"/>
        </w:rPr>
        <w:t xml:space="preserve"> </w:t>
      </w:r>
      <w:r w:rsidR="00E94122">
        <w:rPr>
          <w:snapToGrid/>
          <w:kern w:val="0"/>
          <w:szCs w:val="22"/>
        </w:rPr>
        <w:t>secure d</w:t>
      </w:r>
      <w:r w:rsidRPr="00320D50">
        <w:rPr>
          <w:snapToGrid/>
          <w:kern w:val="0"/>
          <w:szCs w:val="22"/>
        </w:rPr>
        <w:t xml:space="preserve">ata </w:t>
      </w:r>
      <w:r w:rsidR="00E94122">
        <w:rPr>
          <w:snapToGrid/>
          <w:kern w:val="0"/>
          <w:szCs w:val="22"/>
        </w:rPr>
        <w:t>e</w:t>
      </w:r>
      <w:r w:rsidRPr="00320D50">
        <w:rPr>
          <w:snapToGrid/>
          <w:kern w:val="0"/>
          <w:szCs w:val="22"/>
        </w:rPr>
        <w:t>nclave.</w:t>
      </w:r>
      <w:r w:rsidR="00227801">
        <w:rPr>
          <w:snapToGrid/>
          <w:kern w:val="0"/>
          <w:szCs w:val="22"/>
        </w:rPr>
        <w:t xml:space="preserve">  </w:t>
      </w:r>
      <w:r w:rsidRPr="00320D50">
        <w:rPr>
          <w:snapToGrid/>
          <w:kern w:val="0"/>
          <w:szCs w:val="22"/>
        </w:rPr>
        <w:t xml:space="preserve">The </w:t>
      </w:r>
      <w:r w:rsidR="00E94122">
        <w:rPr>
          <w:snapToGrid/>
          <w:kern w:val="0"/>
          <w:szCs w:val="22"/>
        </w:rPr>
        <w:t>secure d</w:t>
      </w:r>
      <w:r w:rsidRPr="00320D50">
        <w:rPr>
          <w:snapToGrid/>
          <w:kern w:val="0"/>
          <w:szCs w:val="22"/>
        </w:rPr>
        <w:t xml:space="preserve">ata </w:t>
      </w:r>
      <w:r w:rsidR="00E94122">
        <w:rPr>
          <w:snapToGrid/>
          <w:kern w:val="0"/>
          <w:szCs w:val="22"/>
        </w:rPr>
        <w:t>e</w:t>
      </w:r>
      <w:r w:rsidRPr="00320D50">
        <w:rPr>
          <w:snapToGrid/>
          <w:kern w:val="0"/>
          <w:szCs w:val="22"/>
        </w:rPr>
        <w:t xml:space="preserve">nclave </w:t>
      </w:r>
      <w:r w:rsidR="00C0268C">
        <w:rPr>
          <w:snapToGrid/>
          <w:kern w:val="0"/>
          <w:szCs w:val="22"/>
        </w:rPr>
        <w:t xml:space="preserve">also </w:t>
      </w:r>
      <w:r w:rsidRPr="00320D50">
        <w:rPr>
          <w:snapToGrid/>
          <w:kern w:val="0"/>
          <w:szCs w:val="22"/>
        </w:rPr>
        <w:t>provide</w:t>
      </w:r>
      <w:r>
        <w:rPr>
          <w:snapToGrid/>
          <w:kern w:val="0"/>
          <w:szCs w:val="22"/>
        </w:rPr>
        <w:t xml:space="preserve">d </w:t>
      </w:r>
      <w:r w:rsidR="00485F86">
        <w:rPr>
          <w:snapToGrid/>
          <w:kern w:val="0"/>
          <w:szCs w:val="22"/>
        </w:rPr>
        <w:t xml:space="preserve">authorized participants </w:t>
      </w:r>
      <w:r>
        <w:rPr>
          <w:snapToGrid/>
          <w:kern w:val="0"/>
          <w:szCs w:val="22"/>
        </w:rPr>
        <w:t>remote</w:t>
      </w:r>
      <w:r w:rsidRPr="00320D50">
        <w:rPr>
          <w:snapToGrid/>
          <w:kern w:val="0"/>
          <w:szCs w:val="22"/>
        </w:rPr>
        <w:t xml:space="preserve"> access to the data, </w:t>
      </w:r>
      <w:r w:rsidR="00C635A1">
        <w:rPr>
          <w:snapToGrid/>
          <w:kern w:val="0"/>
          <w:szCs w:val="22"/>
        </w:rPr>
        <w:t xml:space="preserve">the </w:t>
      </w:r>
      <w:r w:rsidRPr="00320D50">
        <w:rPr>
          <w:snapToGrid/>
          <w:kern w:val="0"/>
          <w:szCs w:val="22"/>
        </w:rPr>
        <w:t xml:space="preserve">analytical software to analyze the </w:t>
      </w:r>
      <w:r w:rsidR="00C0268C">
        <w:rPr>
          <w:snapToGrid/>
          <w:kern w:val="0"/>
          <w:szCs w:val="22"/>
        </w:rPr>
        <w:t xml:space="preserve">stored </w:t>
      </w:r>
      <w:r w:rsidRPr="00320D50">
        <w:rPr>
          <w:snapToGrid/>
          <w:kern w:val="0"/>
          <w:szCs w:val="22"/>
        </w:rPr>
        <w:t xml:space="preserve">data, and </w:t>
      </w:r>
      <w:r>
        <w:rPr>
          <w:snapToGrid/>
          <w:kern w:val="0"/>
          <w:szCs w:val="22"/>
        </w:rPr>
        <w:t>“</w:t>
      </w:r>
      <w:r w:rsidRPr="00320D50">
        <w:rPr>
          <w:snapToGrid/>
          <w:kern w:val="0"/>
          <w:szCs w:val="22"/>
        </w:rPr>
        <w:t>virtual lockers</w:t>
      </w:r>
      <w:r>
        <w:rPr>
          <w:snapToGrid/>
          <w:kern w:val="0"/>
          <w:szCs w:val="22"/>
        </w:rPr>
        <w:t>”</w:t>
      </w:r>
      <w:r w:rsidRPr="00320D50">
        <w:rPr>
          <w:snapToGrid/>
          <w:kern w:val="0"/>
          <w:szCs w:val="22"/>
        </w:rPr>
        <w:t xml:space="preserve"> for storing </w:t>
      </w:r>
      <w:r w:rsidR="00C635A1">
        <w:rPr>
          <w:snapToGrid/>
          <w:kern w:val="0"/>
          <w:szCs w:val="22"/>
        </w:rPr>
        <w:t xml:space="preserve">individual parties’ </w:t>
      </w:r>
      <w:r w:rsidRPr="00320D50">
        <w:rPr>
          <w:snapToGrid/>
          <w:kern w:val="0"/>
          <w:szCs w:val="22"/>
        </w:rPr>
        <w:t>notes and analysis results</w:t>
      </w:r>
      <w:r w:rsidR="002F6081">
        <w:rPr>
          <w:snapToGrid/>
          <w:kern w:val="0"/>
          <w:szCs w:val="22"/>
        </w:rPr>
        <w:t>, while at the same time ensuring the security of the highly confidential data</w:t>
      </w:r>
      <w:r w:rsidRPr="00320D50">
        <w:rPr>
          <w:snapToGrid/>
          <w:kern w:val="0"/>
          <w:szCs w:val="22"/>
        </w:rPr>
        <w:t xml:space="preserve">. </w:t>
      </w:r>
      <w:r w:rsidR="00227801">
        <w:rPr>
          <w:snapToGrid/>
          <w:kern w:val="0"/>
          <w:szCs w:val="22"/>
        </w:rPr>
        <w:t xml:space="preserve"> </w:t>
      </w:r>
      <w:r w:rsidRPr="00320D50">
        <w:rPr>
          <w:snapToGrid/>
          <w:kern w:val="0"/>
          <w:szCs w:val="22"/>
        </w:rPr>
        <w:t>These procedures provided authorized parties with a full opportunity to analyze the highly confidential data, and to present the results of their analysis and arguments based on those results to the Commission</w:t>
      </w:r>
      <w:r w:rsidR="00C0268C">
        <w:rPr>
          <w:snapToGrid/>
          <w:kern w:val="0"/>
          <w:szCs w:val="22"/>
        </w:rPr>
        <w:t xml:space="preserve"> in the BDS and </w:t>
      </w:r>
      <w:r w:rsidR="00C635A1">
        <w:rPr>
          <w:snapToGrid/>
          <w:kern w:val="0"/>
          <w:szCs w:val="22"/>
        </w:rPr>
        <w:t xml:space="preserve">USTelecom </w:t>
      </w:r>
      <w:r w:rsidR="00C0268C">
        <w:rPr>
          <w:snapToGrid/>
          <w:kern w:val="0"/>
          <w:szCs w:val="22"/>
        </w:rPr>
        <w:t>Forbearance proceedings</w:t>
      </w:r>
      <w:r w:rsidRPr="00320D50">
        <w:rPr>
          <w:snapToGrid/>
          <w:kern w:val="0"/>
          <w:szCs w:val="22"/>
        </w:rPr>
        <w:t>.</w:t>
      </w:r>
      <w:r w:rsidRPr="008C7534">
        <w:rPr>
          <w:szCs w:val="22"/>
        </w:rPr>
        <w:t xml:space="preserve"> </w:t>
      </w:r>
    </w:p>
    <w:p w:rsidR="007A7D04" w:rsidP="007A7D04" w14:paraId="05F52781" w14:textId="1575D407">
      <w:pPr>
        <w:spacing w:after="120"/>
        <w:ind w:firstLine="720"/>
        <w:rPr>
          <w:szCs w:val="22"/>
        </w:rPr>
      </w:pPr>
      <w:r>
        <w:rPr>
          <w:szCs w:val="22"/>
        </w:rPr>
        <w:t>On</w:t>
      </w:r>
      <w:r w:rsidR="008C7534">
        <w:rPr>
          <w:szCs w:val="22"/>
        </w:rPr>
        <w:t xml:space="preserve"> June </w:t>
      </w:r>
      <w:r>
        <w:rPr>
          <w:szCs w:val="22"/>
        </w:rPr>
        <w:t>30</w:t>
      </w:r>
      <w:r w:rsidR="008C7534">
        <w:rPr>
          <w:szCs w:val="22"/>
        </w:rPr>
        <w:t xml:space="preserve">, 2019, the Bureau </w:t>
      </w:r>
      <w:r>
        <w:rPr>
          <w:szCs w:val="22"/>
        </w:rPr>
        <w:t xml:space="preserve">closed access to </w:t>
      </w:r>
      <w:r w:rsidR="008C7534">
        <w:t xml:space="preserve">the </w:t>
      </w:r>
      <w:r w:rsidR="00E94122">
        <w:t>secure d</w:t>
      </w:r>
      <w:r w:rsidR="008C7534">
        <w:t xml:space="preserve">ata </w:t>
      </w:r>
      <w:r w:rsidR="00E94122">
        <w:t>e</w:t>
      </w:r>
      <w:r w:rsidR="008C7534">
        <w:t>nclave</w:t>
      </w:r>
      <w:r w:rsidR="00F245E6">
        <w:t xml:space="preserve">, finding that doing so </w:t>
      </w:r>
      <w:r w:rsidR="004A764D">
        <w:t xml:space="preserve">would </w:t>
      </w:r>
      <w:r w:rsidR="00F245E6">
        <w:t>“not affect parties’ meaningful participation</w:t>
      </w:r>
      <w:r w:rsidR="002329E5">
        <w:t>”</w:t>
      </w:r>
      <w:r w:rsidR="00F245E6">
        <w:t xml:space="preserve"> in the relevant proceedings</w:t>
      </w:r>
      <w:r>
        <w:t>.</w:t>
      </w:r>
      <w:r>
        <w:rPr>
          <w:rStyle w:val="FootnoteReference"/>
        </w:rPr>
        <w:footnoteReference w:id="4"/>
      </w:r>
      <w:r>
        <w:t xml:space="preserve"> </w:t>
      </w:r>
      <w:r w:rsidR="002329E5">
        <w:t xml:space="preserve"> P</w:t>
      </w:r>
      <w:r w:rsidR="00F353F4">
        <w:t xml:space="preserve">arties </w:t>
      </w:r>
      <w:r w:rsidR="002329E5">
        <w:t xml:space="preserve">were able to </w:t>
      </w:r>
      <w:r w:rsidR="00F353F4">
        <w:t xml:space="preserve">remove their </w:t>
      </w:r>
      <w:r w:rsidR="003F74A9">
        <w:t xml:space="preserve">work product from their </w:t>
      </w:r>
      <w:r w:rsidR="00F353F4">
        <w:t>“virtual lockers”</w:t>
      </w:r>
      <w:r w:rsidR="003F74A9">
        <w:t xml:space="preserve"> </w:t>
      </w:r>
      <w:r w:rsidR="002329E5">
        <w:t xml:space="preserve">at any point </w:t>
      </w:r>
      <w:r w:rsidR="004B7300">
        <w:t xml:space="preserve">prior </w:t>
      </w:r>
      <w:r w:rsidR="002329E5">
        <w:t xml:space="preserve">to that </w:t>
      </w:r>
      <w:r w:rsidR="004A764D">
        <w:t>date</w:t>
      </w:r>
      <w:r w:rsidR="002329E5">
        <w:t xml:space="preserve">, consistent with </w:t>
      </w:r>
      <w:r w:rsidR="003F74A9">
        <w:t>NORC</w:t>
      </w:r>
      <w:r w:rsidR="002329E5">
        <w:t>’s procedures and subject to the relevant Commission protective orders</w:t>
      </w:r>
      <w:r w:rsidR="003F74A9">
        <w:t>.</w:t>
      </w:r>
      <w:r>
        <w:rPr>
          <w:rStyle w:val="FootnoteReference"/>
        </w:rPr>
        <w:footnoteReference w:id="5"/>
      </w:r>
      <w:r w:rsidR="00F353F4">
        <w:t xml:space="preserve">  </w:t>
      </w:r>
      <w:r>
        <w:t xml:space="preserve"> </w:t>
      </w:r>
      <w:r w:rsidR="003F74A9">
        <w:t>At t</w:t>
      </w:r>
      <w:r>
        <w:t>he Bureau</w:t>
      </w:r>
      <w:r w:rsidR="003F74A9">
        <w:t>’s direction, NORC</w:t>
      </w:r>
      <w:r>
        <w:t xml:space="preserve"> archiv</w:t>
      </w:r>
      <w:r w:rsidR="003F74A9">
        <w:t>ed</w:t>
      </w:r>
      <w:r w:rsidR="008C7534">
        <w:t xml:space="preserve"> parties’ data and work product stored in the </w:t>
      </w:r>
      <w:r>
        <w:t>secure d</w:t>
      </w:r>
      <w:r w:rsidR="008C7534">
        <w:t xml:space="preserve">ata </w:t>
      </w:r>
      <w:r>
        <w:t>e</w:t>
      </w:r>
      <w:r w:rsidR="008C7534">
        <w:t xml:space="preserve">nclave as of June 30, </w:t>
      </w:r>
      <w:r w:rsidR="008C7534">
        <w:t>2019</w:t>
      </w:r>
      <w:r w:rsidR="004A764D">
        <w:t>,</w:t>
      </w:r>
      <w:r w:rsidR="008C7534">
        <w:t xml:space="preserve"> pending potential judicial or administrative review.</w:t>
      </w:r>
      <w:r>
        <w:t xml:space="preserve">  </w:t>
      </w:r>
      <w:r w:rsidR="00714470">
        <w:t>Since that date, p</w:t>
      </w:r>
      <w:r w:rsidR="003F74A9">
        <w:t xml:space="preserve">arties have not had access </w:t>
      </w:r>
      <w:r>
        <w:t xml:space="preserve">to the archived </w:t>
      </w:r>
      <w:r>
        <w:t>data</w:t>
      </w:r>
      <w:r>
        <w:t xml:space="preserve"> and </w:t>
      </w:r>
      <w:r w:rsidR="000A5FC0">
        <w:t>we have not received any requests for access to any party’s virtual locker.</w:t>
      </w:r>
      <w:r>
        <w:t xml:space="preserve"> </w:t>
      </w:r>
    </w:p>
    <w:p w:rsidR="00B462E5" w:rsidP="00C52D18" w14:paraId="1331D180" w14:textId="7C349C59">
      <w:pPr>
        <w:spacing w:after="120"/>
        <w:ind w:firstLine="720"/>
        <w:rPr>
          <w:szCs w:val="22"/>
        </w:rPr>
      </w:pPr>
      <w:r>
        <w:rPr>
          <w:szCs w:val="22"/>
        </w:rPr>
        <w:t>The Commission subsequently released an order addressing issues remanded to the Commission in the BDS proceedings and raised in the USTelecom Forbearance Petition proceeding.</w:t>
      </w:r>
      <w:r>
        <w:rPr>
          <w:rStyle w:val="FootnoteReference"/>
          <w:szCs w:val="22"/>
        </w:rPr>
        <w:footnoteReference w:id="6"/>
      </w:r>
      <w:r>
        <w:rPr>
          <w:szCs w:val="22"/>
        </w:rPr>
        <w:t xml:space="preserve">  </w:t>
      </w:r>
      <w:r w:rsidR="00714470">
        <w:rPr>
          <w:szCs w:val="22"/>
        </w:rPr>
        <w:t xml:space="preserve">No party sought judicial review </w:t>
      </w:r>
      <w:r w:rsidR="00F778FB">
        <w:rPr>
          <w:szCs w:val="22"/>
        </w:rPr>
        <w:t>or administrative reconsideration of th</w:t>
      </w:r>
      <w:r w:rsidR="000A5FC0">
        <w:rPr>
          <w:szCs w:val="22"/>
        </w:rPr>
        <w:t>at</w:t>
      </w:r>
      <w:r w:rsidR="00F778FB">
        <w:rPr>
          <w:szCs w:val="22"/>
        </w:rPr>
        <w:t xml:space="preserve"> order</w:t>
      </w:r>
      <w:r w:rsidR="00714470">
        <w:rPr>
          <w:szCs w:val="22"/>
        </w:rPr>
        <w:t xml:space="preserve"> and the Commission has instituted no further proceedings to review or reconsider the </w:t>
      </w:r>
      <w:r w:rsidR="001B77D4">
        <w:rPr>
          <w:szCs w:val="22"/>
        </w:rPr>
        <w:t xml:space="preserve">issues addressed in </w:t>
      </w:r>
      <w:r w:rsidR="004A764D">
        <w:rPr>
          <w:szCs w:val="22"/>
        </w:rPr>
        <w:t>those proceedings</w:t>
      </w:r>
      <w:r w:rsidR="00F778FB">
        <w:rPr>
          <w:szCs w:val="22"/>
        </w:rPr>
        <w:t>.</w:t>
      </w:r>
      <w:r w:rsidR="00714470">
        <w:rPr>
          <w:szCs w:val="22"/>
        </w:rPr>
        <w:t xml:space="preserve"> </w:t>
      </w:r>
      <w:r w:rsidR="00F778FB">
        <w:rPr>
          <w:szCs w:val="22"/>
        </w:rPr>
        <w:t xml:space="preserve"> T</w:t>
      </w:r>
      <w:r w:rsidR="00714470">
        <w:rPr>
          <w:szCs w:val="22"/>
        </w:rPr>
        <w:t xml:space="preserve">here are </w:t>
      </w:r>
      <w:r w:rsidR="00F778FB">
        <w:rPr>
          <w:szCs w:val="22"/>
        </w:rPr>
        <w:t xml:space="preserve">also </w:t>
      </w:r>
      <w:r w:rsidR="00714470">
        <w:rPr>
          <w:szCs w:val="22"/>
        </w:rPr>
        <w:t xml:space="preserve">no other open proceedings </w:t>
      </w:r>
      <w:r w:rsidR="00F778FB">
        <w:rPr>
          <w:szCs w:val="22"/>
        </w:rPr>
        <w:t xml:space="preserve">that are dependent on access to the contents of the secure data enclave.  </w:t>
      </w:r>
    </w:p>
    <w:p w:rsidR="005211BF" w:rsidP="00B462E5" w14:paraId="7EBFB137" w14:textId="42D95026">
      <w:pPr>
        <w:spacing w:after="120"/>
        <w:ind w:firstLine="720"/>
        <w:rPr>
          <w:szCs w:val="22"/>
        </w:rPr>
      </w:pPr>
      <w:r>
        <w:t xml:space="preserve">In these circumstances, we find there is little, if any, utility in continuing to archive the business data services dataset via the secure data enclave.  </w:t>
      </w:r>
      <w:r w:rsidR="004A764D">
        <w:rPr>
          <w:szCs w:val="22"/>
        </w:rPr>
        <w:t>T</w:t>
      </w:r>
      <w:r w:rsidR="004A764D">
        <w:t xml:space="preserve">he Commission’s contract with NORC to archive data and analysis in the secure data enclave is set to expire July 3, 2020.  Renewing the contract would entail additional administrative burdens and expenses that we find to be unnecessary and unjustified.  </w:t>
      </w:r>
      <w:r w:rsidRPr="002D735F" w:rsidR="001B77D4">
        <w:rPr>
          <w:szCs w:val="22"/>
        </w:rPr>
        <w:t xml:space="preserve">There is no evidence in the record that parties will suffer harm if the </w:t>
      </w:r>
      <w:r w:rsidR="001B77D4">
        <w:rPr>
          <w:szCs w:val="22"/>
        </w:rPr>
        <w:t xml:space="preserve">Bureau no longer archives parties’ work product in the </w:t>
      </w:r>
      <w:r w:rsidR="004B7300">
        <w:rPr>
          <w:szCs w:val="22"/>
        </w:rPr>
        <w:t>secure d</w:t>
      </w:r>
      <w:r w:rsidRPr="002D735F" w:rsidR="001B77D4">
        <w:rPr>
          <w:szCs w:val="22"/>
        </w:rPr>
        <w:t xml:space="preserve">ata </w:t>
      </w:r>
      <w:r w:rsidR="004B7300">
        <w:rPr>
          <w:szCs w:val="22"/>
        </w:rPr>
        <w:t>e</w:t>
      </w:r>
      <w:r w:rsidRPr="002D735F" w:rsidR="001B77D4">
        <w:rPr>
          <w:szCs w:val="22"/>
        </w:rPr>
        <w:t xml:space="preserve">nclave after </w:t>
      </w:r>
      <w:r w:rsidR="001B77D4">
        <w:rPr>
          <w:szCs w:val="22"/>
        </w:rPr>
        <w:t>July</w:t>
      </w:r>
      <w:r w:rsidRPr="002D735F" w:rsidR="001B77D4">
        <w:rPr>
          <w:szCs w:val="22"/>
        </w:rPr>
        <w:t xml:space="preserve"> 3, </w:t>
      </w:r>
      <w:r w:rsidR="001B77D4">
        <w:rPr>
          <w:szCs w:val="22"/>
        </w:rPr>
        <w:t>2020</w:t>
      </w:r>
      <w:r w:rsidRPr="002D735F" w:rsidR="001B77D4">
        <w:rPr>
          <w:szCs w:val="22"/>
        </w:rPr>
        <w:t xml:space="preserve">.  </w:t>
      </w:r>
      <w:r w:rsidR="00EE5281">
        <w:rPr>
          <w:snapToGrid/>
          <w:kern w:val="0"/>
          <w:szCs w:val="22"/>
        </w:rPr>
        <w:t>Closure of the secure data enclave will not affect authorized parties’ access to confidential and highly confidential information that is accessible outside the secure data enclave.  Authorized parties will continue to be able to discuss and share the contents of confidential and highly confidential documents with other authorized parties</w:t>
      </w:r>
      <w:r w:rsidR="004A764D">
        <w:rPr>
          <w:snapToGrid/>
          <w:kern w:val="0"/>
          <w:szCs w:val="22"/>
        </w:rPr>
        <w:t>,</w:t>
      </w:r>
      <w:r w:rsidR="00EE5281">
        <w:rPr>
          <w:snapToGrid/>
          <w:kern w:val="0"/>
          <w:szCs w:val="22"/>
        </w:rPr>
        <w:t xml:space="preserve"> as appropriate</w:t>
      </w:r>
      <w:r w:rsidR="004A764D">
        <w:rPr>
          <w:snapToGrid/>
          <w:kern w:val="0"/>
          <w:szCs w:val="22"/>
        </w:rPr>
        <w:t>,</w:t>
      </w:r>
      <w:r w:rsidR="00EE5281">
        <w:rPr>
          <w:snapToGrid/>
          <w:kern w:val="0"/>
          <w:szCs w:val="22"/>
        </w:rPr>
        <w:t xml:space="preserve"> and to access unredacted highly confidential data in comments, reply comments, and in confidential versions of the Commission’s orders</w:t>
      </w:r>
      <w:r w:rsidR="00C201DD">
        <w:rPr>
          <w:snapToGrid/>
          <w:kern w:val="0"/>
          <w:szCs w:val="22"/>
        </w:rPr>
        <w:t>,</w:t>
      </w:r>
      <w:r w:rsidR="00EE5281">
        <w:rPr>
          <w:snapToGrid/>
          <w:kern w:val="0"/>
          <w:szCs w:val="22"/>
        </w:rPr>
        <w:t xml:space="preserve"> pursuant to the relevant protective orders.  </w:t>
      </w:r>
      <w:r w:rsidR="00DA1929">
        <w:t xml:space="preserve">  </w:t>
      </w:r>
    </w:p>
    <w:p w:rsidR="005211BF" w:rsidRPr="004A764D" w:rsidP="005211BF" w14:paraId="5C7D4115" w14:textId="58CA2EBD">
      <w:pPr>
        <w:spacing w:after="120"/>
        <w:ind w:firstLine="720"/>
        <w:rPr>
          <w:snapToGrid/>
          <w:kern w:val="0"/>
          <w:szCs w:val="22"/>
        </w:rPr>
      </w:pPr>
      <w:r>
        <w:t xml:space="preserve">Accordingly, </w:t>
      </w:r>
      <w:r w:rsidR="00F778FB">
        <w:t xml:space="preserve">we find </w:t>
      </w:r>
      <w:r>
        <w:t>it is no longer in the public interest to archive outside parties’ work pro</w:t>
      </w:r>
      <w:r w:rsidR="00F778FB">
        <w:t>duct</w:t>
      </w:r>
      <w:r>
        <w:t xml:space="preserve"> in the </w:t>
      </w:r>
      <w:r w:rsidR="001B77D4">
        <w:t>secure d</w:t>
      </w:r>
      <w:r>
        <w:rPr>
          <w:szCs w:val="22"/>
        </w:rPr>
        <w:t xml:space="preserve">ata </w:t>
      </w:r>
      <w:r w:rsidR="001B77D4">
        <w:rPr>
          <w:szCs w:val="22"/>
        </w:rPr>
        <w:t>e</w:t>
      </w:r>
      <w:r>
        <w:rPr>
          <w:szCs w:val="22"/>
        </w:rPr>
        <w:t xml:space="preserve">nclave </w:t>
      </w:r>
      <w:r w:rsidR="005F6741">
        <w:rPr>
          <w:szCs w:val="22"/>
        </w:rPr>
        <w:t xml:space="preserve">and </w:t>
      </w:r>
      <w:r w:rsidR="001B77D4">
        <w:rPr>
          <w:szCs w:val="22"/>
        </w:rPr>
        <w:t xml:space="preserve">therefore </w:t>
      </w:r>
      <w:r w:rsidR="005F6741">
        <w:rPr>
          <w:szCs w:val="22"/>
        </w:rPr>
        <w:t xml:space="preserve">close it </w:t>
      </w:r>
      <w:r w:rsidR="001B77D4">
        <w:rPr>
          <w:szCs w:val="22"/>
        </w:rPr>
        <w:t xml:space="preserve">effective </w:t>
      </w:r>
      <w:r>
        <w:rPr>
          <w:szCs w:val="22"/>
        </w:rPr>
        <w:t>July</w:t>
      </w:r>
      <w:r w:rsidRPr="00DF2F69">
        <w:rPr>
          <w:szCs w:val="22"/>
        </w:rPr>
        <w:t xml:space="preserve"> 3, </w:t>
      </w:r>
      <w:r>
        <w:rPr>
          <w:szCs w:val="22"/>
        </w:rPr>
        <w:t>2020.</w:t>
      </w:r>
      <w:r>
        <w:rPr>
          <w:szCs w:val="22"/>
        </w:rPr>
        <w:t xml:space="preserve">  </w:t>
      </w:r>
      <w:r>
        <w:rPr>
          <w:snapToGrid/>
          <w:kern w:val="0"/>
          <w:szCs w:val="22"/>
        </w:rPr>
        <w:t xml:space="preserve">Any notes, analysis results or other documents, programs or files saved to virtual lockers will be deleted.  </w:t>
      </w:r>
      <w:r w:rsidR="000F64DB">
        <w:rPr>
          <w:snapToGrid/>
          <w:kern w:val="0"/>
          <w:szCs w:val="22"/>
        </w:rPr>
        <w:t>The Bureau will continue to store copy sets of a</w:t>
      </w:r>
      <w:r w:rsidR="00B0163D">
        <w:rPr>
          <w:snapToGrid/>
          <w:kern w:val="0"/>
          <w:szCs w:val="22"/>
        </w:rPr>
        <w:t xml:space="preserve">ll confidential and highly confidential data and information in the </w:t>
      </w:r>
      <w:r w:rsidRPr="005C0060" w:rsidR="00B0163D">
        <w:rPr>
          <w:i/>
          <w:iCs/>
          <w:snapToGrid/>
          <w:kern w:val="0"/>
          <w:szCs w:val="22"/>
        </w:rPr>
        <w:t>2015 Data Collection</w:t>
      </w:r>
      <w:r w:rsidR="00B0163D">
        <w:rPr>
          <w:snapToGrid/>
          <w:kern w:val="0"/>
          <w:szCs w:val="22"/>
        </w:rPr>
        <w:t xml:space="preserve"> </w:t>
      </w:r>
      <w:r w:rsidR="00C635A1">
        <w:rPr>
          <w:snapToGrid/>
          <w:kern w:val="0"/>
          <w:szCs w:val="22"/>
        </w:rPr>
        <w:t xml:space="preserve">in a manner consistent with </w:t>
      </w:r>
      <w:r w:rsidRPr="00C635A1" w:rsidR="00C635A1">
        <w:rPr>
          <w:snapToGrid/>
          <w:kern w:val="0"/>
          <w:szCs w:val="22"/>
        </w:rPr>
        <w:t xml:space="preserve">the </w:t>
      </w:r>
      <w:r w:rsidR="00C635A1">
        <w:rPr>
          <w:snapToGrid/>
          <w:kern w:val="0"/>
          <w:szCs w:val="22"/>
        </w:rPr>
        <w:t>rel</w:t>
      </w:r>
      <w:r w:rsidR="0056607E">
        <w:rPr>
          <w:snapToGrid/>
          <w:kern w:val="0"/>
          <w:szCs w:val="22"/>
        </w:rPr>
        <w:t>evant National Institute of Standards and Technology (</w:t>
      </w:r>
      <w:r w:rsidRPr="00C635A1" w:rsidR="00C635A1">
        <w:rPr>
          <w:snapToGrid/>
          <w:kern w:val="0"/>
          <w:szCs w:val="22"/>
        </w:rPr>
        <w:t>NIST</w:t>
      </w:r>
      <w:r w:rsidR="0056607E">
        <w:rPr>
          <w:snapToGrid/>
          <w:kern w:val="0"/>
          <w:szCs w:val="22"/>
        </w:rPr>
        <w:t>)</w:t>
      </w:r>
      <w:r w:rsidRPr="00C635A1" w:rsidR="00C635A1">
        <w:rPr>
          <w:snapToGrid/>
          <w:kern w:val="0"/>
          <w:szCs w:val="22"/>
        </w:rPr>
        <w:t xml:space="preserve"> Federal Information Processing Standards (FIPS) standards</w:t>
      </w:r>
      <w:r w:rsidR="00C635A1">
        <w:rPr>
          <w:snapToGrid/>
          <w:kern w:val="0"/>
          <w:szCs w:val="22"/>
        </w:rPr>
        <w:t xml:space="preserve"> for such data and </w:t>
      </w:r>
      <w:r w:rsidR="000F64DB">
        <w:rPr>
          <w:snapToGrid/>
          <w:kern w:val="0"/>
          <w:szCs w:val="22"/>
        </w:rPr>
        <w:t xml:space="preserve">in compliance with </w:t>
      </w:r>
      <w:r w:rsidR="00B0163D">
        <w:rPr>
          <w:snapToGrid/>
          <w:kern w:val="0"/>
          <w:szCs w:val="22"/>
        </w:rPr>
        <w:t>federal records retention laws.</w:t>
      </w:r>
      <w:r>
        <w:rPr>
          <w:rStyle w:val="FootnoteReference"/>
          <w:szCs w:val="22"/>
        </w:rPr>
        <w:footnoteReference w:id="7"/>
      </w:r>
      <w:r w:rsidR="00B0163D">
        <w:rPr>
          <w:snapToGrid/>
          <w:kern w:val="0"/>
          <w:szCs w:val="22"/>
        </w:rPr>
        <w:t xml:space="preserve">  </w:t>
      </w:r>
    </w:p>
    <w:p w:rsidR="005F2D09" w:rsidRPr="00391995" w:rsidP="005C0060" w14:paraId="0FCC7551" w14:textId="5F33ACE9">
      <w:pPr>
        <w:spacing w:after="120"/>
        <w:ind w:firstLine="720"/>
        <w:rPr>
          <w:rFonts w:eastAsia="Calibri"/>
          <w:snapToGrid/>
          <w:kern w:val="0"/>
          <w:szCs w:val="22"/>
        </w:rPr>
      </w:pPr>
      <w:r w:rsidRPr="00391995">
        <w:rPr>
          <w:snapToGrid/>
          <w:kern w:val="0"/>
          <w:szCs w:val="22"/>
        </w:rPr>
        <w:t xml:space="preserve">For </w:t>
      </w:r>
      <w:r w:rsidRPr="00391995">
        <w:rPr>
          <w:szCs w:val="22"/>
        </w:rPr>
        <w:t>further</w:t>
      </w:r>
      <w:r w:rsidRPr="00391995">
        <w:rPr>
          <w:snapToGrid/>
          <w:kern w:val="0"/>
          <w:szCs w:val="22"/>
        </w:rPr>
        <w:t xml:space="preserve"> information, please contact Christopher Koves, Pricing Policy Division, Wireline Competition Bureau, (202) 418-8209, </w:t>
      </w:r>
      <w:hyperlink r:id="rId5" w:history="1">
        <w:r w:rsidRPr="00391995">
          <w:rPr>
            <w:snapToGrid/>
            <w:color w:val="0000FF"/>
            <w:kern w:val="0"/>
            <w:szCs w:val="22"/>
            <w:u w:val="single"/>
          </w:rPr>
          <w:t>Christopher.Koves@fcc.gov</w:t>
        </w:r>
      </w:hyperlink>
      <w:r w:rsidRPr="00391995">
        <w:rPr>
          <w:szCs w:val="22"/>
        </w:rPr>
        <w:t xml:space="preserve">; </w:t>
      </w:r>
      <w:r w:rsidRPr="00391995">
        <w:rPr>
          <w:rFonts w:eastAsia="Calibri"/>
          <w:snapToGrid/>
          <w:kern w:val="0"/>
          <w:szCs w:val="22"/>
        </w:rPr>
        <w:t xml:space="preserve">or Michele Levy Berlove, Competition Policy Division, Wireline Competition Bureau, (202) 418-1477, </w:t>
      </w:r>
      <w:hyperlink r:id="rId6" w:history="1">
        <w:r w:rsidRPr="00391995">
          <w:rPr>
            <w:rFonts w:eastAsia="Calibri"/>
            <w:snapToGrid/>
            <w:color w:val="0000FF"/>
            <w:kern w:val="0"/>
            <w:szCs w:val="22"/>
            <w:u w:val="single"/>
          </w:rPr>
          <w:t>Michele.Berlove@fcc.gov</w:t>
        </w:r>
      </w:hyperlink>
      <w:r w:rsidRPr="00391995">
        <w:rPr>
          <w:rFonts w:eastAsia="Calibri"/>
          <w:snapToGrid/>
          <w:kern w:val="0"/>
          <w:szCs w:val="22"/>
        </w:rPr>
        <w:t>.</w:t>
      </w:r>
    </w:p>
    <w:p w:rsidR="00F96F63" w:rsidRPr="00EE17A2" w:rsidP="00EE17A2" w14:paraId="31BD6E28" w14:textId="77777777">
      <w:pPr>
        <w:jc w:val="center"/>
        <w:rPr>
          <w:szCs w:val="22"/>
        </w:rPr>
      </w:pPr>
      <w:r w:rsidRPr="00EE17A2">
        <w:rPr>
          <w:b/>
          <w:szCs w:val="22"/>
        </w:rPr>
        <w:t>- FCC -</w:t>
      </w:r>
    </w:p>
    <w:p w:rsidR="00930ECF" w:rsidRPr="00EE17A2" w:rsidP="00F96F63" w14:paraId="4B37C42E" w14:textId="77777777">
      <w:pPr>
        <w:rPr>
          <w:szCs w:val="22"/>
        </w:rPr>
      </w:pPr>
    </w:p>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69C2" w:rsidP="0055614C" w14:paraId="3886D785" w14:textId="77777777">
    <w:pPr>
      <w:pStyle w:val="Footer"/>
      <w:framePr w:wrap="around" w:vAnchor="text" w:hAnchor="margin" w:xAlign="center" w:y="1"/>
    </w:pPr>
    <w:r>
      <w:fldChar w:fldCharType="begin"/>
    </w:r>
    <w:r>
      <w:instrText xml:space="preserve">PAGE  </w:instrText>
    </w:r>
    <w:r>
      <w:fldChar w:fldCharType="separate"/>
    </w:r>
    <w:r>
      <w:fldChar w:fldCharType="end"/>
    </w:r>
  </w:p>
  <w:p w:rsidR="001969C2" w14:paraId="2806DB8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69C2" w:rsidP="00910F12" w14:paraId="2BBB3E6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69C2" w14:paraId="05EDD13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065F" w14:paraId="1BC54A03" w14:textId="77777777">
      <w:r>
        <w:separator/>
      </w:r>
    </w:p>
  </w:footnote>
  <w:footnote w:type="continuationSeparator" w:id="1">
    <w:p w:rsidR="007A065F" w14:paraId="0FE53F88" w14:textId="77777777">
      <w:pPr>
        <w:rPr>
          <w:sz w:val="20"/>
        </w:rPr>
      </w:pPr>
      <w:r>
        <w:rPr>
          <w:sz w:val="20"/>
        </w:rPr>
        <w:t xml:space="preserve">(Continued from previous page)  </w:t>
      </w:r>
      <w:r>
        <w:rPr>
          <w:sz w:val="20"/>
        </w:rPr>
        <w:separator/>
      </w:r>
    </w:p>
  </w:footnote>
  <w:footnote w:type="continuationNotice" w:id="2">
    <w:p w:rsidR="007A065F" w:rsidP="00910F12" w14:paraId="18EBFEF3" w14:textId="77777777">
      <w:pPr>
        <w:jc w:val="right"/>
        <w:rPr>
          <w:sz w:val="20"/>
        </w:rPr>
      </w:pPr>
    </w:p>
  </w:footnote>
  <w:footnote w:id="3">
    <w:p w:rsidR="000A5FC0" w:rsidRPr="00F3540E" w:rsidP="00F3540E" w14:paraId="7A7BDC6D" w14:textId="5A6E3591">
      <w:pPr>
        <w:widowControl/>
        <w:autoSpaceDE w:val="0"/>
        <w:autoSpaceDN w:val="0"/>
        <w:adjustRightInd w:val="0"/>
        <w:spacing w:after="120"/>
        <w:rPr>
          <w:sz w:val="20"/>
        </w:rPr>
      </w:pPr>
      <w:r>
        <w:rPr>
          <w:rStyle w:val="FootnoteReference"/>
        </w:rPr>
        <w:footnoteRef/>
      </w:r>
      <w:r>
        <w:t xml:space="preserve"> </w:t>
      </w:r>
      <w:r w:rsidRPr="00F3540E">
        <w:rPr>
          <w:rStyle w:val="FootnoteTextChar"/>
          <w:sz w:val="20"/>
        </w:rPr>
        <w:t xml:space="preserve">The secure data enclave was created to provide access to highly confidential data submitted in the 2015 Data Collection in the price cap business data services (BDS) proceedings.  </w:t>
      </w:r>
      <w:r w:rsidRPr="00F3540E" w:rsidR="00D865DA">
        <w:rPr>
          <w:rStyle w:val="FootnoteTextChar"/>
          <w:sz w:val="20"/>
        </w:rPr>
        <w:t xml:space="preserve">See </w:t>
      </w:r>
      <w:r w:rsidRPr="00F3540E" w:rsidR="002D2742">
        <w:rPr>
          <w:rStyle w:val="FootnoteTextChar"/>
          <w:sz w:val="20"/>
        </w:rPr>
        <w:t xml:space="preserve">generally </w:t>
      </w:r>
      <w:r w:rsidRPr="00F3540E" w:rsidR="00D865DA">
        <w:rPr>
          <w:rStyle w:val="FootnoteTextChar"/>
          <w:sz w:val="20"/>
        </w:rPr>
        <w:t xml:space="preserve">Business Data Services in an Internet Protocol Environment, WC Docket No. 16-143; Special Access for Price Cap Local Exchange Carriers, WC Docket No. 5-25;  </w:t>
      </w:r>
      <w:r w:rsidRPr="00F3540E" w:rsidR="00120772">
        <w:rPr>
          <w:rStyle w:val="FootnoteTextChar"/>
          <w:sz w:val="20"/>
        </w:rPr>
        <w:t xml:space="preserve">AT&amp;T Corporation Petition for Rulemaking to Reform Regulation of Incumbent Local Exchange Carrier Rates for Interstate Special Access Service, RM-10593; </w:t>
      </w:r>
      <w:r w:rsidRPr="00F3540E" w:rsidR="002D2742">
        <w:rPr>
          <w:rStyle w:val="FootnoteTextChar"/>
          <w:sz w:val="20"/>
        </w:rPr>
        <w:t xml:space="preserve">Regulation of Business Data Services for Rate-of-Return Local Exchange Carriers, WC Docket No. 17-144; </w:t>
      </w:r>
      <w:r w:rsidRPr="00F3540E" w:rsidR="00E77A39">
        <w:rPr>
          <w:rStyle w:val="FootnoteTextChar"/>
          <w:sz w:val="20"/>
        </w:rPr>
        <w:t>Petition of USTelecom for Forbearance under 47 U</w:t>
      </w:r>
      <w:r w:rsidRPr="00F3540E" w:rsidR="00120772">
        <w:rPr>
          <w:rStyle w:val="FootnoteTextChar"/>
          <w:sz w:val="20"/>
        </w:rPr>
        <w:t>.</w:t>
      </w:r>
      <w:r w:rsidRPr="00F3540E" w:rsidR="00E77A39">
        <w:rPr>
          <w:rStyle w:val="FootnoteTextChar"/>
          <w:sz w:val="20"/>
        </w:rPr>
        <w:t>S</w:t>
      </w:r>
      <w:r w:rsidRPr="00F3540E" w:rsidR="00120772">
        <w:rPr>
          <w:rStyle w:val="FootnoteTextChar"/>
          <w:sz w:val="20"/>
        </w:rPr>
        <w:t>.</w:t>
      </w:r>
      <w:r w:rsidRPr="00F3540E" w:rsidR="00E77A39">
        <w:rPr>
          <w:rStyle w:val="FootnoteTextChar"/>
          <w:sz w:val="20"/>
        </w:rPr>
        <w:t>C</w:t>
      </w:r>
      <w:r w:rsidRPr="00F3540E" w:rsidR="00120772">
        <w:rPr>
          <w:rStyle w:val="FootnoteTextChar"/>
          <w:sz w:val="20"/>
        </w:rPr>
        <w:t>.</w:t>
      </w:r>
      <w:r w:rsidRPr="00F3540E" w:rsidR="00E77A39">
        <w:rPr>
          <w:rStyle w:val="FootnoteTextChar"/>
          <w:sz w:val="20"/>
        </w:rPr>
        <w:t xml:space="preserve"> </w:t>
      </w:r>
      <w:r w:rsidRPr="00F3540E" w:rsidR="00120772">
        <w:rPr>
          <w:rStyle w:val="FootnoteTextChar"/>
          <w:sz w:val="20"/>
        </w:rPr>
        <w:t>§</w:t>
      </w:r>
      <w:r w:rsidRPr="00F3540E" w:rsidR="00E77A39">
        <w:rPr>
          <w:rStyle w:val="FootnoteTextChar"/>
          <w:sz w:val="20"/>
        </w:rPr>
        <w:t xml:space="preserve"> </w:t>
      </w:r>
      <w:r w:rsidRPr="00F3540E" w:rsidR="00120772">
        <w:rPr>
          <w:rStyle w:val="FootnoteTextChar"/>
          <w:sz w:val="20"/>
        </w:rPr>
        <w:t xml:space="preserve">160(c) </w:t>
      </w:r>
      <w:r w:rsidRPr="00F3540E" w:rsidR="00E77A39">
        <w:rPr>
          <w:rStyle w:val="FootnoteTextChar"/>
          <w:sz w:val="20"/>
        </w:rPr>
        <w:t>to Accelerate Investment in Broadband and Next-Generation Networks, WC Docket No. 18-141</w:t>
      </w:r>
      <w:r w:rsidRPr="00EC798F" w:rsidR="00120772">
        <w:rPr>
          <w:sz w:val="20"/>
        </w:rPr>
        <w:t>.</w:t>
      </w:r>
    </w:p>
  </w:footnote>
  <w:footnote w:id="4">
    <w:p w:rsidR="009A2A64" w:rsidP="00766262" w14:paraId="6A0B524E" w14:textId="600AE4DB">
      <w:pPr>
        <w:pStyle w:val="FootnoteText"/>
      </w:pPr>
      <w:r>
        <w:rPr>
          <w:rStyle w:val="FootnoteReference"/>
        </w:rPr>
        <w:footnoteRef/>
      </w:r>
      <w:r>
        <w:t xml:space="preserve"> </w:t>
      </w:r>
      <w:r w:rsidRPr="00C52D18" w:rsidR="00766262">
        <w:rPr>
          <w:i/>
          <w:iCs/>
        </w:rPr>
        <w:t>Wireline Competition Bureau Announces Closure and Archiving of Secure Data Enclave in Price Cap Business Data Services and USTelecom Forbearance Petition Proceedings</w:t>
      </w:r>
      <w:r w:rsidR="00A13672">
        <w:rPr>
          <w:i/>
          <w:iCs/>
        </w:rPr>
        <w:t>, et al.</w:t>
      </w:r>
      <w:r w:rsidR="00766262">
        <w:t xml:space="preserve">, </w:t>
      </w:r>
      <w:r w:rsidR="00A13672">
        <w:t xml:space="preserve">WC Docket Nos. 18-141 et al., Public Notice, 34 FCC Rcd 5086 (WCB 2019).  </w:t>
      </w:r>
    </w:p>
  </w:footnote>
  <w:footnote w:id="5">
    <w:p w:rsidR="002329E5" w14:paraId="13D1E14D" w14:textId="2F94AB59">
      <w:pPr>
        <w:pStyle w:val="FootnoteText"/>
      </w:pPr>
      <w:r>
        <w:rPr>
          <w:rStyle w:val="FootnoteReference"/>
        </w:rPr>
        <w:footnoteRef/>
      </w:r>
      <w:r>
        <w:t xml:space="preserve"> </w:t>
      </w:r>
      <w:r w:rsidRPr="00423985" w:rsidR="00423985">
        <w:rPr>
          <w:i/>
          <w:iCs/>
        </w:rPr>
        <w:t>See, e.g.</w:t>
      </w:r>
      <w:r w:rsidRPr="00423985" w:rsidR="00423985">
        <w:t xml:space="preserve">, </w:t>
      </w:r>
      <w:r w:rsidRPr="00C52D18" w:rsidR="006B2019">
        <w:rPr>
          <w:i/>
          <w:iCs/>
        </w:rPr>
        <w:t>Special Access for Price Cap Local Exchange Carriers et al.</w:t>
      </w:r>
      <w:r w:rsidR="006B2019">
        <w:t xml:space="preserve">, WC Docket No. 05-25 et al., Order and Data Collection Protective Order, 29 FCC Rcd 11657 (WCB 2014).  </w:t>
      </w:r>
    </w:p>
  </w:footnote>
  <w:footnote w:id="6">
    <w:p w:rsidR="002329E5" w:rsidP="00F27498" w14:paraId="6CFCB873" w14:textId="1B5C8C93">
      <w:pPr>
        <w:pStyle w:val="FootnoteText"/>
      </w:pPr>
      <w:r>
        <w:rPr>
          <w:rStyle w:val="FootnoteReference"/>
        </w:rPr>
        <w:footnoteRef/>
      </w:r>
      <w:r>
        <w:t xml:space="preserve"> </w:t>
      </w:r>
      <w:r w:rsidRPr="00C52D18" w:rsidR="00AC7CDA">
        <w:rPr>
          <w:i/>
          <w:iCs/>
        </w:rPr>
        <w:t>Business Data Services in an Internet Protocol Environment et al.</w:t>
      </w:r>
      <w:r w:rsidR="00AC7CDA">
        <w:t xml:space="preserve">, WC Docket Nos. 16-143 et al., </w:t>
      </w:r>
      <w:r w:rsidR="005C0060">
        <w:t xml:space="preserve">Report and Order on Remand and Memorandum Opinion and Order, </w:t>
      </w:r>
      <w:r w:rsidR="00AC7CDA">
        <w:t xml:space="preserve">34 FCC Rcd </w:t>
      </w:r>
      <w:r w:rsidR="009E6320">
        <w:t>5767</w:t>
      </w:r>
      <w:r w:rsidR="00AC7CDA">
        <w:t xml:space="preserve"> (2019)</w:t>
      </w:r>
      <w:r w:rsidR="00932794">
        <w:t xml:space="preserve">.  </w:t>
      </w:r>
    </w:p>
  </w:footnote>
  <w:footnote w:id="7">
    <w:p w:rsidR="005C0060" w:rsidP="005C0060" w14:paraId="18977C79" w14:textId="37C0CE27">
      <w:pPr>
        <w:pStyle w:val="FootnoteText"/>
      </w:pPr>
      <w:r>
        <w:rPr>
          <w:rStyle w:val="FootnoteReference"/>
        </w:rPr>
        <w:footnoteRef/>
      </w:r>
      <w:r>
        <w:t xml:space="preserve"> </w:t>
      </w:r>
      <w:r w:rsidRPr="001B77D4">
        <w:t xml:space="preserve">The </w:t>
      </w:r>
      <w:r w:rsidRPr="001B77D4">
        <w:rPr>
          <w:i/>
          <w:iCs/>
        </w:rPr>
        <w:t>2015 Data Collection</w:t>
      </w:r>
      <w:r w:rsidRPr="001B77D4">
        <w:t>, unlike parties’ work product</w:t>
      </w:r>
      <w:r w:rsidR="001C79BA">
        <w:t>s</w:t>
      </w:r>
      <w:r w:rsidRPr="001B77D4">
        <w:t>, is a federal record and will be maintained and disposed of consistent with Title 44, Chapter 33 of the U.S. Code and National Archives and Records Administration (NARA)-imposed schedules.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69C2" w:rsidRPr="009838BC" w:rsidP="009838BC" w14:paraId="084F90F0" w14:textId="711AFC8B">
    <w:pPr>
      <w:tabs>
        <w:tab w:val="center" w:pos="4680"/>
        <w:tab w:val="right" w:pos="9360"/>
      </w:tabs>
    </w:pPr>
    <w:r w:rsidRPr="009838BC">
      <w:rPr>
        <w:b/>
      </w:rPr>
      <w:tab/>
      <w:t>Federal Communications Commission</w:t>
    </w:r>
    <w:r w:rsidRPr="009838BC">
      <w:rPr>
        <w:b/>
      </w:rPr>
      <w:tab/>
    </w:r>
    <w:r w:rsidR="009E2B49">
      <w:rPr>
        <w:b/>
      </w:rPr>
      <w:t xml:space="preserve">DA </w:t>
    </w:r>
    <w:r w:rsidR="002875C2">
      <w:rPr>
        <w:b/>
      </w:rPr>
      <w:t>20</w:t>
    </w:r>
    <w:r w:rsidR="009E2B49">
      <w:rPr>
        <w:b/>
      </w:rPr>
      <w:t>-</w:t>
    </w:r>
    <w:r w:rsidR="00F3540E">
      <w:rPr>
        <w:b/>
      </w:rPr>
      <w:t>680</w:t>
    </w:r>
  </w:p>
  <w:p w:rsidR="001969C2" w:rsidRPr="00F3540E" w:rsidP="00F3540E" w14:paraId="6773AD77" w14:textId="33575370">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69C2" w:rsidRPr="00A866AC" w:rsidP="009838BC" w14:paraId="28430AB8"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969C2" w:rsidP="009838BC" w14:textId="77777777">
                          <w:pPr>
                            <w:rPr>
                              <w:rFonts w:ascii="Arial" w:hAnsi="Arial"/>
                              <w:b/>
                            </w:rPr>
                          </w:pPr>
                          <w:r>
                            <w:rPr>
                              <w:rFonts w:ascii="Arial" w:hAnsi="Arial"/>
                              <w:b/>
                            </w:rPr>
                            <w:t>Federal Communications Commission</w:t>
                          </w:r>
                        </w:p>
                        <w:p w:rsidR="001969C2"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969C2"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1969C2" w:rsidP="009838BC" w14:paraId="5C10E4F2" w14:textId="77777777">
                    <w:pPr>
                      <w:rPr>
                        <w:rFonts w:ascii="Arial" w:hAnsi="Arial"/>
                        <w:b/>
                      </w:rPr>
                    </w:pPr>
                    <w:r>
                      <w:rPr>
                        <w:rFonts w:ascii="Arial" w:hAnsi="Arial"/>
                        <w:b/>
                      </w:rPr>
                      <w:t>Federal Communications Commission</w:t>
                    </w:r>
                  </w:p>
                  <w:p w:rsidR="001969C2" w:rsidP="009838BC" w14:paraId="0F2BF068"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969C2" w:rsidP="009838BC" w14:paraId="23B28D1D"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610954"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1969C2" w:rsidRPr="00357D50" w:rsidP="009838BC" w14:paraId="2EFEF895"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969C2" w:rsidP="009838BC" w14:textId="77777777">
                          <w:pPr>
                            <w:spacing w:before="40"/>
                            <w:jc w:val="right"/>
                            <w:rPr>
                              <w:rFonts w:ascii="Arial" w:hAnsi="Arial"/>
                              <w:b/>
                              <w:sz w:val="16"/>
                            </w:rPr>
                          </w:pPr>
                          <w:r>
                            <w:rPr>
                              <w:rFonts w:ascii="Arial" w:hAnsi="Arial"/>
                              <w:b/>
                              <w:sz w:val="16"/>
                            </w:rPr>
                            <w:t>News Media Information 202 / 418-0500</w:t>
                          </w:r>
                        </w:p>
                        <w:p w:rsidR="001969C2"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1969C2"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1969C2" w:rsidP="009838BC" w14:paraId="099D18B9" w14:textId="77777777">
                    <w:pPr>
                      <w:spacing w:before="40"/>
                      <w:jc w:val="right"/>
                      <w:rPr>
                        <w:rFonts w:ascii="Arial" w:hAnsi="Arial"/>
                        <w:b/>
                        <w:sz w:val="16"/>
                      </w:rPr>
                    </w:pPr>
                    <w:r>
                      <w:rPr>
                        <w:rFonts w:ascii="Arial" w:hAnsi="Arial"/>
                        <w:b/>
                        <w:sz w:val="16"/>
                      </w:rPr>
                      <w:t>News Media Information 202 / 418-0500</w:t>
                    </w:r>
                  </w:p>
                  <w:p w:rsidR="001969C2" w:rsidP="009838BC" w14:paraId="6ACA2F9F"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1969C2" w:rsidP="009838BC" w14:paraId="6991CC5D" w14:textId="77777777">
                    <w:pPr>
                      <w:jc w:val="right"/>
                    </w:pPr>
                    <w:r>
                      <w:rPr>
                        <w:rFonts w:ascii="Arial" w:hAnsi="Arial"/>
                        <w:b/>
                        <w:sz w:val="16"/>
                      </w:rPr>
                      <w:t>TTY: 1-888-835-5322</w:t>
                    </w:r>
                  </w:p>
                </w:txbxContent>
              </v:textbox>
            </v:shape>
          </w:pict>
        </mc:Fallback>
      </mc:AlternateContent>
    </w:r>
  </w:p>
  <w:p w:rsidR="001969C2" w:rsidRPr="009838BC" w:rsidP="009838BC" w14:paraId="06932767"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C6A"/>
    <w:rsid w:val="00004540"/>
    <w:rsid w:val="000072CE"/>
    <w:rsid w:val="00013A8B"/>
    <w:rsid w:val="000165E2"/>
    <w:rsid w:val="00021445"/>
    <w:rsid w:val="000300F5"/>
    <w:rsid w:val="00036039"/>
    <w:rsid w:val="00037F90"/>
    <w:rsid w:val="00052D8F"/>
    <w:rsid w:val="0005440B"/>
    <w:rsid w:val="00057E77"/>
    <w:rsid w:val="000875BF"/>
    <w:rsid w:val="00096D8C"/>
    <w:rsid w:val="000A4B9F"/>
    <w:rsid w:val="000A5FC0"/>
    <w:rsid w:val="000A6D94"/>
    <w:rsid w:val="000B1635"/>
    <w:rsid w:val="000C0B65"/>
    <w:rsid w:val="000E3D42"/>
    <w:rsid w:val="000E5884"/>
    <w:rsid w:val="000F3F2A"/>
    <w:rsid w:val="000F5DAE"/>
    <w:rsid w:val="000F64DB"/>
    <w:rsid w:val="001011D9"/>
    <w:rsid w:val="00102645"/>
    <w:rsid w:val="00120772"/>
    <w:rsid w:val="00122BD5"/>
    <w:rsid w:val="00144E18"/>
    <w:rsid w:val="001721DB"/>
    <w:rsid w:val="00187BC3"/>
    <w:rsid w:val="001969C2"/>
    <w:rsid w:val="001979D9"/>
    <w:rsid w:val="001B77D4"/>
    <w:rsid w:val="001C79BA"/>
    <w:rsid w:val="001D6BCF"/>
    <w:rsid w:val="001E01CA"/>
    <w:rsid w:val="001E125A"/>
    <w:rsid w:val="001E5764"/>
    <w:rsid w:val="002060D9"/>
    <w:rsid w:val="00213C6A"/>
    <w:rsid w:val="00221A7C"/>
    <w:rsid w:val="00226822"/>
    <w:rsid w:val="00227801"/>
    <w:rsid w:val="002329E5"/>
    <w:rsid w:val="0024684F"/>
    <w:rsid w:val="00260594"/>
    <w:rsid w:val="00272F10"/>
    <w:rsid w:val="002755AD"/>
    <w:rsid w:val="00280CC4"/>
    <w:rsid w:val="00285017"/>
    <w:rsid w:val="002875C2"/>
    <w:rsid w:val="002A2D2E"/>
    <w:rsid w:val="002A7311"/>
    <w:rsid w:val="002D2742"/>
    <w:rsid w:val="002D735F"/>
    <w:rsid w:val="002F6081"/>
    <w:rsid w:val="00305B37"/>
    <w:rsid w:val="00320D50"/>
    <w:rsid w:val="00343749"/>
    <w:rsid w:val="0035363E"/>
    <w:rsid w:val="00357D50"/>
    <w:rsid w:val="0037024F"/>
    <w:rsid w:val="00387700"/>
    <w:rsid w:val="00390963"/>
    <w:rsid w:val="00391995"/>
    <w:rsid w:val="003925DC"/>
    <w:rsid w:val="003947F5"/>
    <w:rsid w:val="003A4697"/>
    <w:rsid w:val="003B0550"/>
    <w:rsid w:val="003B23C5"/>
    <w:rsid w:val="003B694F"/>
    <w:rsid w:val="003D43BF"/>
    <w:rsid w:val="003D4981"/>
    <w:rsid w:val="003F171C"/>
    <w:rsid w:val="003F74A9"/>
    <w:rsid w:val="003F78AE"/>
    <w:rsid w:val="00412FC5"/>
    <w:rsid w:val="00422276"/>
    <w:rsid w:val="00423985"/>
    <w:rsid w:val="004242F1"/>
    <w:rsid w:val="0044312B"/>
    <w:rsid w:val="00445A00"/>
    <w:rsid w:val="00451B0F"/>
    <w:rsid w:val="0046125F"/>
    <w:rsid w:val="00473177"/>
    <w:rsid w:val="00475561"/>
    <w:rsid w:val="00485F86"/>
    <w:rsid w:val="00487524"/>
    <w:rsid w:val="00490DF1"/>
    <w:rsid w:val="0049355E"/>
    <w:rsid w:val="00496106"/>
    <w:rsid w:val="00497193"/>
    <w:rsid w:val="004A685B"/>
    <w:rsid w:val="004A764D"/>
    <w:rsid w:val="004A7982"/>
    <w:rsid w:val="004B7300"/>
    <w:rsid w:val="004B7E45"/>
    <w:rsid w:val="004C12D0"/>
    <w:rsid w:val="004C2EE3"/>
    <w:rsid w:val="004E1F50"/>
    <w:rsid w:val="004E4A22"/>
    <w:rsid w:val="00500737"/>
    <w:rsid w:val="0050174D"/>
    <w:rsid w:val="00511968"/>
    <w:rsid w:val="005211BF"/>
    <w:rsid w:val="00522493"/>
    <w:rsid w:val="0055614C"/>
    <w:rsid w:val="0056467A"/>
    <w:rsid w:val="0056607E"/>
    <w:rsid w:val="0057077A"/>
    <w:rsid w:val="005912F8"/>
    <w:rsid w:val="005A7D02"/>
    <w:rsid w:val="005C0060"/>
    <w:rsid w:val="005F2D09"/>
    <w:rsid w:val="005F6741"/>
    <w:rsid w:val="00607BA5"/>
    <w:rsid w:val="00626EB6"/>
    <w:rsid w:val="006278F5"/>
    <w:rsid w:val="006353A3"/>
    <w:rsid w:val="00655D03"/>
    <w:rsid w:val="0066492C"/>
    <w:rsid w:val="00665F78"/>
    <w:rsid w:val="006663E7"/>
    <w:rsid w:val="0066695B"/>
    <w:rsid w:val="00683F84"/>
    <w:rsid w:val="00694D71"/>
    <w:rsid w:val="006A6A81"/>
    <w:rsid w:val="006B2019"/>
    <w:rsid w:val="006E26AF"/>
    <w:rsid w:val="006F4FC0"/>
    <w:rsid w:val="006F7393"/>
    <w:rsid w:val="0070224F"/>
    <w:rsid w:val="00703D73"/>
    <w:rsid w:val="007115F7"/>
    <w:rsid w:val="00713E38"/>
    <w:rsid w:val="00714470"/>
    <w:rsid w:val="00744E7A"/>
    <w:rsid w:val="00753EC0"/>
    <w:rsid w:val="00756AFC"/>
    <w:rsid w:val="00766262"/>
    <w:rsid w:val="00785689"/>
    <w:rsid w:val="00791A13"/>
    <w:rsid w:val="00794D53"/>
    <w:rsid w:val="0079754B"/>
    <w:rsid w:val="007A065F"/>
    <w:rsid w:val="007A1E6D"/>
    <w:rsid w:val="007A7D04"/>
    <w:rsid w:val="007D2BF2"/>
    <w:rsid w:val="007F7F4C"/>
    <w:rsid w:val="00822CE0"/>
    <w:rsid w:val="00826AC3"/>
    <w:rsid w:val="00833B4C"/>
    <w:rsid w:val="00837C62"/>
    <w:rsid w:val="00841AB1"/>
    <w:rsid w:val="008614C6"/>
    <w:rsid w:val="00862C5A"/>
    <w:rsid w:val="00864E28"/>
    <w:rsid w:val="008701FE"/>
    <w:rsid w:val="008714F5"/>
    <w:rsid w:val="008864B6"/>
    <w:rsid w:val="008B0269"/>
    <w:rsid w:val="008B5EBE"/>
    <w:rsid w:val="008C22FD"/>
    <w:rsid w:val="008C7534"/>
    <w:rsid w:val="008D5BD3"/>
    <w:rsid w:val="008F6A8E"/>
    <w:rsid w:val="00910F12"/>
    <w:rsid w:val="00926503"/>
    <w:rsid w:val="00930ECF"/>
    <w:rsid w:val="00932794"/>
    <w:rsid w:val="00942D06"/>
    <w:rsid w:val="009802F7"/>
    <w:rsid w:val="009838BC"/>
    <w:rsid w:val="00987188"/>
    <w:rsid w:val="009953DC"/>
    <w:rsid w:val="009A135B"/>
    <w:rsid w:val="009A2394"/>
    <w:rsid w:val="009A2A64"/>
    <w:rsid w:val="009B0FEB"/>
    <w:rsid w:val="009B11DA"/>
    <w:rsid w:val="009E2B49"/>
    <w:rsid w:val="009E6320"/>
    <w:rsid w:val="00A11443"/>
    <w:rsid w:val="00A13672"/>
    <w:rsid w:val="00A27E81"/>
    <w:rsid w:val="00A33458"/>
    <w:rsid w:val="00A45F4F"/>
    <w:rsid w:val="00A600A9"/>
    <w:rsid w:val="00A74326"/>
    <w:rsid w:val="00A83774"/>
    <w:rsid w:val="00A866AC"/>
    <w:rsid w:val="00A9441A"/>
    <w:rsid w:val="00AA3357"/>
    <w:rsid w:val="00AA4820"/>
    <w:rsid w:val="00AA55B7"/>
    <w:rsid w:val="00AA5B9E"/>
    <w:rsid w:val="00AA76B7"/>
    <w:rsid w:val="00AB2407"/>
    <w:rsid w:val="00AB53DF"/>
    <w:rsid w:val="00AC7CDA"/>
    <w:rsid w:val="00AF3F35"/>
    <w:rsid w:val="00AF4EBE"/>
    <w:rsid w:val="00B0163D"/>
    <w:rsid w:val="00B07E5C"/>
    <w:rsid w:val="00B16BF4"/>
    <w:rsid w:val="00B326E3"/>
    <w:rsid w:val="00B462E5"/>
    <w:rsid w:val="00B571FC"/>
    <w:rsid w:val="00B75332"/>
    <w:rsid w:val="00B811F7"/>
    <w:rsid w:val="00B95A84"/>
    <w:rsid w:val="00BA5DC6"/>
    <w:rsid w:val="00BA6196"/>
    <w:rsid w:val="00BC214B"/>
    <w:rsid w:val="00BC3547"/>
    <w:rsid w:val="00BC6D8C"/>
    <w:rsid w:val="00BF31F9"/>
    <w:rsid w:val="00C0268C"/>
    <w:rsid w:val="00C06194"/>
    <w:rsid w:val="00C16AF2"/>
    <w:rsid w:val="00C201DD"/>
    <w:rsid w:val="00C2136A"/>
    <w:rsid w:val="00C34006"/>
    <w:rsid w:val="00C426B1"/>
    <w:rsid w:val="00C452CD"/>
    <w:rsid w:val="00C52D18"/>
    <w:rsid w:val="00C635A1"/>
    <w:rsid w:val="00C6701D"/>
    <w:rsid w:val="00C73663"/>
    <w:rsid w:val="00C7495E"/>
    <w:rsid w:val="00C82B6B"/>
    <w:rsid w:val="00C8589F"/>
    <w:rsid w:val="00C90D6A"/>
    <w:rsid w:val="00CA3938"/>
    <w:rsid w:val="00CA4DD5"/>
    <w:rsid w:val="00CC72B6"/>
    <w:rsid w:val="00CD2DB0"/>
    <w:rsid w:val="00D0218D"/>
    <w:rsid w:val="00D216CD"/>
    <w:rsid w:val="00D27549"/>
    <w:rsid w:val="00D35851"/>
    <w:rsid w:val="00D80980"/>
    <w:rsid w:val="00D865DA"/>
    <w:rsid w:val="00D931C1"/>
    <w:rsid w:val="00DA1929"/>
    <w:rsid w:val="00DA2529"/>
    <w:rsid w:val="00DB130A"/>
    <w:rsid w:val="00DC10A1"/>
    <w:rsid w:val="00DC2452"/>
    <w:rsid w:val="00DC655F"/>
    <w:rsid w:val="00DD13BA"/>
    <w:rsid w:val="00DD42C7"/>
    <w:rsid w:val="00DD7EBD"/>
    <w:rsid w:val="00DE3F54"/>
    <w:rsid w:val="00DF1C3A"/>
    <w:rsid w:val="00DF2F69"/>
    <w:rsid w:val="00DF62B6"/>
    <w:rsid w:val="00E06FF3"/>
    <w:rsid w:val="00E07225"/>
    <w:rsid w:val="00E115D1"/>
    <w:rsid w:val="00E155B7"/>
    <w:rsid w:val="00E25CE4"/>
    <w:rsid w:val="00E530B8"/>
    <w:rsid w:val="00E5409F"/>
    <w:rsid w:val="00E77A39"/>
    <w:rsid w:val="00E77D7F"/>
    <w:rsid w:val="00E94122"/>
    <w:rsid w:val="00EA020E"/>
    <w:rsid w:val="00EA0E27"/>
    <w:rsid w:val="00EA4BB5"/>
    <w:rsid w:val="00EA63A5"/>
    <w:rsid w:val="00EC0185"/>
    <w:rsid w:val="00EC798F"/>
    <w:rsid w:val="00EE17A2"/>
    <w:rsid w:val="00EE4E95"/>
    <w:rsid w:val="00EE5281"/>
    <w:rsid w:val="00EF113B"/>
    <w:rsid w:val="00EF2330"/>
    <w:rsid w:val="00F021FA"/>
    <w:rsid w:val="00F22880"/>
    <w:rsid w:val="00F245E6"/>
    <w:rsid w:val="00F27498"/>
    <w:rsid w:val="00F3043A"/>
    <w:rsid w:val="00F353F4"/>
    <w:rsid w:val="00F3540E"/>
    <w:rsid w:val="00F57ACA"/>
    <w:rsid w:val="00F61DCF"/>
    <w:rsid w:val="00F62E97"/>
    <w:rsid w:val="00F64209"/>
    <w:rsid w:val="00F778FB"/>
    <w:rsid w:val="00F93BF5"/>
    <w:rsid w:val="00F96F63"/>
    <w:rsid w:val="00FB39F7"/>
    <w:rsid w:val="00FC3A11"/>
    <w:rsid w:val="00FD7A75"/>
    <w:rsid w:val="00FE216D"/>
    <w:rsid w:val="00FE22FD"/>
    <w:rsid w:val="00FF16D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B0B76D1-278D-4A05-AF08-AC55D087D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40E"/>
    <w:pPr>
      <w:widowControl w:val="0"/>
    </w:pPr>
    <w:rPr>
      <w:snapToGrid w:val="0"/>
      <w:kern w:val="28"/>
      <w:sz w:val="22"/>
    </w:rPr>
  </w:style>
  <w:style w:type="paragraph" w:styleId="Heading1">
    <w:name w:val="heading 1"/>
    <w:basedOn w:val="Normal"/>
    <w:next w:val="ParaNum"/>
    <w:qFormat/>
    <w:rsid w:val="00F3540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F3540E"/>
    <w:pPr>
      <w:keepNext/>
      <w:numPr>
        <w:ilvl w:val="1"/>
        <w:numId w:val="3"/>
      </w:numPr>
      <w:spacing w:after="120"/>
      <w:outlineLvl w:val="1"/>
    </w:pPr>
    <w:rPr>
      <w:b/>
    </w:rPr>
  </w:style>
  <w:style w:type="paragraph" w:styleId="Heading3">
    <w:name w:val="heading 3"/>
    <w:basedOn w:val="Normal"/>
    <w:next w:val="ParaNum"/>
    <w:qFormat/>
    <w:rsid w:val="00F3540E"/>
    <w:pPr>
      <w:keepNext/>
      <w:numPr>
        <w:ilvl w:val="2"/>
        <w:numId w:val="3"/>
      </w:numPr>
      <w:tabs>
        <w:tab w:val="left" w:pos="2160"/>
      </w:tabs>
      <w:spacing w:after="120"/>
      <w:outlineLvl w:val="2"/>
    </w:pPr>
    <w:rPr>
      <w:b/>
    </w:rPr>
  </w:style>
  <w:style w:type="paragraph" w:styleId="Heading4">
    <w:name w:val="heading 4"/>
    <w:basedOn w:val="Normal"/>
    <w:next w:val="ParaNum"/>
    <w:qFormat/>
    <w:rsid w:val="00F3540E"/>
    <w:pPr>
      <w:keepNext/>
      <w:numPr>
        <w:ilvl w:val="3"/>
        <w:numId w:val="3"/>
      </w:numPr>
      <w:tabs>
        <w:tab w:val="left" w:pos="2880"/>
      </w:tabs>
      <w:spacing w:after="120"/>
      <w:outlineLvl w:val="3"/>
    </w:pPr>
    <w:rPr>
      <w:b/>
    </w:rPr>
  </w:style>
  <w:style w:type="paragraph" w:styleId="Heading5">
    <w:name w:val="heading 5"/>
    <w:basedOn w:val="Normal"/>
    <w:next w:val="ParaNum"/>
    <w:qFormat/>
    <w:rsid w:val="00F3540E"/>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F3540E"/>
    <w:pPr>
      <w:numPr>
        <w:ilvl w:val="5"/>
        <w:numId w:val="3"/>
      </w:numPr>
      <w:tabs>
        <w:tab w:val="left" w:pos="4320"/>
      </w:tabs>
      <w:spacing w:after="120"/>
      <w:outlineLvl w:val="5"/>
    </w:pPr>
    <w:rPr>
      <w:b/>
    </w:rPr>
  </w:style>
  <w:style w:type="paragraph" w:styleId="Heading7">
    <w:name w:val="heading 7"/>
    <w:basedOn w:val="Normal"/>
    <w:next w:val="ParaNum"/>
    <w:qFormat/>
    <w:rsid w:val="00F3540E"/>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F3540E"/>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F3540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F3540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F3540E"/>
  </w:style>
  <w:style w:type="paragraph" w:customStyle="1" w:styleId="ParaNum">
    <w:name w:val="ParaNum"/>
    <w:basedOn w:val="Normal"/>
    <w:rsid w:val="00F3540E"/>
    <w:pPr>
      <w:numPr>
        <w:numId w:val="2"/>
      </w:numPr>
      <w:tabs>
        <w:tab w:val="clear" w:pos="1080"/>
        <w:tab w:val="num" w:pos="1440"/>
      </w:tabs>
      <w:spacing w:after="120"/>
    </w:pPr>
  </w:style>
  <w:style w:type="paragraph" w:styleId="EndnoteText">
    <w:name w:val="endnote text"/>
    <w:basedOn w:val="Normal"/>
    <w:semiHidden/>
    <w:rsid w:val="00F3540E"/>
    <w:rPr>
      <w:sz w:val="20"/>
    </w:rPr>
  </w:style>
  <w:style w:type="character" w:styleId="EndnoteReference">
    <w:name w:val="endnote reference"/>
    <w:semiHidden/>
    <w:rsid w:val="00F3540E"/>
    <w:rPr>
      <w:vertAlign w:val="superscript"/>
    </w:rPr>
  </w:style>
  <w:style w:type="paragraph" w:styleId="FootnoteText">
    <w:name w:val="footnote text"/>
    <w:aliases w:val="ALTS FOOTNOTE,Footnote Text Char Char Char Char,Footnote Text Char Char Char Char Char Char,Footnote Text Char1 Char Char Char Char,Footnote Text Char1 Char1 Char,Footnote Text Char2,Footnote Text Char3 Char Char Char Char Char Char,f,fn"/>
    <w:link w:val="FootnoteTextChar"/>
    <w:rsid w:val="00F3540E"/>
    <w:pPr>
      <w:spacing w:after="120"/>
    </w:pPr>
  </w:style>
  <w:style w:type="character" w:styleId="FootnoteReference">
    <w:name w:val="footnote reference"/>
    <w:semiHidden/>
    <w:rsid w:val="00F3540E"/>
    <w:rPr>
      <w:rFonts w:ascii="Times New Roman" w:hAnsi="Times New Roman"/>
      <w:dstrike w:val="0"/>
      <w:color w:val="auto"/>
      <w:sz w:val="22"/>
      <w:vertAlign w:val="superscript"/>
    </w:rPr>
  </w:style>
  <w:style w:type="paragraph" w:styleId="TOC1">
    <w:name w:val="toc 1"/>
    <w:basedOn w:val="Normal"/>
    <w:next w:val="Normal"/>
    <w:uiPriority w:val="39"/>
    <w:rsid w:val="00F3540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3540E"/>
    <w:pPr>
      <w:tabs>
        <w:tab w:val="left" w:pos="720"/>
        <w:tab w:val="right" w:leader="dot" w:pos="9360"/>
      </w:tabs>
      <w:suppressAutoHyphens/>
      <w:ind w:left="720" w:right="720" w:hanging="360"/>
    </w:pPr>
    <w:rPr>
      <w:noProof/>
    </w:rPr>
  </w:style>
  <w:style w:type="paragraph" w:styleId="TOC3">
    <w:name w:val="toc 3"/>
    <w:basedOn w:val="Normal"/>
    <w:next w:val="Normal"/>
    <w:semiHidden/>
    <w:rsid w:val="00F3540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3540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3540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3540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3540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3540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3540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3540E"/>
    <w:pPr>
      <w:tabs>
        <w:tab w:val="right" w:pos="9360"/>
      </w:tabs>
      <w:suppressAutoHyphens/>
    </w:pPr>
  </w:style>
  <w:style w:type="character" w:customStyle="1" w:styleId="EquationCaption">
    <w:name w:val="_Equation Caption"/>
    <w:rsid w:val="00F3540E"/>
  </w:style>
  <w:style w:type="paragraph" w:styleId="Header">
    <w:name w:val="header"/>
    <w:basedOn w:val="Normal"/>
    <w:autoRedefine/>
    <w:rsid w:val="00F3540E"/>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F3540E"/>
    <w:pPr>
      <w:tabs>
        <w:tab w:val="center" w:pos="4320"/>
        <w:tab w:val="right" w:pos="8640"/>
      </w:tabs>
    </w:pPr>
  </w:style>
  <w:style w:type="character" w:styleId="PageNumber">
    <w:name w:val="page number"/>
    <w:basedOn w:val="DefaultParagraphFont"/>
    <w:rsid w:val="00F3540E"/>
  </w:style>
  <w:style w:type="paragraph" w:styleId="BlockText">
    <w:name w:val="Block Text"/>
    <w:basedOn w:val="Normal"/>
    <w:rsid w:val="00F3540E"/>
    <w:pPr>
      <w:spacing w:after="240"/>
      <w:ind w:left="1440" w:right="1440"/>
    </w:pPr>
  </w:style>
  <w:style w:type="paragraph" w:customStyle="1" w:styleId="Paratitle">
    <w:name w:val="Para title"/>
    <w:basedOn w:val="Normal"/>
    <w:rsid w:val="00F3540E"/>
    <w:pPr>
      <w:tabs>
        <w:tab w:val="center" w:pos="9270"/>
      </w:tabs>
      <w:spacing w:after="240"/>
    </w:pPr>
    <w:rPr>
      <w:spacing w:val="-2"/>
    </w:rPr>
  </w:style>
  <w:style w:type="paragraph" w:customStyle="1" w:styleId="Bullet">
    <w:name w:val="Bullet"/>
    <w:basedOn w:val="Normal"/>
    <w:rsid w:val="00F3540E"/>
    <w:pPr>
      <w:numPr>
        <w:numId w:val="1"/>
      </w:numPr>
      <w:tabs>
        <w:tab w:val="clear" w:pos="360"/>
        <w:tab w:val="left" w:pos="2160"/>
      </w:tabs>
      <w:spacing w:after="220"/>
      <w:ind w:left="2160" w:hanging="720"/>
    </w:pPr>
  </w:style>
  <w:style w:type="paragraph" w:customStyle="1" w:styleId="TableFormat">
    <w:name w:val="TableFormat"/>
    <w:basedOn w:val="Bullet"/>
    <w:rsid w:val="00F3540E"/>
    <w:pPr>
      <w:numPr>
        <w:numId w:val="0"/>
      </w:numPr>
      <w:tabs>
        <w:tab w:val="clear" w:pos="2160"/>
        <w:tab w:val="left" w:pos="5040"/>
      </w:tabs>
      <w:ind w:left="5040" w:hanging="3600"/>
    </w:pPr>
  </w:style>
  <w:style w:type="paragraph" w:customStyle="1" w:styleId="TOCTitle">
    <w:name w:val="TOC Title"/>
    <w:basedOn w:val="Normal"/>
    <w:rsid w:val="00F3540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3540E"/>
    <w:pPr>
      <w:jc w:val="center"/>
    </w:pPr>
    <w:rPr>
      <w:rFonts w:ascii="Times New Roman Bold" w:hAnsi="Times New Roman Bold"/>
      <w:b/>
      <w:bCs/>
      <w:caps/>
      <w:szCs w:val="22"/>
    </w:rPr>
  </w:style>
  <w:style w:type="character" w:styleId="Hyperlink">
    <w:name w:val="Hyperlink"/>
    <w:rsid w:val="00F3540E"/>
    <w:rPr>
      <w:color w:val="0000FF"/>
      <w:u w:val="single"/>
    </w:rPr>
  </w:style>
  <w:style w:type="character" w:customStyle="1" w:styleId="FooterChar">
    <w:name w:val="Footer Char"/>
    <w:link w:val="Footer"/>
    <w:uiPriority w:val="99"/>
    <w:rsid w:val="00F3540E"/>
    <w:rPr>
      <w:snapToGrid w:val="0"/>
      <w:kern w:val="28"/>
      <w:sz w:val="22"/>
    </w:rPr>
  </w:style>
  <w:style w:type="character" w:customStyle="1" w:styleId="FootnoteTextChar">
    <w:name w:val="Footnote Text Char"/>
    <w:aliases w:val="ALTS FOOTNOTE Char,Footnote Text Char Char Char Char Char,Footnote Text Char Char Char Char Char Char Char,Footnote Text Char1 Char Char Char Char Char,Footnote Text Char1 Char1 Char Char,Footnote Text Char2 Char,f Char,fn Char"/>
    <w:link w:val="FootnoteText"/>
    <w:rsid w:val="005F2D09"/>
  </w:style>
  <w:style w:type="character" w:styleId="CommentReference">
    <w:name w:val="annotation reference"/>
    <w:uiPriority w:val="99"/>
    <w:semiHidden/>
    <w:unhideWhenUsed/>
    <w:rsid w:val="005F2D09"/>
    <w:rPr>
      <w:sz w:val="16"/>
      <w:szCs w:val="16"/>
    </w:rPr>
  </w:style>
  <w:style w:type="paragraph" w:styleId="CommentText">
    <w:name w:val="annotation text"/>
    <w:basedOn w:val="Normal"/>
    <w:link w:val="CommentTextChar"/>
    <w:uiPriority w:val="99"/>
    <w:unhideWhenUsed/>
    <w:rsid w:val="005F2D09"/>
    <w:rPr>
      <w:sz w:val="20"/>
    </w:rPr>
  </w:style>
  <w:style w:type="character" w:customStyle="1" w:styleId="CommentTextChar">
    <w:name w:val="Comment Text Char"/>
    <w:link w:val="CommentText"/>
    <w:uiPriority w:val="99"/>
    <w:rsid w:val="005F2D09"/>
    <w:rPr>
      <w:snapToGrid w:val="0"/>
      <w:kern w:val="28"/>
    </w:rPr>
  </w:style>
  <w:style w:type="paragraph" w:styleId="BalloonText">
    <w:name w:val="Balloon Text"/>
    <w:basedOn w:val="Normal"/>
    <w:link w:val="BalloonTextChar"/>
    <w:uiPriority w:val="99"/>
    <w:semiHidden/>
    <w:unhideWhenUsed/>
    <w:rsid w:val="005F2D09"/>
    <w:rPr>
      <w:rFonts w:ascii="Segoe UI" w:hAnsi="Segoe UI" w:cs="Segoe UI"/>
      <w:sz w:val="18"/>
      <w:szCs w:val="18"/>
    </w:rPr>
  </w:style>
  <w:style w:type="character" w:customStyle="1" w:styleId="BalloonTextChar">
    <w:name w:val="Balloon Text Char"/>
    <w:link w:val="BalloonText"/>
    <w:uiPriority w:val="99"/>
    <w:semiHidden/>
    <w:rsid w:val="005F2D09"/>
    <w:rPr>
      <w:rFonts w:ascii="Segoe UI" w:hAnsi="Segoe UI" w:cs="Segoe UI"/>
      <w:snapToGrid w:val="0"/>
      <w:kern w:val="28"/>
      <w:sz w:val="18"/>
      <w:szCs w:val="18"/>
    </w:rPr>
  </w:style>
  <w:style w:type="paragraph" w:styleId="CommentSubject">
    <w:name w:val="annotation subject"/>
    <w:basedOn w:val="CommentText"/>
    <w:next w:val="CommentText"/>
    <w:link w:val="CommentSubjectChar"/>
    <w:uiPriority w:val="99"/>
    <w:semiHidden/>
    <w:unhideWhenUsed/>
    <w:rsid w:val="00305B37"/>
    <w:rPr>
      <w:b/>
      <w:bCs/>
    </w:rPr>
  </w:style>
  <w:style w:type="character" w:customStyle="1" w:styleId="CommentSubjectChar">
    <w:name w:val="Comment Subject Char"/>
    <w:link w:val="CommentSubject"/>
    <w:uiPriority w:val="99"/>
    <w:semiHidden/>
    <w:rsid w:val="00305B37"/>
    <w:rPr>
      <w:b/>
      <w:bCs/>
      <w:snapToGrid w:val="0"/>
      <w:kern w:val="28"/>
    </w:rPr>
  </w:style>
  <w:style w:type="paragraph" w:styleId="Revision">
    <w:name w:val="Revision"/>
    <w:hidden/>
    <w:uiPriority w:val="99"/>
    <w:semiHidden/>
    <w:rsid w:val="00E06FF3"/>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Christopher.Koves@fcc.gov" TargetMode="External" /><Relationship Id="rId6" Type="http://schemas.openxmlformats.org/officeDocument/2006/relationships/hyperlink" Target="mailto:Michele.Berlove@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