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1D4F942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0F455BF" w14:textId="77777777">
      <w:pPr>
        <w:pStyle w:val="StyleBoldCentered"/>
      </w:pPr>
      <w:r>
        <w:t>F</w:t>
      </w:r>
      <w:r>
        <w:rPr>
          <w:caps w:val="0"/>
        </w:rPr>
        <w:t>ederal Communications Commission</w:t>
      </w:r>
    </w:p>
    <w:p w:rsidR="004C2EE3" w:rsidP="00096D8C" w14:paraId="088A3A3C" w14:textId="77777777">
      <w:pPr>
        <w:pStyle w:val="StyleBoldCentered"/>
      </w:pPr>
      <w:r>
        <w:rPr>
          <w:caps w:val="0"/>
        </w:rPr>
        <w:t>Washington, D.C. 20554</w:t>
      </w:r>
    </w:p>
    <w:p w:rsidR="004C2EE3" w:rsidP="0070224F" w14:paraId="39E8CBF7" w14:textId="77777777"/>
    <w:p w:rsidR="004C2EE3" w:rsidP="0070224F" w14:paraId="32E5971A" w14:textId="77777777"/>
    <w:tbl>
      <w:tblPr>
        <w:tblW w:w="0" w:type="auto"/>
        <w:tblLayout w:type="fixed"/>
        <w:tblLook w:val="0000"/>
      </w:tblPr>
      <w:tblGrid>
        <w:gridCol w:w="4698"/>
        <w:gridCol w:w="630"/>
        <w:gridCol w:w="4248"/>
      </w:tblGrid>
      <w:tr w14:paraId="4C756F8F" w14:textId="77777777">
        <w:tblPrEx>
          <w:tblW w:w="0" w:type="auto"/>
          <w:tblLayout w:type="fixed"/>
          <w:tblLook w:val="0000"/>
        </w:tblPrEx>
        <w:tc>
          <w:tcPr>
            <w:tcW w:w="4698" w:type="dxa"/>
          </w:tcPr>
          <w:p w:rsidR="004C2EE3" w14:paraId="2CE28827" w14:textId="77777777">
            <w:pPr>
              <w:tabs>
                <w:tab w:val="center" w:pos="4680"/>
              </w:tabs>
              <w:suppressAutoHyphens/>
              <w:rPr>
                <w:spacing w:val="-2"/>
              </w:rPr>
            </w:pPr>
            <w:r>
              <w:rPr>
                <w:spacing w:val="-2"/>
              </w:rPr>
              <w:t>In the Matter of</w:t>
            </w:r>
          </w:p>
          <w:p w:rsidR="004C2EE3" w14:paraId="098E137E" w14:textId="77777777">
            <w:pPr>
              <w:tabs>
                <w:tab w:val="center" w:pos="4680"/>
              </w:tabs>
              <w:suppressAutoHyphens/>
              <w:rPr>
                <w:spacing w:val="-2"/>
              </w:rPr>
            </w:pPr>
          </w:p>
          <w:p w:rsidR="00DE33EE" w:rsidP="007115F7" w14:paraId="45A45FCE" w14:textId="77777777">
            <w:pPr>
              <w:tabs>
                <w:tab w:val="center" w:pos="4680"/>
              </w:tabs>
              <w:suppressAutoHyphens/>
              <w:rPr>
                <w:spacing w:val="-2"/>
              </w:rPr>
            </w:pPr>
            <w:r>
              <w:rPr>
                <w:spacing w:val="-2"/>
              </w:rPr>
              <w:t>Rural Digital Opportunity Fund</w:t>
            </w:r>
          </w:p>
          <w:p w:rsidR="00223340" w:rsidP="007115F7" w14:paraId="5E34486B" w14:textId="77777777">
            <w:pPr>
              <w:tabs>
                <w:tab w:val="center" w:pos="4680"/>
              </w:tabs>
              <w:suppressAutoHyphens/>
              <w:rPr>
                <w:spacing w:val="-2"/>
              </w:rPr>
            </w:pPr>
          </w:p>
          <w:p w:rsidR="00223340" w:rsidP="00223340" w14:paraId="16CB1773" w14:textId="77777777">
            <w:pPr>
              <w:tabs>
                <w:tab w:val="center" w:pos="4680"/>
              </w:tabs>
              <w:suppressAutoHyphens/>
              <w:rPr>
                <w:spacing w:val="-2"/>
              </w:rPr>
            </w:pPr>
            <w:r>
              <w:rPr>
                <w:spacing w:val="-2"/>
              </w:rPr>
              <w:t xml:space="preserve">The Rural Digital Opportunity Fund </w:t>
            </w:r>
          </w:p>
          <w:p w:rsidR="00223340" w:rsidP="00223340" w14:paraId="084F63CF" w14:textId="32B36E26">
            <w:pPr>
              <w:tabs>
                <w:tab w:val="center" w:pos="4680"/>
              </w:tabs>
              <w:suppressAutoHyphens/>
              <w:rPr>
                <w:spacing w:val="-2"/>
              </w:rPr>
            </w:pPr>
            <w:r>
              <w:rPr>
                <w:spacing w:val="-2"/>
              </w:rPr>
              <w:t>Auction (Auction 904)</w:t>
            </w:r>
          </w:p>
          <w:p w:rsidR="00223340" w:rsidP="00223340" w14:paraId="28957728" w14:textId="0908FAB9">
            <w:pPr>
              <w:tabs>
                <w:tab w:val="center" w:pos="4680"/>
              </w:tabs>
              <w:suppressAutoHyphens/>
              <w:rPr>
                <w:spacing w:val="-2"/>
              </w:rPr>
            </w:pPr>
          </w:p>
          <w:p w:rsidR="00223340" w:rsidP="00223340" w14:paraId="37A4CF70" w14:textId="77777777">
            <w:pPr>
              <w:tabs>
                <w:tab w:val="center" w:pos="4680"/>
              </w:tabs>
              <w:suppressAutoHyphens/>
              <w:rPr>
                <w:spacing w:val="-2"/>
              </w:rPr>
            </w:pPr>
            <w:r>
              <w:rPr>
                <w:spacing w:val="-2"/>
              </w:rPr>
              <w:t>Connect America Fund</w:t>
            </w:r>
          </w:p>
          <w:p w:rsidR="00223340" w:rsidRPr="007115F7" w:rsidP="007115F7" w14:paraId="72FC0BFF" w14:textId="4DFC2C17">
            <w:pPr>
              <w:tabs>
                <w:tab w:val="center" w:pos="4680"/>
              </w:tabs>
              <w:suppressAutoHyphens/>
              <w:rPr>
                <w:spacing w:val="-2"/>
              </w:rPr>
            </w:pPr>
          </w:p>
        </w:tc>
        <w:tc>
          <w:tcPr>
            <w:tcW w:w="630" w:type="dxa"/>
          </w:tcPr>
          <w:p w:rsidR="004C2EE3" w14:paraId="4A65273A" w14:textId="77777777">
            <w:pPr>
              <w:tabs>
                <w:tab w:val="center" w:pos="4680"/>
              </w:tabs>
              <w:suppressAutoHyphens/>
              <w:rPr>
                <w:b/>
                <w:spacing w:val="-2"/>
              </w:rPr>
            </w:pPr>
            <w:r>
              <w:rPr>
                <w:b/>
                <w:spacing w:val="-2"/>
              </w:rPr>
              <w:t>)</w:t>
            </w:r>
          </w:p>
          <w:p w:rsidR="004C2EE3" w14:paraId="259EC3FF" w14:textId="77777777">
            <w:pPr>
              <w:tabs>
                <w:tab w:val="center" w:pos="4680"/>
              </w:tabs>
              <w:suppressAutoHyphens/>
              <w:rPr>
                <w:b/>
                <w:spacing w:val="-2"/>
              </w:rPr>
            </w:pPr>
            <w:r>
              <w:rPr>
                <w:b/>
                <w:spacing w:val="-2"/>
              </w:rPr>
              <w:t>)</w:t>
            </w:r>
          </w:p>
          <w:p w:rsidR="004C2EE3" w14:paraId="56D1E501" w14:textId="77777777">
            <w:pPr>
              <w:tabs>
                <w:tab w:val="center" w:pos="4680"/>
              </w:tabs>
              <w:suppressAutoHyphens/>
              <w:rPr>
                <w:b/>
                <w:spacing w:val="-2"/>
              </w:rPr>
            </w:pPr>
            <w:r>
              <w:rPr>
                <w:b/>
                <w:spacing w:val="-2"/>
              </w:rPr>
              <w:t>)</w:t>
            </w:r>
          </w:p>
          <w:p w:rsidR="004C2EE3" w14:paraId="4D4B2942" w14:textId="77777777">
            <w:pPr>
              <w:tabs>
                <w:tab w:val="center" w:pos="4680"/>
              </w:tabs>
              <w:suppressAutoHyphens/>
              <w:rPr>
                <w:b/>
                <w:spacing w:val="-2"/>
              </w:rPr>
            </w:pPr>
            <w:r>
              <w:rPr>
                <w:b/>
                <w:spacing w:val="-2"/>
              </w:rPr>
              <w:t>)</w:t>
            </w:r>
          </w:p>
          <w:p w:rsidR="004C2EE3" w14:paraId="577AB745" w14:textId="4A6AF63D">
            <w:pPr>
              <w:tabs>
                <w:tab w:val="center" w:pos="4680"/>
              </w:tabs>
              <w:suppressAutoHyphens/>
              <w:rPr>
                <w:b/>
                <w:spacing w:val="-2"/>
              </w:rPr>
            </w:pPr>
            <w:r>
              <w:rPr>
                <w:b/>
                <w:spacing w:val="-2"/>
              </w:rPr>
              <w:t>)</w:t>
            </w:r>
          </w:p>
          <w:p w:rsidR="00223340" w14:paraId="04755975" w14:textId="798BB897">
            <w:pPr>
              <w:tabs>
                <w:tab w:val="center" w:pos="4680"/>
              </w:tabs>
              <w:suppressAutoHyphens/>
              <w:rPr>
                <w:b/>
                <w:spacing w:val="-2"/>
              </w:rPr>
            </w:pPr>
            <w:r>
              <w:rPr>
                <w:b/>
                <w:spacing w:val="-2"/>
              </w:rPr>
              <w:t>)</w:t>
            </w:r>
          </w:p>
          <w:p w:rsidR="00223340" w14:paraId="003560B6" w14:textId="1ACBD04E">
            <w:pPr>
              <w:tabs>
                <w:tab w:val="center" w:pos="4680"/>
              </w:tabs>
              <w:suppressAutoHyphens/>
              <w:rPr>
                <w:b/>
                <w:spacing w:val="-2"/>
              </w:rPr>
            </w:pPr>
            <w:r>
              <w:rPr>
                <w:b/>
                <w:spacing w:val="-2"/>
              </w:rPr>
              <w:t>)</w:t>
            </w:r>
          </w:p>
          <w:p w:rsidR="004C2EE3" w:rsidRPr="00223340" w:rsidP="00DE33EE" w14:paraId="19D5BA4B" w14:textId="26338FDC">
            <w:pPr>
              <w:tabs>
                <w:tab w:val="center" w:pos="4680"/>
              </w:tabs>
              <w:suppressAutoHyphens/>
              <w:rPr>
                <w:b/>
                <w:bCs/>
                <w:spacing w:val="-2"/>
              </w:rPr>
            </w:pPr>
            <w:r w:rsidRPr="00223340">
              <w:rPr>
                <w:b/>
                <w:bCs/>
                <w:spacing w:val="-2"/>
              </w:rPr>
              <w:t>)</w:t>
            </w:r>
          </w:p>
        </w:tc>
        <w:tc>
          <w:tcPr>
            <w:tcW w:w="4248" w:type="dxa"/>
          </w:tcPr>
          <w:p w:rsidR="004C2EE3" w14:paraId="37589C20" w14:textId="77777777">
            <w:pPr>
              <w:tabs>
                <w:tab w:val="center" w:pos="4680"/>
              </w:tabs>
              <w:suppressAutoHyphens/>
              <w:rPr>
                <w:spacing w:val="-2"/>
              </w:rPr>
            </w:pPr>
          </w:p>
          <w:p w:rsidR="004C2EE3" w14:paraId="5D6A3909" w14:textId="77777777">
            <w:pPr>
              <w:pStyle w:val="TOAHeading"/>
              <w:tabs>
                <w:tab w:val="center" w:pos="4680"/>
                <w:tab w:val="clear" w:pos="9360"/>
              </w:tabs>
              <w:rPr>
                <w:spacing w:val="-2"/>
              </w:rPr>
            </w:pPr>
          </w:p>
          <w:p w:rsidR="00DE33EE" w14:paraId="45D46129" w14:textId="77777777">
            <w:pPr>
              <w:tabs>
                <w:tab w:val="center" w:pos="4680"/>
              </w:tabs>
              <w:suppressAutoHyphens/>
              <w:rPr>
                <w:spacing w:val="-2"/>
              </w:rPr>
            </w:pPr>
            <w:r>
              <w:rPr>
                <w:spacing w:val="-2"/>
              </w:rPr>
              <w:t>WC</w:t>
            </w:r>
            <w:r>
              <w:rPr>
                <w:spacing w:val="-2"/>
              </w:rPr>
              <w:t xml:space="preserve"> Docket No. </w:t>
            </w:r>
            <w:r w:rsidR="009231A2">
              <w:rPr>
                <w:spacing w:val="-2"/>
              </w:rPr>
              <w:t>19</w:t>
            </w:r>
            <w:r>
              <w:rPr>
                <w:spacing w:val="-2"/>
              </w:rPr>
              <w:t>-</w:t>
            </w:r>
            <w:r w:rsidR="009231A2">
              <w:rPr>
                <w:spacing w:val="-2"/>
              </w:rPr>
              <w:t>126</w:t>
            </w:r>
          </w:p>
          <w:p w:rsidR="00223340" w14:paraId="4334350B" w14:textId="77777777">
            <w:pPr>
              <w:tabs>
                <w:tab w:val="center" w:pos="4680"/>
              </w:tabs>
              <w:suppressAutoHyphens/>
              <w:rPr>
                <w:spacing w:val="-2"/>
              </w:rPr>
            </w:pPr>
          </w:p>
          <w:p w:rsidR="00223340" w14:paraId="5403D97F" w14:textId="77777777">
            <w:pPr>
              <w:tabs>
                <w:tab w:val="center" w:pos="4680"/>
              </w:tabs>
              <w:suppressAutoHyphens/>
              <w:rPr>
                <w:spacing w:val="-2"/>
              </w:rPr>
            </w:pPr>
            <w:r>
              <w:rPr>
                <w:spacing w:val="-2"/>
              </w:rPr>
              <w:t>AU Docket No. 20-34</w:t>
            </w:r>
          </w:p>
          <w:p w:rsidR="00223340" w14:paraId="68E869A6" w14:textId="77777777">
            <w:pPr>
              <w:tabs>
                <w:tab w:val="center" w:pos="4680"/>
              </w:tabs>
              <w:suppressAutoHyphens/>
              <w:rPr>
                <w:spacing w:val="-2"/>
              </w:rPr>
            </w:pPr>
          </w:p>
          <w:p w:rsidR="00223340" w:rsidP="00223340" w14:paraId="248EE216" w14:textId="77777777">
            <w:pPr>
              <w:tabs>
                <w:tab w:val="center" w:pos="4680"/>
              </w:tabs>
              <w:suppressAutoHyphens/>
              <w:rPr>
                <w:spacing w:val="-2"/>
              </w:rPr>
            </w:pPr>
          </w:p>
          <w:p w:rsidR="00223340" w:rsidP="00223340" w14:paraId="372A06C8" w14:textId="6252FBB3">
            <w:pPr>
              <w:tabs>
                <w:tab w:val="center" w:pos="4680"/>
              </w:tabs>
              <w:suppressAutoHyphens/>
              <w:rPr>
                <w:spacing w:val="-2"/>
              </w:rPr>
            </w:pPr>
            <w:bookmarkStart w:id="0" w:name="_GoBack"/>
            <w:bookmarkEnd w:id="0"/>
            <w:r>
              <w:rPr>
                <w:spacing w:val="-2"/>
              </w:rPr>
              <w:t>WC Docket No. 10-90</w:t>
            </w:r>
          </w:p>
          <w:p w:rsidR="00223340" w14:paraId="3ECCA8D3" w14:textId="32BBC7B0">
            <w:pPr>
              <w:tabs>
                <w:tab w:val="center" w:pos="4680"/>
              </w:tabs>
              <w:suppressAutoHyphens/>
              <w:rPr>
                <w:spacing w:val="-2"/>
              </w:rPr>
            </w:pPr>
          </w:p>
        </w:tc>
      </w:tr>
      <w:tr w14:paraId="17B6C62D" w14:textId="77777777">
        <w:tblPrEx>
          <w:tblW w:w="0" w:type="auto"/>
          <w:tblLayout w:type="fixed"/>
          <w:tblLook w:val="0000"/>
        </w:tblPrEx>
        <w:tc>
          <w:tcPr>
            <w:tcW w:w="4698" w:type="dxa"/>
          </w:tcPr>
          <w:p w:rsidR="00DE33EE" w14:paraId="504590AC" w14:textId="77777777">
            <w:pPr>
              <w:tabs>
                <w:tab w:val="center" w:pos="4680"/>
              </w:tabs>
              <w:suppressAutoHyphens/>
              <w:rPr>
                <w:spacing w:val="-2"/>
              </w:rPr>
            </w:pPr>
          </w:p>
        </w:tc>
        <w:tc>
          <w:tcPr>
            <w:tcW w:w="630" w:type="dxa"/>
          </w:tcPr>
          <w:p w:rsidR="00DE33EE" w14:paraId="17CBFA84" w14:textId="77777777">
            <w:pPr>
              <w:tabs>
                <w:tab w:val="center" w:pos="4680"/>
              </w:tabs>
              <w:suppressAutoHyphens/>
              <w:rPr>
                <w:b/>
                <w:spacing w:val="-2"/>
              </w:rPr>
            </w:pPr>
          </w:p>
        </w:tc>
        <w:tc>
          <w:tcPr>
            <w:tcW w:w="4248" w:type="dxa"/>
          </w:tcPr>
          <w:p w:rsidR="00DE33EE" w14:paraId="0756603D" w14:textId="77777777">
            <w:pPr>
              <w:tabs>
                <w:tab w:val="center" w:pos="4680"/>
              </w:tabs>
              <w:suppressAutoHyphens/>
              <w:rPr>
                <w:spacing w:val="-2"/>
              </w:rPr>
            </w:pPr>
          </w:p>
        </w:tc>
      </w:tr>
    </w:tbl>
    <w:p w:rsidR="00841AB1" w:rsidP="000C2E9B" w14:paraId="1CD751A5" w14:textId="77777777">
      <w:pPr>
        <w:pStyle w:val="StyleBoldCentered"/>
      </w:pPr>
      <w:r>
        <w:t>Order</w:t>
      </w:r>
    </w:p>
    <w:p w:rsidR="004C2EE3" w14:paraId="0B63F120" w14:textId="77777777">
      <w:pPr>
        <w:tabs>
          <w:tab w:val="left" w:pos="-720"/>
        </w:tabs>
        <w:suppressAutoHyphens/>
        <w:spacing w:line="227" w:lineRule="auto"/>
        <w:rPr>
          <w:spacing w:val="-2"/>
        </w:rPr>
      </w:pPr>
    </w:p>
    <w:p w:rsidR="004C2EE3" w:rsidP="00133F79" w14:paraId="1426055C" w14:textId="5592DF3D">
      <w:pPr>
        <w:tabs>
          <w:tab w:val="left" w:pos="720"/>
          <w:tab w:val="right" w:pos="9360"/>
        </w:tabs>
        <w:suppressAutoHyphens/>
        <w:spacing w:line="227" w:lineRule="auto"/>
        <w:rPr>
          <w:spacing w:val="-2"/>
        </w:rPr>
      </w:pPr>
      <w:r>
        <w:rPr>
          <w:b/>
          <w:spacing w:val="-2"/>
        </w:rPr>
        <w:t xml:space="preserve">Adopted:  </w:t>
      </w:r>
      <w:r w:rsidR="00C16DB5">
        <w:rPr>
          <w:b/>
          <w:spacing w:val="-2"/>
        </w:rPr>
        <w:t>June 30,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16DB5">
        <w:rPr>
          <w:b/>
          <w:spacing w:val="-2"/>
        </w:rPr>
        <w:t>June 30, 2020</w:t>
      </w:r>
    </w:p>
    <w:p w:rsidR="00822CE0" w14:paraId="11A85EC2" w14:textId="77777777"/>
    <w:p w:rsidR="004C2EE3" w14:paraId="03480522" w14:textId="77777777">
      <w:pPr>
        <w:rPr>
          <w:spacing w:val="-2"/>
        </w:rPr>
      </w:pPr>
      <w:r>
        <w:t xml:space="preserve">By </w:t>
      </w:r>
      <w:r w:rsidR="004E4A22">
        <w:t>the</w:t>
      </w:r>
      <w:r w:rsidR="002A2D2E">
        <w:t xml:space="preserve"> </w:t>
      </w:r>
      <w:r w:rsidR="00345AF4">
        <w:t xml:space="preserve">Chief, </w:t>
      </w:r>
      <w:r w:rsidR="00DE33EE">
        <w:rPr>
          <w:spacing w:val="-2"/>
        </w:rPr>
        <w:t>Wireline Competition Bureau</w:t>
      </w:r>
      <w:r>
        <w:rPr>
          <w:spacing w:val="-2"/>
        </w:rPr>
        <w:t>:</w:t>
      </w:r>
    </w:p>
    <w:p w:rsidR="00822CE0" w14:paraId="7CF995DB" w14:textId="77777777">
      <w:pPr>
        <w:rPr>
          <w:spacing w:val="-2"/>
        </w:rPr>
      </w:pPr>
    </w:p>
    <w:p w:rsidR="001B25AA" w:rsidP="001B25AA" w14:paraId="0DF6EEB8" w14:textId="77777777">
      <w:pPr>
        <w:pStyle w:val="Heading1"/>
      </w:pPr>
      <w:r>
        <w:t>Introduc</w:t>
      </w:r>
      <w:r w:rsidRPr="00133C02">
        <w:t>tion</w:t>
      </w:r>
    </w:p>
    <w:p w:rsidR="00DE33EE" w:rsidRPr="001B25AA" w:rsidP="001B25AA" w14:paraId="5530D27F" w14:textId="59C8F3E2">
      <w:pPr>
        <w:pStyle w:val="ParaNum"/>
        <w:tabs>
          <w:tab w:val="clear" w:pos="1080"/>
          <w:tab w:val="num" w:pos="1440"/>
        </w:tabs>
      </w:pPr>
      <w:r w:rsidRPr="00133C02">
        <w:t>In this</w:t>
      </w:r>
      <w:r>
        <w:t xml:space="preserve"> Order, the </w:t>
      </w:r>
      <w:bookmarkStart w:id="1" w:name="_Hlk44338483"/>
      <w:r>
        <w:t>Wireline Competition Burea</w:t>
      </w:r>
      <w:r w:rsidR="001F334A">
        <w:t>u</w:t>
      </w:r>
      <w:r w:rsidR="005A1F76">
        <w:t xml:space="preserve"> (Bureau)</w:t>
      </w:r>
      <w:r w:rsidR="001F334A">
        <w:t>, in conjunction with the Rural Broadband Auctions Task Force</w:t>
      </w:r>
      <w:r w:rsidR="00551AF8">
        <w:t xml:space="preserve"> and the Office of Economics and Analytics</w:t>
      </w:r>
      <w:r w:rsidR="001F334A">
        <w:t>,</w:t>
      </w:r>
      <w:r>
        <w:t xml:space="preserve"> </w:t>
      </w:r>
      <w:r w:rsidR="00D264D0">
        <w:t>resolve</w:t>
      </w:r>
      <w:r w:rsidR="00417BE6">
        <w:t>s</w:t>
      </w:r>
      <w:r w:rsidR="00D264D0">
        <w:t xml:space="preserve"> a petition for waiver filed by </w:t>
      </w:r>
      <w:r w:rsidR="00A45BF8">
        <w:t>Johnson Telephone Company</w:t>
      </w:r>
      <w:r w:rsidR="008F020E">
        <w:t xml:space="preserve"> (</w:t>
      </w:r>
      <w:r w:rsidR="00A45BF8">
        <w:t>Johnson</w:t>
      </w:r>
      <w:r w:rsidR="008F020E">
        <w:t xml:space="preserve">) </w:t>
      </w:r>
      <w:r w:rsidR="00A45BF8">
        <w:t xml:space="preserve">of the rule that prohibits </w:t>
      </w:r>
      <w:r w:rsidR="0084111D">
        <w:t xml:space="preserve">entities that defaulted on all of their </w:t>
      </w:r>
      <w:r w:rsidR="00A45BF8">
        <w:t xml:space="preserve">Connect America Fund Phase II </w:t>
      </w:r>
      <w:r w:rsidR="00F9686B">
        <w:t xml:space="preserve">(Auction 903) </w:t>
      </w:r>
      <w:r w:rsidR="0084111D">
        <w:t xml:space="preserve">bids </w:t>
      </w:r>
      <w:r w:rsidR="00A45BF8">
        <w:t>from participating in the Rural Digital Opportunity Fund (Auction 904)</w:t>
      </w:r>
      <w:bookmarkEnd w:id="1"/>
      <w:r w:rsidR="00A45BF8">
        <w:t>.</w:t>
      </w:r>
      <w:r>
        <w:rPr>
          <w:rStyle w:val="FootnoteReference"/>
        </w:rPr>
        <w:footnoteReference w:id="3"/>
      </w:r>
      <w:r w:rsidR="00A45BF8">
        <w:t xml:space="preserve">  </w:t>
      </w:r>
      <w:bookmarkStart w:id="2" w:name="_Hlk36464921"/>
      <w:r w:rsidR="000D7F51">
        <w:t>We find that Johnson has not demonstrated good cause to waive the Commission’s Auction 904 eligibility rule</w:t>
      </w:r>
      <w:r w:rsidR="00D264D0">
        <w:t xml:space="preserve"> and, accordingly, deny the petition</w:t>
      </w:r>
      <w:r w:rsidR="00852592">
        <w:t>.</w:t>
      </w:r>
    </w:p>
    <w:bookmarkEnd w:id="2"/>
    <w:p w:rsidR="001F334A" w:rsidP="00935DDD" w14:paraId="4D08412E" w14:textId="77777777">
      <w:pPr>
        <w:pStyle w:val="Heading1"/>
      </w:pPr>
      <w:r>
        <w:t>Background</w:t>
      </w:r>
    </w:p>
    <w:p w:rsidR="00C53D00" w:rsidRPr="00DE1A79" w:rsidP="000C6A79" w14:paraId="50B962E4" w14:textId="77777777">
      <w:pPr>
        <w:pStyle w:val="ParaNum"/>
        <w:tabs>
          <w:tab w:val="clear" w:pos="1080"/>
          <w:tab w:val="num" w:pos="1440"/>
        </w:tabs>
      </w:pPr>
      <w:r>
        <w:t>The Commission</w:t>
      </w:r>
      <w:r w:rsidR="00530070">
        <w:t>’s eligibility requirements for Auction 904 bar applicant</w:t>
      </w:r>
      <w:r w:rsidR="00E703D9">
        <w:t>s</w:t>
      </w:r>
      <w:r w:rsidR="00530070">
        <w:t xml:space="preserve"> that defaulted on </w:t>
      </w:r>
      <w:r w:rsidR="00E703D9">
        <w:t xml:space="preserve">their </w:t>
      </w:r>
      <w:r w:rsidR="00530070">
        <w:t>entire Auction 903 award from participating in Auction 904</w:t>
      </w:r>
      <w:r>
        <w:t>.</w:t>
      </w:r>
      <w:r>
        <w:rPr>
          <w:rStyle w:val="FootnoteReference"/>
        </w:rPr>
        <w:footnoteReference w:id="4"/>
      </w:r>
      <w:r>
        <w:t xml:space="preserve">  </w:t>
      </w:r>
    </w:p>
    <w:p w:rsidR="0084111D" w:rsidP="0008400B" w14:paraId="7313B538" w14:textId="5344B9F1">
      <w:pPr>
        <w:pStyle w:val="ParaNum"/>
        <w:tabs>
          <w:tab w:val="clear" w:pos="1080"/>
          <w:tab w:val="num" w:pos="1440"/>
        </w:tabs>
      </w:pPr>
      <w:r>
        <w:rPr>
          <w:i/>
        </w:rPr>
        <w:t>Johnson</w:t>
      </w:r>
      <w:r w:rsidR="008F020E">
        <w:rPr>
          <w:i/>
        </w:rPr>
        <w:t>’s Petition</w:t>
      </w:r>
      <w:r w:rsidR="00E10BA5">
        <w:t xml:space="preserve">.  </w:t>
      </w:r>
      <w:r>
        <w:t>Johnson, a rural local exchange carrier</w:t>
      </w:r>
      <w:r>
        <w:t xml:space="preserve"> headquartered in Remer, Minnesota</w:t>
      </w:r>
      <w:r w:rsidR="00296FFF">
        <w:t>,</w:t>
      </w:r>
      <w:r w:rsidR="001D5749">
        <w:t xml:space="preserve"> </w:t>
      </w:r>
      <w:r w:rsidR="00F864AA">
        <w:t>participated in Auction 903</w:t>
      </w:r>
      <w:r>
        <w:t xml:space="preserve"> and bid successfully </w:t>
      </w:r>
      <w:r w:rsidR="009331C6">
        <w:t>for</w:t>
      </w:r>
      <w:r w:rsidR="00C53D00">
        <w:t xml:space="preserve"> $</w:t>
      </w:r>
      <w:r>
        <w:t>81,272</w:t>
      </w:r>
      <w:r w:rsidR="00C53D00">
        <w:t xml:space="preserve"> </w:t>
      </w:r>
      <w:r w:rsidR="008F54B9">
        <w:t xml:space="preserve">in </w:t>
      </w:r>
      <w:r w:rsidR="002839D3">
        <w:t xml:space="preserve">support over </w:t>
      </w:r>
      <w:r w:rsidR="008F54B9">
        <w:t xml:space="preserve">10 years to serve </w:t>
      </w:r>
      <w:r>
        <w:t>47</w:t>
      </w:r>
      <w:r w:rsidR="008F54B9">
        <w:t xml:space="preserve"> </w:t>
      </w:r>
      <w:r w:rsidR="00166F61">
        <w:t>l</w:t>
      </w:r>
      <w:r w:rsidR="008F54B9">
        <w:t xml:space="preserve">ocations in </w:t>
      </w:r>
      <w:r>
        <w:t xml:space="preserve">one census block group in </w:t>
      </w:r>
      <w:r>
        <w:t>Minnesota</w:t>
      </w:r>
      <w:r w:rsidR="008F54B9">
        <w:t>.</w:t>
      </w:r>
      <w:r>
        <w:rPr>
          <w:rStyle w:val="FootnoteReference"/>
        </w:rPr>
        <w:footnoteReference w:id="5"/>
      </w:r>
      <w:r w:rsidR="008F54B9">
        <w:t xml:space="preserve">  </w:t>
      </w:r>
      <w:r>
        <w:t xml:space="preserve">Johnson subsequently notified the Bureau that it would default on its </w:t>
      </w:r>
      <w:r w:rsidR="008C43D9">
        <w:t xml:space="preserve">one winning </w:t>
      </w:r>
      <w:r>
        <w:t>bid.</w:t>
      </w:r>
      <w:r>
        <w:rPr>
          <w:rStyle w:val="FootnoteReference"/>
        </w:rPr>
        <w:footnoteReference w:id="6"/>
      </w:r>
      <w:r>
        <w:t xml:space="preserve">  </w:t>
      </w:r>
      <w:r w:rsidR="009B197A">
        <w:t>On October 11, 2019, t</w:t>
      </w:r>
      <w:r w:rsidR="00952B2C">
        <w:t xml:space="preserve">he Enforcement Bureau </w:t>
      </w:r>
      <w:r>
        <w:t>found that Johnson</w:t>
      </w:r>
      <w:r w:rsidR="00785D6B">
        <w:t xml:space="preserve"> apparently</w:t>
      </w:r>
      <w:r>
        <w:t xml:space="preserve"> had defaulted on its entire bid and </w:t>
      </w:r>
      <w:r w:rsidR="00785D6B">
        <w:t xml:space="preserve">proposed </w:t>
      </w:r>
      <w:r w:rsidR="00F3473C">
        <w:t>a</w:t>
      </w:r>
      <w:r w:rsidR="00952B2C">
        <w:t xml:space="preserve"> $3,000 penalty</w:t>
      </w:r>
      <w:r w:rsidR="00087312">
        <w:t xml:space="preserve"> for Johnson</w:t>
      </w:r>
      <w:r w:rsidR="00952B2C">
        <w:t xml:space="preserve">, which </w:t>
      </w:r>
      <w:r w:rsidR="00785D6B">
        <w:t xml:space="preserve">conceded liability and </w:t>
      </w:r>
      <w:r w:rsidR="00952B2C">
        <w:t>paid on November 14, 2019.</w:t>
      </w:r>
      <w:r>
        <w:rPr>
          <w:rStyle w:val="FootnoteReference"/>
        </w:rPr>
        <w:footnoteReference w:id="7"/>
      </w:r>
      <w:r w:rsidR="00952B2C">
        <w:t xml:space="preserve">  </w:t>
      </w:r>
    </w:p>
    <w:p w:rsidR="00C35E45" w:rsidP="00F01732" w14:paraId="561C10DD" w14:textId="2026724D">
      <w:pPr>
        <w:pStyle w:val="ParaNum"/>
        <w:widowControl/>
        <w:tabs>
          <w:tab w:val="clear" w:pos="1080"/>
          <w:tab w:val="num" w:pos="1440"/>
        </w:tabs>
      </w:pPr>
      <w:r>
        <w:t xml:space="preserve">Johnson </w:t>
      </w:r>
      <w:r w:rsidR="0084111D">
        <w:t xml:space="preserve">now </w:t>
      </w:r>
      <w:r w:rsidR="00E703D9">
        <w:t xml:space="preserve">petitions for </w:t>
      </w:r>
      <w:r>
        <w:t xml:space="preserve">waiver of the Commission’s </w:t>
      </w:r>
      <w:r w:rsidR="00DF78AE">
        <w:t xml:space="preserve">Auction 904 </w:t>
      </w:r>
      <w:r>
        <w:t>eligibility rule</w:t>
      </w:r>
      <w:r w:rsidR="00A646EF">
        <w:t xml:space="preserve"> </w:t>
      </w:r>
      <w:r>
        <w:t xml:space="preserve">barring applicants that defaulted on all of their </w:t>
      </w:r>
      <w:r w:rsidR="00DF78AE">
        <w:t xml:space="preserve">Auction 903 </w:t>
      </w:r>
      <w:r>
        <w:t>bids</w:t>
      </w:r>
      <w:r w:rsidR="0084111D">
        <w:t xml:space="preserve"> so that Johnson can participate in Auction 904</w:t>
      </w:r>
      <w:r w:rsidR="00A646EF">
        <w:t>.</w:t>
      </w:r>
      <w:r>
        <w:rPr>
          <w:rStyle w:val="FootnoteReference"/>
        </w:rPr>
        <w:footnoteReference w:id="8"/>
      </w:r>
      <w:r w:rsidR="00A646EF">
        <w:t xml:space="preserve"> </w:t>
      </w:r>
      <w:r w:rsidR="001B61CF">
        <w:t xml:space="preserve"> </w:t>
      </w:r>
      <w:r w:rsidR="00105A21">
        <w:t>Johnson</w:t>
      </w:r>
      <w:r w:rsidR="0080451D">
        <w:t xml:space="preserve"> </w:t>
      </w:r>
      <w:r w:rsidR="00105A21">
        <w:t xml:space="preserve">claims </w:t>
      </w:r>
      <w:r w:rsidR="00020F52">
        <w:t>that it had no warning that any penalties other than the $3,000 could be assessed for default.</w:t>
      </w:r>
      <w:r>
        <w:rPr>
          <w:rStyle w:val="FootnoteReference"/>
        </w:rPr>
        <w:footnoteReference w:id="9"/>
      </w:r>
      <w:r w:rsidR="00020F52">
        <w:t xml:space="preserve">  It further claims </w:t>
      </w:r>
      <w:r w:rsidR="00417BE6">
        <w:t xml:space="preserve">the </w:t>
      </w:r>
      <w:r w:rsidR="00F413A7">
        <w:t>Commission’s rule that bans it from participation “constitutes an extremely harsh penalty for defaulting on [one census block</w:t>
      </w:r>
      <w:r w:rsidR="0084111D">
        <w:t xml:space="preserve"> group</w:t>
      </w:r>
      <w:r w:rsidR="00F413A7">
        <w:t>],” but then allows partial defaulters to participate with Auction 903 defaults “[that] involved far more [census block groups].”</w:t>
      </w:r>
      <w:r>
        <w:rPr>
          <w:rStyle w:val="FootnoteReference"/>
        </w:rPr>
        <w:footnoteReference w:id="10"/>
      </w:r>
      <w:r w:rsidR="00F413A7">
        <w:t xml:space="preserve">  </w:t>
      </w:r>
      <w:r w:rsidR="00A04250">
        <w:t xml:space="preserve">Johnson states that “[it] will not make </w:t>
      </w:r>
      <w:r w:rsidR="00D468CF">
        <w:t>[</w:t>
      </w:r>
      <w:r w:rsidR="00A04250">
        <w:t>the</w:t>
      </w:r>
      <w:r w:rsidR="00D468CF">
        <w:t>]</w:t>
      </w:r>
      <w:r w:rsidR="00A04250">
        <w:t xml:space="preserve"> mistake again and will bid more carefully during the </w:t>
      </w:r>
      <w:r w:rsidR="00717F7F">
        <w:t>[Rural Digital Opportunity Fund]</w:t>
      </w:r>
      <w:r w:rsidR="00A04250">
        <w:t xml:space="preserve"> auctions.”</w:t>
      </w:r>
      <w:r>
        <w:rPr>
          <w:rStyle w:val="FootnoteReference"/>
        </w:rPr>
        <w:footnoteReference w:id="11"/>
      </w:r>
    </w:p>
    <w:p w:rsidR="00E372A4" w:rsidP="00E372A4" w14:paraId="0DBFE14E" w14:textId="77777777">
      <w:pPr>
        <w:pStyle w:val="Heading1"/>
      </w:pPr>
      <w:r>
        <w:t>Discussion</w:t>
      </w:r>
    </w:p>
    <w:p w:rsidR="00E372A4" w:rsidP="005E1A6B" w14:paraId="153319D9" w14:textId="77777777">
      <w:pPr>
        <w:pStyle w:val="ParaNum"/>
        <w:tabs>
          <w:tab w:val="clear" w:pos="1080"/>
          <w:tab w:val="num" w:pos="1440"/>
        </w:tabs>
      </w:pPr>
      <w:r>
        <w:t>Generally, the Commission’s rules may be waived for good cause shown.</w:t>
      </w:r>
      <w:r>
        <w:rPr>
          <w:rStyle w:val="FootnoteReference"/>
        </w:rPr>
        <w:footnoteReference w:id="12"/>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13"/>
      </w:r>
      <w:r w:rsidRPr="00F6751B">
        <w:t xml:space="preserve">  </w:t>
      </w:r>
      <w:r>
        <w:t xml:space="preserve">We </w:t>
      </w:r>
      <w:r w:rsidR="000B2052">
        <w:t xml:space="preserve">do not </w:t>
      </w:r>
      <w:r>
        <w:t xml:space="preserve">find good cause </w:t>
      </w:r>
      <w:r w:rsidR="00696CF8">
        <w:t xml:space="preserve">to waive the </w:t>
      </w:r>
      <w:r w:rsidR="00FB5B51">
        <w:t xml:space="preserve">Auction 904 </w:t>
      </w:r>
      <w:r w:rsidR="00696CF8">
        <w:t xml:space="preserve">eligibility requirements for Johnson, and thus deny its petition for waiver. </w:t>
      </w:r>
    </w:p>
    <w:p w:rsidR="00610661" w:rsidP="000A3493" w14:paraId="64734942" w14:textId="2975FF26">
      <w:pPr>
        <w:pStyle w:val="ParaNum"/>
        <w:widowControl/>
        <w:tabs>
          <w:tab w:val="clear" w:pos="1080"/>
          <w:tab w:val="num" w:pos="1440"/>
        </w:tabs>
      </w:pPr>
      <w:r>
        <w:t xml:space="preserve">We find that Johnson has not established special circumstances that would warrant waiver of the Commission’s eligibility rules.  </w:t>
      </w:r>
      <w:r w:rsidR="008E67DA">
        <w:t xml:space="preserve">First, </w:t>
      </w:r>
      <w:r w:rsidR="00101591">
        <w:t>Johnson argues that</w:t>
      </w:r>
      <w:r w:rsidR="000A3493">
        <w:t xml:space="preserve"> neither the Auction 903 procedures nor the</w:t>
      </w:r>
      <w:r w:rsidR="00BE458E">
        <w:t xml:space="preserve"> </w:t>
      </w:r>
      <w:r w:rsidR="00BE458E">
        <w:t>NAL</w:t>
      </w:r>
      <w:r>
        <w:rPr>
          <w:rStyle w:val="FootnoteReference"/>
        </w:rPr>
        <w:footnoteReference w:id="14"/>
      </w:r>
      <w:r w:rsidR="000A3493">
        <w:t xml:space="preserve"> gave it notice that there would be additional consequences to its default beyond the </w:t>
      </w:r>
      <w:r w:rsidR="00CF24F0">
        <w:t xml:space="preserve">proposed </w:t>
      </w:r>
      <w:r w:rsidRPr="00395C45" w:rsidR="000A3493">
        <w:t>$3,000 forfeiture</w:t>
      </w:r>
      <w:r>
        <w:t xml:space="preserve">, and thus the </w:t>
      </w:r>
      <w:r w:rsidR="00F01732">
        <w:t xml:space="preserve">Auction </w:t>
      </w:r>
      <w:r>
        <w:t>904 eligibility rule barring Johnson should be waived</w:t>
      </w:r>
      <w:r w:rsidR="000A3493">
        <w:t>.</w:t>
      </w:r>
      <w:r>
        <w:rPr>
          <w:rStyle w:val="FootnoteReference"/>
        </w:rPr>
        <w:footnoteReference w:id="15"/>
      </w:r>
      <w:r w:rsidR="00101591">
        <w:t xml:space="preserve"> </w:t>
      </w:r>
      <w:r w:rsidR="00F95B4B">
        <w:t xml:space="preserve"> </w:t>
      </w:r>
      <w:r w:rsidR="006B581A">
        <w:t xml:space="preserve">We disagree; </w:t>
      </w:r>
      <w:r w:rsidR="00745CD0">
        <w:t>Johnson had notice</w:t>
      </w:r>
      <w:r w:rsidR="006B581A">
        <w:t xml:space="preserve"> of the potential for additional consequences</w:t>
      </w:r>
      <w:r w:rsidR="00745CD0">
        <w:t>.</w:t>
      </w:r>
      <w:r w:rsidR="00101591">
        <w:t xml:space="preserve"> </w:t>
      </w:r>
    </w:p>
    <w:p w:rsidR="002839D3" w:rsidP="000A3493" w14:paraId="35CE685B" w14:textId="11EA3F2F">
      <w:pPr>
        <w:pStyle w:val="ParaNum"/>
        <w:widowControl/>
        <w:tabs>
          <w:tab w:val="clear" w:pos="1080"/>
          <w:tab w:val="num" w:pos="1440"/>
        </w:tabs>
      </w:pPr>
      <w:r>
        <w:t>T</w:t>
      </w:r>
      <w:r w:rsidR="006B581A">
        <w:t xml:space="preserve">he Commission’s rules </w:t>
      </w:r>
      <w:r>
        <w:t xml:space="preserve">generally </w:t>
      </w:r>
      <w:r w:rsidR="006B581A">
        <w:t>governing competitive bidding for universal service support clearly state that “</w:t>
      </w:r>
      <w:r w:rsidRPr="00147B94" w:rsidR="006B581A">
        <w:t>a winning bidder that defaults, in addition to being liable for a default payment, shall be subject to such measures as the Commission may provide, including but not limited to disqualification from future competitive bidding</w:t>
      </w:r>
      <w:r w:rsidR="006B581A">
        <w:t xml:space="preserve"> . . . .</w:t>
      </w:r>
      <w:r w:rsidRPr="00147B94" w:rsidR="006B581A">
        <w:t>”</w:t>
      </w:r>
      <w:r w:rsidRPr="006B581A" w:rsidR="006B581A">
        <w:rPr>
          <w:rStyle w:val="FootnoteReference"/>
        </w:rPr>
        <w:t xml:space="preserve"> </w:t>
      </w:r>
      <w:r>
        <w:rPr>
          <w:rStyle w:val="FootnoteReference"/>
        </w:rPr>
        <w:footnoteReference w:id="16"/>
      </w:r>
      <w:r w:rsidR="006B581A">
        <w:rPr>
          <w:rStyle w:val="FootnoteReference"/>
        </w:rPr>
        <w:t xml:space="preserve"> </w:t>
      </w:r>
      <w:r w:rsidR="006B581A">
        <w:t xml:space="preserve"> </w:t>
      </w:r>
      <w:r w:rsidR="009D3900">
        <w:t xml:space="preserve">The Enforcement Bureau’s </w:t>
      </w:r>
      <w:r w:rsidR="009D3900">
        <w:t>NAL</w:t>
      </w:r>
      <w:r w:rsidR="009D3900">
        <w:t xml:space="preserve"> makes no representations that paying the penalty is the full extent of consequences for Johnson and, indeed, makes repeated references to section 1.2004.</w:t>
      </w:r>
      <w:r>
        <w:rPr>
          <w:rStyle w:val="FootnoteReference"/>
        </w:rPr>
        <w:footnoteReference w:id="17"/>
      </w:r>
      <w:r w:rsidR="009D3900">
        <w:t xml:space="preserve">  </w:t>
      </w:r>
      <w:r>
        <w:t>In addition</w:t>
      </w:r>
      <w:r w:rsidR="00610661">
        <w:t>, t</w:t>
      </w:r>
      <w:r w:rsidR="00303652">
        <w:t xml:space="preserve">he </w:t>
      </w:r>
      <w:r w:rsidR="00B221E9">
        <w:t xml:space="preserve">Commission </w:t>
      </w:r>
      <w:r w:rsidR="00303652">
        <w:t xml:space="preserve">adopted its Auction 904 rules </w:t>
      </w:r>
      <w:r w:rsidR="0045002D">
        <w:t>on January 30,</w:t>
      </w:r>
      <w:r w:rsidR="00303652">
        <w:t xml:space="preserve"> 2020, which are separate and </w:t>
      </w:r>
      <w:r w:rsidR="008702AA">
        <w:t>a</w:t>
      </w:r>
      <w:r w:rsidR="00303652">
        <w:t>part from Auction 903 rules.</w:t>
      </w:r>
      <w:r w:rsidR="002C06B9">
        <w:t xml:space="preserve"> </w:t>
      </w:r>
      <w:r w:rsidR="009A3D26">
        <w:t xml:space="preserve"> </w:t>
      </w:r>
      <w:r w:rsidR="002C06B9">
        <w:t xml:space="preserve">Auction 903 rules do not apply to Auction 904 as they are two </w:t>
      </w:r>
      <w:r w:rsidR="00816EFE">
        <w:t>distinct</w:t>
      </w:r>
      <w:r w:rsidR="002C06B9">
        <w:t xml:space="preserve"> auctions.  </w:t>
      </w:r>
      <w:r w:rsidR="005E191E">
        <w:t xml:space="preserve">Thus, </w:t>
      </w:r>
      <w:r>
        <w:t xml:space="preserve">while </w:t>
      </w:r>
      <w:r w:rsidR="009D3E5A">
        <w:t xml:space="preserve">Auction </w:t>
      </w:r>
      <w:r w:rsidR="009D3E5A">
        <w:t>903</w:t>
      </w:r>
      <w:r>
        <w:t>’s</w:t>
      </w:r>
      <w:r>
        <w:t xml:space="preserve"> specific</w:t>
      </w:r>
      <w:r w:rsidR="009D3E5A">
        <w:t xml:space="preserve"> rules would not </w:t>
      </w:r>
      <w:r w:rsidRPr="00020690" w:rsidR="00CB0B35">
        <w:t xml:space="preserve">have </w:t>
      </w:r>
      <w:r w:rsidRPr="00020690" w:rsidR="009D3E5A">
        <w:t>provide</w:t>
      </w:r>
      <w:r w:rsidRPr="00133FD2" w:rsidR="00CB0B35">
        <w:t>d</w:t>
      </w:r>
      <w:r w:rsidRPr="00020690" w:rsidR="009D3E5A">
        <w:t xml:space="preserve"> notice to applicants</w:t>
      </w:r>
      <w:r w:rsidRPr="00020690" w:rsidR="00513693">
        <w:t xml:space="preserve"> of possible restrictions that might </w:t>
      </w:r>
      <w:r w:rsidRPr="00020690" w:rsidR="009D3E5A">
        <w:t>apply to future auction</w:t>
      </w:r>
      <w:r w:rsidRPr="00020690" w:rsidR="00647B81">
        <w:t>s</w:t>
      </w:r>
      <w:r w:rsidR="003F4CAD">
        <w:t>, such as Auction 904,</w:t>
      </w:r>
      <w:r w:rsidR="009D3E5A">
        <w:t xml:space="preserve"> that have not yet been adopted</w:t>
      </w:r>
      <w:r>
        <w:t>, the Commission’s general competitive bidding rules did provide notice of that possibility</w:t>
      </w:r>
      <w:r w:rsidR="009D3E5A">
        <w:t>.</w:t>
      </w:r>
    </w:p>
    <w:p w:rsidR="00610661" w:rsidP="00CD5B68" w14:paraId="4A863CCE" w14:textId="264DE80B">
      <w:pPr>
        <w:pStyle w:val="ParaNum"/>
        <w:widowControl/>
        <w:tabs>
          <w:tab w:val="clear" w:pos="1080"/>
          <w:tab w:val="num" w:pos="1440"/>
        </w:tabs>
      </w:pPr>
      <w:r>
        <w:t>In fact</w:t>
      </w:r>
      <w:r>
        <w:t xml:space="preserve">, Johnson </w:t>
      </w:r>
      <w:r>
        <w:t xml:space="preserve">did have </w:t>
      </w:r>
      <w:r w:rsidR="00F01732">
        <w:t xml:space="preserve">notice </w:t>
      </w:r>
      <w:r>
        <w:t xml:space="preserve">that the Commission was considering additional eligibility rules for </w:t>
      </w:r>
      <w:r>
        <w:t xml:space="preserve">Auction 904 </w:t>
      </w:r>
      <w:r>
        <w:t>at the time it paid its penalty</w:t>
      </w:r>
      <w:r>
        <w:t xml:space="preserve">.  </w:t>
      </w:r>
      <w:r w:rsidR="002839D3">
        <w:t>T</w:t>
      </w:r>
      <w:r w:rsidR="008702AA">
        <w:t xml:space="preserve">he </w:t>
      </w:r>
      <w:r w:rsidRPr="00CD1BD4" w:rsidR="008702AA">
        <w:rPr>
          <w:i/>
          <w:iCs/>
        </w:rPr>
        <w:t xml:space="preserve">Rural Digital Opportunity Fund </w:t>
      </w:r>
      <w:r w:rsidRPr="00F01732" w:rsidR="008702AA">
        <w:rPr>
          <w:i/>
          <w:iCs/>
        </w:rPr>
        <w:t>Notice of Proposed Rulemaking</w:t>
      </w:r>
      <w:r w:rsidR="008702AA">
        <w:t xml:space="preserve"> </w:t>
      </w:r>
      <w:r w:rsidR="009B197A">
        <w:t xml:space="preserve">was adopted on August 1, 2019, and </w:t>
      </w:r>
      <w:r w:rsidR="008702AA">
        <w:t>sought comment on whether “there are any eligibility restrictions that should be placed on CAF Phase II auction winning bidders that defaulted on their winning bids?”</w:t>
      </w:r>
      <w:r>
        <w:rPr>
          <w:rStyle w:val="FootnoteReference"/>
        </w:rPr>
        <w:footnoteReference w:id="18"/>
      </w:r>
      <w:r w:rsidR="00DC39E0">
        <w:t xml:space="preserve">  </w:t>
      </w:r>
      <w:r>
        <w:t xml:space="preserve">The </w:t>
      </w:r>
      <w:r w:rsidRPr="00F01732">
        <w:rPr>
          <w:i/>
          <w:iCs/>
        </w:rPr>
        <w:t>Notice</w:t>
      </w:r>
      <w:r>
        <w:t xml:space="preserve"> was published in the Federal Register on </w:t>
      </w:r>
      <w:r w:rsidR="009520D4">
        <w:t>August 21, 2019</w:t>
      </w:r>
      <w:r>
        <w:t>, and c</w:t>
      </w:r>
      <w:r w:rsidR="005C3DD0">
        <w:t>ommenters had the opportunity to submit comment</w:t>
      </w:r>
      <w:r w:rsidR="00602B4C">
        <w:t>s</w:t>
      </w:r>
      <w:r w:rsidR="005C3DD0">
        <w:t xml:space="preserve"> and reply comments to the Commission within 30 and 60 days</w:t>
      </w:r>
      <w:r w:rsidR="00C516A9">
        <w:t>, respectively,</w:t>
      </w:r>
      <w:r w:rsidR="005C3DD0">
        <w:t xml:space="preserve"> of the release of </w:t>
      </w:r>
      <w:r>
        <w:t xml:space="preserve">the </w:t>
      </w:r>
      <w:r w:rsidRPr="00F01732" w:rsidR="005C3DD0">
        <w:rPr>
          <w:i/>
          <w:iCs/>
        </w:rPr>
        <w:t>Notice.</w:t>
      </w:r>
      <w:r>
        <w:rPr>
          <w:rStyle w:val="FootnoteReference"/>
        </w:rPr>
        <w:footnoteReference w:id="19"/>
      </w:r>
      <w:r w:rsidRPr="008A596D" w:rsidR="008A596D">
        <w:t xml:space="preserve">  </w:t>
      </w:r>
      <w:r>
        <w:t xml:space="preserve">Johnson did not file a comment on the eligibility rule.  </w:t>
      </w:r>
      <w:r w:rsidR="009B197A">
        <w:t xml:space="preserve">Johnson paid the forfeiture for defaulting on its winning bid on November 14, 2019, more than three months after the Commission had provided notice </w:t>
      </w:r>
      <w:r w:rsidRPr="00020690" w:rsidR="00CB0B35">
        <w:t>that it might adopt</w:t>
      </w:r>
      <w:r w:rsidR="009B197A">
        <w:t xml:space="preserve"> eligibility restrictions in Auction 904 for bidders that had defaulted in Auction 903.  </w:t>
      </w:r>
      <w:r>
        <w:t xml:space="preserve">Accordingly, Johnson had </w:t>
      </w:r>
      <w:r w:rsidR="008702AA">
        <w:t xml:space="preserve">notice of the </w:t>
      </w:r>
      <w:r w:rsidR="009B197A">
        <w:t xml:space="preserve">potential </w:t>
      </w:r>
      <w:r w:rsidR="008702AA">
        <w:t>Auction 904 program rules</w:t>
      </w:r>
      <w:r w:rsidR="00725BF7">
        <w:t xml:space="preserve"> </w:t>
      </w:r>
      <w:r w:rsidR="009B197A">
        <w:t xml:space="preserve">and </w:t>
      </w:r>
      <w:r>
        <w:t xml:space="preserve">Johnson’s purported lack of notice </w:t>
      </w:r>
      <w:r w:rsidR="00F01732">
        <w:t xml:space="preserve">of the eligibility rule for Auction 904 </w:t>
      </w:r>
      <w:r>
        <w:t xml:space="preserve">before it defaulted </w:t>
      </w:r>
      <w:r w:rsidR="008702AA">
        <w:t>does not constitute special circumstances</w:t>
      </w:r>
      <w:r w:rsidR="008C1511">
        <w:t xml:space="preserve"> justifying a waiver</w:t>
      </w:r>
      <w:r w:rsidR="009C75FD">
        <w:t>.</w:t>
      </w:r>
      <w:r w:rsidR="00D012DC">
        <w:t xml:space="preserve">  </w:t>
      </w:r>
    </w:p>
    <w:p w:rsidR="00182576" w:rsidP="00F01732" w14:paraId="1AD78B32" w14:textId="2690FFEC">
      <w:pPr>
        <w:pStyle w:val="ParaNum"/>
        <w:widowControl/>
        <w:tabs>
          <w:tab w:val="clear" w:pos="1080"/>
          <w:tab w:val="num" w:pos="1440"/>
        </w:tabs>
      </w:pPr>
      <w:r>
        <w:t>Second, t</w:t>
      </w:r>
      <w:r w:rsidR="00D012DC">
        <w:t xml:space="preserve">o the degree Johnson </w:t>
      </w:r>
      <w:r w:rsidR="008C1511">
        <w:t xml:space="preserve">may be </w:t>
      </w:r>
      <w:r w:rsidR="00D012DC">
        <w:t xml:space="preserve">arguing that it would not have defaulted on its Auction 903 winning bid had it known </w:t>
      </w:r>
      <w:r>
        <w:t xml:space="preserve">specifically </w:t>
      </w:r>
      <w:r w:rsidR="00D012DC">
        <w:t xml:space="preserve">at the time of default that it would have subsequently been ineligible to participate in Auction 904, that </w:t>
      </w:r>
      <w:r w:rsidR="008C1511">
        <w:t xml:space="preserve">too is unavailing.  </w:t>
      </w:r>
      <w:r>
        <w:t>T</w:t>
      </w:r>
      <w:r w:rsidRPr="00D618C4" w:rsidR="003A450A">
        <w:t>he Commission made it clear in Auction 903 that defaulting on a bid was a serious matter, and for that reason it decided to impose forfeiture penalties on defaulting applicants in Auction 90</w:t>
      </w:r>
      <w:r w:rsidR="0000665B">
        <w:t>3</w:t>
      </w:r>
      <w:r w:rsidRPr="00D618C4" w:rsidR="003A450A">
        <w:t xml:space="preserve">.  </w:t>
      </w:r>
      <w:r w:rsidRPr="00D618C4" w:rsidR="008C1511">
        <w:t>The Commission</w:t>
      </w:r>
      <w:r w:rsidRPr="00D618C4" w:rsidR="003A450A">
        <w:t>’s goal in adopting</w:t>
      </w:r>
      <w:r w:rsidRPr="00D618C4" w:rsidR="008C1511">
        <w:t xml:space="preserve"> </w:t>
      </w:r>
      <w:r w:rsidRPr="00D618C4" w:rsidR="00D012DC">
        <w:t xml:space="preserve">the Auction 903 forfeiture policy </w:t>
      </w:r>
      <w:r w:rsidRPr="00D618C4" w:rsidR="003A450A">
        <w:t xml:space="preserve">was </w:t>
      </w:r>
      <w:r w:rsidRPr="00077405" w:rsidR="00D012DC">
        <w:t>“to impress upon recipients the importance of being prepared to meet all requirements for the post-selection review process and to emphasize the requirement that participants conduct a due diligence review to ensure that they are qualified to participate in the auction and meet its terms and conditions.”</w:t>
      </w:r>
      <w:r w:rsidRPr="00D012DC" w:rsidR="00D012DC">
        <w:rPr>
          <w:rStyle w:val="FootnoteReference"/>
        </w:rPr>
        <w:t xml:space="preserve"> </w:t>
      </w:r>
      <w:r>
        <w:rPr>
          <w:rStyle w:val="FootnoteReference"/>
        </w:rPr>
        <w:footnoteReference w:id="20"/>
      </w:r>
      <w:r w:rsidR="00D012DC">
        <w:rPr>
          <w:rStyle w:val="FootnoteReference"/>
        </w:rPr>
        <w:t xml:space="preserve"> </w:t>
      </w:r>
      <w:r w:rsidR="00D012DC">
        <w:t xml:space="preserve"> Johnson’s “failure to adhere to the established auction procedures was disruptive to the integrity and efficiency of the [Auction 903] process” and the decision to default should not have been made lightly.</w:t>
      </w:r>
      <w:r>
        <w:rPr>
          <w:rStyle w:val="FootnoteReference"/>
        </w:rPr>
        <w:footnoteReference w:id="21"/>
      </w:r>
      <w:r w:rsidR="009B197A">
        <w:t xml:space="preserve">  </w:t>
      </w:r>
      <w:r w:rsidRPr="0034440C" w:rsidR="00145CCA">
        <w:t>Thus, the implication of Johnson’s argument—that it made a calculated decision to default on its Auction 903 obligations, not a decision that was compelled by economic hardship, and it would not have done so if it had notice of this Auction 904 rule—does not establish good cause for a waiver.</w:t>
      </w:r>
    </w:p>
    <w:p w:rsidR="00E43D14" w:rsidP="000D6D49" w14:paraId="0EA4B1C9" w14:textId="21B3D825">
      <w:pPr>
        <w:pStyle w:val="ParaNum"/>
        <w:widowControl/>
        <w:tabs>
          <w:tab w:val="clear" w:pos="1080"/>
          <w:tab w:val="num" w:pos="1440"/>
        </w:tabs>
      </w:pPr>
      <w:r>
        <w:t xml:space="preserve">Third, </w:t>
      </w:r>
      <w:r>
        <w:t>Johnson claims that “[i]</w:t>
      </w:r>
      <w:r w:rsidRPr="00944DB7">
        <w:t xml:space="preserve">t is doubtful that the Commission realized the harsh impact of this policy upon a small company like </w:t>
      </w:r>
      <w:r>
        <w:t>[Johnson]</w:t>
      </w:r>
      <w:r w:rsidRPr="00944DB7">
        <w:t xml:space="preserve"> that had bid for, won and then defaulted upon a single small census block group in the CAF Phase II auctio</w:t>
      </w:r>
      <w:r>
        <w:t>n.”</w:t>
      </w:r>
      <w:r>
        <w:rPr>
          <w:rStyle w:val="FootnoteReference"/>
        </w:rPr>
        <w:footnoteReference w:id="22"/>
      </w:r>
      <w:r w:rsidRPr="00944DB7">
        <w:t xml:space="preserve"> </w:t>
      </w:r>
      <w:r>
        <w:t xml:space="preserve"> Johnson </w:t>
      </w:r>
      <w:r w:rsidR="009D3900">
        <w:t xml:space="preserve">goes on to </w:t>
      </w:r>
      <w:r>
        <w:t xml:space="preserve">state that “[i]t </w:t>
      </w:r>
      <w:r w:rsidRPr="002E045A">
        <w:t xml:space="preserve">seems very unfair for </w:t>
      </w:r>
      <w:r>
        <w:t>[Johnson]</w:t>
      </w:r>
      <w:r w:rsidRPr="002E045A">
        <w:t xml:space="preserve"> to be banned entirely from </w:t>
      </w:r>
      <w:r>
        <w:t xml:space="preserve">[Auction 904] </w:t>
      </w:r>
      <w:r w:rsidRPr="002E045A">
        <w:t xml:space="preserve">participation for </w:t>
      </w:r>
      <w:r>
        <w:t>defaulting [on one census block]</w:t>
      </w:r>
      <w:r w:rsidRPr="002E045A">
        <w:t>, while an entity that had won</w:t>
      </w:r>
      <w:r>
        <w:t xml:space="preserve"> . . . [many]</w:t>
      </w:r>
      <w:r w:rsidRPr="002E045A">
        <w:t xml:space="preserve"> blocks </w:t>
      </w:r>
      <w:r>
        <w:t>. . .</w:t>
      </w:r>
      <w:r w:rsidRPr="002E045A">
        <w:t xml:space="preserve"> and </w:t>
      </w:r>
      <w:r>
        <w:t xml:space="preserve">[partially] </w:t>
      </w:r>
      <w:r w:rsidRPr="002E045A">
        <w:t xml:space="preserve">defaulted </w:t>
      </w:r>
      <w:r>
        <w:t>. . .</w:t>
      </w:r>
      <w:r w:rsidRPr="002E045A">
        <w:t xml:space="preserve"> would be wholly free to participate in the </w:t>
      </w:r>
      <w:r>
        <w:t xml:space="preserve">[Rural Digital Opportunity Fund] </w:t>
      </w:r>
      <w:r w:rsidRPr="002E045A">
        <w:t>auctions</w:t>
      </w:r>
      <w:r>
        <w:t>.”</w:t>
      </w:r>
      <w:r>
        <w:rPr>
          <w:rStyle w:val="FootnoteReference"/>
        </w:rPr>
        <w:footnoteReference w:id="23"/>
      </w:r>
    </w:p>
    <w:p w:rsidR="00C22997" w14:paraId="7F2F34E8" w14:textId="406AAF2C">
      <w:pPr>
        <w:pStyle w:val="ParaNum"/>
        <w:widowControl/>
        <w:tabs>
          <w:tab w:val="clear" w:pos="1080"/>
          <w:tab w:val="num" w:pos="1440"/>
        </w:tabs>
      </w:pPr>
      <w:r>
        <w:t>We disagree with Johnson that the Commission’s decision—to bar participants that defaulted on all of their winning bids while allowing participants that defaulted on a portion of their bids with more census block groups—is “unduly harsh and inequitable.”</w:t>
      </w:r>
      <w:r>
        <w:rPr>
          <w:rStyle w:val="FootnoteReference"/>
        </w:rPr>
        <w:footnoteReference w:id="24"/>
      </w:r>
      <w:r>
        <w:t xml:space="preserve"> </w:t>
      </w:r>
      <w:r w:rsidR="009D3900">
        <w:t xml:space="preserve"> </w:t>
      </w:r>
      <w:r w:rsidR="005E5D22">
        <w:t xml:space="preserve">The Commission adopted its Auction 904 eligibility requirements so that </w:t>
      </w:r>
      <w:r w:rsidRPr="00C66904" w:rsidR="005E5D22">
        <w:t xml:space="preserve">the disbursement of funds </w:t>
      </w:r>
      <w:r w:rsidR="005E5D22">
        <w:t xml:space="preserve">would not be hindered by applicants with a known </w:t>
      </w:r>
      <w:r w:rsidRPr="0000665B" w:rsidR="0000665B">
        <w:rPr>
          <w:i/>
          <w:iCs/>
        </w:rPr>
        <w:t>complete</w:t>
      </w:r>
      <w:r w:rsidR="00584AC8">
        <w:t xml:space="preserve"> </w:t>
      </w:r>
      <w:r w:rsidR="005E5D22">
        <w:t xml:space="preserve">default history </w:t>
      </w:r>
      <w:r w:rsidRPr="00C66904" w:rsidR="005E5D22">
        <w:t xml:space="preserve">that </w:t>
      </w:r>
      <w:r w:rsidR="005E5D22">
        <w:t>“</w:t>
      </w:r>
      <w:r w:rsidRPr="00C66904" w:rsidR="005E5D22">
        <w:t>could have otherwise been productively used to increase broadband access to unserved or underserved areas</w:t>
      </w:r>
      <w:r w:rsidR="005E5D22">
        <w:t>.”</w:t>
      </w:r>
      <w:r>
        <w:rPr>
          <w:rStyle w:val="FootnoteReference"/>
        </w:rPr>
        <w:footnoteReference w:id="25"/>
      </w:r>
      <w:r w:rsidR="005E5D22">
        <w:t xml:space="preserve">  </w:t>
      </w:r>
      <w:r>
        <w:t>As we stated above,</w:t>
      </w:r>
      <w:r w:rsidR="006D7E0B">
        <w:t xml:space="preserve"> t</w:t>
      </w:r>
      <w:r w:rsidRPr="00524FDC" w:rsidR="00524FDC">
        <w:t>he Commission</w:t>
      </w:r>
      <w:r w:rsidR="006D7E0B">
        <w:t xml:space="preserve">’s </w:t>
      </w:r>
      <w:r w:rsidR="00524FDC">
        <w:t xml:space="preserve">eligibility rules for Auction 904 </w:t>
      </w:r>
      <w:r>
        <w:t>enforce the notion</w:t>
      </w:r>
      <w:r w:rsidR="00EB2082">
        <w:t xml:space="preserve"> from Auction 903</w:t>
      </w:r>
      <w:r>
        <w:t xml:space="preserve"> that</w:t>
      </w:r>
      <w:r w:rsidRPr="00524FDC" w:rsidR="00524FDC">
        <w:t xml:space="preserve"> </w:t>
      </w:r>
      <w:r w:rsidR="00524FDC">
        <w:t>“</w:t>
      </w:r>
      <w:r w:rsidRPr="00524FDC" w:rsidR="00524FDC">
        <w:t>failure to</w:t>
      </w:r>
      <w:r>
        <w:t xml:space="preserve"> </w:t>
      </w:r>
      <w:r w:rsidRPr="00524FDC" w:rsidR="00524FDC">
        <w:t xml:space="preserve">adhere to the </w:t>
      </w:r>
      <w:r w:rsidRPr="00524FDC" w:rsidR="00524FDC">
        <w:t xml:space="preserve">established auction procedures </w:t>
      </w:r>
      <w:r w:rsidR="00524FDC">
        <w:t>[i]</w:t>
      </w:r>
      <w:r w:rsidRPr="00524FDC" w:rsidR="00524FDC">
        <w:t>s disruptive to</w:t>
      </w:r>
      <w:r w:rsidR="00524FDC">
        <w:t xml:space="preserve"> </w:t>
      </w:r>
      <w:r w:rsidRPr="00524FDC" w:rsidR="00524FDC">
        <w:t>the integrity and efficiency of the auctions process</w:t>
      </w:r>
      <w:r w:rsidR="00524FDC">
        <w:t>.”</w:t>
      </w:r>
      <w:r>
        <w:rPr>
          <w:rStyle w:val="FootnoteReference"/>
        </w:rPr>
        <w:footnoteReference w:id="26"/>
      </w:r>
      <w:r w:rsidR="00524FDC">
        <w:t xml:space="preserve">  The Commission “expects all bidders to act in good faith and [takes] voluntary defaults very seriously.”</w:t>
      </w:r>
      <w:r>
        <w:rPr>
          <w:rStyle w:val="FootnoteReference"/>
        </w:rPr>
        <w:footnoteReference w:id="27"/>
      </w:r>
      <w:r w:rsidR="00524FDC">
        <w:t xml:space="preserve">  </w:t>
      </w:r>
    </w:p>
    <w:p w:rsidR="00C22997" w:rsidP="00CF24F0" w14:paraId="3FDA9B7C" w14:textId="641BFD1C">
      <w:pPr>
        <w:pStyle w:val="ParaNum"/>
        <w:widowControl/>
        <w:tabs>
          <w:tab w:val="clear" w:pos="1080"/>
          <w:tab w:val="num" w:pos="1440"/>
        </w:tabs>
      </w:pPr>
      <w:r>
        <w:t>Moreover, t</w:t>
      </w:r>
      <w:r>
        <w:t>he Commission was aware of the consequences of barring entities that had defaulted on all Auction 903 bids, including small entities like Johnson, from participating in Auction 904.  T</w:t>
      </w:r>
      <w:r w:rsidR="00524FDC">
        <w:t xml:space="preserve">he Commission </w:t>
      </w:r>
      <w:r>
        <w:t>knew</w:t>
      </w:r>
      <w:r w:rsidR="00524FDC">
        <w:t xml:space="preserve"> that Johnson and other applicants had fully defaulted on all of their bids when it adopted Auction 904 eligibility rules in January of 2020.</w:t>
      </w:r>
      <w:r>
        <w:rPr>
          <w:rStyle w:val="FootnoteReference"/>
        </w:rPr>
        <w:footnoteReference w:id="28"/>
      </w:r>
      <w:r w:rsidR="00524FDC">
        <w:t xml:space="preserve">  </w:t>
      </w:r>
      <w:r>
        <w:t xml:space="preserve">While Johnson was the only one of the defaulters who only defaulted in 1 </w:t>
      </w:r>
      <w:r w:rsidR="009D3900">
        <w:t>census block group</w:t>
      </w:r>
      <w:r>
        <w:t xml:space="preserve">, other defaulters (who are also now barred from </w:t>
      </w:r>
      <w:r w:rsidR="00F3477A">
        <w:t>Auction 904</w:t>
      </w:r>
      <w:r>
        <w:t xml:space="preserve">) defaulted </w:t>
      </w:r>
      <w:r w:rsidR="002976F2">
        <w:t>on f</w:t>
      </w:r>
      <w:r>
        <w:t>ewer total locations and lower support amounts</w:t>
      </w:r>
      <w:r w:rsidR="001F3C67">
        <w:t>;</w:t>
      </w:r>
      <w:r>
        <w:rPr>
          <w:rStyle w:val="FootnoteReference"/>
        </w:rPr>
        <w:footnoteReference w:id="29"/>
      </w:r>
      <w:r w:rsidR="001F3C67">
        <w:t xml:space="preserve"> thus, </w:t>
      </w:r>
      <w:r w:rsidR="00001B5C">
        <w:t xml:space="preserve">Johnson’s default does </w:t>
      </w:r>
      <w:r w:rsidR="001F3C67">
        <w:t>not establish special circumstances</w:t>
      </w:r>
      <w:r>
        <w:t>.</w:t>
      </w:r>
      <w:r w:rsidRPr="00C22997">
        <w:rPr>
          <w:kern w:val="0"/>
        </w:rPr>
        <w:t xml:space="preserve"> </w:t>
      </w:r>
    </w:p>
    <w:p w:rsidR="006D7E0B" w14:paraId="225661D9" w14:textId="33B54866">
      <w:pPr>
        <w:pStyle w:val="ParaNum"/>
        <w:tabs>
          <w:tab w:val="clear" w:pos="1080"/>
          <w:tab w:val="num" w:pos="1440"/>
        </w:tabs>
      </w:pPr>
      <w:r>
        <w:t xml:space="preserve">The Commission concluded that barring participants that defaulted on all of their Auction 903 winning bids, whether the total was one or several, will help eliminate the risk of participants who chose </w:t>
      </w:r>
      <w:r w:rsidR="00417BE6">
        <w:t xml:space="preserve">not </w:t>
      </w:r>
      <w:r>
        <w:t xml:space="preserve">to follow through with their </w:t>
      </w:r>
      <w:r w:rsidRPr="00524FDC">
        <w:rPr>
          <w:kern w:val="0"/>
          <w:szCs w:val="22"/>
        </w:rPr>
        <w:t xml:space="preserve">service plans and obligations at all, </w:t>
      </w:r>
      <w:r w:rsidRPr="00524FDC">
        <w:rPr>
          <w:szCs w:val="22"/>
        </w:rPr>
        <w:t>delaying the advancement of broadband offerings to locations that completely lack voice and broadband service.</w:t>
      </w:r>
      <w:r>
        <w:rPr>
          <w:rStyle w:val="FootnoteReference"/>
          <w:szCs w:val="22"/>
        </w:rPr>
        <w:footnoteReference w:id="30"/>
      </w:r>
      <w:r w:rsidRPr="00524FDC">
        <w:rPr>
          <w:szCs w:val="22"/>
        </w:rPr>
        <w:t xml:space="preserve">  </w:t>
      </w:r>
      <w:r>
        <w:t>A default on all winning bids “negatively impacts the residents of the corresponding census block group in lost opportunities</w:t>
      </w:r>
      <w:r w:rsidR="00CF24F0">
        <w:t xml:space="preserve"> [for several years]</w:t>
      </w:r>
      <w:r>
        <w:t xml:space="preserve"> to secure affordable services.”</w:t>
      </w:r>
      <w:r>
        <w:rPr>
          <w:rStyle w:val="FootnoteReference"/>
        </w:rPr>
        <w:footnoteReference w:id="31"/>
      </w:r>
      <w:r>
        <w:t xml:space="preserve">  </w:t>
      </w:r>
      <w:r w:rsidR="001D3DF6">
        <w:t xml:space="preserve">Unlike applicants that fully defaulted on their winning bids, applicants that partially defaulted, whether the total was small or large, still have the opportunity to promptly pursue delivering voice and broadband to areas that otherwise lack service.  </w:t>
      </w:r>
      <w:r>
        <w:t xml:space="preserve">Likewise, the Commission’s eligibility rules will help reduce the burden on the Commission of evaluating already known circumstances of a prior default applicant.   </w:t>
      </w:r>
    </w:p>
    <w:p w:rsidR="00FA5D94" w:rsidP="00CD1BD4" w14:paraId="25726C0A" w14:textId="36F0262F">
      <w:pPr>
        <w:pStyle w:val="ParaNum"/>
        <w:widowControl/>
        <w:tabs>
          <w:tab w:val="clear" w:pos="1080"/>
          <w:tab w:val="num" w:pos="1440"/>
        </w:tabs>
      </w:pPr>
      <w:r>
        <w:t xml:space="preserve">Our conclusion that Johnson has not demonstrated special circumstances is </w:t>
      </w:r>
      <w:r>
        <w:t>sufficient</w:t>
      </w:r>
      <w:r>
        <w:t xml:space="preserve"> grounds for denying this petition.</w:t>
      </w:r>
      <w:r>
        <w:rPr>
          <w:rStyle w:val="FootnoteReference"/>
        </w:rPr>
        <w:footnoteReference w:id="32"/>
      </w:r>
      <w:r>
        <w:t xml:space="preserve">  </w:t>
      </w:r>
      <w:r w:rsidR="00001B5C">
        <w:t>Nevertheless</w:t>
      </w:r>
      <w:r>
        <w:t xml:space="preserve">, we are not persuaded that granting </w:t>
      </w:r>
      <w:r w:rsidR="00001B5C">
        <w:t>Johnson’s petition for waiver</w:t>
      </w:r>
      <w:r>
        <w:t xml:space="preserve"> would serve the public interest. </w:t>
      </w:r>
      <w:r w:rsidR="00BE1AE1">
        <w:t xml:space="preserve"> </w:t>
      </w:r>
      <w:r w:rsidR="00F3477A">
        <w:t>We do not believe that it is in the</w:t>
      </w:r>
      <w:r w:rsidRPr="00BE1AE1" w:rsidR="00BE1AE1">
        <w:t xml:space="preserve"> public interest to </w:t>
      </w:r>
      <w:r w:rsidR="00001B5C">
        <w:t xml:space="preserve">waive the Commission’s Auction 904 eligibility rules </w:t>
      </w:r>
      <w:r w:rsidRPr="00BE1AE1" w:rsidR="00BE1AE1">
        <w:t xml:space="preserve">so </w:t>
      </w:r>
      <w:r w:rsidR="00001B5C">
        <w:t xml:space="preserve">that </w:t>
      </w:r>
      <w:r w:rsidRPr="00BE1AE1" w:rsidR="00BE1AE1">
        <w:t xml:space="preserve">a party </w:t>
      </w:r>
      <w:r w:rsidR="002C3380">
        <w:t xml:space="preserve">that </w:t>
      </w:r>
      <w:r w:rsidRPr="00BE1AE1" w:rsidR="00BE1AE1">
        <w:t xml:space="preserve"> </w:t>
      </w:r>
      <w:r w:rsidR="002C3380">
        <w:t xml:space="preserve">made </w:t>
      </w:r>
      <w:r w:rsidR="00417BE6">
        <w:t xml:space="preserve">a seemingly </w:t>
      </w:r>
      <w:r w:rsidRPr="00BE1AE1" w:rsidR="00BE1AE1">
        <w:t xml:space="preserve">calculated </w:t>
      </w:r>
      <w:r w:rsidR="002C3380">
        <w:t xml:space="preserve">decision to </w:t>
      </w:r>
      <w:r w:rsidRPr="00BE1AE1" w:rsidR="00BE1AE1">
        <w:t xml:space="preserve">default </w:t>
      </w:r>
      <w:r w:rsidR="002C3380">
        <w:t>in Auction 903</w:t>
      </w:r>
      <w:r w:rsidRPr="00BE1AE1" w:rsidR="00BE1AE1">
        <w:t xml:space="preserve"> can participate in another auction, potentially beating out earnest participants</w:t>
      </w:r>
      <w:r w:rsidR="00001B5C">
        <w:t xml:space="preserve"> and further jeopardizing broadband deployment to unserved areas</w:t>
      </w:r>
      <w:r w:rsidRPr="00BE1AE1" w:rsidR="00BE1AE1">
        <w:t xml:space="preserve">. </w:t>
      </w:r>
      <w:r>
        <w:t xml:space="preserve"> </w:t>
      </w:r>
    </w:p>
    <w:p w:rsidR="00345AF4" w:rsidRPr="0019242C" w:rsidP="00345AF4" w14:paraId="31A79207" w14:textId="77777777">
      <w:pPr>
        <w:pStyle w:val="Heading1"/>
        <w:widowControl/>
        <w:tabs>
          <w:tab w:val="num" w:pos="720"/>
        </w:tabs>
        <w:spacing w:after="220"/>
        <w:jc w:val="both"/>
      </w:pPr>
      <w:r w:rsidRPr="0019242C">
        <w:t>ORDERING CLAUSES</w:t>
      </w:r>
    </w:p>
    <w:p w:rsidR="00345AF4" w:rsidRPr="0019242C" w:rsidP="0098188A" w14:paraId="0499DA95" w14:textId="77777777">
      <w:pPr>
        <w:pStyle w:val="ParaNum"/>
        <w:tabs>
          <w:tab w:val="clear" w:pos="1080"/>
          <w:tab w:val="num" w:pos="1440"/>
        </w:tabs>
      </w:pPr>
      <w:r w:rsidRPr="0019242C">
        <w:t>Accordingly, IT IS ORDERED, pursuant to sections 1, 4(i), 5(c), 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345AF4" w:rsidP="000C2E9B" w14:paraId="1D6336E9" w14:textId="56105CB9">
      <w:pPr>
        <w:pStyle w:val="ParaNum"/>
        <w:tabs>
          <w:tab w:val="clear" w:pos="1080"/>
          <w:tab w:val="num" w:pos="1440"/>
        </w:tabs>
      </w:pPr>
      <w:r>
        <w:br w:type="page"/>
      </w:r>
      <w:r w:rsidRPr="0019242C">
        <w:t>IT IS FURTHER ORDERED that</w:t>
      </w:r>
      <w:r>
        <w:t xml:space="preserve"> the petition for waiver filed by </w:t>
      </w:r>
      <w:r w:rsidR="00C814FC">
        <w:t>Johnson Telephone Company</w:t>
      </w:r>
      <w:r w:rsidR="00D1005F">
        <w:t xml:space="preserve">, Inc. </w:t>
      </w:r>
      <w:r w:rsidR="00BE2CD5">
        <w:t>IS</w:t>
      </w:r>
      <w:r>
        <w:t xml:space="preserve"> </w:t>
      </w:r>
      <w:r w:rsidR="00C814FC">
        <w:t>DENIED</w:t>
      </w:r>
      <w:r>
        <w:t xml:space="preserve"> </w:t>
      </w:r>
      <w:r w:rsidRPr="0019242C">
        <w:t>as described herein</w:t>
      </w:r>
      <w:r>
        <w:t>.</w:t>
      </w:r>
    </w:p>
    <w:p w:rsidR="00345AF4" w:rsidRPr="0019242C" w:rsidP="0098188A" w14:paraId="023E45A4" w14:textId="77777777">
      <w:pPr>
        <w:pStyle w:val="ParaNum"/>
        <w:tabs>
          <w:tab w:val="clear" w:pos="1080"/>
          <w:tab w:val="num" w:pos="1440"/>
        </w:tabs>
      </w:pPr>
      <w:r w:rsidRPr="0019242C">
        <w:t>IT IS FURTHER ORDERED that, pursuant to section 1.102(b)(1) of the Commission’s rules, 47 CFR § 1.102(b)(1), this Order SHALL BE EFFECTIVE upon release.</w:t>
      </w:r>
    </w:p>
    <w:p w:rsidR="00345AF4" w:rsidRPr="0019242C" w:rsidP="00345AF4" w14:paraId="2A025283" w14:textId="77777777">
      <w:pPr>
        <w:pStyle w:val="ParaNum"/>
        <w:numPr>
          <w:ilvl w:val="0"/>
          <w:numId w:val="0"/>
        </w:numPr>
      </w:pPr>
    </w:p>
    <w:p w:rsidR="00345AF4" w:rsidRPr="000C2E9B" w:rsidP="00345AF4" w14:paraId="36242C55" w14:textId="77777777">
      <w:pPr>
        <w:pStyle w:val="Header"/>
        <w:ind w:left="4320"/>
        <w:rPr>
          <w:b w:val="0"/>
          <w:bCs/>
          <w:szCs w:val="22"/>
        </w:rPr>
      </w:pPr>
      <w:r w:rsidRPr="000C2E9B">
        <w:rPr>
          <w:b w:val="0"/>
          <w:bCs/>
          <w:szCs w:val="22"/>
        </w:rPr>
        <w:t>FEDERAL COMMUNICATIONS COMMISSION</w:t>
      </w:r>
    </w:p>
    <w:p w:rsidR="00345AF4" w:rsidRPr="0019242C" w:rsidP="00345AF4" w14:paraId="24C580F6" w14:textId="77777777">
      <w:pPr>
        <w:pStyle w:val="Header"/>
        <w:rPr>
          <w:szCs w:val="22"/>
        </w:rPr>
      </w:pPr>
    </w:p>
    <w:p w:rsidR="00345AF4" w:rsidRPr="0019242C" w:rsidP="00345AF4" w14:paraId="47F12D2A" w14:textId="77777777">
      <w:pPr>
        <w:pStyle w:val="Header"/>
        <w:rPr>
          <w:szCs w:val="22"/>
        </w:rPr>
      </w:pPr>
    </w:p>
    <w:p w:rsidR="00345AF4" w:rsidRPr="0019242C" w:rsidP="00345AF4" w14:paraId="0A5E8F42" w14:textId="77777777">
      <w:pPr>
        <w:pStyle w:val="Header"/>
        <w:rPr>
          <w:szCs w:val="22"/>
        </w:rPr>
      </w:pPr>
    </w:p>
    <w:p w:rsidR="00345AF4" w:rsidRPr="0019242C" w:rsidP="00345AF4" w14:paraId="68AA9923" w14:textId="77777777">
      <w:pPr>
        <w:pStyle w:val="Header"/>
        <w:rPr>
          <w:szCs w:val="22"/>
        </w:rPr>
      </w:pPr>
    </w:p>
    <w:p w:rsidR="00345AF4" w:rsidRPr="0019242C" w:rsidP="00345AF4" w14:paraId="73C1BC76"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Kris A</w:t>
      </w:r>
      <w:r w:rsidR="00FB0010">
        <w:rPr>
          <w:szCs w:val="22"/>
        </w:rPr>
        <w:t>nne</w:t>
      </w:r>
      <w:r>
        <w:rPr>
          <w:szCs w:val="22"/>
        </w:rPr>
        <w:t xml:space="preserve"> Monteith</w:t>
      </w:r>
      <w:r w:rsidRPr="0019242C">
        <w:rPr>
          <w:szCs w:val="22"/>
        </w:rPr>
        <w:tab/>
      </w:r>
      <w:r w:rsidRPr="0019242C">
        <w:rPr>
          <w:szCs w:val="22"/>
        </w:rPr>
        <w:tab/>
      </w:r>
      <w:r w:rsidRPr="0019242C">
        <w:rPr>
          <w:szCs w:val="22"/>
        </w:rPr>
        <w:tab/>
      </w:r>
    </w:p>
    <w:p w:rsidR="00345AF4" w:rsidRPr="0019242C" w:rsidP="00345AF4" w14:paraId="6A67F885"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Chief</w:t>
      </w:r>
    </w:p>
    <w:p w:rsidR="0064412A" w:rsidRPr="00E372A4" w:rsidP="00345AF4" w14:paraId="31B5F7AF" w14:textId="77777777">
      <w:pPr>
        <w:pStyle w:val="ParaNum"/>
        <w:numPr>
          <w:ilvl w:val="0"/>
          <w:numId w:val="0"/>
        </w:numPr>
      </w:pPr>
      <w:r w:rsidRPr="0019242C">
        <w:tab/>
      </w:r>
      <w:r w:rsidRPr="0019242C">
        <w:tab/>
      </w:r>
      <w:r w:rsidRPr="0019242C">
        <w:tab/>
      </w:r>
      <w:r w:rsidRPr="0019242C">
        <w:tab/>
      </w:r>
      <w:r w:rsidRPr="0019242C">
        <w:tab/>
      </w:r>
      <w:r>
        <w:tab/>
      </w:r>
      <w:r w:rsidRPr="0019242C">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5090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7BDA3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C2E9B" w14:paraId="2DCCD6E9" w14:textId="324FDCC5">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AAA0A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512A" w14:paraId="7288EB5B" w14:textId="77777777">
      <w:r>
        <w:separator/>
      </w:r>
    </w:p>
  </w:footnote>
  <w:footnote w:type="continuationSeparator" w:id="1">
    <w:p w:rsidR="00C6512A" w:rsidP="00C721AC" w14:paraId="406890EA" w14:textId="77777777">
      <w:pPr>
        <w:spacing w:before="120"/>
        <w:rPr>
          <w:sz w:val="20"/>
        </w:rPr>
      </w:pPr>
      <w:r>
        <w:rPr>
          <w:sz w:val="20"/>
        </w:rPr>
        <w:t xml:space="preserve">(Continued from previous page)  </w:t>
      </w:r>
      <w:r>
        <w:rPr>
          <w:sz w:val="20"/>
        </w:rPr>
        <w:separator/>
      </w:r>
    </w:p>
  </w:footnote>
  <w:footnote w:type="continuationNotice" w:id="2">
    <w:p w:rsidR="00C6512A" w:rsidP="00C721AC" w14:paraId="4BFF90E9" w14:textId="77777777">
      <w:pPr>
        <w:jc w:val="right"/>
        <w:rPr>
          <w:sz w:val="20"/>
        </w:rPr>
      </w:pPr>
    </w:p>
  </w:footnote>
  <w:footnote w:id="3">
    <w:p w:rsidR="00A608A0" w14:paraId="51A7918B" w14:textId="77777777">
      <w:pPr>
        <w:pStyle w:val="FootnoteText"/>
      </w:pPr>
      <w:r>
        <w:rPr>
          <w:rStyle w:val="FootnoteReference"/>
        </w:rPr>
        <w:footnoteRef/>
      </w:r>
      <w:r>
        <w:t xml:space="preserve"> Petition for Waiver, AU Docket No. 20-34, WC Docket Nos. 19-126, 10-90 (filed Apr. 13, 2020) (Johnson Petition).</w:t>
      </w:r>
    </w:p>
  </w:footnote>
  <w:footnote w:id="4">
    <w:p w:rsidR="00A608A0" w:rsidP="00094D9A" w14:paraId="24876A53" w14:textId="57BE93A4">
      <w:pPr>
        <w:pStyle w:val="FootnoteText"/>
      </w:pPr>
      <w:r>
        <w:rPr>
          <w:rStyle w:val="FootnoteReference"/>
        </w:rPr>
        <w:footnoteRef/>
      </w:r>
      <w:r>
        <w:t xml:space="preserve"> </w:t>
      </w:r>
      <w:r w:rsidR="00530070">
        <w:t>47 CFR § 54.803(d)</w:t>
      </w:r>
      <w:r>
        <w:t xml:space="preserve">; </w:t>
      </w:r>
      <w:r w:rsidRPr="0093604D" w:rsidR="006612C8">
        <w:rPr>
          <w:i/>
          <w:iCs/>
        </w:rPr>
        <w:t>Rural Digital Opportunity Fund; Connect America Fund</w:t>
      </w:r>
      <w:r w:rsidR="006612C8">
        <w:t xml:space="preserve">, </w:t>
      </w:r>
      <w:r w:rsidR="0095582D">
        <w:t xml:space="preserve">WC Docket Nos. 19-126, 10-90 </w:t>
      </w:r>
      <w:r w:rsidR="006612C8">
        <w:t>Order, 35 FCC Rcd 686</w:t>
      </w:r>
      <w:r w:rsidR="00CB1790">
        <w:t>, 721, para. 77</w:t>
      </w:r>
      <w:r w:rsidR="006612C8">
        <w:t xml:space="preserve"> (2020</w:t>
      </w:r>
      <w:r w:rsidR="00CB1790">
        <w:t>)</w:t>
      </w:r>
      <w:r w:rsidR="00530070">
        <w:t xml:space="preserve"> (</w:t>
      </w:r>
      <w:r w:rsidRPr="00FE769E" w:rsidR="00530070">
        <w:rPr>
          <w:i/>
          <w:iCs/>
        </w:rPr>
        <w:t>Rural Digital Opportunity Fund Order</w:t>
      </w:r>
      <w:r w:rsidR="00530070">
        <w:t>).</w:t>
      </w:r>
    </w:p>
  </w:footnote>
  <w:footnote w:id="5">
    <w:p w:rsidR="00A608A0" w14:paraId="7A06AA0C" w14:textId="220BC75E">
      <w:pPr>
        <w:pStyle w:val="FootnoteText"/>
      </w:pPr>
      <w:r>
        <w:rPr>
          <w:rStyle w:val="FootnoteReference"/>
        </w:rPr>
        <w:footnoteRef/>
      </w:r>
      <w:r>
        <w:t xml:space="preserve"> </w:t>
      </w:r>
      <w:r w:rsidR="00635181">
        <w:t xml:space="preserve">Johnson Petition at 2; </w:t>
      </w:r>
      <w:r w:rsidR="00093B39">
        <w:rPr>
          <w:i/>
        </w:rPr>
        <w:t>Notice of Apparent Liability for Forfeiture</w:t>
      </w:r>
      <w:r w:rsidR="005657D6">
        <w:t xml:space="preserve">, </w:t>
      </w:r>
      <w:r w:rsidR="00762879">
        <w:t>34 FCC Rcd 9965</w:t>
      </w:r>
      <w:r w:rsidR="00F6616B">
        <w:t>, 9967</w:t>
      </w:r>
      <w:r w:rsidR="00F3473C">
        <w:t xml:space="preserve">, </w:t>
      </w:r>
      <w:r w:rsidR="00F154EB">
        <w:t>para. 7</w:t>
      </w:r>
      <w:r w:rsidR="007C2235">
        <w:t xml:space="preserve"> &amp;</w:t>
      </w:r>
      <w:r w:rsidR="00F154EB">
        <w:t xml:space="preserve"> </w:t>
      </w:r>
      <w:r w:rsidR="00F3473C">
        <w:t>n.18</w:t>
      </w:r>
      <w:r w:rsidR="00762879">
        <w:t xml:space="preserve"> </w:t>
      </w:r>
      <w:r w:rsidR="009D7A15">
        <w:t>(</w:t>
      </w:r>
      <w:r w:rsidR="00283EAE">
        <w:t xml:space="preserve">EB </w:t>
      </w:r>
      <w:r w:rsidR="009D7A15">
        <w:t>20</w:t>
      </w:r>
      <w:r w:rsidR="00093B39">
        <w:t>19</w:t>
      </w:r>
      <w:r w:rsidR="009D7A15">
        <w:t>)</w:t>
      </w:r>
      <w:r w:rsidR="006C62CE">
        <w:t xml:space="preserve"> (</w:t>
      </w:r>
      <w:r w:rsidRPr="00103013" w:rsidR="006C62CE">
        <w:rPr>
          <w:i/>
          <w:iCs/>
        </w:rPr>
        <w:t xml:space="preserve">Johnson </w:t>
      </w:r>
      <w:r w:rsidRPr="00103013" w:rsidR="006C62CE">
        <w:rPr>
          <w:i/>
          <w:iCs/>
        </w:rPr>
        <w:t>NAL</w:t>
      </w:r>
      <w:r w:rsidR="006C62CE">
        <w:t>)</w:t>
      </w:r>
      <w:r w:rsidR="00C016CC">
        <w:t xml:space="preserve"> </w:t>
      </w:r>
      <w:r w:rsidR="00F3473C">
        <w:t xml:space="preserve">(stating that Johnson notified the Wireline Competition Bureau through email </w:t>
      </w:r>
      <w:r w:rsidR="008A21E5">
        <w:t>on Oc</w:t>
      </w:r>
      <w:r w:rsidR="00CE10B9">
        <w:t xml:space="preserve">tober 19, 2018, </w:t>
      </w:r>
      <w:r w:rsidR="00F3473C">
        <w:t>that it would default on its winning bid but did not provide an explanation as to why it defaulted).</w:t>
      </w:r>
    </w:p>
  </w:footnote>
  <w:footnote w:id="6">
    <w:p w:rsidR="00A608A0" w14:paraId="6CB67B87" w14:textId="2D791D0C">
      <w:pPr>
        <w:pStyle w:val="FootnoteText"/>
      </w:pPr>
      <w:r>
        <w:rPr>
          <w:rStyle w:val="FootnoteReference"/>
        </w:rPr>
        <w:footnoteRef/>
      </w:r>
      <w:r>
        <w:t xml:space="preserve"> </w:t>
      </w:r>
      <w:r w:rsidR="00001B5C">
        <w:rPr>
          <w:i/>
        </w:rPr>
        <w:t>Notice of Apparent Liability for Forfeiture</w:t>
      </w:r>
      <w:r w:rsidR="00001B5C">
        <w:t>, 34 FCC Rcd at 9967, para. 7</w:t>
      </w:r>
      <w:r w:rsidR="00C16DB5">
        <w:t xml:space="preserve"> &amp; </w:t>
      </w:r>
      <w:r w:rsidR="00001B5C">
        <w:t>n.18</w:t>
      </w:r>
      <w:r w:rsidR="006B581A">
        <w:t>.</w:t>
      </w:r>
    </w:p>
  </w:footnote>
  <w:footnote w:id="7">
    <w:p w:rsidR="00A608A0" w14:paraId="2FADDCE9" w14:textId="77777777">
      <w:pPr>
        <w:pStyle w:val="FootnoteText"/>
      </w:pPr>
      <w:r>
        <w:rPr>
          <w:rStyle w:val="FootnoteReference"/>
        </w:rPr>
        <w:footnoteRef/>
      </w:r>
      <w:r>
        <w:t xml:space="preserve"> Johnson Petition at 2-3</w:t>
      </w:r>
      <w:r w:rsidR="00F6616B">
        <w:t xml:space="preserve">; </w:t>
      </w:r>
      <w:r w:rsidRPr="00103013" w:rsidR="00F6616B">
        <w:rPr>
          <w:i/>
          <w:iCs/>
        </w:rPr>
        <w:t xml:space="preserve">Johnson </w:t>
      </w:r>
      <w:r w:rsidRPr="00103013" w:rsidR="00F6616B">
        <w:rPr>
          <w:i/>
          <w:iCs/>
        </w:rPr>
        <w:t>NAL</w:t>
      </w:r>
      <w:r w:rsidR="00A86380">
        <w:t>,</w:t>
      </w:r>
      <w:r w:rsidR="00D709D1">
        <w:t xml:space="preserve"> </w:t>
      </w:r>
      <w:r w:rsidR="00A86380">
        <w:t xml:space="preserve">34 FCC Rcd </w:t>
      </w:r>
      <w:r w:rsidR="00F6616B">
        <w:t>at</w:t>
      </w:r>
      <w:r w:rsidR="00D709D1">
        <w:t xml:space="preserve"> 9969</w:t>
      </w:r>
      <w:r w:rsidR="00515995">
        <w:t>, para. 14</w:t>
      </w:r>
      <w:r w:rsidR="00D709D1">
        <w:t>.</w:t>
      </w:r>
    </w:p>
  </w:footnote>
  <w:footnote w:id="8">
    <w:p w:rsidR="00A608A0" w14:paraId="3C009BA7" w14:textId="77777777">
      <w:pPr>
        <w:pStyle w:val="FootnoteText"/>
      </w:pPr>
      <w:r>
        <w:rPr>
          <w:rStyle w:val="FootnoteReference"/>
        </w:rPr>
        <w:footnoteRef/>
      </w:r>
      <w:r w:rsidR="00FE769E">
        <w:t xml:space="preserve"> Johnson Petition</w:t>
      </w:r>
      <w:r w:rsidR="002859ED">
        <w:t xml:space="preserve"> at 3</w:t>
      </w:r>
      <w:r w:rsidR="00FE769E">
        <w:t>.</w:t>
      </w:r>
    </w:p>
  </w:footnote>
  <w:footnote w:id="9">
    <w:p w:rsidR="00020F52" w14:paraId="4196414A" w14:textId="22F7FA35">
      <w:pPr>
        <w:pStyle w:val="FootnoteText"/>
      </w:pPr>
      <w:r>
        <w:rPr>
          <w:rStyle w:val="FootnoteReference"/>
        </w:rPr>
        <w:footnoteRef/>
      </w:r>
      <w:r>
        <w:t xml:space="preserve"> </w:t>
      </w:r>
      <w:r w:rsidRPr="00C86517" w:rsidR="00C86517">
        <w:rPr>
          <w:i/>
          <w:iCs/>
        </w:rPr>
        <w:t>Id.</w:t>
      </w:r>
      <w:r>
        <w:t xml:space="preserve"> at 5, 7.</w:t>
      </w:r>
    </w:p>
  </w:footnote>
  <w:footnote w:id="10">
    <w:p w:rsidR="00A608A0" w:rsidP="00F413A7" w14:paraId="7E603AAB" w14:textId="17C48CF6">
      <w:pPr>
        <w:pStyle w:val="FootnoteText"/>
      </w:pPr>
      <w:r>
        <w:rPr>
          <w:rStyle w:val="FootnoteReference"/>
        </w:rPr>
        <w:footnoteRef/>
      </w:r>
      <w:r>
        <w:t xml:space="preserve"> </w:t>
      </w:r>
      <w:r w:rsidRPr="00C86517" w:rsidR="00C86517">
        <w:rPr>
          <w:i/>
          <w:iCs/>
        </w:rPr>
        <w:t>Id</w:t>
      </w:r>
      <w:r w:rsidR="00C86517">
        <w:t>.</w:t>
      </w:r>
      <w:r>
        <w:t xml:space="preserve"> at 3, 5.</w:t>
      </w:r>
    </w:p>
  </w:footnote>
  <w:footnote w:id="11">
    <w:p w:rsidR="00A608A0" w14:paraId="4CB7ACA1" w14:textId="77777777">
      <w:pPr>
        <w:pStyle w:val="FootnoteText"/>
      </w:pPr>
      <w:r>
        <w:rPr>
          <w:rStyle w:val="FootnoteReference"/>
        </w:rPr>
        <w:footnoteRef/>
      </w:r>
      <w:r>
        <w:t xml:space="preserve"> Johnson Petition at 4.</w:t>
      </w:r>
    </w:p>
  </w:footnote>
  <w:footnote w:id="12">
    <w:p w:rsidR="00A608A0" w:rsidP="00BA1EE5" w14:paraId="3D6675BA" w14:textId="77777777">
      <w:pPr>
        <w:pStyle w:val="FootnoteText"/>
      </w:pPr>
      <w:r>
        <w:rPr>
          <w:rStyle w:val="FootnoteReference"/>
        </w:rPr>
        <w:footnoteRef/>
      </w:r>
      <w:r>
        <w:t xml:space="preserve"> </w:t>
      </w:r>
      <w:r w:rsidRPr="007F4A5D">
        <w:t>47 CFR § 1.3</w:t>
      </w:r>
      <w:r>
        <w:t>.</w:t>
      </w:r>
    </w:p>
  </w:footnote>
  <w:footnote w:id="13">
    <w:p w:rsidR="00A608A0" w:rsidP="00BA1EE5" w14:paraId="1EBF4739"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w:t>
      </w:r>
      <w:r w:rsidRPr="008C2A06">
        <w:t>F.2d</w:t>
      </w:r>
      <w:r w:rsidRPr="008C2A06">
        <w:t xml:space="preserve"> 1164, 1166 (D.C. Cir. 1990) (citing </w:t>
      </w:r>
      <w:r w:rsidRPr="008C2A06">
        <w:rPr>
          <w:i/>
        </w:rPr>
        <w:t>WAIT Radio v. FCC</w:t>
      </w:r>
      <w:r w:rsidRPr="008C2A06">
        <w:t xml:space="preserve">, 418 </w:t>
      </w:r>
      <w:r w:rsidRPr="008C2A06">
        <w:t>F.2d</w:t>
      </w:r>
      <w:r w:rsidRPr="008C2A06">
        <w:t xml:space="preserve"> 1153, 1157-59 (D.C. Cir. 1969), </w:t>
      </w:r>
      <w:r w:rsidRPr="008C2A06">
        <w:rPr>
          <w:i/>
        </w:rPr>
        <w:t>cert. denied</w:t>
      </w:r>
      <w:r>
        <w:t xml:space="preserve">, 93 </w:t>
      </w:r>
      <w:r>
        <w:t>S.Ct</w:t>
      </w:r>
      <w:r>
        <w:t>. 461 (1972))</w:t>
      </w:r>
      <w:r w:rsidR="00691864">
        <w:t xml:space="preserve"> (</w:t>
      </w:r>
      <w:r w:rsidRPr="00691864" w:rsidR="00691864">
        <w:rPr>
          <w:i/>
        </w:rPr>
        <w:t>Northeast Cellular</w:t>
      </w:r>
      <w:r w:rsidR="00691864">
        <w:t>)</w:t>
      </w:r>
      <w:r>
        <w:t>.</w:t>
      </w:r>
      <w:r w:rsidRPr="008C2A06">
        <w:rPr>
          <w:i/>
        </w:rPr>
        <w:t xml:space="preserve"> </w:t>
      </w:r>
    </w:p>
  </w:footnote>
  <w:footnote w:id="14">
    <w:p w:rsidR="00BE458E" w14:paraId="2D768E1C" w14:textId="0C327CE8">
      <w:pPr>
        <w:pStyle w:val="FootnoteText"/>
      </w:pPr>
      <w:r>
        <w:rPr>
          <w:rStyle w:val="FootnoteReference"/>
        </w:rPr>
        <w:footnoteRef/>
      </w:r>
      <w:r>
        <w:t xml:space="preserve"> Johnson refers to the </w:t>
      </w:r>
      <w:r>
        <w:t>NAL</w:t>
      </w:r>
      <w:r>
        <w:t xml:space="preserve"> as </w:t>
      </w:r>
      <w:r w:rsidR="006B581A">
        <w:t>“</w:t>
      </w:r>
      <w:r>
        <w:t>the forfeiture order</w:t>
      </w:r>
      <w:r w:rsidR="006B581A">
        <w:t>”</w:t>
      </w:r>
      <w:r>
        <w:t xml:space="preserve"> in its Petition.  </w:t>
      </w:r>
      <w:r w:rsidRPr="00CF24F0">
        <w:rPr>
          <w:i/>
          <w:iCs/>
        </w:rPr>
        <w:t>See</w:t>
      </w:r>
      <w:r>
        <w:t xml:space="preserve"> Johnson Petition at 7-8.</w:t>
      </w:r>
    </w:p>
  </w:footnote>
  <w:footnote w:id="15">
    <w:p w:rsidR="00A608A0" w:rsidP="00101591" w14:paraId="2B1C29B4" w14:textId="77777777">
      <w:pPr>
        <w:pStyle w:val="FootnoteText"/>
      </w:pPr>
      <w:r>
        <w:rPr>
          <w:rStyle w:val="FootnoteReference"/>
        </w:rPr>
        <w:footnoteRef/>
      </w:r>
      <w:r>
        <w:t xml:space="preserve"> Johnson Petition at 3.</w:t>
      </w:r>
    </w:p>
  </w:footnote>
  <w:footnote w:id="16">
    <w:p w:rsidR="006B581A" w:rsidP="006B581A" w14:paraId="16A0D374" w14:textId="4F17489E">
      <w:pPr>
        <w:pStyle w:val="FootnoteText"/>
      </w:pPr>
      <w:r>
        <w:rPr>
          <w:rStyle w:val="FootnoteReference"/>
        </w:rPr>
        <w:footnoteRef/>
      </w:r>
      <w:r>
        <w:t xml:space="preserve"> </w:t>
      </w:r>
      <w:r w:rsidRPr="00CF24F0">
        <w:rPr>
          <w:i/>
          <w:iCs/>
        </w:rPr>
        <w:t>See</w:t>
      </w:r>
      <w:r>
        <w:t xml:space="preserve"> 47 CFR § 1.21004(c)</w:t>
      </w:r>
      <w:r w:rsidR="008E67DA">
        <w:t xml:space="preserve">; </w:t>
      </w:r>
      <w:r w:rsidR="008E67DA">
        <w:rPr>
          <w:i/>
          <w:iCs/>
        </w:rPr>
        <w:t>se</w:t>
      </w:r>
      <w:r w:rsidRPr="003110A5">
        <w:rPr>
          <w:i/>
          <w:iCs/>
        </w:rPr>
        <w:t>e generally</w:t>
      </w:r>
      <w:r w:rsidRPr="003110A5">
        <w:t xml:space="preserve"> </w:t>
      </w:r>
      <w:r w:rsidRPr="003110A5">
        <w:rPr>
          <w:i/>
          <w:iCs/>
        </w:rPr>
        <w:t>Rural Digital Opportunity Fund</w:t>
      </w:r>
      <w:r>
        <w:rPr>
          <w:i/>
          <w:iCs/>
        </w:rPr>
        <w:t xml:space="preserve"> Order</w:t>
      </w:r>
      <w:r w:rsidRPr="003110A5">
        <w:t xml:space="preserve">, 35 FCC Rcd </w:t>
      </w:r>
      <w:r>
        <w:t xml:space="preserve">at </w:t>
      </w:r>
      <w:r w:rsidRPr="003110A5">
        <w:t>686</w:t>
      </w:r>
      <w:r>
        <w:t xml:space="preserve">; </w:t>
      </w:r>
      <w:r w:rsidRPr="003110A5">
        <w:rPr>
          <w:i/>
          <w:iCs/>
        </w:rPr>
        <w:t>Connect America Fund et al.</w:t>
      </w:r>
      <w:r w:rsidRPr="003110A5">
        <w:t>, WC Docket No. 10-90 et al., Report and Order and Further Notice of Proposed Rulemaking, 31 FCC Rcd 5949 (2016) (</w:t>
      </w:r>
      <w:r w:rsidRPr="003110A5">
        <w:rPr>
          <w:i/>
          <w:iCs/>
        </w:rPr>
        <w:t xml:space="preserve">Phase II Auction Order and/or </w:t>
      </w:r>
      <w:r w:rsidRPr="003110A5">
        <w:rPr>
          <w:i/>
          <w:iCs/>
        </w:rPr>
        <w:t>FNPRM</w:t>
      </w:r>
      <w:r w:rsidRPr="003110A5">
        <w:t>).</w:t>
      </w:r>
    </w:p>
  </w:footnote>
  <w:footnote w:id="17">
    <w:p w:rsidR="009D3900" w:rsidP="009D3900" w14:paraId="054BF2F2" w14:textId="60C13BEC">
      <w:pPr>
        <w:pStyle w:val="FootnoteText"/>
      </w:pPr>
      <w:r>
        <w:rPr>
          <w:rStyle w:val="FootnoteReference"/>
        </w:rPr>
        <w:footnoteRef/>
      </w:r>
      <w:r>
        <w:t xml:space="preserve"> Johnson Petition at 7 (claiming the </w:t>
      </w:r>
      <w:r>
        <w:t>NAL</w:t>
      </w:r>
      <w:r>
        <w:t xml:space="preserve"> “gave no indication that [its] [proposed] forfeiture [was] not the entire penalty for [Johnson’s] default </w:t>
      </w:r>
      <w:r>
        <w:t>. . . .</w:t>
      </w:r>
      <w:r>
        <w:t xml:space="preserve">”); </w:t>
      </w:r>
      <w:r>
        <w:rPr>
          <w:i/>
          <w:iCs/>
        </w:rPr>
        <w:t xml:space="preserve">see also </w:t>
      </w:r>
      <w:r w:rsidRPr="00103013">
        <w:rPr>
          <w:i/>
          <w:iCs/>
        </w:rPr>
        <w:t xml:space="preserve">Johnson </w:t>
      </w:r>
      <w:r w:rsidRPr="00103013">
        <w:rPr>
          <w:i/>
          <w:iCs/>
        </w:rPr>
        <w:t>NAL</w:t>
      </w:r>
      <w:r>
        <w:t>, 34 FCC Rcd at 9968, paras. 10-11.</w:t>
      </w:r>
    </w:p>
  </w:footnote>
  <w:footnote w:id="18">
    <w:p w:rsidR="00A608A0" w14:paraId="1A0FFA54" w14:textId="77777777">
      <w:pPr>
        <w:pStyle w:val="FootnoteText"/>
      </w:pPr>
      <w:r>
        <w:rPr>
          <w:rStyle w:val="FootnoteReference"/>
        </w:rPr>
        <w:footnoteRef/>
      </w:r>
      <w:r>
        <w:t xml:space="preserve"> </w:t>
      </w:r>
      <w:r w:rsidRPr="008702AA">
        <w:rPr>
          <w:i/>
          <w:iCs/>
        </w:rPr>
        <w:t>See</w:t>
      </w:r>
      <w:r>
        <w:t xml:space="preserve"> </w:t>
      </w:r>
      <w:r w:rsidRPr="000A1241" w:rsidR="000A1241">
        <w:rPr>
          <w:i/>
          <w:iCs/>
        </w:rPr>
        <w:t>Rural Digital Opportunity Fund et al.</w:t>
      </w:r>
      <w:r w:rsidR="000A1241">
        <w:t>, WC Docket Nos. 19-126, 10-90, Notice of Proposed Rulemaking, 34 FCC Rcd 6778</w:t>
      </w:r>
      <w:r w:rsidR="005B0EAB">
        <w:t>, 6804, para. 80</w:t>
      </w:r>
      <w:r w:rsidR="000A1241">
        <w:t xml:space="preserve"> (2019)</w:t>
      </w:r>
      <w:r w:rsidR="00DC39E0">
        <w:t xml:space="preserve"> (</w:t>
      </w:r>
      <w:r w:rsidRPr="005C3DD0" w:rsidR="00DC39E0">
        <w:rPr>
          <w:i/>
          <w:iCs/>
        </w:rPr>
        <w:t xml:space="preserve">Rural Digital Opportunity Fund </w:t>
      </w:r>
      <w:r w:rsidRPr="005C3DD0" w:rsidR="00DC39E0">
        <w:rPr>
          <w:i/>
          <w:iCs/>
        </w:rPr>
        <w:t>NPRM</w:t>
      </w:r>
      <w:r w:rsidRPr="004C1146" w:rsidR="00DC39E0">
        <w:t>)</w:t>
      </w:r>
      <w:r w:rsidR="000A1241">
        <w:t>.</w:t>
      </w:r>
    </w:p>
  </w:footnote>
  <w:footnote w:id="19">
    <w:p w:rsidR="00A608A0" w14:paraId="72031997" w14:textId="77777777">
      <w:pPr>
        <w:pStyle w:val="FootnoteText"/>
      </w:pPr>
      <w:r>
        <w:rPr>
          <w:rStyle w:val="FootnoteReference"/>
        </w:rPr>
        <w:footnoteRef/>
      </w:r>
      <w:r>
        <w:t xml:space="preserve"> </w:t>
      </w:r>
      <w:r w:rsidRPr="00DC39E0">
        <w:rPr>
          <w:i/>
          <w:iCs/>
        </w:rPr>
        <w:t>See</w:t>
      </w:r>
      <w:r>
        <w:t xml:space="preserve"> </w:t>
      </w:r>
      <w:r w:rsidRPr="005C3DD0" w:rsidR="00DC39E0">
        <w:rPr>
          <w:i/>
          <w:iCs/>
        </w:rPr>
        <w:t xml:space="preserve">Rural Digital Opportunity Fund </w:t>
      </w:r>
      <w:r w:rsidRPr="005C3DD0" w:rsidR="00DC39E0">
        <w:rPr>
          <w:i/>
          <w:iCs/>
        </w:rPr>
        <w:t>NPRM</w:t>
      </w:r>
      <w:r>
        <w:t>, 34 FCC Rcd</w:t>
      </w:r>
      <w:r w:rsidR="00DC39E0">
        <w:t xml:space="preserve"> at</w:t>
      </w:r>
      <w:r>
        <w:t xml:space="preserve"> </w:t>
      </w:r>
      <w:r w:rsidR="00DC39E0">
        <w:t>6778</w:t>
      </w:r>
      <w:r>
        <w:t>.</w:t>
      </w:r>
    </w:p>
  </w:footnote>
  <w:footnote w:id="20">
    <w:p w:rsidR="00A608A0" w:rsidP="00D012DC" w14:paraId="7BF9B515" w14:textId="77777777">
      <w:pPr>
        <w:pStyle w:val="FootnoteText"/>
      </w:pPr>
      <w:r>
        <w:rPr>
          <w:rStyle w:val="FootnoteReference"/>
        </w:rPr>
        <w:footnoteRef/>
      </w:r>
      <w:r>
        <w:t xml:space="preserve"> </w:t>
      </w:r>
      <w:r w:rsidRPr="008158E0">
        <w:rPr>
          <w:i/>
          <w:iCs/>
        </w:rPr>
        <w:t>Phase II Auction Order</w:t>
      </w:r>
      <w:r w:rsidRPr="00077405">
        <w:t>, 31 FCC Rcd at 6001, para. 145</w:t>
      </w:r>
    </w:p>
  </w:footnote>
  <w:footnote w:id="21">
    <w:p w:rsidR="00A608A0" w14:paraId="35A4D0F4" w14:textId="77777777">
      <w:pPr>
        <w:pStyle w:val="FootnoteText"/>
      </w:pPr>
      <w:r>
        <w:rPr>
          <w:rStyle w:val="FootnoteReference"/>
        </w:rPr>
        <w:footnoteRef/>
      </w:r>
      <w:r>
        <w:t xml:space="preserve"> Johnson </w:t>
      </w:r>
      <w:r>
        <w:t>NAL</w:t>
      </w:r>
      <w:r>
        <w:t>, 34 FCC Rcd at 9968, para. 12.</w:t>
      </w:r>
    </w:p>
  </w:footnote>
  <w:footnote w:id="22">
    <w:p w:rsidR="00E43D14" w:rsidP="00E43D14" w14:paraId="7CDB5A04" w14:textId="77777777">
      <w:pPr>
        <w:pStyle w:val="FootnoteText"/>
      </w:pPr>
      <w:r>
        <w:rPr>
          <w:rStyle w:val="FootnoteReference"/>
        </w:rPr>
        <w:footnoteRef/>
      </w:r>
      <w:r>
        <w:t xml:space="preserve"> Johnson Petition at 4.</w:t>
      </w:r>
    </w:p>
  </w:footnote>
  <w:footnote w:id="23">
    <w:p w:rsidR="00E43D14" w:rsidP="00E43D14" w14:paraId="06194F2E" w14:textId="35169DB4">
      <w:pPr>
        <w:pStyle w:val="FootnoteText"/>
      </w:pPr>
      <w:r>
        <w:rPr>
          <w:rStyle w:val="FootnoteReference"/>
        </w:rPr>
        <w:footnoteRef/>
      </w:r>
      <w:r>
        <w:t xml:space="preserve"> </w:t>
      </w:r>
      <w:r w:rsidRPr="00C86517" w:rsidR="00C86517">
        <w:rPr>
          <w:i/>
          <w:iCs/>
        </w:rPr>
        <w:t>Id.</w:t>
      </w:r>
      <w:r>
        <w:t xml:space="preserve"> at 5.</w:t>
      </w:r>
    </w:p>
  </w:footnote>
  <w:footnote w:id="24">
    <w:p w:rsidR="008D4661" w:rsidP="008D4661" w14:paraId="46E21D82" w14:textId="25A70641">
      <w:pPr>
        <w:pStyle w:val="FootnoteText"/>
      </w:pPr>
      <w:r>
        <w:rPr>
          <w:rStyle w:val="FootnoteReference"/>
        </w:rPr>
        <w:footnoteRef/>
      </w:r>
      <w:r>
        <w:t xml:space="preserve"> </w:t>
      </w:r>
      <w:r w:rsidRPr="00C86517" w:rsidR="00C86517">
        <w:rPr>
          <w:i/>
          <w:iCs/>
        </w:rPr>
        <w:t>Id</w:t>
      </w:r>
      <w:r>
        <w:t>.</w:t>
      </w:r>
    </w:p>
  </w:footnote>
  <w:footnote w:id="25">
    <w:p w:rsidR="005E5D22" w:rsidP="005E5D22" w14:paraId="4AA39BE8" w14:textId="77777777">
      <w:pPr>
        <w:pStyle w:val="FootnoteText"/>
      </w:pPr>
      <w:r>
        <w:rPr>
          <w:rStyle w:val="FootnoteReference"/>
        </w:rPr>
        <w:footnoteRef/>
      </w:r>
      <w:r>
        <w:t xml:space="preserve"> </w:t>
      </w:r>
      <w:r w:rsidRPr="00103013">
        <w:rPr>
          <w:i/>
          <w:iCs/>
        </w:rPr>
        <w:t xml:space="preserve">Johnson </w:t>
      </w:r>
      <w:r w:rsidRPr="00103013">
        <w:rPr>
          <w:i/>
          <w:iCs/>
        </w:rPr>
        <w:t>NAL</w:t>
      </w:r>
      <w:r>
        <w:t>, 34 FCC Rcd at 9965, para. 1.</w:t>
      </w:r>
    </w:p>
  </w:footnote>
  <w:footnote w:id="26">
    <w:p w:rsidR="006D7E0B" w14:paraId="46A7E84E" w14:textId="475EEE4B">
      <w:pPr>
        <w:pStyle w:val="FootnoteText"/>
      </w:pPr>
      <w:r>
        <w:rPr>
          <w:rStyle w:val="FootnoteReference"/>
        </w:rPr>
        <w:footnoteRef/>
      </w:r>
      <w:r>
        <w:t xml:space="preserve"> </w:t>
      </w:r>
      <w:r>
        <w:rPr>
          <w:rFonts w:ascii="TimesNewRomanPS-ItalicMT" w:hAnsi="TimesNewRomanPS-ItalicMT" w:cs="TimesNewRomanPS-ItalicMT"/>
          <w:i/>
          <w:iCs/>
          <w:sz w:val="18"/>
          <w:szCs w:val="18"/>
        </w:rPr>
        <w:t>Phase II Auction Order</w:t>
      </w:r>
      <w:r>
        <w:rPr>
          <w:rFonts w:ascii="TimesNewRomanPSMT" w:hAnsi="TimesNewRomanPSMT" w:cs="TimesNewRomanPSMT"/>
          <w:sz w:val="18"/>
          <w:szCs w:val="18"/>
        </w:rPr>
        <w:t>, 31 FCC Rcd at 6001, para. 145.</w:t>
      </w:r>
    </w:p>
  </w:footnote>
  <w:footnote w:id="27">
    <w:p w:rsidR="00524FDC" w:rsidP="00524FDC" w14:paraId="6AFD1EE8" w14:textId="4492FFC3">
      <w:pPr>
        <w:pStyle w:val="FootnoteText"/>
      </w:pPr>
      <w:r>
        <w:rPr>
          <w:rStyle w:val="FootnoteReference"/>
        </w:rPr>
        <w:footnoteRef/>
      </w:r>
      <w:r>
        <w:t xml:space="preserve"> </w:t>
      </w:r>
      <w:r w:rsidRPr="00781EA3">
        <w:rPr>
          <w:i/>
          <w:iCs/>
        </w:rPr>
        <w:t>See e.g.</w:t>
      </w:r>
      <w:r>
        <w:t xml:space="preserve">, </w:t>
      </w:r>
      <w:r w:rsidRPr="0041233F" w:rsidR="0066740E">
        <w:rPr>
          <w:i/>
          <w:iCs/>
        </w:rPr>
        <w:t>Connect America Fund Phase II Auction Support for 822 Winning Bids Ready to be Authorized; Bid Defaults Determined</w:t>
      </w:r>
      <w:r w:rsidR="007C2235">
        <w:t>,</w:t>
      </w:r>
      <w:r>
        <w:t xml:space="preserve"> </w:t>
      </w:r>
      <w:r w:rsidR="00283EAE">
        <w:t xml:space="preserve">AU Docket No. 18-172, WC Docket No. 10-90, </w:t>
      </w:r>
      <w:r>
        <w:t>Public Notice,</w:t>
      </w:r>
      <w:r w:rsidR="0066740E">
        <w:t xml:space="preserve"> </w:t>
      </w:r>
      <w:r w:rsidRPr="0066740E" w:rsidR="0066740E">
        <w:t>34 FCC Rcd 2076</w:t>
      </w:r>
      <w:r>
        <w:t>,</w:t>
      </w:r>
      <w:r w:rsidR="0066740E">
        <w:t xml:space="preserve"> 2076-77 </w:t>
      </w:r>
      <w:r>
        <w:t>(WCB</w:t>
      </w:r>
      <w:r w:rsidR="0066740E">
        <w:t xml:space="preserve"> </w:t>
      </w:r>
      <w:r>
        <w:t>2019)</w:t>
      </w:r>
      <w:r w:rsidR="0066740E">
        <w:t xml:space="preserve"> (</w:t>
      </w:r>
      <w:r w:rsidRPr="00CF24F0" w:rsidR="0066740E">
        <w:rPr>
          <w:i/>
          <w:iCs/>
        </w:rPr>
        <w:t>Second Ready to Authorize Public Notice</w:t>
      </w:r>
      <w:r w:rsidR="0066740E">
        <w:t>)</w:t>
      </w:r>
      <w:r>
        <w:t xml:space="preserve">.  </w:t>
      </w:r>
    </w:p>
  </w:footnote>
  <w:footnote w:id="28">
    <w:p w:rsidR="00524FDC" w:rsidP="00B82313" w14:paraId="0B9794C2" w14:textId="1A126197">
      <w:pPr>
        <w:pStyle w:val="FootnoteText"/>
      </w:pPr>
      <w:r>
        <w:rPr>
          <w:rStyle w:val="FootnoteReference"/>
        </w:rPr>
        <w:footnoteRef/>
      </w:r>
      <w:r>
        <w:t xml:space="preserve"> </w:t>
      </w:r>
      <w:r w:rsidRPr="00103013">
        <w:rPr>
          <w:i/>
          <w:iCs/>
        </w:rPr>
        <w:t xml:space="preserve">See </w:t>
      </w:r>
      <w:r>
        <w:rPr>
          <w:i/>
        </w:rPr>
        <w:t>Second Ready to Authorize Public Notice</w:t>
      </w:r>
      <w:r>
        <w:t xml:space="preserve">, </w:t>
      </w:r>
      <w:r w:rsidR="007075F2">
        <w:t xml:space="preserve">34 FCC Rcd </w:t>
      </w:r>
      <w:r>
        <w:t>at</w:t>
      </w:r>
      <w:r w:rsidR="00EF3F4E">
        <w:t xml:space="preserve"> 2124-25,</w:t>
      </w:r>
      <w:r>
        <w:t xml:space="preserve"> Attach. B</w:t>
      </w:r>
      <w:r w:rsidR="0066740E">
        <w:t xml:space="preserve"> </w:t>
      </w:r>
      <w:r w:rsidR="009D3900">
        <w:t xml:space="preserve">(announcing </w:t>
      </w:r>
      <w:r>
        <w:t>Auction 903 defaulters that notified the Commission they would no longer be pursuing some or all of their winning bids</w:t>
      </w:r>
      <w:r w:rsidR="009D3900">
        <w:t xml:space="preserve">, including full defaults by </w:t>
      </w:r>
      <w:r>
        <w:t xml:space="preserve">Fidelity Communications Company; Hanson Communications, Inc.; Johnson Telephone Company; </w:t>
      </w:r>
      <w:r>
        <w:t>MGW</w:t>
      </w:r>
      <w:r>
        <w:t xml:space="preserve"> Networks, LLC; </w:t>
      </w:r>
      <w:r>
        <w:t>SyncWave</w:t>
      </w:r>
      <w:r>
        <w:t>, LLC; Total Highspeed, LLC; Townes Wireless, Inc.; and WPS</w:t>
      </w:r>
      <w:r w:rsidR="009D3900">
        <w:t xml:space="preserve">); </w:t>
      </w:r>
      <w:r w:rsidRPr="00B82313" w:rsidR="0041233F">
        <w:rPr>
          <w:i/>
          <w:iCs/>
        </w:rPr>
        <w:t>Connect America Fund Phase II Auction Support for 1,122 Winning Bids Ready to be Authorized</w:t>
      </w:r>
      <w:r w:rsidR="0041233F">
        <w:t xml:space="preserve">, </w:t>
      </w:r>
      <w:r w:rsidR="008A04F5">
        <w:t xml:space="preserve">AU Docket No. 18-172, WC Docket No. 10-90, </w:t>
      </w:r>
      <w:r w:rsidR="009D3900">
        <w:t xml:space="preserve">Public Notice, </w:t>
      </w:r>
      <w:r w:rsidRPr="0041233F" w:rsidR="0041233F">
        <w:t>34 FCC Rcd 6223</w:t>
      </w:r>
      <w:r w:rsidR="009D3900">
        <w:t>,</w:t>
      </w:r>
      <w:r w:rsidR="0041233F">
        <w:t xml:space="preserve"> </w:t>
      </w:r>
      <w:r w:rsidR="00267C0C">
        <w:t xml:space="preserve">6285, </w:t>
      </w:r>
      <w:r w:rsidR="009D3900">
        <w:t>Attach. B (WCB</w:t>
      </w:r>
      <w:r w:rsidR="00267C0C">
        <w:t xml:space="preserve"> </w:t>
      </w:r>
      <w:r w:rsidR="009D3900">
        <w:t xml:space="preserve">2019) (announcing Crocker Communications, Inc. was in default for all winning bids); </w:t>
      </w:r>
      <w:r w:rsidRPr="00B82313" w:rsidR="00B82313">
        <w:rPr>
          <w:i/>
          <w:iCs/>
        </w:rPr>
        <w:t>Connect America Fund Phase II Auction Support for 150 Winning Bids Ready to be Au</w:t>
      </w:r>
      <w:r w:rsidR="00B82313">
        <w:rPr>
          <w:i/>
          <w:iCs/>
        </w:rPr>
        <w:t>thorized</w:t>
      </w:r>
      <w:r w:rsidR="009D3900">
        <w:t xml:space="preserve">, Public Notice, </w:t>
      </w:r>
      <w:r w:rsidR="008A04F5">
        <w:t xml:space="preserve">AU Docket No. 18-172, WC Docket No. 10-90, </w:t>
      </w:r>
      <w:r w:rsidRPr="00B82313" w:rsidR="00B82313">
        <w:t>35 FCC Rcd 1911</w:t>
      </w:r>
      <w:r w:rsidR="009D3900">
        <w:t xml:space="preserve">, </w:t>
      </w:r>
      <w:r w:rsidR="00B82313">
        <w:t xml:space="preserve">1925, </w:t>
      </w:r>
      <w:r w:rsidR="009D3900">
        <w:t xml:space="preserve">Attach. B (WCB 2020) (stating that </w:t>
      </w:r>
      <w:r w:rsidR="009D3900">
        <w:t>Clearsky</w:t>
      </w:r>
      <w:r w:rsidR="009D3900">
        <w:t xml:space="preserve"> was in default for all winning bids)</w:t>
      </w:r>
      <w:r>
        <w:t>.</w:t>
      </w:r>
    </w:p>
  </w:footnote>
  <w:footnote w:id="29">
    <w:p w:rsidR="001F3C67" w:rsidP="001F3C67" w14:paraId="79A8B0C2" w14:textId="0A5B10CD">
      <w:pPr>
        <w:pStyle w:val="FootnoteText"/>
      </w:pPr>
      <w:r>
        <w:rPr>
          <w:rStyle w:val="FootnoteReference"/>
        </w:rPr>
        <w:footnoteRef/>
      </w:r>
      <w:r>
        <w:t xml:space="preserve"> </w:t>
      </w:r>
      <w:r w:rsidRPr="00103013">
        <w:rPr>
          <w:i/>
          <w:iCs/>
        </w:rPr>
        <w:t xml:space="preserve">See </w:t>
      </w:r>
      <w:r>
        <w:rPr>
          <w:i/>
        </w:rPr>
        <w:t>Second Ready to Authorize Public Notice</w:t>
      </w:r>
      <w:r>
        <w:t xml:space="preserve">, </w:t>
      </w:r>
      <w:r w:rsidR="007075F2">
        <w:t xml:space="preserve">34 FCC Rcd </w:t>
      </w:r>
      <w:r>
        <w:t>at</w:t>
      </w:r>
      <w:r w:rsidR="007075F2">
        <w:t xml:space="preserve"> 2124-25,</w:t>
      </w:r>
      <w:r>
        <w:t xml:space="preserve"> Attach. B.</w:t>
      </w:r>
    </w:p>
  </w:footnote>
  <w:footnote w:id="30">
    <w:p w:rsidR="00524FDC" w:rsidP="00524FDC" w14:paraId="1B89DFD0" w14:textId="77777777">
      <w:pPr>
        <w:pStyle w:val="FootnoteText"/>
      </w:pPr>
      <w:r>
        <w:rPr>
          <w:rStyle w:val="FootnoteReference"/>
        </w:rPr>
        <w:footnoteRef/>
      </w:r>
      <w:r>
        <w:t xml:space="preserve"> </w:t>
      </w:r>
      <w:r w:rsidRPr="00780575">
        <w:rPr>
          <w:i/>
          <w:iCs/>
        </w:rPr>
        <w:t>See</w:t>
      </w:r>
      <w:r>
        <w:t xml:space="preserve"> </w:t>
      </w:r>
      <w:r w:rsidRPr="00103013">
        <w:rPr>
          <w:i/>
          <w:iCs/>
        </w:rPr>
        <w:t xml:space="preserve">Johnson </w:t>
      </w:r>
      <w:r w:rsidRPr="00103013">
        <w:rPr>
          <w:i/>
          <w:iCs/>
        </w:rPr>
        <w:t>NAL</w:t>
      </w:r>
      <w:r>
        <w:t>, 34 FCC Rcd at 9968-69, para. 12.</w:t>
      </w:r>
    </w:p>
  </w:footnote>
  <w:footnote w:id="31">
    <w:p w:rsidR="00524FDC" w:rsidP="00524FDC" w14:paraId="135BFF1D" w14:textId="77777777">
      <w:pPr>
        <w:pStyle w:val="FootnoteText"/>
      </w:pPr>
      <w:r>
        <w:rPr>
          <w:rStyle w:val="FootnoteReference"/>
        </w:rPr>
        <w:footnoteRef/>
      </w:r>
      <w:r>
        <w:t xml:space="preserve"> </w:t>
      </w:r>
      <w:r w:rsidRPr="00C51808">
        <w:rPr>
          <w:i/>
          <w:iCs/>
        </w:rPr>
        <w:t>See id</w:t>
      </w:r>
      <w:r>
        <w:t>.</w:t>
      </w:r>
    </w:p>
  </w:footnote>
  <w:footnote w:id="32">
    <w:p w:rsidR="00A608A0" w:rsidP="00F753AE" w14:paraId="75CB1E0C" w14:textId="77777777">
      <w:pPr>
        <w:pStyle w:val="FootnoteText"/>
      </w:pPr>
      <w:r>
        <w:rPr>
          <w:rStyle w:val="FootnoteReference"/>
        </w:rPr>
        <w:footnoteRef/>
      </w:r>
      <w:r>
        <w:t xml:space="preserve"> </w:t>
      </w:r>
      <w:r w:rsidRPr="00587322">
        <w:rPr>
          <w:i/>
        </w:rPr>
        <w:t>See</w:t>
      </w:r>
      <w:r>
        <w:t xml:space="preserve"> </w:t>
      </w:r>
      <w:r w:rsidRPr="008112C7">
        <w:rPr>
          <w:i/>
        </w:rPr>
        <w:t>Northeast Cellular</w:t>
      </w:r>
      <w:r>
        <w:t xml:space="preserve">, 897 </w:t>
      </w:r>
      <w:r>
        <w:t>F.2d</w:t>
      </w:r>
      <w:r>
        <w:t xml:space="preserve"> at 1166.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3D4331" w14:textId="717EFBF9">
    <w:pPr>
      <w:pStyle w:val="Header"/>
      <w:rPr>
        <w:b w:val="0"/>
      </w:rPr>
    </w:pPr>
    <w:r>
      <w:tab/>
      <w:t>Federal Communications Commission</w:t>
    </w:r>
    <w:r>
      <w:tab/>
    </w:r>
    <w:r w:rsidR="00E819EC">
      <w:t>DA 20-</w:t>
    </w:r>
    <w:r w:rsidR="005B7625">
      <w:t>684</w:t>
    </w:r>
  </w:p>
  <w:p w:rsidR="00D25FB5" w14:paraId="1C47B0F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55C5EA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8CB875" w14:textId="6236F38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819EC">
      <w:rPr>
        <w:spacing w:val="-2"/>
      </w:rPr>
      <w:t>DA 20-</w:t>
    </w:r>
    <w:r w:rsidR="005B7625">
      <w:rPr>
        <w:spacing w:val="-2"/>
      </w:rPr>
      <w:t>684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4">
    <w:nsid w:val="27E06CBB"/>
    <w:multiLevelType w:val="multilevel"/>
    <w:tmpl w:val="5330B52E"/>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3D0F1B3D"/>
    <w:multiLevelType w:val="singleLevel"/>
    <w:tmpl w:val="7D8000BE"/>
    <w:lvl w:ilvl="0">
      <w:start w:val="1"/>
      <w:numFmt w:val="decimal"/>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61182925"/>
    <w:multiLevelType w:val="singleLevel"/>
    <w:tmpl w:val="A9EE9842"/>
    <w:lvl w:ilvl="0">
      <w:start w:val="1"/>
      <w:numFmt w:val="decimal"/>
      <w:pStyle w:val="ParaNum"/>
      <w:lvlText w:val="%1."/>
      <w:lvlJc w:val="left"/>
      <w:pPr>
        <w:tabs>
          <w:tab w:val="num" w:pos="1080"/>
        </w:tabs>
        <w:ind w:firstLine="72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lvlOverride w:ilvl="0">
      <w:startOverride w:val="1"/>
    </w:lvlOverride>
  </w:num>
  <w:num w:numId="33">
    <w:abstractNumId w:val="7"/>
    <w:lvlOverride w:ilvl="0">
      <w:startOverride w:val="1"/>
    </w:lvlOverride>
  </w:num>
  <w:num w:numId="34">
    <w:abstractNumId w:val="7"/>
  </w:num>
  <w:num w:numId="35">
    <w:abstractNumId w:val="7"/>
  </w:num>
  <w:num w:numId="36">
    <w:abstractNumId w:val="7"/>
  </w:num>
  <w:num w:numId="37">
    <w:abstractNumId w:val="7"/>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num>
  <w:num w:numId="45">
    <w:abstractNumId w:val="7"/>
    <w:lvlOverride w:ilvl="0">
      <w:startOverride w:val="1"/>
    </w:lvlOverride>
  </w:num>
  <w:num w:numId="46">
    <w:abstractNumId w:val="7"/>
    <w:lvlOverride w:ilvl="0">
      <w:startOverride w:val="1"/>
    </w:lvlOverride>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2"/>
    <w:compatSetting w:name="useWord2013TrackBottomHyphenation" w:uri="http://schemas.microsoft.com/office/word" w:val="0"/>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B0"/>
    <w:rsid w:val="00001B5C"/>
    <w:rsid w:val="00005B81"/>
    <w:rsid w:val="0000606E"/>
    <w:rsid w:val="0000665B"/>
    <w:rsid w:val="00020690"/>
    <w:rsid w:val="00020F52"/>
    <w:rsid w:val="000225C0"/>
    <w:rsid w:val="00023EBE"/>
    <w:rsid w:val="00024556"/>
    <w:rsid w:val="0003034F"/>
    <w:rsid w:val="00032873"/>
    <w:rsid w:val="00032C2B"/>
    <w:rsid w:val="0003419E"/>
    <w:rsid w:val="00034ED4"/>
    <w:rsid w:val="00036039"/>
    <w:rsid w:val="000366D6"/>
    <w:rsid w:val="00037F90"/>
    <w:rsid w:val="00040CAE"/>
    <w:rsid w:val="000416D5"/>
    <w:rsid w:val="000422BE"/>
    <w:rsid w:val="00042E9A"/>
    <w:rsid w:val="000446D0"/>
    <w:rsid w:val="000461DF"/>
    <w:rsid w:val="00051E75"/>
    <w:rsid w:val="00056930"/>
    <w:rsid w:val="0006384B"/>
    <w:rsid w:val="00064C5A"/>
    <w:rsid w:val="000657E7"/>
    <w:rsid w:val="00071609"/>
    <w:rsid w:val="00077405"/>
    <w:rsid w:val="00081401"/>
    <w:rsid w:val="0008400B"/>
    <w:rsid w:val="00087312"/>
    <w:rsid w:val="000875BF"/>
    <w:rsid w:val="000900D4"/>
    <w:rsid w:val="00093802"/>
    <w:rsid w:val="00093B39"/>
    <w:rsid w:val="00093FB7"/>
    <w:rsid w:val="00094B78"/>
    <w:rsid w:val="00094D9A"/>
    <w:rsid w:val="00096D8C"/>
    <w:rsid w:val="000A05A3"/>
    <w:rsid w:val="000A1241"/>
    <w:rsid w:val="000A192C"/>
    <w:rsid w:val="000A3493"/>
    <w:rsid w:val="000A3509"/>
    <w:rsid w:val="000A4E7B"/>
    <w:rsid w:val="000B2052"/>
    <w:rsid w:val="000B5139"/>
    <w:rsid w:val="000C0B65"/>
    <w:rsid w:val="000C2E9B"/>
    <w:rsid w:val="000C43FC"/>
    <w:rsid w:val="000C6A79"/>
    <w:rsid w:val="000C7613"/>
    <w:rsid w:val="000D32FD"/>
    <w:rsid w:val="000D41D7"/>
    <w:rsid w:val="000D6D49"/>
    <w:rsid w:val="000D7F51"/>
    <w:rsid w:val="000E05FE"/>
    <w:rsid w:val="000E3D42"/>
    <w:rsid w:val="000F0B7A"/>
    <w:rsid w:val="000F772D"/>
    <w:rsid w:val="00101591"/>
    <w:rsid w:val="00102BC1"/>
    <w:rsid w:val="00103013"/>
    <w:rsid w:val="001057A6"/>
    <w:rsid w:val="00105A21"/>
    <w:rsid w:val="00111786"/>
    <w:rsid w:val="00122BD5"/>
    <w:rsid w:val="001339E1"/>
    <w:rsid w:val="00133C02"/>
    <w:rsid w:val="00133F79"/>
    <w:rsid w:val="00133FD2"/>
    <w:rsid w:val="0014467A"/>
    <w:rsid w:val="00145CCA"/>
    <w:rsid w:val="00146663"/>
    <w:rsid w:val="00147B94"/>
    <w:rsid w:val="00150806"/>
    <w:rsid w:val="001553BE"/>
    <w:rsid w:val="001572A2"/>
    <w:rsid w:val="00157EA1"/>
    <w:rsid w:val="00165BB2"/>
    <w:rsid w:val="00166F61"/>
    <w:rsid w:val="00170CAF"/>
    <w:rsid w:val="00173632"/>
    <w:rsid w:val="00174DB6"/>
    <w:rsid w:val="00175662"/>
    <w:rsid w:val="00182576"/>
    <w:rsid w:val="00183B0C"/>
    <w:rsid w:val="001876F0"/>
    <w:rsid w:val="00190D8A"/>
    <w:rsid w:val="0019242C"/>
    <w:rsid w:val="00194A66"/>
    <w:rsid w:val="00194B96"/>
    <w:rsid w:val="001950B6"/>
    <w:rsid w:val="001977B8"/>
    <w:rsid w:val="001A0184"/>
    <w:rsid w:val="001A0309"/>
    <w:rsid w:val="001B25AA"/>
    <w:rsid w:val="001B61CF"/>
    <w:rsid w:val="001B78C8"/>
    <w:rsid w:val="001C5DAB"/>
    <w:rsid w:val="001D1FBA"/>
    <w:rsid w:val="001D3DF6"/>
    <w:rsid w:val="001D481D"/>
    <w:rsid w:val="001D5749"/>
    <w:rsid w:val="001D6BCF"/>
    <w:rsid w:val="001E01CA"/>
    <w:rsid w:val="001E0611"/>
    <w:rsid w:val="001E35FC"/>
    <w:rsid w:val="001E69D9"/>
    <w:rsid w:val="001E6E20"/>
    <w:rsid w:val="001F0EF5"/>
    <w:rsid w:val="001F3276"/>
    <w:rsid w:val="001F334A"/>
    <w:rsid w:val="001F361F"/>
    <w:rsid w:val="001F3C67"/>
    <w:rsid w:val="001F44C6"/>
    <w:rsid w:val="001F4CC5"/>
    <w:rsid w:val="0021377E"/>
    <w:rsid w:val="002172B8"/>
    <w:rsid w:val="0022085C"/>
    <w:rsid w:val="00221C58"/>
    <w:rsid w:val="00222361"/>
    <w:rsid w:val="00223340"/>
    <w:rsid w:val="00225125"/>
    <w:rsid w:val="002274E1"/>
    <w:rsid w:val="0024006E"/>
    <w:rsid w:val="0024271D"/>
    <w:rsid w:val="002573AE"/>
    <w:rsid w:val="002619DF"/>
    <w:rsid w:val="00261B88"/>
    <w:rsid w:val="00265892"/>
    <w:rsid w:val="00267584"/>
    <w:rsid w:val="00267C0C"/>
    <w:rsid w:val="0027104D"/>
    <w:rsid w:val="00274D5F"/>
    <w:rsid w:val="00275CF5"/>
    <w:rsid w:val="0028301F"/>
    <w:rsid w:val="002839D3"/>
    <w:rsid w:val="00283EAE"/>
    <w:rsid w:val="00285017"/>
    <w:rsid w:val="002859ED"/>
    <w:rsid w:val="002873BE"/>
    <w:rsid w:val="00296FFF"/>
    <w:rsid w:val="00297565"/>
    <w:rsid w:val="002976F2"/>
    <w:rsid w:val="002A06B4"/>
    <w:rsid w:val="002A18FC"/>
    <w:rsid w:val="002A2D2E"/>
    <w:rsid w:val="002A54FB"/>
    <w:rsid w:val="002B1B1A"/>
    <w:rsid w:val="002B44B7"/>
    <w:rsid w:val="002B6C1F"/>
    <w:rsid w:val="002C00E8"/>
    <w:rsid w:val="002C06B9"/>
    <w:rsid w:val="002C1EDB"/>
    <w:rsid w:val="002C2200"/>
    <w:rsid w:val="002C3380"/>
    <w:rsid w:val="002D6EA6"/>
    <w:rsid w:val="002E045A"/>
    <w:rsid w:val="002E3CE7"/>
    <w:rsid w:val="002E6F44"/>
    <w:rsid w:val="002F127A"/>
    <w:rsid w:val="002F30F9"/>
    <w:rsid w:val="002F4EEE"/>
    <w:rsid w:val="002F57DA"/>
    <w:rsid w:val="002F6E51"/>
    <w:rsid w:val="002F7E2F"/>
    <w:rsid w:val="00303652"/>
    <w:rsid w:val="00307603"/>
    <w:rsid w:val="003110A5"/>
    <w:rsid w:val="00312416"/>
    <w:rsid w:val="00315E1E"/>
    <w:rsid w:val="003160E9"/>
    <w:rsid w:val="00321198"/>
    <w:rsid w:val="00321636"/>
    <w:rsid w:val="00322C62"/>
    <w:rsid w:val="00323A93"/>
    <w:rsid w:val="00323EE4"/>
    <w:rsid w:val="00331993"/>
    <w:rsid w:val="003325E1"/>
    <w:rsid w:val="00343749"/>
    <w:rsid w:val="0034440C"/>
    <w:rsid w:val="003446B4"/>
    <w:rsid w:val="00345AF4"/>
    <w:rsid w:val="00347E63"/>
    <w:rsid w:val="00351082"/>
    <w:rsid w:val="003512C9"/>
    <w:rsid w:val="0035661C"/>
    <w:rsid w:val="00357EBE"/>
    <w:rsid w:val="0036342F"/>
    <w:rsid w:val="003660ED"/>
    <w:rsid w:val="00367248"/>
    <w:rsid w:val="00367CB1"/>
    <w:rsid w:val="00390B70"/>
    <w:rsid w:val="0039524A"/>
    <w:rsid w:val="00395C45"/>
    <w:rsid w:val="0039669B"/>
    <w:rsid w:val="003A18F7"/>
    <w:rsid w:val="003A1E26"/>
    <w:rsid w:val="003A450A"/>
    <w:rsid w:val="003B0550"/>
    <w:rsid w:val="003B0816"/>
    <w:rsid w:val="003B26DD"/>
    <w:rsid w:val="003B2BE8"/>
    <w:rsid w:val="003B3FC4"/>
    <w:rsid w:val="003B5509"/>
    <w:rsid w:val="003B694F"/>
    <w:rsid w:val="003B769F"/>
    <w:rsid w:val="003C1C06"/>
    <w:rsid w:val="003C7190"/>
    <w:rsid w:val="003C71EF"/>
    <w:rsid w:val="003C7BDC"/>
    <w:rsid w:val="003D1FC1"/>
    <w:rsid w:val="003D20ED"/>
    <w:rsid w:val="003D505C"/>
    <w:rsid w:val="003D7244"/>
    <w:rsid w:val="003E1681"/>
    <w:rsid w:val="003E23B4"/>
    <w:rsid w:val="003E788D"/>
    <w:rsid w:val="003F0D85"/>
    <w:rsid w:val="003F171C"/>
    <w:rsid w:val="003F4CAD"/>
    <w:rsid w:val="003F67D4"/>
    <w:rsid w:val="00400605"/>
    <w:rsid w:val="00402127"/>
    <w:rsid w:val="00402E32"/>
    <w:rsid w:val="00405D2D"/>
    <w:rsid w:val="004117D4"/>
    <w:rsid w:val="0041233F"/>
    <w:rsid w:val="00412E98"/>
    <w:rsid w:val="00412E9F"/>
    <w:rsid w:val="00412FC5"/>
    <w:rsid w:val="00413014"/>
    <w:rsid w:val="00417BE6"/>
    <w:rsid w:val="0042107B"/>
    <w:rsid w:val="00422276"/>
    <w:rsid w:val="0042311A"/>
    <w:rsid w:val="004242F1"/>
    <w:rsid w:val="00424A4C"/>
    <w:rsid w:val="00424CD7"/>
    <w:rsid w:val="0043526E"/>
    <w:rsid w:val="00437C7B"/>
    <w:rsid w:val="00440156"/>
    <w:rsid w:val="00441492"/>
    <w:rsid w:val="00445A00"/>
    <w:rsid w:val="00445C2B"/>
    <w:rsid w:val="004460B7"/>
    <w:rsid w:val="0045002D"/>
    <w:rsid w:val="00451B0F"/>
    <w:rsid w:val="00455DD1"/>
    <w:rsid w:val="00460189"/>
    <w:rsid w:val="00460196"/>
    <w:rsid w:val="0046056A"/>
    <w:rsid w:val="004618C6"/>
    <w:rsid w:val="00462116"/>
    <w:rsid w:val="004657F0"/>
    <w:rsid w:val="004672A8"/>
    <w:rsid w:val="00472159"/>
    <w:rsid w:val="00485EC9"/>
    <w:rsid w:val="00485FD1"/>
    <w:rsid w:val="00492951"/>
    <w:rsid w:val="00493F31"/>
    <w:rsid w:val="004A0ABD"/>
    <w:rsid w:val="004A2621"/>
    <w:rsid w:val="004B431B"/>
    <w:rsid w:val="004B462D"/>
    <w:rsid w:val="004B558E"/>
    <w:rsid w:val="004C1146"/>
    <w:rsid w:val="004C1E33"/>
    <w:rsid w:val="004C2D6D"/>
    <w:rsid w:val="004C2EE3"/>
    <w:rsid w:val="004C3900"/>
    <w:rsid w:val="004D15B8"/>
    <w:rsid w:val="004D219E"/>
    <w:rsid w:val="004D635E"/>
    <w:rsid w:val="004E1A8C"/>
    <w:rsid w:val="004E1B52"/>
    <w:rsid w:val="004E4A22"/>
    <w:rsid w:val="004E7582"/>
    <w:rsid w:val="004F5799"/>
    <w:rsid w:val="005044A9"/>
    <w:rsid w:val="00510ADE"/>
    <w:rsid w:val="00510D66"/>
    <w:rsid w:val="00510EB4"/>
    <w:rsid w:val="00511968"/>
    <w:rsid w:val="00513693"/>
    <w:rsid w:val="005141DF"/>
    <w:rsid w:val="00515995"/>
    <w:rsid w:val="00515F9B"/>
    <w:rsid w:val="00520CB9"/>
    <w:rsid w:val="00524FDC"/>
    <w:rsid w:val="005251F5"/>
    <w:rsid w:val="00530070"/>
    <w:rsid w:val="00530F25"/>
    <w:rsid w:val="00531FEC"/>
    <w:rsid w:val="00537B50"/>
    <w:rsid w:val="0055023E"/>
    <w:rsid w:val="005503AB"/>
    <w:rsid w:val="00551AF8"/>
    <w:rsid w:val="0055614C"/>
    <w:rsid w:val="00556A83"/>
    <w:rsid w:val="005638D3"/>
    <w:rsid w:val="005648EA"/>
    <w:rsid w:val="005657D6"/>
    <w:rsid w:val="00566D06"/>
    <w:rsid w:val="005729A4"/>
    <w:rsid w:val="00573045"/>
    <w:rsid w:val="005771C2"/>
    <w:rsid w:val="00583175"/>
    <w:rsid w:val="0058363A"/>
    <w:rsid w:val="00584AC8"/>
    <w:rsid w:val="0058587B"/>
    <w:rsid w:val="00586B2A"/>
    <w:rsid w:val="00586FE7"/>
    <w:rsid w:val="00587322"/>
    <w:rsid w:val="0059075E"/>
    <w:rsid w:val="00595FD5"/>
    <w:rsid w:val="005A101B"/>
    <w:rsid w:val="005A1F76"/>
    <w:rsid w:val="005A73BC"/>
    <w:rsid w:val="005B0EAB"/>
    <w:rsid w:val="005B25DD"/>
    <w:rsid w:val="005B4818"/>
    <w:rsid w:val="005B6E56"/>
    <w:rsid w:val="005B7625"/>
    <w:rsid w:val="005C0A23"/>
    <w:rsid w:val="005C3986"/>
    <w:rsid w:val="005C3DD0"/>
    <w:rsid w:val="005C5498"/>
    <w:rsid w:val="005D0C12"/>
    <w:rsid w:val="005D24B9"/>
    <w:rsid w:val="005D39F9"/>
    <w:rsid w:val="005D66C9"/>
    <w:rsid w:val="005E14C2"/>
    <w:rsid w:val="005E191E"/>
    <w:rsid w:val="005E1A6B"/>
    <w:rsid w:val="005E417F"/>
    <w:rsid w:val="005E44D4"/>
    <w:rsid w:val="005E4886"/>
    <w:rsid w:val="005E5D22"/>
    <w:rsid w:val="005F31C7"/>
    <w:rsid w:val="00600222"/>
    <w:rsid w:val="00600884"/>
    <w:rsid w:val="00600E0E"/>
    <w:rsid w:val="00601389"/>
    <w:rsid w:val="00602B4C"/>
    <w:rsid w:val="00603DBB"/>
    <w:rsid w:val="00607BA5"/>
    <w:rsid w:val="006103B0"/>
    <w:rsid w:val="00610661"/>
    <w:rsid w:val="0061180A"/>
    <w:rsid w:val="00614360"/>
    <w:rsid w:val="00622936"/>
    <w:rsid w:val="00624DB1"/>
    <w:rsid w:val="00626EB6"/>
    <w:rsid w:val="00632CE0"/>
    <w:rsid w:val="00635181"/>
    <w:rsid w:val="00640412"/>
    <w:rsid w:val="006419C9"/>
    <w:rsid w:val="00642194"/>
    <w:rsid w:val="0064412A"/>
    <w:rsid w:val="00644A50"/>
    <w:rsid w:val="00647B81"/>
    <w:rsid w:val="006509AF"/>
    <w:rsid w:val="006526C5"/>
    <w:rsid w:val="00653A51"/>
    <w:rsid w:val="00653DB0"/>
    <w:rsid w:val="00655357"/>
    <w:rsid w:val="00655D03"/>
    <w:rsid w:val="006612C8"/>
    <w:rsid w:val="0066740E"/>
    <w:rsid w:val="00671104"/>
    <w:rsid w:val="006776D3"/>
    <w:rsid w:val="006826BC"/>
    <w:rsid w:val="00683388"/>
    <w:rsid w:val="00683519"/>
    <w:rsid w:val="00683F84"/>
    <w:rsid w:val="0068414B"/>
    <w:rsid w:val="006867CF"/>
    <w:rsid w:val="00686B3B"/>
    <w:rsid w:val="00690BFD"/>
    <w:rsid w:val="00690F46"/>
    <w:rsid w:val="00691864"/>
    <w:rsid w:val="00691B73"/>
    <w:rsid w:val="00694788"/>
    <w:rsid w:val="00695B94"/>
    <w:rsid w:val="0069627D"/>
    <w:rsid w:val="006967DD"/>
    <w:rsid w:val="00696CF8"/>
    <w:rsid w:val="0069730A"/>
    <w:rsid w:val="006A08BB"/>
    <w:rsid w:val="006A12D6"/>
    <w:rsid w:val="006A1CC6"/>
    <w:rsid w:val="006A1DAD"/>
    <w:rsid w:val="006A4223"/>
    <w:rsid w:val="006A6A81"/>
    <w:rsid w:val="006B581A"/>
    <w:rsid w:val="006C1F32"/>
    <w:rsid w:val="006C22EF"/>
    <w:rsid w:val="006C2A5D"/>
    <w:rsid w:val="006C588B"/>
    <w:rsid w:val="006C62CE"/>
    <w:rsid w:val="006C6D12"/>
    <w:rsid w:val="006D7E0B"/>
    <w:rsid w:val="006D7EDB"/>
    <w:rsid w:val="006E20EB"/>
    <w:rsid w:val="006E5E40"/>
    <w:rsid w:val="006F0352"/>
    <w:rsid w:val="006F4497"/>
    <w:rsid w:val="006F7393"/>
    <w:rsid w:val="007003B5"/>
    <w:rsid w:val="00701E0E"/>
    <w:rsid w:val="0070224F"/>
    <w:rsid w:val="0070401B"/>
    <w:rsid w:val="007075F2"/>
    <w:rsid w:val="00707744"/>
    <w:rsid w:val="007115F7"/>
    <w:rsid w:val="00712C34"/>
    <w:rsid w:val="00717F7F"/>
    <w:rsid w:val="007207E0"/>
    <w:rsid w:val="00721F53"/>
    <w:rsid w:val="00722AC7"/>
    <w:rsid w:val="00723A95"/>
    <w:rsid w:val="0072519B"/>
    <w:rsid w:val="0072553E"/>
    <w:rsid w:val="00725BF7"/>
    <w:rsid w:val="007268E9"/>
    <w:rsid w:val="00730BEA"/>
    <w:rsid w:val="00731588"/>
    <w:rsid w:val="007326A3"/>
    <w:rsid w:val="00735152"/>
    <w:rsid w:val="00745CD0"/>
    <w:rsid w:val="00751385"/>
    <w:rsid w:val="00752C77"/>
    <w:rsid w:val="00757A1A"/>
    <w:rsid w:val="007620DD"/>
    <w:rsid w:val="00762879"/>
    <w:rsid w:val="00763816"/>
    <w:rsid w:val="00764E87"/>
    <w:rsid w:val="007678C1"/>
    <w:rsid w:val="007759EB"/>
    <w:rsid w:val="00780575"/>
    <w:rsid w:val="00781EA3"/>
    <w:rsid w:val="00782575"/>
    <w:rsid w:val="00783BFA"/>
    <w:rsid w:val="00785689"/>
    <w:rsid w:val="00785D6B"/>
    <w:rsid w:val="007941BB"/>
    <w:rsid w:val="00795445"/>
    <w:rsid w:val="0079678D"/>
    <w:rsid w:val="0079754B"/>
    <w:rsid w:val="007A1E6D"/>
    <w:rsid w:val="007B0EB2"/>
    <w:rsid w:val="007B3BB2"/>
    <w:rsid w:val="007B4EC8"/>
    <w:rsid w:val="007C2235"/>
    <w:rsid w:val="007C4C76"/>
    <w:rsid w:val="007C526B"/>
    <w:rsid w:val="007C6440"/>
    <w:rsid w:val="007E08A9"/>
    <w:rsid w:val="007E269D"/>
    <w:rsid w:val="007E40D5"/>
    <w:rsid w:val="007E4A7E"/>
    <w:rsid w:val="007F3B37"/>
    <w:rsid w:val="007F4A5D"/>
    <w:rsid w:val="007F4F21"/>
    <w:rsid w:val="007F5DC3"/>
    <w:rsid w:val="007F7CD3"/>
    <w:rsid w:val="00803220"/>
    <w:rsid w:val="0080451D"/>
    <w:rsid w:val="0081054D"/>
    <w:rsid w:val="00810B6F"/>
    <w:rsid w:val="008112C7"/>
    <w:rsid w:val="0081203D"/>
    <w:rsid w:val="008158E0"/>
    <w:rsid w:val="00816EFE"/>
    <w:rsid w:val="00822CE0"/>
    <w:rsid w:val="0082560E"/>
    <w:rsid w:val="0084111D"/>
    <w:rsid w:val="0084181C"/>
    <w:rsid w:val="00841AB1"/>
    <w:rsid w:val="00844DCD"/>
    <w:rsid w:val="00844E94"/>
    <w:rsid w:val="00852592"/>
    <w:rsid w:val="00854EA8"/>
    <w:rsid w:val="008556BD"/>
    <w:rsid w:val="008603F8"/>
    <w:rsid w:val="00861678"/>
    <w:rsid w:val="00861C27"/>
    <w:rsid w:val="00863670"/>
    <w:rsid w:val="00863ADA"/>
    <w:rsid w:val="008662B1"/>
    <w:rsid w:val="008702AA"/>
    <w:rsid w:val="008703C0"/>
    <w:rsid w:val="008802B0"/>
    <w:rsid w:val="00882A42"/>
    <w:rsid w:val="00887BB6"/>
    <w:rsid w:val="00890EF5"/>
    <w:rsid w:val="00891247"/>
    <w:rsid w:val="00891E8C"/>
    <w:rsid w:val="008926E4"/>
    <w:rsid w:val="008A04F5"/>
    <w:rsid w:val="008A21E5"/>
    <w:rsid w:val="008A240A"/>
    <w:rsid w:val="008A596D"/>
    <w:rsid w:val="008B1C04"/>
    <w:rsid w:val="008B3FF5"/>
    <w:rsid w:val="008C1511"/>
    <w:rsid w:val="008C2A06"/>
    <w:rsid w:val="008C43D9"/>
    <w:rsid w:val="008C68F1"/>
    <w:rsid w:val="008D12D9"/>
    <w:rsid w:val="008D2B42"/>
    <w:rsid w:val="008D4661"/>
    <w:rsid w:val="008D59AE"/>
    <w:rsid w:val="008D5D6F"/>
    <w:rsid w:val="008D6AFB"/>
    <w:rsid w:val="008E0F36"/>
    <w:rsid w:val="008E5FF3"/>
    <w:rsid w:val="008E67DA"/>
    <w:rsid w:val="008F020E"/>
    <w:rsid w:val="008F05F9"/>
    <w:rsid w:val="008F4FA9"/>
    <w:rsid w:val="008F502A"/>
    <w:rsid w:val="008F54B9"/>
    <w:rsid w:val="00900FDB"/>
    <w:rsid w:val="00900FEC"/>
    <w:rsid w:val="009012D9"/>
    <w:rsid w:val="00902E11"/>
    <w:rsid w:val="00906E0F"/>
    <w:rsid w:val="00907E8D"/>
    <w:rsid w:val="0092133D"/>
    <w:rsid w:val="00921803"/>
    <w:rsid w:val="00921B7D"/>
    <w:rsid w:val="0092271E"/>
    <w:rsid w:val="009231A2"/>
    <w:rsid w:val="00926503"/>
    <w:rsid w:val="009312D8"/>
    <w:rsid w:val="009331C6"/>
    <w:rsid w:val="00933770"/>
    <w:rsid w:val="00935DDD"/>
    <w:rsid w:val="0093604D"/>
    <w:rsid w:val="00941A3F"/>
    <w:rsid w:val="00941B6A"/>
    <w:rsid w:val="00941DD3"/>
    <w:rsid w:val="009433D9"/>
    <w:rsid w:val="00944181"/>
    <w:rsid w:val="009446BB"/>
    <w:rsid w:val="00944DB7"/>
    <w:rsid w:val="00950033"/>
    <w:rsid w:val="009520D4"/>
    <w:rsid w:val="00952B2C"/>
    <w:rsid w:val="0095582D"/>
    <w:rsid w:val="00955954"/>
    <w:rsid w:val="00961854"/>
    <w:rsid w:val="00965384"/>
    <w:rsid w:val="009658C8"/>
    <w:rsid w:val="0096763F"/>
    <w:rsid w:val="009726D8"/>
    <w:rsid w:val="00972F96"/>
    <w:rsid w:val="00974009"/>
    <w:rsid w:val="0098001B"/>
    <w:rsid w:val="00980077"/>
    <w:rsid w:val="0098188A"/>
    <w:rsid w:val="0098210B"/>
    <w:rsid w:val="00992496"/>
    <w:rsid w:val="00994AB3"/>
    <w:rsid w:val="009A04B0"/>
    <w:rsid w:val="009A3478"/>
    <w:rsid w:val="009A3D26"/>
    <w:rsid w:val="009B0AA2"/>
    <w:rsid w:val="009B197A"/>
    <w:rsid w:val="009C1F6C"/>
    <w:rsid w:val="009C6BBF"/>
    <w:rsid w:val="009C75FD"/>
    <w:rsid w:val="009D1E7B"/>
    <w:rsid w:val="009D1F23"/>
    <w:rsid w:val="009D3900"/>
    <w:rsid w:val="009D3E5A"/>
    <w:rsid w:val="009D7308"/>
    <w:rsid w:val="009D7A15"/>
    <w:rsid w:val="009E798E"/>
    <w:rsid w:val="009F0181"/>
    <w:rsid w:val="009F14BC"/>
    <w:rsid w:val="009F2016"/>
    <w:rsid w:val="009F2680"/>
    <w:rsid w:val="009F647E"/>
    <w:rsid w:val="009F76DB"/>
    <w:rsid w:val="00A04250"/>
    <w:rsid w:val="00A04528"/>
    <w:rsid w:val="00A047E3"/>
    <w:rsid w:val="00A13050"/>
    <w:rsid w:val="00A139E6"/>
    <w:rsid w:val="00A16568"/>
    <w:rsid w:val="00A16AD2"/>
    <w:rsid w:val="00A209AC"/>
    <w:rsid w:val="00A21944"/>
    <w:rsid w:val="00A21BAA"/>
    <w:rsid w:val="00A2469C"/>
    <w:rsid w:val="00A32C3B"/>
    <w:rsid w:val="00A33AB0"/>
    <w:rsid w:val="00A3453D"/>
    <w:rsid w:val="00A36245"/>
    <w:rsid w:val="00A4182E"/>
    <w:rsid w:val="00A444ED"/>
    <w:rsid w:val="00A449A0"/>
    <w:rsid w:val="00A45BF8"/>
    <w:rsid w:val="00A45F4F"/>
    <w:rsid w:val="00A54DBE"/>
    <w:rsid w:val="00A57124"/>
    <w:rsid w:val="00A578E2"/>
    <w:rsid w:val="00A600A9"/>
    <w:rsid w:val="00A608A0"/>
    <w:rsid w:val="00A644BD"/>
    <w:rsid w:val="00A646EF"/>
    <w:rsid w:val="00A663F4"/>
    <w:rsid w:val="00A70DD4"/>
    <w:rsid w:val="00A71893"/>
    <w:rsid w:val="00A7697D"/>
    <w:rsid w:val="00A80984"/>
    <w:rsid w:val="00A86380"/>
    <w:rsid w:val="00A92C52"/>
    <w:rsid w:val="00A933BF"/>
    <w:rsid w:val="00A96D9C"/>
    <w:rsid w:val="00A970C1"/>
    <w:rsid w:val="00AA2A01"/>
    <w:rsid w:val="00AA55B7"/>
    <w:rsid w:val="00AA5B9E"/>
    <w:rsid w:val="00AB0F37"/>
    <w:rsid w:val="00AB23D4"/>
    <w:rsid w:val="00AB2407"/>
    <w:rsid w:val="00AB25AE"/>
    <w:rsid w:val="00AB2FF9"/>
    <w:rsid w:val="00AB3B1C"/>
    <w:rsid w:val="00AB53DF"/>
    <w:rsid w:val="00AC12E0"/>
    <w:rsid w:val="00AC323C"/>
    <w:rsid w:val="00AC37A7"/>
    <w:rsid w:val="00AC42C7"/>
    <w:rsid w:val="00AC4D04"/>
    <w:rsid w:val="00AD41D8"/>
    <w:rsid w:val="00AD4B46"/>
    <w:rsid w:val="00AD552F"/>
    <w:rsid w:val="00AD5D1C"/>
    <w:rsid w:val="00AE1CF1"/>
    <w:rsid w:val="00AE22AD"/>
    <w:rsid w:val="00AE50BB"/>
    <w:rsid w:val="00AF07AD"/>
    <w:rsid w:val="00AF0B1F"/>
    <w:rsid w:val="00AF0E9D"/>
    <w:rsid w:val="00AF113E"/>
    <w:rsid w:val="00AF23FF"/>
    <w:rsid w:val="00AF2AD1"/>
    <w:rsid w:val="00AF7882"/>
    <w:rsid w:val="00B00706"/>
    <w:rsid w:val="00B03FCA"/>
    <w:rsid w:val="00B0498A"/>
    <w:rsid w:val="00B05604"/>
    <w:rsid w:val="00B07E5C"/>
    <w:rsid w:val="00B11E59"/>
    <w:rsid w:val="00B20137"/>
    <w:rsid w:val="00B221E9"/>
    <w:rsid w:val="00B23CF1"/>
    <w:rsid w:val="00B2472A"/>
    <w:rsid w:val="00B421FF"/>
    <w:rsid w:val="00B442FA"/>
    <w:rsid w:val="00B46EF0"/>
    <w:rsid w:val="00B504DC"/>
    <w:rsid w:val="00B5207B"/>
    <w:rsid w:val="00B524DA"/>
    <w:rsid w:val="00B52CA2"/>
    <w:rsid w:val="00B53F6E"/>
    <w:rsid w:val="00B66287"/>
    <w:rsid w:val="00B72D8F"/>
    <w:rsid w:val="00B811F7"/>
    <w:rsid w:val="00B82030"/>
    <w:rsid w:val="00B821B3"/>
    <w:rsid w:val="00B82313"/>
    <w:rsid w:val="00B82433"/>
    <w:rsid w:val="00B83F38"/>
    <w:rsid w:val="00B855A9"/>
    <w:rsid w:val="00B90DC9"/>
    <w:rsid w:val="00B91F93"/>
    <w:rsid w:val="00B939A4"/>
    <w:rsid w:val="00BA12BC"/>
    <w:rsid w:val="00BA12E2"/>
    <w:rsid w:val="00BA15D4"/>
    <w:rsid w:val="00BA1A2C"/>
    <w:rsid w:val="00BA1EE5"/>
    <w:rsid w:val="00BA3D41"/>
    <w:rsid w:val="00BA5DC6"/>
    <w:rsid w:val="00BA6196"/>
    <w:rsid w:val="00BB3C3D"/>
    <w:rsid w:val="00BC091D"/>
    <w:rsid w:val="00BC326A"/>
    <w:rsid w:val="00BC6D8C"/>
    <w:rsid w:val="00BD04FE"/>
    <w:rsid w:val="00BD1CDD"/>
    <w:rsid w:val="00BD5CF2"/>
    <w:rsid w:val="00BD5D61"/>
    <w:rsid w:val="00BE0AB6"/>
    <w:rsid w:val="00BE1AE1"/>
    <w:rsid w:val="00BE2CD5"/>
    <w:rsid w:val="00BE458E"/>
    <w:rsid w:val="00BE4A42"/>
    <w:rsid w:val="00BE5595"/>
    <w:rsid w:val="00BE7183"/>
    <w:rsid w:val="00BF3D55"/>
    <w:rsid w:val="00C016CC"/>
    <w:rsid w:val="00C02E02"/>
    <w:rsid w:val="00C03307"/>
    <w:rsid w:val="00C0796A"/>
    <w:rsid w:val="00C07CF6"/>
    <w:rsid w:val="00C1076A"/>
    <w:rsid w:val="00C16DB5"/>
    <w:rsid w:val="00C22997"/>
    <w:rsid w:val="00C23368"/>
    <w:rsid w:val="00C24ECE"/>
    <w:rsid w:val="00C34006"/>
    <w:rsid w:val="00C35E45"/>
    <w:rsid w:val="00C36B4C"/>
    <w:rsid w:val="00C4267C"/>
    <w:rsid w:val="00C426B1"/>
    <w:rsid w:val="00C44CDE"/>
    <w:rsid w:val="00C44E83"/>
    <w:rsid w:val="00C4533F"/>
    <w:rsid w:val="00C47FC9"/>
    <w:rsid w:val="00C50620"/>
    <w:rsid w:val="00C516A9"/>
    <w:rsid w:val="00C51808"/>
    <w:rsid w:val="00C53D00"/>
    <w:rsid w:val="00C55216"/>
    <w:rsid w:val="00C56C88"/>
    <w:rsid w:val="00C6512A"/>
    <w:rsid w:val="00C65F0D"/>
    <w:rsid w:val="00C66160"/>
    <w:rsid w:val="00C66904"/>
    <w:rsid w:val="00C717BC"/>
    <w:rsid w:val="00C721AC"/>
    <w:rsid w:val="00C77505"/>
    <w:rsid w:val="00C77EF4"/>
    <w:rsid w:val="00C81008"/>
    <w:rsid w:val="00C8130E"/>
    <w:rsid w:val="00C814FC"/>
    <w:rsid w:val="00C822A8"/>
    <w:rsid w:val="00C824F6"/>
    <w:rsid w:val="00C83424"/>
    <w:rsid w:val="00C86517"/>
    <w:rsid w:val="00C86D3B"/>
    <w:rsid w:val="00C902FF"/>
    <w:rsid w:val="00C90B85"/>
    <w:rsid w:val="00C90BD0"/>
    <w:rsid w:val="00C90D6A"/>
    <w:rsid w:val="00C9742E"/>
    <w:rsid w:val="00CA11F6"/>
    <w:rsid w:val="00CA19D9"/>
    <w:rsid w:val="00CA247E"/>
    <w:rsid w:val="00CA6D21"/>
    <w:rsid w:val="00CA72D0"/>
    <w:rsid w:val="00CB0B35"/>
    <w:rsid w:val="00CB0DF3"/>
    <w:rsid w:val="00CB1790"/>
    <w:rsid w:val="00CB27A9"/>
    <w:rsid w:val="00CB70BC"/>
    <w:rsid w:val="00CC2FC1"/>
    <w:rsid w:val="00CC438E"/>
    <w:rsid w:val="00CC4726"/>
    <w:rsid w:val="00CC6AF7"/>
    <w:rsid w:val="00CC707C"/>
    <w:rsid w:val="00CC72B6"/>
    <w:rsid w:val="00CD1BD4"/>
    <w:rsid w:val="00CD1D86"/>
    <w:rsid w:val="00CD3D79"/>
    <w:rsid w:val="00CD5952"/>
    <w:rsid w:val="00CD5B68"/>
    <w:rsid w:val="00CD7F3D"/>
    <w:rsid w:val="00CE10B9"/>
    <w:rsid w:val="00CE6151"/>
    <w:rsid w:val="00CF24F0"/>
    <w:rsid w:val="00CF6196"/>
    <w:rsid w:val="00D012DC"/>
    <w:rsid w:val="00D01450"/>
    <w:rsid w:val="00D0218D"/>
    <w:rsid w:val="00D060CE"/>
    <w:rsid w:val="00D1005F"/>
    <w:rsid w:val="00D14F0D"/>
    <w:rsid w:val="00D16246"/>
    <w:rsid w:val="00D20745"/>
    <w:rsid w:val="00D22141"/>
    <w:rsid w:val="00D25FB5"/>
    <w:rsid w:val="00D264D0"/>
    <w:rsid w:val="00D325EB"/>
    <w:rsid w:val="00D346BC"/>
    <w:rsid w:val="00D3561C"/>
    <w:rsid w:val="00D37BA9"/>
    <w:rsid w:val="00D44223"/>
    <w:rsid w:val="00D468CF"/>
    <w:rsid w:val="00D55C69"/>
    <w:rsid w:val="00D566B3"/>
    <w:rsid w:val="00D57968"/>
    <w:rsid w:val="00D57D41"/>
    <w:rsid w:val="00D618C4"/>
    <w:rsid w:val="00D675B5"/>
    <w:rsid w:val="00D709D1"/>
    <w:rsid w:val="00D72A3E"/>
    <w:rsid w:val="00D7304E"/>
    <w:rsid w:val="00D75B51"/>
    <w:rsid w:val="00D7719B"/>
    <w:rsid w:val="00D7756E"/>
    <w:rsid w:val="00D85A29"/>
    <w:rsid w:val="00D871E8"/>
    <w:rsid w:val="00D92473"/>
    <w:rsid w:val="00DA07FF"/>
    <w:rsid w:val="00DA2529"/>
    <w:rsid w:val="00DA612E"/>
    <w:rsid w:val="00DB130A"/>
    <w:rsid w:val="00DB14D0"/>
    <w:rsid w:val="00DB2EBB"/>
    <w:rsid w:val="00DC028E"/>
    <w:rsid w:val="00DC10A1"/>
    <w:rsid w:val="00DC39E0"/>
    <w:rsid w:val="00DC655F"/>
    <w:rsid w:val="00DC765E"/>
    <w:rsid w:val="00DD0B59"/>
    <w:rsid w:val="00DD12A8"/>
    <w:rsid w:val="00DD1E7B"/>
    <w:rsid w:val="00DD2E8F"/>
    <w:rsid w:val="00DD7EBD"/>
    <w:rsid w:val="00DE0A3A"/>
    <w:rsid w:val="00DE1A79"/>
    <w:rsid w:val="00DE2E8F"/>
    <w:rsid w:val="00DE33EE"/>
    <w:rsid w:val="00DE5C5F"/>
    <w:rsid w:val="00DE7420"/>
    <w:rsid w:val="00DF0335"/>
    <w:rsid w:val="00DF32A5"/>
    <w:rsid w:val="00DF6082"/>
    <w:rsid w:val="00DF62B6"/>
    <w:rsid w:val="00DF78AE"/>
    <w:rsid w:val="00E0437D"/>
    <w:rsid w:val="00E06172"/>
    <w:rsid w:val="00E07225"/>
    <w:rsid w:val="00E10BA5"/>
    <w:rsid w:val="00E1551B"/>
    <w:rsid w:val="00E20DD9"/>
    <w:rsid w:val="00E20FB2"/>
    <w:rsid w:val="00E23126"/>
    <w:rsid w:val="00E2530F"/>
    <w:rsid w:val="00E26578"/>
    <w:rsid w:val="00E27051"/>
    <w:rsid w:val="00E30349"/>
    <w:rsid w:val="00E33073"/>
    <w:rsid w:val="00E33510"/>
    <w:rsid w:val="00E347B4"/>
    <w:rsid w:val="00E3502B"/>
    <w:rsid w:val="00E355BD"/>
    <w:rsid w:val="00E372A4"/>
    <w:rsid w:val="00E3761A"/>
    <w:rsid w:val="00E438FF"/>
    <w:rsid w:val="00E43D14"/>
    <w:rsid w:val="00E43E4D"/>
    <w:rsid w:val="00E5409F"/>
    <w:rsid w:val="00E61E3E"/>
    <w:rsid w:val="00E6378B"/>
    <w:rsid w:val="00E662E0"/>
    <w:rsid w:val="00E703D9"/>
    <w:rsid w:val="00E71C13"/>
    <w:rsid w:val="00E73417"/>
    <w:rsid w:val="00E76C91"/>
    <w:rsid w:val="00E819EC"/>
    <w:rsid w:val="00E9185C"/>
    <w:rsid w:val="00EA2C4F"/>
    <w:rsid w:val="00EB0C85"/>
    <w:rsid w:val="00EB0D08"/>
    <w:rsid w:val="00EB2082"/>
    <w:rsid w:val="00EB27A2"/>
    <w:rsid w:val="00EC2F0F"/>
    <w:rsid w:val="00ED0255"/>
    <w:rsid w:val="00ED2EFC"/>
    <w:rsid w:val="00EE4528"/>
    <w:rsid w:val="00EE5A97"/>
    <w:rsid w:val="00EE5EBE"/>
    <w:rsid w:val="00EE6488"/>
    <w:rsid w:val="00EF0D50"/>
    <w:rsid w:val="00EF3356"/>
    <w:rsid w:val="00EF3D37"/>
    <w:rsid w:val="00EF3F4E"/>
    <w:rsid w:val="00F01732"/>
    <w:rsid w:val="00F021FA"/>
    <w:rsid w:val="00F058E8"/>
    <w:rsid w:val="00F14C92"/>
    <w:rsid w:val="00F154EB"/>
    <w:rsid w:val="00F16C8B"/>
    <w:rsid w:val="00F2796C"/>
    <w:rsid w:val="00F27C8C"/>
    <w:rsid w:val="00F30D97"/>
    <w:rsid w:val="00F3473C"/>
    <w:rsid w:val="00F3477A"/>
    <w:rsid w:val="00F35903"/>
    <w:rsid w:val="00F413A7"/>
    <w:rsid w:val="00F45CD8"/>
    <w:rsid w:val="00F47A60"/>
    <w:rsid w:val="00F57C6C"/>
    <w:rsid w:val="00F62E97"/>
    <w:rsid w:val="00F64209"/>
    <w:rsid w:val="00F64868"/>
    <w:rsid w:val="00F6616B"/>
    <w:rsid w:val="00F6751B"/>
    <w:rsid w:val="00F72AA3"/>
    <w:rsid w:val="00F753AE"/>
    <w:rsid w:val="00F75A71"/>
    <w:rsid w:val="00F80AAA"/>
    <w:rsid w:val="00F8168A"/>
    <w:rsid w:val="00F82333"/>
    <w:rsid w:val="00F8538E"/>
    <w:rsid w:val="00F864AA"/>
    <w:rsid w:val="00F93BF5"/>
    <w:rsid w:val="00F95B4B"/>
    <w:rsid w:val="00F9686B"/>
    <w:rsid w:val="00F977B7"/>
    <w:rsid w:val="00FA5D94"/>
    <w:rsid w:val="00FA69FB"/>
    <w:rsid w:val="00FB0010"/>
    <w:rsid w:val="00FB0ADD"/>
    <w:rsid w:val="00FB1EC7"/>
    <w:rsid w:val="00FB4003"/>
    <w:rsid w:val="00FB5B51"/>
    <w:rsid w:val="00FC21D8"/>
    <w:rsid w:val="00FC352B"/>
    <w:rsid w:val="00FC7174"/>
    <w:rsid w:val="00FD45D3"/>
    <w:rsid w:val="00FD4631"/>
    <w:rsid w:val="00FD7A92"/>
    <w:rsid w:val="00FE2460"/>
    <w:rsid w:val="00FE6277"/>
    <w:rsid w:val="00FE769E"/>
    <w:rsid w:val="00FF73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9B081839-0445-46A8-8626-6A201B0D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1B25AA"/>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8"/>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28"/>
      <w:sz w:val="22"/>
      <w:szCs w:val="22"/>
    </w:rPr>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kern w:val="28"/>
    </w:rPr>
  </w:style>
  <w:style w:type="character" w:styleId="EndnoteReference">
    <w:name w:val="endnote reference"/>
    <w:basedOn w:val="DefaultParagraphFont"/>
    <w:uiPriority w:val="99"/>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basedOn w:val="Normal"/>
    <w:link w:val="FootnoteTextChar"/>
    <w:uiPriority w:val="99"/>
    <w:qFormat/>
    <w:rsid w:val="000E3D42"/>
    <w:pPr>
      <w:widowControl/>
      <w:spacing w:after="120"/>
    </w:pPr>
    <w:rPr>
      <w:kern w:val="0"/>
      <w:sz w:val="20"/>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uiPriority w:val="99"/>
    <w:locked/>
    <w:rsid w:val="00935DDD"/>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iPriority w:val="99"/>
    <w:qFormat/>
    <w:rsid w:val="00A32C3B"/>
    <w:rPr>
      <w:rFonts w:ascii="Times New Roman" w:hAnsi="Times New Roman"/>
      <w:color w:val="auto"/>
      <w:sz w:val="20"/>
      <w:vertAlign w:val="superscript"/>
    </w:rPr>
  </w:style>
  <w:style w:type="paragraph" w:styleId="TOC1">
    <w:name w:val="toc 1"/>
    <w:basedOn w:val="Normal"/>
    <w:next w:val="Normal"/>
    <w:uiPriority w:val="39"/>
    <w:semiHidden/>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character" w:customStyle="1" w:styleId="HeaderChar">
    <w:name w:val="Header Char"/>
    <w:basedOn w:val="DefaultParagraphFont"/>
    <w:link w:val="Header"/>
    <w:uiPriority w:val="99"/>
    <w:locked/>
    <w:rsid w:val="00345AF4"/>
    <w:rPr>
      <w:b/>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9D7308"/>
    <w:rPr>
      <w:kern w:val="28"/>
      <w:sz w:val="22"/>
    </w:r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character" w:styleId="CommentReference">
    <w:name w:val="annotation reference"/>
    <w:basedOn w:val="DefaultParagraphFont"/>
    <w:uiPriority w:val="99"/>
    <w:rsid w:val="001F334A"/>
    <w:rPr>
      <w:sz w:val="16"/>
    </w:rPr>
  </w:style>
  <w:style w:type="paragraph" w:styleId="CommentText">
    <w:name w:val="annotation text"/>
    <w:basedOn w:val="Normal"/>
    <w:link w:val="CommentTextChar"/>
    <w:uiPriority w:val="99"/>
    <w:rsid w:val="001F334A"/>
    <w:rPr>
      <w:sz w:val="20"/>
    </w:rPr>
  </w:style>
  <w:style w:type="character" w:customStyle="1" w:styleId="CommentTextChar">
    <w:name w:val="Comment Text Char"/>
    <w:basedOn w:val="DefaultParagraphFont"/>
    <w:link w:val="CommentText"/>
    <w:uiPriority w:val="99"/>
    <w:locked/>
    <w:rsid w:val="001F334A"/>
    <w:rPr>
      <w:kern w:val="28"/>
    </w:rPr>
  </w:style>
  <w:style w:type="paragraph" w:styleId="CommentSubject">
    <w:name w:val="annotation subject"/>
    <w:basedOn w:val="CommentText"/>
    <w:next w:val="CommentText"/>
    <w:link w:val="CommentSubjectChar"/>
    <w:uiPriority w:val="99"/>
    <w:rsid w:val="001F334A"/>
    <w:rPr>
      <w:b/>
      <w:bCs/>
    </w:rPr>
  </w:style>
  <w:style w:type="character" w:customStyle="1" w:styleId="CommentSubjectChar">
    <w:name w:val="Comment Subject Char"/>
    <w:basedOn w:val="CommentTextChar"/>
    <w:link w:val="CommentSubject"/>
    <w:uiPriority w:val="99"/>
    <w:locked/>
    <w:rsid w:val="001F334A"/>
    <w:rPr>
      <w:b/>
      <w:kern w:val="28"/>
    </w:rPr>
  </w:style>
  <w:style w:type="paragraph" w:styleId="BalloonText">
    <w:name w:val="Balloon Text"/>
    <w:basedOn w:val="Normal"/>
    <w:link w:val="BalloonTextChar"/>
    <w:uiPriority w:val="99"/>
    <w:rsid w:val="001F334A"/>
    <w:rPr>
      <w:rFonts w:ascii="Segoe UI" w:hAnsi="Segoe UI" w:cs="Segoe UI"/>
      <w:sz w:val="18"/>
      <w:szCs w:val="18"/>
    </w:rPr>
  </w:style>
  <w:style w:type="character" w:customStyle="1" w:styleId="BalloonTextChar">
    <w:name w:val="Balloon Text Char"/>
    <w:basedOn w:val="DefaultParagraphFont"/>
    <w:link w:val="BalloonText"/>
    <w:uiPriority w:val="99"/>
    <w:locked/>
    <w:rsid w:val="001F334A"/>
    <w:rPr>
      <w:rFonts w:ascii="Segoe UI" w:hAnsi="Segoe UI"/>
      <w:kern w:val="28"/>
      <w:sz w:val="18"/>
    </w:rPr>
  </w:style>
  <w:style w:type="paragraph" w:styleId="Caption">
    <w:name w:val="caption"/>
    <w:basedOn w:val="Normal"/>
    <w:next w:val="Normal"/>
    <w:uiPriority w:val="35"/>
    <w:qFormat/>
    <w:rsid w:val="00345AF4"/>
    <w:pPr>
      <w:widowControl/>
      <w:spacing w:before="120" w:after="120"/>
    </w:pPr>
    <w:rPr>
      <w:b/>
      <w:kern w:val="0"/>
    </w:rPr>
  </w:style>
  <w:style w:type="character" w:customStyle="1" w:styleId="ParaNumChar">
    <w:name w:val="ParaNum Char"/>
    <w:link w:val="ParaNum"/>
    <w:uiPriority w:val="99"/>
    <w:locked/>
    <w:rsid w:val="00345AF4"/>
    <w:rPr>
      <w:kern w:val="28"/>
      <w:sz w:val="22"/>
    </w:rPr>
  </w:style>
  <w:style w:type="paragraph" w:customStyle="1" w:styleId="Footnote">
    <w:name w:val="Footnote"/>
    <w:basedOn w:val="FootnoteText"/>
    <w:rsid w:val="00B855A9"/>
  </w:style>
  <w:style w:type="paragraph" w:styleId="Revision">
    <w:name w:val="Revision"/>
    <w:hidden/>
    <w:uiPriority w:val="99"/>
    <w:semiHidden/>
    <w:rsid w:val="00D618C4"/>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