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4C2EE3" w14:paraId="0910921A" w14:textId="77777777">
      <w:pPr>
        <w:jc w:val="center"/>
        <w:rPr>
          <w:b/>
        </w:rPr>
      </w:pPr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P="00921803" w14:paraId="5BC196C8" w14:textId="77777777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P="00096D8C" w14:paraId="2CC25E5C" w14:textId="77777777">
      <w:pPr>
        <w:pStyle w:val="StyleBoldCentered"/>
      </w:pPr>
      <w:r>
        <w:rPr>
          <w:caps w:val="0"/>
        </w:rPr>
        <w:t>Washington, D.C. 20554</w:t>
      </w:r>
    </w:p>
    <w:p w:rsidR="004C2EE3" w:rsidP="0070224F" w14:paraId="37AAB1E2" w14:textId="77777777"/>
    <w:p w:rsidR="004C2EE3" w:rsidP="0070224F" w14:paraId="2A77095D" w14:textId="77777777"/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661F588E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4C2EE3" w14:paraId="33AEFB98" w14:textId="2E00B250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14:paraId="5AF6C2A5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AA1C61" w:rsidRPr="007115F7" w:rsidP="007115F7" w14:paraId="47961845" w14:textId="5A93B3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0547C5">
              <w:rPr>
                <w:spacing w:val="-2"/>
              </w:rPr>
              <w:t>Amendment of Part 1 of the Commission’s Rules</w:t>
            </w:r>
          </w:p>
        </w:tc>
        <w:tc>
          <w:tcPr>
            <w:tcW w:w="630" w:type="dxa"/>
          </w:tcPr>
          <w:p w:rsidR="004C2EE3" w14:paraId="642DF138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518BEF99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00739CE6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Pr="00AA1C61" w14:paraId="484BA0DC" w14:textId="4D32EBCB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4C2EE3" w14:paraId="1866F057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14:paraId="401EF9F8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4C2EE3" w14:paraId="7F687A0E" w14:textId="7E8D9B56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632C67">
              <w:rPr>
                <w:spacing w:val="-2"/>
              </w:rPr>
              <w:t xml:space="preserve">WT </w:t>
            </w:r>
            <w:r w:rsidRPr="00632C67" w:rsidR="00AA1C61">
              <w:rPr>
                <w:spacing w:val="-2"/>
              </w:rPr>
              <w:t>Docket No.</w:t>
            </w:r>
            <w:r w:rsidR="00AA1C61">
              <w:rPr>
                <w:spacing w:val="-2"/>
              </w:rPr>
              <w:t xml:space="preserve"> </w:t>
            </w:r>
            <w:r w:rsidR="00224779">
              <w:rPr>
                <w:spacing w:val="-2"/>
              </w:rPr>
              <w:t>20-208</w:t>
            </w:r>
          </w:p>
        </w:tc>
      </w:tr>
    </w:tbl>
    <w:p w:rsidR="004C2EE3" w:rsidP="0070224F" w14:paraId="5B9527F6" w14:textId="77777777"/>
    <w:p w:rsidR="00841AB1" w:rsidP="00F021FA" w14:paraId="042AE32F" w14:textId="47AA48B3">
      <w:pPr>
        <w:pStyle w:val="StyleBoldCentered"/>
      </w:pPr>
      <w:r>
        <w:t>order</w:t>
      </w:r>
    </w:p>
    <w:p w:rsidR="004C2EE3" w14:paraId="7C5A3B3E" w14:textId="77777777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P="00133F79" w14:paraId="2C9FAA11" w14:textId="4BC0FAD8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 w:rsidRPr="00632C67">
        <w:rPr>
          <w:b/>
          <w:spacing w:val="-2"/>
        </w:rPr>
        <w:t xml:space="preserve">Adopted:  </w:t>
      </w:r>
      <w:r w:rsidRPr="00632C67" w:rsidR="00632C67">
        <w:rPr>
          <w:b/>
          <w:spacing w:val="-2"/>
        </w:rPr>
        <w:t>June 30, 2020</w:t>
      </w:r>
      <w:r w:rsidRPr="00632C67">
        <w:rPr>
          <w:b/>
          <w:spacing w:val="-2"/>
        </w:rPr>
        <w:tab/>
      </w:r>
      <w:r w:rsidRPr="00632C67" w:rsidR="00822CE0">
        <w:rPr>
          <w:b/>
          <w:spacing w:val="-2"/>
        </w:rPr>
        <w:t>Released</w:t>
      </w:r>
      <w:r w:rsidRPr="00632C67">
        <w:rPr>
          <w:b/>
          <w:spacing w:val="-2"/>
        </w:rPr>
        <w:t>:</w:t>
      </w:r>
      <w:r w:rsidRPr="00632C67" w:rsidR="00822CE0">
        <w:rPr>
          <w:b/>
          <w:spacing w:val="-2"/>
        </w:rPr>
        <w:t xml:space="preserve"> </w:t>
      </w:r>
      <w:r w:rsidRPr="00632C67">
        <w:rPr>
          <w:b/>
          <w:spacing w:val="-2"/>
        </w:rPr>
        <w:t xml:space="preserve"> </w:t>
      </w:r>
      <w:r w:rsidRPr="00632C67" w:rsidR="00632C67">
        <w:rPr>
          <w:b/>
          <w:spacing w:val="-2"/>
        </w:rPr>
        <w:t>June 30, 2020</w:t>
      </w:r>
    </w:p>
    <w:p w:rsidR="00822CE0" w14:paraId="044C216D" w14:textId="77777777"/>
    <w:p w:rsidR="004C2EE3" w14:paraId="77AAFE81" w14:textId="28A5F021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083048">
        <w:t xml:space="preserve">Chief, </w:t>
      </w:r>
      <w:r w:rsidR="00AA1C61">
        <w:rPr>
          <w:spacing w:val="-2"/>
        </w:rPr>
        <w:t>Wireless Telecommunications Bureau:</w:t>
      </w:r>
    </w:p>
    <w:p w:rsidR="00822CE0" w14:paraId="75F285A2" w14:textId="77777777">
      <w:pPr>
        <w:rPr>
          <w:spacing w:val="-2"/>
        </w:rPr>
      </w:pPr>
    </w:p>
    <w:p w:rsidR="007D275E" w:rsidP="00DA333D" w14:paraId="5AC4634E" w14:textId="483B66DA">
      <w:pPr>
        <w:pStyle w:val="ParaNum"/>
      </w:pPr>
      <w:r>
        <w:t>In this Order, t</w:t>
      </w:r>
      <w:r>
        <w:t>he Wireless Telecommunications Bureau (Bureau) make</w:t>
      </w:r>
      <w:r>
        <w:t>s</w:t>
      </w:r>
      <w:r>
        <w:t xml:space="preserve"> a ministerial change to </w:t>
      </w:r>
      <w:r w:rsidR="002A4FD1">
        <w:t xml:space="preserve">Commission rule </w:t>
      </w:r>
      <w:r>
        <w:t xml:space="preserve">section 1.907 </w:t>
      </w:r>
      <w:r w:rsidR="002A4FD1">
        <w:t xml:space="preserve">regarding the Wireless Radio Services </w:t>
      </w:r>
      <w:r>
        <w:t xml:space="preserve">to conform </w:t>
      </w:r>
      <w:r w:rsidR="00674B11">
        <w:t>the</w:t>
      </w:r>
      <w:r>
        <w:t xml:space="preserve"> </w:t>
      </w:r>
      <w:r w:rsidR="0030334B">
        <w:t xml:space="preserve">definition </w:t>
      </w:r>
      <w:r w:rsidR="00674B11">
        <w:t xml:space="preserve">of “Covered Geographic Licenses” </w:t>
      </w:r>
      <w:r>
        <w:t>to the Commission’s inten</w:t>
      </w:r>
      <w:r w:rsidR="0030334B">
        <w:t>t</w:t>
      </w:r>
      <w:r>
        <w:t>ion</w:t>
      </w:r>
      <w:r>
        <w:t>s</w:t>
      </w:r>
      <w:r w:rsidR="002A4FD1">
        <w:t xml:space="preserve"> in</w:t>
      </w:r>
      <w:r>
        <w:t xml:space="preserve"> recent rulemaking actions</w:t>
      </w:r>
      <w:r>
        <w:t>.</w:t>
      </w:r>
      <w:r w:rsidR="0030334B">
        <w:t xml:space="preserve">  </w:t>
      </w:r>
    </w:p>
    <w:p w:rsidR="00684D59" w:rsidP="00DA333D" w14:paraId="326972DA" w14:textId="7F010364">
      <w:pPr>
        <w:pStyle w:val="ParaNum"/>
      </w:pPr>
      <w:r>
        <w:t xml:space="preserve">In </w:t>
      </w:r>
      <w:r w:rsidR="002D0283">
        <w:t xml:space="preserve">the </w:t>
      </w:r>
      <w:r>
        <w:t>July 2019</w:t>
      </w:r>
      <w:r w:rsidR="00637270">
        <w:t xml:space="preserve"> </w:t>
      </w:r>
      <w:r w:rsidRPr="0037036D" w:rsidR="00637270">
        <w:rPr>
          <w:i/>
          <w:iCs/>
        </w:rPr>
        <w:t xml:space="preserve">2.5 GHz </w:t>
      </w:r>
      <w:r w:rsidRPr="0037036D" w:rsidR="00674B11">
        <w:rPr>
          <w:i/>
          <w:iCs/>
        </w:rPr>
        <w:t>R&amp;O</w:t>
      </w:r>
      <w:r>
        <w:t>,</w:t>
      </w:r>
      <w:r>
        <w:rPr>
          <w:rStyle w:val="FootnoteReference"/>
        </w:rPr>
        <w:footnoteReference w:id="3"/>
      </w:r>
      <w:r>
        <w:t xml:space="preserve"> the Commission amended the </w:t>
      </w:r>
      <w:r w:rsidR="00637270">
        <w:t xml:space="preserve">definition of </w:t>
      </w:r>
      <w:r>
        <w:t>“Covered Geographic Licenses” in section 1.907 to add “Educational Broadband Service (part 27, subpart M)</w:t>
      </w:r>
      <w:r w:rsidR="00637270">
        <w:t>.</w:t>
      </w:r>
      <w:r>
        <w:t>”</w:t>
      </w:r>
      <w:r>
        <w:rPr>
          <w:rStyle w:val="FootnoteReference"/>
        </w:rPr>
        <w:footnoteReference w:id="4"/>
      </w:r>
      <w:r>
        <w:t xml:space="preserve">  The Commission</w:t>
      </w:r>
      <w:r w:rsidR="00637270">
        <w:t>, however,</w:t>
      </w:r>
      <w:r>
        <w:t xml:space="preserve"> deferred the effective date of the rule changes stemming from the </w:t>
      </w:r>
      <w:r w:rsidRPr="002D0283">
        <w:rPr>
          <w:i/>
          <w:iCs/>
        </w:rPr>
        <w:t>2.5 GHz</w:t>
      </w:r>
      <w:r w:rsidRPr="002D0283" w:rsidR="006D03EC">
        <w:rPr>
          <w:i/>
          <w:iCs/>
        </w:rPr>
        <w:t xml:space="preserve"> R&amp;O</w:t>
      </w:r>
      <w:r>
        <w:t xml:space="preserve"> for six month</w:t>
      </w:r>
      <w:r w:rsidR="006D03EC">
        <w:t xml:space="preserve">s from the date of </w:t>
      </w:r>
      <w:r w:rsidRPr="00AB7DBE" w:rsidR="006D03EC">
        <w:t xml:space="preserve">Federal Register </w:t>
      </w:r>
      <w:r w:rsidR="006D03EC">
        <w:t>publication</w:t>
      </w:r>
      <w:r w:rsidR="00E45FEF">
        <w:t>,</w:t>
      </w:r>
      <w:r>
        <w:rPr>
          <w:rStyle w:val="FootnoteReference"/>
        </w:rPr>
        <w:footnoteReference w:id="5"/>
      </w:r>
      <w:r w:rsidR="00E45FEF">
        <w:t xml:space="preserve"> and </w:t>
      </w:r>
      <w:r w:rsidR="008E0905">
        <w:t xml:space="preserve">the rules became </w:t>
      </w:r>
      <w:r w:rsidR="00E45FEF">
        <w:t xml:space="preserve">effective </w:t>
      </w:r>
      <w:r w:rsidR="008E0905">
        <w:t>on</w:t>
      </w:r>
      <w:r w:rsidR="00E45FEF">
        <w:t xml:space="preserve"> April 27, 2020</w:t>
      </w:r>
      <w:r w:rsidR="006D03EC">
        <w:t>.</w:t>
      </w:r>
      <w:r>
        <w:rPr>
          <w:rStyle w:val="FootnoteReference"/>
        </w:rPr>
        <w:footnoteReference w:id="6"/>
      </w:r>
      <w:r>
        <w:t xml:space="preserve">  </w:t>
      </w:r>
      <w:r w:rsidR="006D03EC">
        <w:t xml:space="preserve">In </w:t>
      </w:r>
      <w:r w:rsidR="00A01C38">
        <w:t xml:space="preserve">the </w:t>
      </w:r>
      <w:r w:rsidR="006D03EC">
        <w:t>February 2020</w:t>
      </w:r>
      <w:r w:rsidR="00A01C38">
        <w:t xml:space="preserve"> </w:t>
      </w:r>
      <w:r w:rsidRPr="0037036D" w:rsidR="00A01C38">
        <w:rPr>
          <w:i/>
          <w:iCs/>
        </w:rPr>
        <w:t xml:space="preserve">3.7 GHz </w:t>
      </w:r>
      <w:r w:rsidRPr="0037036D" w:rsidR="00674B11">
        <w:rPr>
          <w:i/>
          <w:iCs/>
        </w:rPr>
        <w:t>R&amp;O</w:t>
      </w:r>
      <w:r w:rsidR="006D03EC">
        <w:t xml:space="preserve">, </w:t>
      </w:r>
      <w:r w:rsidR="00AA1C61">
        <w:t>the</w:t>
      </w:r>
      <w:r w:rsidR="000D0029">
        <w:t xml:space="preserve"> Commission</w:t>
      </w:r>
      <w:r w:rsidR="00643852">
        <w:t xml:space="preserve"> amended the </w:t>
      </w:r>
      <w:r w:rsidR="00A01C38">
        <w:t xml:space="preserve">definition of </w:t>
      </w:r>
      <w:r w:rsidR="00643852">
        <w:t>“Covered Geographic Licenses” in section 1.907 to add “3.7 GHz Service (part 27, subpart O),”</w:t>
      </w:r>
      <w:r>
        <w:rPr>
          <w:rStyle w:val="FootnoteReference"/>
        </w:rPr>
        <w:footnoteReference w:id="7"/>
      </w:r>
      <w:r w:rsidR="00643852">
        <w:t xml:space="preserve"> </w:t>
      </w:r>
      <w:r w:rsidR="00A01C38">
        <w:t xml:space="preserve">but </w:t>
      </w:r>
      <w:r w:rsidR="00643852">
        <w:t>inadvertently</w:t>
      </w:r>
      <w:r w:rsidR="00AA1C61">
        <w:t xml:space="preserve"> omitted “Educational Broadband Service (part 27, subpart M)” </w:t>
      </w:r>
      <w:r w:rsidR="00643852">
        <w:t>from the definition</w:t>
      </w:r>
      <w:r w:rsidR="002A105D">
        <w:t>.</w:t>
      </w:r>
      <w:r>
        <w:rPr>
          <w:rStyle w:val="FootnoteReference"/>
        </w:rPr>
        <w:footnoteReference w:id="8"/>
      </w:r>
      <w:r w:rsidR="00643852">
        <w:t xml:space="preserve">  </w:t>
      </w:r>
      <w:r w:rsidR="00940715">
        <w:t>Although t</w:t>
      </w:r>
      <w:r w:rsidR="00471593">
        <w:t xml:space="preserve">he </w:t>
      </w:r>
      <w:r w:rsidR="00471593">
        <w:rPr>
          <w:i/>
          <w:iCs/>
        </w:rPr>
        <w:t>3.7 GHz R&amp;O</w:t>
      </w:r>
      <w:r w:rsidR="00471593">
        <w:t xml:space="preserve">, as corrected by the Second Erratum, was published in the </w:t>
      </w:r>
      <w:r w:rsidRPr="00AB7DBE" w:rsidR="00471593">
        <w:t>Federal Register</w:t>
      </w:r>
      <w:r w:rsidR="00471593">
        <w:t xml:space="preserve"> on April 23, 2020,</w:t>
      </w:r>
      <w:r>
        <w:rPr>
          <w:rStyle w:val="FootnoteReference"/>
        </w:rPr>
        <w:footnoteReference w:id="9"/>
      </w:r>
      <w:r w:rsidR="00471593">
        <w:t xml:space="preserve"> before the addition of Educational Broadband Service to section 1.907 became effective on April 27, 2020</w:t>
      </w:r>
      <w:r w:rsidR="00DF1415">
        <w:t xml:space="preserve">, </w:t>
      </w:r>
      <w:bookmarkStart w:id="1" w:name="_Hlk43726671"/>
      <w:r w:rsidR="00DF1415">
        <w:t>t</w:t>
      </w:r>
      <w:r w:rsidR="00471593">
        <w:t xml:space="preserve">he rule amendments stemming from the </w:t>
      </w:r>
      <w:r w:rsidRPr="00DA333D" w:rsidR="00471593">
        <w:rPr>
          <w:i/>
          <w:iCs/>
        </w:rPr>
        <w:t>3.7 GHz R&amp;O</w:t>
      </w:r>
      <w:r w:rsidR="00471593">
        <w:t xml:space="preserve"> </w:t>
      </w:r>
      <w:r w:rsidR="00BD6912">
        <w:t>became</w:t>
      </w:r>
      <w:r w:rsidR="00471593">
        <w:t xml:space="preserve"> effect</w:t>
      </w:r>
      <w:r w:rsidR="00BD6912">
        <w:t>ive</w:t>
      </w:r>
      <w:r w:rsidR="00DF1415">
        <w:t xml:space="preserve"> on</w:t>
      </w:r>
      <w:r w:rsidR="00471593">
        <w:t xml:space="preserve"> June 22, 2020</w:t>
      </w:r>
      <w:bookmarkEnd w:id="1"/>
      <w:r>
        <w:rPr>
          <w:rStyle w:val="FootnoteReference"/>
        </w:rPr>
        <w:footnoteReference w:id="10"/>
      </w:r>
      <w:r w:rsidR="00D2119D">
        <w:t xml:space="preserve"> after that addition, thereby </w:t>
      </w:r>
      <w:r w:rsidR="0064205F">
        <w:t>inadvertently</w:t>
      </w:r>
      <w:r w:rsidR="00FA73AA">
        <w:t xml:space="preserve"> deleting it.</w:t>
      </w:r>
      <w:r>
        <w:t xml:space="preserve">  </w:t>
      </w:r>
      <w:r w:rsidR="00483711">
        <w:t xml:space="preserve">As a result, </w:t>
      </w:r>
      <w:r>
        <w:t xml:space="preserve">“Educational Broadband Service (part 27, subpart M)” </w:t>
      </w:r>
      <w:r w:rsidR="00483711">
        <w:t xml:space="preserve">is no longer listed in the </w:t>
      </w:r>
      <w:r w:rsidR="00722CC2">
        <w:t xml:space="preserve">“Covered Geographic Licenses” </w:t>
      </w:r>
      <w:r>
        <w:t>definition</w:t>
      </w:r>
      <w:r w:rsidR="00722CC2">
        <w:t>.</w:t>
      </w:r>
      <w:r>
        <w:rPr>
          <w:rStyle w:val="FootnoteReference"/>
        </w:rPr>
        <w:footnoteReference w:id="11"/>
      </w:r>
    </w:p>
    <w:p w:rsidR="00C77644" w:rsidP="00471593" w14:paraId="2524AAF0" w14:textId="75A80766">
      <w:pPr>
        <w:pStyle w:val="ParaNum"/>
      </w:pPr>
      <w:r>
        <w:t>The Wireless Telecommunications Bureau (“Bureau”)</w:t>
      </w:r>
      <w:r w:rsidR="00684D59">
        <w:t xml:space="preserve"> issue</w:t>
      </w:r>
      <w:r>
        <w:t>s</w:t>
      </w:r>
      <w:r w:rsidR="00684D59">
        <w:t xml:space="preserve"> this Order to </w:t>
      </w:r>
      <w:r w:rsidR="00DA333D">
        <w:t>reinsert</w:t>
      </w:r>
      <w:r w:rsidR="00684D59">
        <w:t xml:space="preserve"> “Educational Broadband Service (part 27, subpart M)”</w:t>
      </w:r>
      <w:r w:rsidR="00DA333D">
        <w:t xml:space="preserve"> into the “Covered Geographic Licenses” definition in section 1.907, as follows:</w:t>
      </w:r>
    </w:p>
    <w:p w:rsidR="00DA333D" w:rsidP="00DA333D" w14:paraId="4A30D24F" w14:textId="0FEF24FA">
      <w:pPr>
        <w:pStyle w:val="ParaNum"/>
        <w:numPr>
          <w:ilvl w:val="0"/>
          <w:numId w:val="0"/>
        </w:numPr>
        <w:ind w:firstLine="720"/>
      </w:pPr>
      <w:r>
        <w:t>“</w:t>
      </w:r>
      <w:r w:rsidRPr="008E0905">
        <w:rPr>
          <w:i/>
          <w:iCs/>
        </w:rPr>
        <w:t>Covered geographic licenses</w:t>
      </w:r>
      <w:r w:rsidRPr="009C3499">
        <w:t xml:space="preserve">.  Covered geographic licenses consist of the following services:  1.4 GHz Service (part 27, subpart I, of this chapter); 1.6 GHz Service (part 27, subpart J); 24 GHz Service and Digital Electronic Message Services (part 101, subpart G, of this chapter); 218-219 MHz Service (part 95, subpart F, of this chapter); 220-222 MHz Service, excluding public safety licenses (part 90, subpart T, of this chapter); 600 MHz Service (part 27, subpart N); 700 MHz Commercial Services (part 27, subpart F and H); 700 MHz Guard Band Service (part 27, subpart G); 800 MHz Specialized Mobile Radio Service (part 90, subpart S); 900 MHz Specialized Mobile Radio Service (part 90, subpart S); 3.7 GHz Service (part 27, subpart O); Advanced Wireless Services (part 27, subparts K and L); Air-Ground Radiotelephone Service (Commercial Aviation) (part 22, subpart G, of this chapter); Broadband Personal Communications Service (part 24, subpart E, of this chapter); Broadband Radio Service (part 27, subpart M); Cellular Radiotelephone Service (part 22, subpart H); Citizens Broadband Radio Service (part 96, subpart C, of this chapter); Dedicated Short Range Communications Service, excluding public safety licenses (part 90, subpart M); </w:t>
      </w:r>
      <w:r w:rsidRPr="008F5ABC">
        <w:t>Educational Broadband Service (part 27, subpart M)</w:t>
      </w:r>
      <w:r>
        <w:t xml:space="preserve">; </w:t>
      </w:r>
      <w:r w:rsidRPr="009C3499">
        <w:t>H Block Service (part 27, subpart K); Loca</w:t>
      </w:r>
      <w:bookmarkStart w:id="2" w:name="_GoBack"/>
      <w:bookmarkEnd w:id="2"/>
      <w:r w:rsidRPr="009C3499">
        <w:t xml:space="preserve">l Multipoint Distribution Service (part 101, subpart L); Multichannel Video Distribution and Data Service (part 101, subpart P); </w:t>
      </w:r>
      <w:r w:rsidRPr="009C3499">
        <w:t>Multilateration</w:t>
      </w:r>
      <w:r w:rsidRPr="009C3499">
        <w:t xml:space="preserve"> Location and Monitoring Service (part 90, subpart M); Multiple Address Systems (EAs) (part 101, subpart O); Narrowband Personal Communications Service (part 24, subpart D); Paging and Radiotelephone Service (part 22, subpart E; part 90, subpart P); VHF Public Coast Stations, including Automated Maritime Telecommunications Systems (part 80, subpart J, of this chapter); Upper Microwave Flexible Use Service (part 30 of this chapter); and Wireless Communications Service (part 27, subpart D).</w:t>
      </w:r>
      <w:r>
        <w:t>”</w:t>
      </w:r>
    </w:p>
    <w:p w:rsidR="009E16B4" w:rsidP="00F374AF" w14:paraId="3671D8DE" w14:textId="4E6E68E5">
      <w:pPr>
        <w:pStyle w:val="ParaNum"/>
      </w:pPr>
      <w:r>
        <w:t xml:space="preserve">The Administrative Procedure Act allows an agency to </w:t>
      </w:r>
      <w:r w:rsidR="001A43AC">
        <w:t xml:space="preserve">forgo </w:t>
      </w:r>
      <w:r>
        <w:t>notice and comment “when the agency for good cause finds . . . that notice and public procedure thereon are impracticable, unnecessary, or contrary to the public interest.”</w:t>
      </w:r>
      <w:r>
        <w:rPr>
          <w:rStyle w:val="FootnoteReference"/>
        </w:rPr>
        <w:footnoteReference w:id="12"/>
      </w:r>
      <w:r w:rsidR="00590753">
        <w:t xml:space="preserve">  Here, w</w:t>
      </w:r>
      <w:r>
        <w:t>e find good cause on the ground</w:t>
      </w:r>
      <w:r w:rsidR="007B1370">
        <w:t>s</w:t>
      </w:r>
      <w:r>
        <w:t xml:space="preserve"> that the </w:t>
      </w:r>
      <w:r w:rsidR="00590753">
        <w:t xml:space="preserve">notice and comment </w:t>
      </w:r>
      <w:r>
        <w:t>procedure is unnecessary.</w:t>
      </w:r>
      <w:r>
        <w:rPr>
          <w:rStyle w:val="FootnoteReference"/>
        </w:rPr>
        <w:footnoteReference w:id="13"/>
      </w:r>
      <w:r w:rsidR="00590753">
        <w:t xml:space="preserve">  </w:t>
      </w:r>
      <w:r w:rsidR="00A13C78">
        <w:t xml:space="preserve">The </w:t>
      </w:r>
      <w:r w:rsidR="00816987">
        <w:t xml:space="preserve">Commission added the </w:t>
      </w:r>
      <w:r w:rsidR="00980B50">
        <w:t xml:space="preserve">term “Educational Broadband Service (part 27, subpart M)” </w:t>
      </w:r>
      <w:r w:rsidR="00085176">
        <w:t>to the definition</w:t>
      </w:r>
      <w:r w:rsidR="00816987">
        <w:t xml:space="preserve"> of </w:t>
      </w:r>
      <w:r w:rsidRPr="00816987" w:rsidR="00816987">
        <w:t>“Covered Geographic Licenses”</w:t>
      </w:r>
      <w:r w:rsidR="00085176">
        <w:t xml:space="preserve"> </w:t>
      </w:r>
      <w:r w:rsidR="00980B50">
        <w:t>pursuant to a full notice and comment process.</w:t>
      </w:r>
      <w:r>
        <w:rPr>
          <w:rStyle w:val="FootnoteReference"/>
        </w:rPr>
        <w:footnoteReference w:id="14"/>
      </w:r>
      <w:r w:rsidR="007F47E3">
        <w:t xml:space="preserve">  </w:t>
      </w:r>
      <w:r w:rsidR="00A13C78">
        <w:t>The subsequent omission of that term was inadvertent.  The reinsertion of “Educational Broadband Service (part 27, subpart M)” into the definition of “Covered Geographic Licenses” in section 1.907 is therefore a routine correction to address an administrative oversight.</w:t>
      </w:r>
      <w:r>
        <w:rPr>
          <w:rStyle w:val="FootnoteReference"/>
        </w:rPr>
        <w:footnoteReference w:id="15"/>
      </w:r>
      <w:r w:rsidR="00A13C78">
        <w:t xml:space="preserve">  </w:t>
      </w:r>
    </w:p>
    <w:p w:rsidR="007F47E3" w:rsidP="00F374AF" w14:paraId="4F8DE8D2" w14:textId="20D33B69">
      <w:pPr>
        <w:pStyle w:val="ParaNum"/>
      </w:pPr>
      <w:r>
        <w:t>Similarly, an agency may make a rule effective</w:t>
      </w:r>
      <w:r w:rsidR="00085176">
        <w:t xml:space="preserve"> immediately</w:t>
      </w:r>
      <w:r w:rsidR="009E16B4">
        <w:t xml:space="preserve"> upon publication in the Federal Register</w:t>
      </w:r>
      <w:r>
        <w:t xml:space="preserve">, rather than providing for a </w:t>
      </w:r>
      <w:r w:rsidR="00F374AF">
        <w:t>30</w:t>
      </w:r>
      <w:r>
        <w:t>-day waiting period, if the agency finds “good cause.”</w:t>
      </w:r>
      <w:r>
        <w:rPr>
          <w:rStyle w:val="FootnoteReference"/>
        </w:rPr>
        <w:footnoteReference w:id="16"/>
      </w:r>
      <w:r>
        <w:t xml:space="preserve">  </w:t>
      </w:r>
      <w:r w:rsidR="0034649B">
        <w:t xml:space="preserve">In </w:t>
      </w:r>
      <w:r w:rsidRPr="00957685" w:rsidR="00957685">
        <w:t>determin</w:t>
      </w:r>
      <w:r w:rsidR="0034649B">
        <w:t>ing</w:t>
      </w:r>
      <w:r w:rsidRPr="00957685" w:rsidR="00957685">
        <w:t xml:space="preserve"> whether good cause exists</w:t>
      </w:r>
      <w:r w:rsidR="00957685">
        <w:t xml:space="preserve"> </w:t>
      </w:r>
      <w:r w:rsidR="0034649B">
        <w:t>for</w:t>
      </w:r>
      <w:r w:rsidR="00957685">
        <w:t xml:space="preserve"> a</w:t>
      </w:r>
      <w:r w:rsidR="00C43E4C">
        <w:t>n amended</w:t>
      </w:r>
      <w:r w:rsidR="00957685">
        <w:t xml:space="preserve"> rule </w:t>
      </w:r>
      <w:r w:rsidR="0034649B">
        <w:t>to</w:t>
      </w:r>
      <w:r w:rsidR="00957685">
        <w:t xml:space="preserve"> take effect fewer than 30 days after Federal Register publication</w:t>
      </w:r>
      <w:r w:rsidRPr="00957685" w:rsidR="00957685">
        <w:t xml:space="preserve">, an agency </w:t>
      </w:r>
      <w:r w:rsidR="0034649B">
        <w:t>must</w:t>
      </w:r>
      <w:r w:rsidRPr="00957685" w:rsidR="00957685">
        <w:t xml:space="preserve"> “balance the necessity for immediate implementation against principles of fundamental fairness which require that all affected persons be afforded a reasonable amount of time to prepare for the effective date of its ruling.”</w:t>
      </w:r>
      <w:r>
        <w:rPr>
          <w:rStyle w:val="FootnoteReference"/>
        </w:rPr>
        <w:footnoteReference w:id="17"/>
      </w:r>
      <w:r w:rsidR="00957685">
        <w:t xml:space="preserve">  </w:t>
      </w:r>
      <w:r w:rsidR="0033413C">
        <w:t>T</w:t>
      </w:r>
      <w:r w:rsidR="00C43E4C">
        <w:t xml:space="preserve">he immediate implementation of the amended definition is necessary to </w:t>
      </w:r>
      <w:r w:rsidR="007B1370">
        <w:t>avoid needlessly prolonging an obvious inaccuracy in the rule and delaying the return of the rule language to its clearly intended meaning.</w:t>
      </w:r>
      <w:r w:rsidR="000519B2">
        <w:t xml:space="preserve">  The immediate effective date also would not </w:t>
      </w:r>
      <w:r w:rsidR="000519B2">
        <w:t xml:space="preserve">impose any burdens on affected persons.  No additional time is necessary for affected </w:t>
      </w:r>
      <w:r w:rsidR="00D13746">
        <w:t>persons</w:t>
      </w:r>
      <w:r w:rsidR="000519B2">
        <w:t xml:space="preserve"> to prepare for the effectiveness of the amended rule because it merely reinstates </w:t>
      </w:r>
      <w:r w:rsidR="005B0B81">
        <w:t xml:space="preserve">a term </w:t>
      </w:r>
      <w:r w:rsidR="000519B2">
        <w:t xml:space="preserve">that had been </w:t>
      </w:r>
      <w:r w:rsidRPr="005A0F90" w:rsidR="004163F7">
        <w:rPr>
          <w:szCs w:val="22"/>
        </w:rPr>
        <w:t>published in its adopted form by the Commission six months before its effective date</w:t>
      </w:r>
      <w:r w:rsidRPr="005A0F90" w:rsidR="00B00789">
        <w:rPr>
          <w:szCs w:val="22"/>
        </w:rPr>
        <w:t xml:space="preserve"> (i.e., from October </w:t>
      </w:r>
      <w:r w:rsidRPr="005A0F90" w:rsidR="00A17BB9">
        <w:rPr>
          <w:szCs w:val="22"/>
        </w:rPr>
        <w:t>25, 2019, to April 27, 2020)</w:t>
      </w:r>
      <w:r w:rsidRPr="005A0F90" w:rsidR="008C48DA">
        <w:rPr>
          <w:szCs w:val="22"/>
        </w:rPr>
        <w:t>—providing</w:t>
      </w:r>
      <w:r w:rsidRPr="005A0F90" w:rsidR="00E24904">
        <w:rPr>
          <w:szCs w:val="22"/>
        </w:rPr>
        <w:t xml:space="preserve"> the public with</w:t>
      </w:r>
      <w:r w:rsidRPr="005A0F90" w:rsidR="008C48DA">
        <w:rPr>
          <w:szCs w:val="22"/>
        </w:rPr>
        <w:t xml:space="preserve"> a significantly </w:t>
      </w:r>
      <w:r w:rsidR="005A0F90">
        <w:rPr>
          <w:szCs w:val="22"/>
        </w:rPr>
        <w:t xml:space="preserve">longer </w:t>
      </w:r>
      <w:r w:rsidRPr="005A0F90" w:rsidR="00E24904">
        <w:rPr>
          <w:szCs w:val="22"/>
        </w:rPr>
        <w:t xml:space="preserve">preparatory period </w:t>
      </w:r>
      <w:r w:rsidRPr="005A0F90" w:rsidR="0046626E">
        <w:rPr>
          <w:szCs w:val="22"/>
        </w:rPr>
        <w:t>than the typically required minimum of 30 day</w:t>
      </w:r>
      <w:r w:rsidRPr="005A0F90" w:rsidR="00DA2971">
        <w:rPr>
          <w:szCs w:val="22"/>
        </w:rPr>
        <w:t>s</w:t>
      </w:r>
      <w:r w:rsidRPr="005A0F90" w:rsidR="00E24904">
        <w:rPr>
          <w:szCs w:val="22"/>
        </w:rPr>
        <w:t>—</w:t>
      </w:r>
      <w:r w:rsidRPr="005A0F90" w:rsidR="00B00789">
        <w:rPr>
          <w:szCs w:val="22"/>
        </w:rPr>
        <w:t xml:space="preserve">and </w:t>
      </w:r>
      <w:r w:rsidRPr="005A0F90" w:rsidR="00C5327D">
        <w:rPr>
          <w:szCs w:val="22"/>
        </w:rPr>
        <w:t>which ha</w:t>
      </w:r>
      <w:r w:rsidR="005A0F90">
        <w:rPr>
          <w:szCs w:val="22"/>
        </w:rPr>
        <w:t>d</w:t>
      </w:r>
      <w:r w:rsidRPr="005A0F90" w:rsidR="00C5327D">
        <w:rPr>
          <w:szCs w:val="22"/>
        </w:rPr>
        <w:t xml:space="preserve"> been </w:t>
      </w:r>
      <w:r w:rsidRPr="005A0F90" w:rsidR="00B00789">
        <w:rPr>
          <w:szCs w:val="22"/>
        </w:rPr>
        <w:t>an effective</w:t>
      </w:r>
      <w:r w:rsidR="00B00789">
        <w:rPr>
          <w:sz w:val="32"/>
          <w:szCs w:val="32"/>
        </w:rPr>
        <w:t xml:space="preserve"> </w:t>
      </w:r>
      <w:r w:rsidR="000519B2">
        <w:t xml:space="preserve">part of the rule for almost two months </w:t>
      </w:r>
      <w:r w:rsidRPr="005A0F90" w:rsidR="00A17BB9">
        <w:rPr>
          <w:szCs w:val="22"/>
        </w:rPr>
        <w:t>thereafter</w:t>
      </w:r>
      <w:r w:rsidRPr="005A0F90" w:rsidR="006F14AF">
        <w:rPr>
          <w:szCs w:val="22"/>
        </w:rPr>
        <w:t>, up until about a week ago</w:t>
      </w:r>
      <w:r w:rsidRPr="005A0F90" w:rsidR="008A6E23">
        <w:rPr>
          <w:szCs w:val="22"/>
        </w:rPr>
        <w:t>, when its inadvertent deletion occurred</w:t>
      </w:r>
      <w:r w:rsidRPr="005A0F90" w:rsidR="00A17BB9">
        <w:t xml:space="preserve"> </w:t>
      </w:r>
      <w:r w:rsidR="000519B2">
        <w:t>(i.e., from April 27 until June 22).</w:t>
      </w:r>
      <w:r w:rsidR="00D13746">
        <w:t xml:space="preserve">  In addition, the amended rule does not require affected parties to take, or refrain from taking, any particular action.  Thus</w:t>
      </w:r>
      <w:r w:rsidR="009E16B4">
        <w:t xml:space="preserve">, </w:t>
      </w:r>
      <w:r w:rsidR="00C2644B">
        <w:t>w</w:t>
      </w:r>
      <w:r w:rsidR="00594666">
        <w:t>e</w:t>
      </w:r>
      <w:r w:rsidR="00E26752">
        <w:t xml:space="preserve"> fin</w:t>
      </w:r>
      <w:r w:rsidR="00594666">
        <w:t>d</w:t>
      </w:r>
      <w:r w:rsidR="00E26752">
        <w:t xml:space="preserve"> </w:t>
      </w:r>
      <w:r w:rsidR="00594666">
        <w:t xml:space="preserve">good cause to </w:t>
      </w:r>
      <w:r w:rsidR="00C2644B">
        <w:t>make the amended rule effective upon Federal Register publication</w:t>
      </w:r>
      <w:r w:rsidR="00E26752">
        <w:t xml:space="preserve">. </w:t>
      </w:r>
    </w:p>
    <w:p w:rsidR="0037314E" w:rsidP="0037314E" w14:paraId="766C70D4" w14:textId="629AFAB7">
      <w:pPr>
        <w:pStyle w:val="ParaNum"/>
      </w:pPr>
      <w:r>
        <w:t>Accordingly, is it ORDERED</w:t>
      </w:r>
      <w:r w:rsidR="00C2644B">
        <w:t xml:space="preserve"> that</w:t>
      </w:r>
      <w:r>
        <w:t>, pursuant to section</w:t>
      </w:r>
      <w:r w:rsidR="001C4234">
        <w:t>s</w:t>
      </w:r>
      <w:r>
        <w:t xml:space="preserve"> </w:t>
      </w:r>
      <w:r w:rsidR="001C4234">
        <w:t xml:space="preserve">1, </w:t>
      </w:r>
      <w:r>
        <w:t>4(</w:t>
      </w:r>
      <w:r>
        <w:t>i</w:t>
      </w:r>
      <w:r>
        <w:t>)</w:t>
      </w:r>
      <w:r w:rsidR="001C4234">
        <w:t>, 5, 301, 303, and 307</w:t>
      </w:r>
      <w:r>
        <w:t xml:space="preserve"> of the </w:t>
      </w:r>
      <w:r w:rsidR="001D2918">
        <w:t xml:space="preserve">Communications </w:t>
      </w:r>
      <w:r>
        <w:t>Act of 1934, as amended, 47 U.S.C. §</w:t>
      </w:r>
      <w:r w:rsidR="001C4234">
        <w:t>§</w:t>
      </w:r>
      <w:r>
        <w:t xml:space="preserve"> </w:t>
      </w:r>
      <w:r w:rsidR="001C4234">
        <w:t xml:space="preserve">151, </w:t>
      </w:r>
      <w:r>
        <w:t>154(</w:t>
      </w:r>
      <w:r>
        <w:t>i</w:t>
      </w:r>
      <w:r>
        <w:t xml:space="preserve">), </w:t>
      </w:r>
      <w:r w:rsidR="001C4234">
        <w:t xml:space="preserve">155, 301, 303, 307, </w:t>
      </w:r>
      <w:r>
        <w:t xml:space="preserve">this </w:t>
      </w:r>
      <w:r>
        <w:rPr>
          <w:i/>
          <w:iCs/>
        </w:rPr>
        <w:t xml:space="preserve">Order </w:t>
      </w:r>
      <w:r>
        <w:t xml:space="preserve">is adopted.  </w:t>
      </w:r>
    </w:p>
    <w:p w:rsidR="00603670" w:rsidP="0037314E" w14:paraId="6BBE5754" w14:textId="08998F4A">
      <w:pPr>
        <w:pStyle w:val="ParaNum"/>
      </w:pPr>
      <w:r>
        <w:t xml:space="preserve">IT IS FURTHER ORDERED that the rule </w:t>
      </w:r>
      <w:r w:rsidR="005B74FC">
        <w:t xml:space="preserve">amendment </w:t>
      </w:r>
      <w:r>
        <w:t xml:space="preserve">adopted herein WILL BECOME EFFECTIVE </w:t>
      </w:r>
      <w:r w:rsidR="000E2CE3">
        <w:t>UPON PUBLICATION</w:t>
      </w:r>
      <w:r>
        <w:t xml:space="preserve"> in the Federal Register.</w:t>
      </w:r>
    </w:p>
    <w:p w:rsidR="009D2ECC" w:rsidP="00603670" w14:paraId="1AB75347" w14:textId="624E6403">
      <w:pPr>
        <w:pStyle w:val="ParaNum"/>
      </w:pPr>
      <w:r>
        <w:t>This action is taken under delegated authority pursuant to sections 0.131 and 0.331 of the Commission’s rules, 47 CFR §§ 0.131, 0.331.</w:t>
      </w:r>
    </w:p>
    <w:p w:rsidR="00603670" w:rsidRPr="002A29D2" w:rsidP="00603670" w14:paraId="31FFDB45" w14:textId="77777777">
      <w:pPr>
        <w:pStyle w:val="Heading1"/>
        <w:numPr>
          <w:ilvl w:val="0"/>
          <w:numId w:val="0"/>
        </w:numPr>
        <w:spacing w:before="220" w:after="0"/>
        <w:ind w:left="3600" w:firstLine="720"/>
        <w:rPr>
          <w:rFonts w:ascii="Times New Roman" w:hAnsi="Times New Roman"/>
          <w:b w:val="0"/>
          <w:caps w:val="0"/>
          <w:spacing w:val="-2"/>
        </w:rPr>
      </w:pPr>
      <w:r w:rsidRPr="002A29D2">
        <w:rPr>
          <w:rFonts w:ascii="Times New Roman" w:hAnsi="Times New Roman"/>
          <w:b w:val="0"/>
          <w:caps w:val="0"/>
          <w:spacing w:val="-2"/>
        </w:rPr>
        <w:t>FEDERAL COMMUNICATIONS COMMISSION</w:t>
      </w:r>
    </w:p>
    <w:p w:rsidR="00603670" w:rsidP="00603670" w14:paraId="3F8BB724" w14:textId="77777777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</w:p>
    <w:p w:rsidR="00603670" w:rsidP="00603670" w14:paraId="6DFDA815" w14:textId="77777777">
      <w:pPr>
        <w:pStyle w:val="ParaNum"/>
        <w:numPr>
          <w:ilvl w:val="0"/>
          <w:numId w:val="0"/>
        </w:numPr>
        <w:spacing w:after="0"/>
      </w:pPr>
    </w:p>
    <w:p w:rsidR="00603670" w:rsidP="00603670" w14:paraId="37261CD3" w14:textId="77777777">
      <w:pPr>
        <w:pStyle w:val="ParaNum"/>
        <w:numPr>
          <w:ilvl w:val="0"/>
          <w:numId w:val="0"/>
        </w:numPr>
        <w:spacing w:after="0"/>
      </w:pPr>
    </w:p>
    <w:p w:rsidR="00603670" w:rsidRPr="002A29D2" w:rsidP="00603670" w14:paraId="4C2C9368" w14:textId="77777777">
      <w:pPr>
        <w:pStyle w:val="ParaNum"/>
        <w:numPr>
          <w:ilvl w:val="0"/>
          <w:numId w:val="0"/>
        </w:numPr>
        <w:spacing w:after="0"/>
      </w:pPr>
    </w:p>
    <w:p w:rsidR="00603670" w:rsidRPr="002A29D2" w:rsidP="00603670" w14:paraId="651FE4EE" w14:textId="77777777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>Donald Stockdale</w:t>
      </w:r>
      <w:r w:rsidRPr="002A29D2">
        <w:rPr>
          <w:rFonts w:ascii="Times New Roman" w:hAnsi="Times New Roman"/>
          <w:b w:val="0"/>
          <w:caps w:val="0"/>
          <w:spacing w:val="-2"/>
        </w:rPr>
        <w:t xml:space="preserve"> </w:t>
      </w:r>
    </w:p>
    <w:p w:rsidR="00603670" w:rsidRPr="002A29D2" w:rsidP="00603670" w14:paraId="139E6ABC" w14:textId="201E82A0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>Chief</w:t>
      </w:r>
    </w:p>
    <w:p w:rsidR="00603670" w:rsidRPr="002A29D2" w:rsidP="00603670" w14:paraId="3F7173D5" w14:textId="77777777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i/>
        </w:rPr>
      </w:pP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ab/>
      </w:r>
      <w:r>
        <w:rPr>
          <w:rFonts w:ascii="Times New Roman" w:hAnsi="Times New Roman"/>
          <w:b w:val="0"/>
          <w:caps w:val="0"/>
          <w:spacing w:val="-2"/>
        </w:rPr>
        <w:t>Wireless Telecommunications Bureau</w:t>
      </w:r>
    </w:p>
    <w:p w:rsidR="00603670" w:rsidP="00603670" w14:paraId="7E757B6E" w14:textId="77777777">
      <w:pPr>
        <w:pStyle w:val="Heading1"/>
        <w:numPr>
          <w:ilvl w:val="0"/>
          <w:numId w:val="0"/>
        </w:numPr>
      </w:pPr>
    </w:p>
    <w:p w:rsidR="00603670" w:rsidP="00603670" w14:paraId="112ACCCF" w14:textId="77777777">
      <w:pPr>
        <w:pStyle w:val="ParaNum"/>
        <w:numPr>
          <w:ilvl w:val="0"/>
          <w:numId w:val="0"/>
        </w:numPr>
      </w:pPr>
    </w:p>
    <w:p w:rsidR="00980B50" w:rsidRPr="00AA1C61" w:rsidP="00980B50" w14:paraId="2B76B31E" w14:textId="77777777">
      <w:pPr>
        <w:pStyle w:val="ParaNum"/>
        <w:numPr>
          <w:ilvl w:val="0"/>
          <w:numId w:val="0"/>
        </w:numPr>
        <w:ind w:left="720"/>
      </w:pPr>
    </w:p>
    <w:sectPr w:rsidSect="0055614C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1CF424A6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5D2EB97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308" w14:paraId="30768F1A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02FE12BE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03E9B" w14:paraId="76CD44BA" w14:textId="77777777">
      <w:r>
        <w:separator/>
      </w:r>
    </w:p>
  </w:footnote>
  <w:footnote w:type="continuationSeparator" w:id="1">
    <w:p w:rsidR="00103E9B" w:rsidP="00C721AC" w14:paraId="16C4188B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103E9B" w:rsidP="00C721AC" w14:paraId="7CDFB339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637270" w:rsidRPr="006F1E2F" w:rsidP="00637270" w14:paraId="06E6C880" w14:textId="0B4954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43852">
        <w:rPr>
          <w:i/>
          <w:iCs/>
        </w:rPr>
        <w:t>Transforming the 2.5 GHz Band</w:t>
      </w:r>
      <w:r w:rsidRPr="00643852">
        <w:t xml:space="preserve">, </w:t>
      </w:r>
      <w:r>
        <w:t xml:space="preserve">WT Docket No. 18-120, </w:t>
      </w:r>
      <w:r w:rsidRPr="00643852">
        <w:t>Report and Order, 34 FCC Rcd 5446</w:t>
      </w:r>
      <w:r w:rsidR="00AB7DBE">
        <w:t xml:space="preserve"> </w:t>
      </w:r>
      <w:r>
        <w:t>(2019) (</w:t>
      </w:r>
      <w:r>
        <w:rPr>
          <w:i/>
          <w:iCs/>
        </w:rPr>
        <w:t>2.5 GHz R&amp;O</w:t>
      </w:r>
      <w:r>
        <w:t>).</w:t>
      </w:r>
    </w:p>
  </w:footnote>
  <w:footnote w:id="4">
    <w:p w:rsidR="00AB7DBE" w14:paraId="13525C1A" w14:textId="61B50E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Id. </w:t>
      </w:r>
      <w:r>
        <w:t>at 5491, Appendix A, para. 2</w:t>
      </w:r>
      <w:r w:rsidR="005633BA">
        <w:t>.</w:t>
      </w:r>
    </w:p>
  </w:footnote>
  <w:footnote w:id="5">
    <w:p w:rsidR="002A105D" w:rsidRPr="006D03EC" w:rsidP="002A105D" w14:paraId="61F85D5D" w14:textId="02C447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Id. </w:t>
      </w:r>
      <w:r>
        <w:t xml:space="preserve">at 5489, </w:t>
      </w:r>
      <w:r w:rsidR="005633BA">
        <w:t xml:space="preserve">5490, </w:t>
      </w:r>
      <w:r>
        <w:t>para</w:t>
      </w:r>
      <w:r w:rsidR="005633BA">
        <w:t>s</w:t>
      </w:r>
      <w:r w:rsidR="00C767DC">
        <w:t>.</w:t>
      </w:r>
      <w:r>
        <w:t xml:space="preserve"> 117</w:t>
      </w:r>
      <w:r w:rsidR="005633BA">
        <w:t>, 124</w:t>
      </w:r>
      <w:r>
        <w:t>.</w:t>
      </w:r>
    </w:p>
  </w:footnote>
  <w:footnote w:id="6">
    <w:p w:rsidR="002A105D" w:rsidRPr="00471593" w:rsidP="002A105D" w14:paraId="373A9E4B" w14:textId="548ED7B6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 w:rsidRPr="00643852">
        <w:rPr>
          <w:i/>
          <w:iCs/>
        </w:rPr>
        <w:t>See Transforming the 2.5 GHz Band</w:t>
      </w:r>
      <w:r w:rsidRPr="00643852">
        <w:t>, 84 Fed. Reg. 57343, 57343 (Oct. 25, 2019).</w:t>
      </w:r>
      <w:r>
        <w:t xml:space="preserve">  </w:t>
      </w:r>
    </w:p>
  </w:footnote>
  <w:footnote w:id="7">
    <w:p w:rsidR="006D03EC" w:rsidRPr="006D03EC" w14:paraId="5F939B73" w14:textId="49D46F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43852">
        <w:rPr>
          <w:i/>
          <w:iCs/>
        </w:rPr>
        <w:t>Expanding Flexible Use in the 3.7</w:t>
      </w:r>
      <w:r w:rsidR="005633BA">
        <w:rPr>
          <w:i/>
          <w:iCs/>
        </w:rPr>
        <w:t xml:space="preserve"> to </w:t>
      </w:r>
      <w:r w:rsidRPr="00643852">
        <w:rPr>
          <w:i/>
          <w:iCs/>
        </w:rPr>
        <w:t>4.2 GHz Band</w:t>
      </w:r>
      <w:r w:rsidRPr="00643852">
        <w:t xml:space="preserve">, Second Erratum at 2-3 (WTB Apr. 16, 2020); </w:t>
      </w:r>
      <w:r w:rsidRPr="00643852">
        <w:rPr>
          <w:i/>
          <w:iCs/>
        </w:rPr>
        <w:t>Expanding Flexible Use in the 3.7</w:t>
      </w:r>
      <w:r w:rsidR="005633BA">
        <w:rPr>
          <w:i/>
          <w:iCs/>
        </w:rPr>
        <w:t xml:space="preserve"> to </w:t>
      </w:r>
      <w:r w:rsidRPr="00643852">
        <w:rPr>
          <w:i/>
          <w:iCs/>
        </w:rPr>
        <w:t>4.2 GHz Band</w:t>
      </w:r>
      <w:r w:rsidRPr="00643852">
        <w:t>,</w:t>
      </w:r>
      <w:r>
        <w:t xml:space="preserve"> GN Docket No. 18-</w:t>
      </w:r>
      <w:r w:rsidR="005633BA">
        <w:t>122</w:t>
      </w:r>
      <w:r>
        <w:t>, Report and Order</w:t>
      </w:r>
      <w:r w:rsidR="005633BA">
        <w:t xml:space="preserve"> and Order of Proposed Modification</w:t>
      </w:r>
      <w:r>
        <w:t>,</w:t>
      </w:r>
      <w:r w:rsidRPr="00643852">
        <w:t xml:space="preserve"> 35 FCC Rcd 2343</w:t>
      </w:r>
      <w:r>
        <w:t>, 2490-91, Appendix A, para. 2 (2020) (</w:t>
      </w:r>
      <w:r>
        <w:rPr>
          <w:i/>
          <w:iCs/>
        </w:rPr>
        <w:t>3.7 GHz R&amp;O</w:t>
      </w:r>
      <w:r>
        <w:t>).</w:t>
      </w:r>
    </w:p>
  </w:footnote>
  <w:footnote w:id="8">
    <w:p w:rsidR="00643852" w14:paraId="49743006" w14:textId="73A28C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43852">
        <w:rPr>
          <w:i/>
          <w:iCs/>
        </w:rPr>
        <w:t xml:space="preserve">See </w:t>
      </w:r>
      <w:r w:rsidR="005633BA">
        <w:rPr>
          <w:i/>
          <w:iCs/>
        </w:rPr>
        <w:t>3.7 GHz R&amp;O</w:t>
      </w:r>
      <w:r w:rsidR="005633BA">
        <w:t xml:space="preserve">, 35 FCC </w:t>
      </w:r>
      <w:r w:rsidR="005633BA">
        <w:t>Rcd</w:t>
      </w:r>
      <w:r w:rsidR="006D03EC">
        <w:rPr>
          <w:i/>
          <w:iCs/>
        </w:rPr>
        <w:t xml:space="preserve"> </w:t>
      </w:r>
      <w:r w:rsidR="006D03EC">
        <w:t>at</w:t>
      </w:r>
      <w:r w:rsidRPr="00643852">
        <w:t xml:space="preserve"> 2390, 2490-91, para. 106 &amp; n.316; </w:t>
      </w:r>
      <w:bookmarkStart w:id="0" w:name="_Hlk43730904"/>
      <w:r w:rsidR="006F1E2F">
        <w:rPr>
          <w:i/>
          <w:iCs/>
        </w:rPr>
        <w:t>2.5 GHz R&amp;O</w:t>
      </w:r>
      <w:r w:rsidRPr="00643852">
        <w:t xml:space="preserve">, 34 FCC Rcd </w:t>
      </w:r>
      <w:r w:rsidR="006F1E2F">
        <w:t>at</w:t>
      </w:r>
      <w:r w:rsidRPr="00643852">
        <w:t xml:space="preserve"> 5489</w:t>
      </w:r>
      <w:bookmarkEnd w:id="0"/>
      <w:r w:rsidRPr="00643852">
        <w:t xml:space="preserve">, para. 117.  </w:t>
      </w:r>
    </w:p>
  </w:footnote>
  <w:footnote w:id="9">
    <w:p w:rsidR="00471593" w:rsidRPr="00471593" w14:paraId="52E1198C" w14:textId="729673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Expanding Flexible Use of the 3.7 to 4.2 GHz Band</w:t>
      </w:r>
      <w:r>
        <w:t xml:space="preserve">, </w:t>
      </w:r>
      <w:r w:rsidR="00684D59">
        <w:t>85 Fed. Reg. 22804 (Apr. 23, 2020).</w:t>
      </w:r>
    </w:p>
  </w:footnote>
  <w:footnote w:id="10">
    <w:p w:rsidR="00471593" w:rsidRPr="00684D59" w14:paraId="0E41A221" w14:textId="058D06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84D59">
        <w:rPr>
          <w:i/>
          <w:iCs/>
        </w:rPr>
        <w:t xml:space="preserve">Id. </w:t>
      </w:r>
      <w:r w:rsidR="00684D59">
        <w:t>at 22804</w:t>
      </w:r>
      <w:r w:rsidR="00E226CA">
        <w:t xml:space="preserve">; </w:t>
      </w:r>
      <w:r w:rsidRPr="00483711" w:rsidR="00483711">
        <w:rPr>
          <w:i/>
          <w:iCs/>
        </w:rPr>
        <w:t xml:space="preserve">Expanding Flexible Use of the 3.7 to 4.2 GHz </w:t>
      </w:r>
      <w:r w:rsidRPr="00AB7DBE" w:rsidR="00483711">
        <w:rPr>
          <w:i/>
          <w:iCs/>
        </w:rPr>
        <w:t>Band; Correction</w:t>
      </w:r>
      <w:r w:rsidRPr="00483711" w:rsidR="00483711">
        <w:t>, 85 Fed</w:t>
      </w:r>
      <w:r w:rsidR="00D45FB0">
        <w:t>.</w:t>
      </w:r>
      <w:r w:rsidRPr="00483711" w:rsidR="00483711">
        <w:t xml:space="preserve"> Reg</w:t>
      </w:r>
      <w:r w:rsidR="00D45FB0">
        <w:t>. 38089</w:t>
      </w:r>
      <w:r w:rsidRPr="00483711" w:rsidR="00483711">
        <w:t xml:space="preserve"> (June</w:t>
      </w:r>
      <w:r w:rsidR="00D45FB0">
        <w:t xml:space="preserve"> 25</w:t>
      </w:r>
      <w:r w:rsidRPr="00483711" w:rsidR="00483711">
        <w:t>, 2020).</w:t>
      </w:r>
    </w:p>
  </w:footnote>
  <w:footnote w:id="11">
    <w:p w:rsidR="00722CC2" w:rsidRPr="00722CC2" w14:paraId="0083410F" w14:textId="286FB1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Compare </w:t>
      </w:r>
      <w:r>
        <w:t xml:space="preserve">47 CFR § 1.907 (Effective April 27, 2020, to June </w:t>
      </w:r>
      <w:r w:rsidR="00E4726F">
        <w:t>22</w:t>
      </w:r>
      <w:r>
        <w:t xml:space="preserve">, 2020) </w:t>
      </w:r>
      <w:r>
        <w:rPr>
          <w:i/>
          <w:iCs/>
        </w:rPr>
        <w:t xml:space="preserve">with </w:t>
      </w:r>
      <w:r>
        <w:t>47 CFR § 1.907.</w:t>
      </w:r>
    </w:p>
  </w:footnote>
  <w:footnote w:id="12">
    <w:p w:rsidR="00C77644" w14:paraId="63FF3D9E" w14:textId="123634EF">
      <w:pPr>
        <w:pStyle w:val="FootnoteText"/>
      </w:pPr>
      <w:r>
        <w:rPr>
          <w:rStyle w:val="FootnoteReference"/>
        </w:rPr>
        <w:footnoteRef/>
      </w:r>
      <w:r>
        <w:t xml:space="preserve"> 5 U.S.C. § </w:t>
      </w:r>
      <w:r w:rsidRPr="00590753">
        <w:t>553(b)</w:t>
      </w:r>
      <w:r w:rsidRPr="00590753" w:rsidR="00590753">
        <w:t>(</w:t>
      </w:r>
      <w:r w:rsidRPr="00590753" w:rsidR="00590753">
        <w:rPr>
          <w:rFonts w:eastAsia="Segoe UI Emoji"/>
        </w:rPr>
        <w:t>B).</w:t>
      </w:r>
    </w:p>
  </w:footnote>
  <w:footnote w:id="13">
    <w:p w:rsidR="00590753" w14:paraId="26F9AE83" w14:textId="267619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90753">
        <w:rPr>
          <w:i/>
          <w:iCs/>
        </w:rPr>
        <w:t>See Util. Solid Waste Activities Grp. v. EPA</w:t>
      </w:r>
      <w:r w:rsidRPr="00590753">
        <w:t>, 236 F.3d 749, 755 (D.C. Cir. 2001) (stating that notice and comment is “unnecessary” when it involves a “routine determination, insignificant in nature and impact, and inconsequential to the industry and to the public” (internal quotation marks omitted)</w:t>
      </w:r>
      <w:r>
        <w:t>).</w:t>
      </w:r>
    </w:p>
  </w:footnote>
  <w:footnote w:id="14">
    <w:p w:rsidR="00DA333D" w:rsidRPr="00603670" w14:paraId="5C5D4A57" w14:textId="3DF8F6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03670">
        <w:rPr>
          <w:i/>
          <w:iCs/>
        </w:rPr>
        <w:t>See</w:t>
      </w:r>
      <w:r w:rsidR="000578AC">
        <w:rPr>
          <w:i/>
          <w:iCs/>
        </w:rPr>
        <w:t xml:space="preserve"> Amendment of Parts 1, 21, 73, 74 and 101 of the Commission’s Rules</w:t>
      </w:r>
      <w:r w:rsidR="00085176">
        <w:rPr>
          <w:i/>
          <w:iCs/>
        </w:rPr>
        <w:t xml:space="preserve"> </w:t>
      </w:r>
      <w:r w:rsidR="000578AC">
        <w:rPr>
          <w:i/>
          <w:iCs/>
        </w:rPr>
        <w:t>to Facilitate the Provision of Fixed and Mobile Broadba</w:t>
      </w:r>
      <w:r w:rsidR="00085176">
        <w:rPr>
          <w:i/>
          <w:iCs/>
        </w:rPr>
        <w:t>n</w:t>
      </w:r>
      <w:r w:rsidR="000578AC">
        <w:rPr>
          <w:i/>
          <w:iCs/>
        </w:rPr>
        <w:t>d Access, Educational and Other Advanced Services in the 2150-2162 and 2500-2690 MHz Bands</w:t>
      </w:r>
      <w:r w:rsidR="00085176">
        <w:rPr>
          <w:i/>
          <w:iCs/>
        </w:rPr>
        <w:t>; Transforming the 2.5 GHz Band</w:t>
      </w:r>
      <w:r w:rsidR="000578AC">
        <w:t>, Notice of Proposed R</w:t>
      </w:r>
      <w:r w:rsidR="00085176">
        <w:t>ulemaking, 33 FCC Rcd 4687 (2018);</w:t>
      </w:r>
      <w:r w:rsidR="000578AC">
        <w:rPr>
          <w:i/>
          <w:iCs/>
        </w:rPr>
        <w:t xml:space="preserve"> </w:t>
      </w:r>
      <w:r w:rsidRPr="00603670">
        <w:rPr>
          <w:i/>
          <w:iCs/>
        </w:rPr>
        <w:t>2.5 GHz R&amp;O</w:t>
      </w:r>
      <w:r w:rsidR="00603670">
        <w:t xml:space="preserve">, </w:t>
      </w:r>
      <w:r w:rsidRPr="00643852" w:rsidR="00603670">
        <w:t>34 FCC Rcd</w:t>
      </w:r>
      <w:r w:rsidR="00603670">
        <w:t xml:space="preserve"> at 5449-50, paras. 11-12 (demonstrating the Commission asked for and received comments before issuing the </w:t>
      </w:r>
      <w:r w:rsidR="00603670">
        <w:rPr>
          <w:i/>
          <w:iCs/>
        </w:rPr>
        <w:t>2.5 GHz R&amp;O</w:t>
      </w:r>
      <w:r w:rsidR="00603670">
        <w:t>).</w:t>
      </w:r>
    </w:p>
  </w:footnote>
  <w:footnote w:id="15">
    <w:p w:rsidR="00A13C78" w:rsidRPr="00523C03" w:rsidP="00A13C78" w14:paraId="2B878F1B" w14:textId="38CA4A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</w:t>
      </w:r>
      <w:r w:rsidRPr="00B35BC0" w:rsidR="00B35BC0">
        <w:rPr>
          <w:i/>
          <w:iCs/>
        </w:rPr>
        <w:t>Util. Solid Waste Activities Grp</w:t>
      </w:r>
      <w:r w:rsidR="00B35BC0">
        <w:rPr>
          <w:i/>
          <w:iCs/>
        </w:rPr>
        <w:t xml:space="preserve">., </w:t>
      </w:r>
      <w:r w:rsidRPr="00590753" w:rsidR="00B35BC0">
        <w:t xml:space="preserve">236 F.3d </w:t>
      </w:r>
      <w:r w:rsidR="00B35BC0">
        <w:t>at 755</w:t>
      </w:r>
      <w:r w:rsidR="00523C03">
        <w:t>.</w:t>
      </w:r>
    </w:p>
  </w:footnote>
  <w:footnote w:id="16">
    <w:p w:rsidR="00DF67BB" w14:paraId="554B64EA" w14:textId="1BE58133">
      <w:pPr>
        <w:pStyle w:val="FootnoteText"/>
      </w:pPr>
      <w:r>
        <w:rPr>
          <w:rStyle w:val="FootnoteReference"/>
        </w:rPr>
        <w:footnoteRef/>
      </w:r>
      <w:r>
        <w:t xml:space="preserve"> 47 U.S.C. § 553(d)(3).</w:t>
      </w:r>
    </w:p>
  </w:footnote>
  <w:footnote w:id="17">
    <w:p w:rsidR="0034649B" w14:paraId="3798AB17" w14:textId="62ADD4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4649B">
        <w:rPr>
          <w:i/>
          <w:iCs/>
        </w:rPr>
        <w:t>Omnipoint</w:t>
      </w:r>
      <w:r w:rsidRPr="0034649B">
        <w:rPr>
          <w:i/>
          <w:iCs/>
        </w:rPr>
        <w:t xml:space="preserve"> Corp. v. FCC</w:t>
      </w:r>
      <w:r>
        <w:t>, 78 F.3d 620, 630 (D.C. Cir. 1996) (internal quotation marks omitted).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5074BF94" w14:textId="23558A6A">
    <w:pPr>
      <w:pStyle w:val="Header"/>
      <w:rPr>
        <w:b w:val="0"/>
      </w:rPr>
    </w:pPr>
    <w:r>
      <w:tab/>
      <w:t>Federal Communications Commission</w:t>
    </w:r>
    <w:r>
      <w:tab/>
    </w:r>
    <w:r w:rsidR="006D1BFA">
      <w:t xml:space="preserve">DA </w:t>
    </w:r>
    <w:r w:rsidR="000547C5">
      <w:t>20-685</w:t>
    </w:r>
  </w:p>
  <w:p w:rsidR="00D25FB5" w14:paraId="29E680C9" w14:textId="2D837660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0AE767B4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74F9D714" w14:textId="5E50966E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="00AA1C61">
      <w:t xml:space="preserve">DA </w:t>
    </w:r>
    <w:r w:rsidR="00224779">
      <w:t>20-685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61"/>
    <w:rsid w:val="0000724B"/>
    <w:rsid w:val="00022943"/>
    <w:rsid w:val="00036039"/>
    <w:rsid w:val="00037F90"/>
    <w:rsid w:val="000519B2"/>
    <w:rsid w:val="000547C5"/>
    <w:rsid w:val="000578AC"/>
    <w:rsid w:val="00083048"/>
    <w:rsid w:val="00085176"/>
    <w:rsid w:val="000875BF"/>
    <w:rsid w:val="00096D8C"/>
    <w:rsid w:val="000C0B65"/>
    <w:rsid w:val="000D0029"/>
    <w:rsid w:val="000D4D32"/>
    <w:rsid w:val="000E05FE"/>
    <w:rsid w:val="000E2CE3"/>
    <w:rsid w:val="000E3D42"/>
    <w:rsid w:val="00103E9B"/>
    <w:rsid w:val="00122BD5"/>
    <w:rsid w:val="00130CD8"/>
    <w:rsid w:val="00133F79"/>
    <w:rsid w:val="0019433B"/>
    <w:rsid w:val="00194A66"/>
    <w:rsid w:val="001A43AC"/>
    <w:rsid w:val="001C236A"/>
    <w:rsid w:val="001C29E0"/>
    <w:rsid w:val="001C4234"/>
    <w:rsid w:val="001D1776"/>
    <w:rsid w:val="001D2918"/>
    <w:rsid w:val="001D6BCF"/>
    <w:rsid w:val="001E01CA"/>
    <w:rsid w:val="001F7AE0"/>
    <w:rsid w:val="00224779"/>
    <w:rsid w:val="0023428F"/>
    <w:rsid w:val="00244BA2"/>
    <w:rsid w:val="00275CF5"/>
    <w:rsid w:val="0028301F"/>
    <w:rsid w:val="00285017"/>
    <w:rsid w:val="002A105D"/>
    <w:rsid w:val="002A21B7"/>
    <w:rsid w:val="002A29D2"/>
    <w:rsid w:val="002A2D2E"/>
    <w:rsid w:val="002A4FD1"/>
    <w:rsid w:val="002C00E8"/>
    <w:rsid w:val="002D0283"/>
    <w:rsid w:val="002D2C25"/>
    <w:rsid w:val="0030334B"/>
    <w:rsid w:val="0032511A"/>
    <w:rsid w:val="0033413C"/>
    <w:rsid w:val="00343749"/>
    <w:rsid w:val="0034649B"/>
    <w:rsid w:val="003660ED"/>
    <w:rsid w:val="0037036D"/>
    <w:rsid w:val="0037314E"/>
    <w:rsid w:val="00382420"/>
    <w:rsid w:val="003B0550"/>
    <w:rsid w:val="003B4A45"/>
    <w:rsid w:val="003B694F"/>
    <w:rsid w:val="003D5185"/>
    <w:rsid w:val="003F171C"/>
    <w:rsid w:val="003F798A"/>
    <w:rsid w:val="00412FC5"/>
    <w:rsid w:val="0041438F"/>
    <w:rsid w:val="004163F7"/>
    <w:rsid w:val="00422276"/>
    <w:rsid w:val="004242F1"/>
    <w:rsid w:val="004433E4"/>
    <w:rsid w:val="0044428F"/>
    <w:rsid w:val="00445A00"/>
    <w:rsid w:val="00451B0F"/>
    <w:rsid w:val="0046626E"/>
    <w:rsid w:val="00471593"/>
    <w:rsid w:val="00483711"/>
    <w:rsid w:val="004C2EE3"/>
    <w:rsid w:val="004D339C"/>
    <w:rsid w:val="004E4A22"/>
    <w:rsid w:val="00511968"/>
    <w:rsid w:val="00523C03"/>
    <w:rsid w:val="0054133D"/>
    <w:rsid w:val="0054275D"/>
    <w:rsid w:val="0055614C"/>
    <w:rsid w:val="005633BA"/>
    <w:rsid w:val="00566D06"/>
    <w:rsid w:val="00590753"/>
    <w:rsid w:val="00594666"/>
    <w:rsid w:val="005A0F90"/>
    <w:rsid w:val="005B0B81"/>
    <w:rsid w:val="005B74FC"/>
    <w:rsid w:val="005E14C2"/>
    <w:rsid w:val="005E77D6"/>
    <w:rsid w:val="00603670"/>
    <w:rsid w:val="00607BA5"/>
    <w:rsid w:val="0061180A"/>
    <w:rsid w:val="00626EB6"/>
    <w:rsid w:val="00632C67"/>
    <w:rsid w:val="00637270"/>
    <w:rsid w:val="0064205F"/>
    <w:rsid w:val="00643852"/>
    <w:rsid w:val="00654116"/>
    <w:rsid w:val="00655D03"/>
    <w:rsid w:val="00674B11"/>
    <w:rsid w:val="00683388"/>
    <w:rsid w:val="00683F84"/>
    <w:rsid w:val="00684D59"/>
    <w:rsid w:val="00696C53"/>
    <w:rsid w:val="006A6A81"/>
    <w:rsid w:val="006C6AF9"/>
    <w:rsid w:val="006D03EC"/>
    <w:rsid w:val="006D1BFA"/>
    <w:rsid w:val="006F14AF"/>
    <w:rsid w:val="006F1E2F"/>
    <w:rsid w:val="006F7393"/>
    <w:rsid w:val="0070224F"/>
    <w:rsid w:val="007115F7"/>
    <w:rsid w:val="00722CC2"/>
    <w:rsid w:val="00785689"/>
    <w:rsid w:val="0079754B"/>
    <w:rsid w:val="007A1E6D"/>
    <w:rsid w:val="007B0EB2"/>
    <w:rsid w:val="007B1370"/>
    <w:rsid w:val="007D275E"/>
    <w:rsid w:val="007F47E3"/>
    <w:rsid w:val="00803717"/>
    <w:rsid w:val="00810B6F"/>
    <w:rsid w:val="00816987"/>
    <w:rsid w:val="00822CE0"/>
    <w:rsid w:val="00840DA3"/>
    <w:rsid w:val="00841AB1"/>
    <w:rsid w:val="008A6E23"/>
    <w:rsid w:val="008A740D"/>
    <w:rsid w:val="008C48DA"/>
    <w:rsid w:val="008C68F1"/>
    <w:rsid w:val="008E0905"/>
    <w:rsid w:val="008F5ABC"/>
    <w:rsid w:val="00913A70"/>
    <w:rsid w:val="00921803"/>
    <w:rsid w:val="0092590D"/>
    <w:rsid w:val="00926503"/>
    <w:rsid w:val="00940715"/>
    <w:rsid w:val="00942E0C"/>
    <w:rsid w:val="00957685"/>
    <w:rsid w:val="009726D8"/>
    <w:rsid w:val="00980B50"/>
    <w:rsid w:val="009C3499"/>
    <w:rsid w:val="009D2ECC"/>
    <w:rsid w:val="009D7308"/>
    <w:rsid w:val="009E16B4"/>
    <w:rsid w:val="009F167F"/>
    <w:rsid w:val="009F76DB"/>
    <w:rsid w:val="00A01C38"/>
    <w:rsid w:val="00A13C78"/>
    <w:rsid w:val="00A17BB9"/>
    <w:rsid w:val="00A32C3B"/>
    <w:rsid w:val="00A41C3E"/>
    <w:rsid w:val="00A45F4F"/>
    <w:rsid w:val="00A600A9"/>
    <w:rsid w:val="00A61859"/>
    <w:rsid w:val="00A7372E"/>
    <w:rsid w:val="00AA1571"/>
    <w:rsid w:val="00AA1C61"/>
    <w:rsid w:val="00AA55B7"/>
    <w:rsid w:val="00AA5B9E"/>
    <w:rsid w:val="00AB2407"/>
    <w:rsid w:val="00AB53DF"/>
    <w:rsid w:val="00AB7DBE"/>
    <w:rsid w:val="00AE3CA6"/>
    <w:rsid w:val="00B00789"/>
    <w:rsid w:val="00B05081"/>
    <w:rsid w:val="00B07E5C"/>
    <w:rsid w:val="00B35BC0"/>
    <w:rsid w:val="00B43CC1"/>
    <w:rsid w:val="00B52AAD"/>
    <w:rsid w:val="00B74E2E"/>
    <w:rsid w:val="00B811F7"/>
    <w:rsid w:val="00BA2158"/>
    <w:rsid w:val="00BA5DC6"/>
    <w:rsid w:val="00BA6196"/>
    <w:rsid w:val="00BC6D8C"/>
    <w:rsid w:val="00BD6912"/>
    <w:rsid w:val="00BE1C34"/>
    <w:rsid w:val="00C2644B"/>
    <w:rsid w:val="00C34006"/>
    <w:rsid w:val="00C36B4C"/>
    <w:rsid w:val="00C426B1"/>
    <w:rsid w:val="00C43E4C"/>
    <w:rsid w:val="00C5327D"/>
    <w:rsid w:val="00C66160"/>
    <w:rsid w:val="00C721AC"/>
    <w:rsid w:val="00C767DC"/>
    <w:rsid w:val="00C77644"/>
    <w:rsid w:val="00C85B8B"/>
    <w:rsid w:val="00C861DE"/>
    <w:rsid w:val="00C90D6A"/>
    <w:rsid w:val="00CA247E"/>
    <w:rsid w:val="00CA6D21"/>
    <w:rsid w:val="00CC72B6"/>
    <w:rsid w:val="00D0218D"/>
    <w:rsid w:val="00D13746"/>
    <w:rsid w:val="00D2119D"/>
    <w:rsid w:val="00D25FB5"/>
    <w:rsid w:val="00D44223"/>
    <w:rsid w:val="00D45FB0"/>
    <w:rsid w:val="00D971DC"/>
    <w:rsid w:val="00DA2529"/>
    <w:rsid w:val="00DA2971"/>
    <w:rsid w:val="00DA333D"/>
    <w:rsid w:val="00DA55BD"/>
    <w:rsid w:val="00DB130A"/>
    <w:rsid w:val="00DB2EBB"/>
    <w:rsid w:val="00DC10A1"/>
    <w:rsid w:val="00DC655F"/>
    <w:rsid w:val="00DD0B59"/>
    <w:rsid w:val="00DD7EBD"/>
    <w:rsid w:val="00DF1415"/>
    <w:rsid w:val="00DF62B6"/>
    <w:rsid w:val="00DF67BB"/>
    <w:rsid w:val="00E07225"/>
    <w:rsid w:val="00E16D71"/>
    <w:rsid w:val="00E226CA"/>
    <w:rsid w:val="00E24904"/>
    <w:rsid w:val="00E26752"/>
    <w:rsid w:val="00E45FEF"/>
    <w:rsid w:val="00E4726F"/>
    <w:rsid w:val="00E5409F"/>
    <w:rsid w:val="00E62C43"/>
    <w:rsid w:val="00E71DD5"/>
    <w:rsid w:val="00EE6488"/>
    <w:rsid w:val="00EF0400"/>
    <w:rsid w:val="00F021FA"/>
    <w:rsid w:val="00F374AF"/>
    <w:rsid w:val="00F40F68"/>
    <w:rsid w:val="00F60F6D"/>
    <w:rsid w:val="00F62E97"/>
    <w:rsid w:val="00F64209"/>
    <w:rsid w:val="00F93BF5"/>
    <w:rsid w:val="00F951B4"/>
    <w:rsid w:val="00FA73A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  <w:style w:type="character" w:customStyle="1" w:styleId="ParaNumChar">
    <w:name w:val="ParaNum Char"/>
    <w:link w:val="ParaNum"/>
    <w:locked/>
    <w:rsid w:val="00980B50"/>
    <w:rPr>
      <w:snapToGrid w:val="0"/>
      <w:kern w:val="28"/>
      <w:sz w:val="22"/>
    </w:rPr>
  </w:style>
  <w:style w:type="character" w:styleId="CommentReference">
    <w:name w:val="annotation reference"/>
    <w:rsid w:val="006036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3670"/>
    <w:rPr>
      <w:sz w:val="20"/>
    </w:rPr>
  </w:style>
  <w:style w:type="character" w:customStyle="1" w:styleId="CommentTextChar">
    <w:name w:val="Comment Text Char"/>
    <w:link w:val="CommentText"/>
    <w:rsid w:val="00603670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603670"/>
    <w:rPr>
      <w:b/>
      <w:bCs/>
    </w:rPr>
  </w:style>
  <w:style w:type="character" w:customStyle="1" w:styleId="CommentSubjectChar">
    <w:name w:val="Comment Subject Char"/>
    <w:link w:val="CommentSubject"/>
    <w:rsid w:val="00603670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6036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03670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