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E51BB" w14:paraId="458E93C3" w14:textId="7164B590">
      <w:pPr>
        <w:jc w:val="right"/>
        <w:rPr>
          <w:b/>
          <w:sz w:val="24"/>
        </w:rPr>
      </w:pPr>
      <w:r>
        <w:rPr>
          <w:b/>
          <w:sz w:val="24"/>
        </w:rPr>
        <w:t>DA 20-688</w:t>
      </w:r>
    </w:p>
    <w:p w:rsidR="00013A8B" w:rsidP="00013A8B" w14:paraId="09C779AF" w14:textId="6A89909F">
      <w:pPr>
        <w:spacing w:before="60"/>
        <w:jc w:val="right"/>
        <w:rPr>
          <w:b/>
          <w:sz w:val="24"/>
        </w:rPr>
      </w:pPr>
      <w:r>
        <w:rPr>
          <w:b/>
          <w:sz w:val="24"/>
        </w:rPr>
        <w:t xml:space="preserve">Released:  </w:t>
      </w:r>
      <w:r w:rsidR="000E51BB">
        <w:rPr>
          <w:b/>
          <w:sz w:val="24"/>
        </w:rPr>
        <w:t>June 30, 2020</w:t>
      </w:r>
    </w:p>
    <w:p w:rsidR="000E51BB" w:rsidRPr="00B20363" w:rsidP="00013A8B" w14:paraId="3A7E0B9D" w14:textId="77777777">
      <w:pPr>
        <w:spacing w:before="60"/>
        <w:jc w:val="right"/>
        <w:rPr>
          <w:b/>
          <w:sz w:val="24"/>
        </w:rPr>
      </w:pPr>
    </w:p>
    <w:p w:rsidR="000E51BB" w:rsidRPr="00D02E95" w:rsidP="000E51BB" w14:paraId="669EE6A1" w14:textId="77777777">
      <w:pPr>
        <w:jc w:val="center"/>
        <w:rPr>
          <w:b/>
          <w:sz w:val="24"/>
          <w:szCs w:val="22"/>
        </w:rPr>
      </w:pPr>
      <w:bookmarkStart w:id="0" w:name="TOChere"/>
      <w:bookmarkStart w:id="1" w:name="_Hlk11049217"/>
      <w:r w:rsidRPr="00D02E95">
        <w:rPr>
          <w:b/>
          <w:sz w:val="24"/>
          <w:szCs w:val="22"/>
        </w:rPr>
        <w:t xml:space="preserve">WIRELINE COMPETITION BUREAU ANNOUNCES THE AVAILABILITY </w:t>
      </w:r>
    </w:p>
    <w:p w:rsidR="000E51BB" w:rsidRPr="00D02E95" w:rsidP="000E51BB" w14:paraId="7902A878" w14:textId="77777777">
      <w:pPr>
        <w:jc w:val="center"/>
        <w:rPr>
          <w:b/>
          <w:sz w:val="24"/>
          <w:szCs w:val="22"/>
        </w:rPr>
      </w:pPr>
      <w:r w:rsidRPr="00D02E95">
        <w:rPr>
          <w:b/>
          <w:sz w:val="24"/>
          <w:szCs w:val="22"/>
        </w:rPr>
        <w:t xml:space="preserve">OF UNUSED FUNDS TO INCREASE RURAL HEALTH CARE PROGRAM </w:t>
      </w:r>
    </w:p>
    <w:p w:rsidR="000E51BB" w:rsidRPr="00D02E95" w:rsidP="000E51BB" w14:paraId="7605F8B4" w14:textId="77777777">
      <w:pPr>
        <w:spacing w:after="120"/>
        <w:jc w:val="center"/>
        <w:rPr>
          <w:b/>
          <w:sz w:val="24"/>
          <w:szCs w:val="22"/>
        </w:rPr>
      </w:pPr>
      <w:r w:rsidRPr="00D02E95">
        <w:rPr>
          <w:b/>
          <w:sz w:val="24"/>
          <w:szCs w:val="22"/>
        </w:rPr>
        <w:t>FUNDING FOR FUNDING YEAR 20</w:t>
      </w:r>
      <w:r>
        <w:rPr>
          <w:b/>
          <w:sz w:val="24"/>
          <w:szCs w:val="22"/>
        </w:rPr>
        <w:t>20</w:t>
      </w:r>
      <w:r w:rsidRPr="00D02E95">
        <w:rPr>
          <w:b/>
          <w:sz w:val="24"/>
          <w:szCs w:val="22"/>
        </w:rPr>
        <w:t xml:space="preserve">   </w:t>
      </w:r>
      <w:bookmarkEnd w:id="1"/>
    </w:p>
    <w:p w:rsidR="000E51BB" w:rsidRPr="000E51BB" w:rsidP="000E51BB" w14:paraId="5E230DFF" w14:textId="77777777">
      <w:pPr>
        <w:spacing w:after="120"/>
        <w:jc w:val="center"/>
        <w:rPr>
          <w:b/>
        </w:rPr>
      </w:pPr>
      <w:r w:rsidRPr="000E51BB">
        <w:rPr>
          <w:b/>
        </w:rPr>
        <w:t>WC Docket No. 02-60</w:t>
      </w:r>
    </w:p>
    <w:p w:rsidR="000E51BB" w:rsidRPr="0008529B" w:rsidP="000E51BB" w14:paraId="01DCCC2D" w14:textId="77777777">
      <w:pPr>
        <w:spacing w:after="120"/>
        <w:ind w:firstLine="720"/>
        <w:rPr>
          <w:szCs w:val="22"/>
        </w:rPr>
      </w:pPr>
      <w:r w:rsidRPr="00F5505A">
        <w:rPr>
          <w:szCs w:val="22"/>
        </w:rPr>
        <w:t>In June 2018, the Commission adopted rules to address increasing demand in the Rural Health Care (</w:t>
      </w:r>
      <w:r w:rsidRPr="00F5505A">
        <w:rPr>
          <w:szCs w:val="22"/>
        </w:rPr>
        <w:t>RHC</w:t>
      </w:r>
      <w:r w:rsidRPr="00F5505A">
        <w:rPr>
          <w:szCs w:val="22"/>
        </w:rPr>
        <w:t>) Program.</w:t>
      </w:r>
      <w:r>
        <w:rPr>
          <w:rStyle w:val="FootnoteReference"/>
          <w:szCs w:val="22"/>
        </w:rPr>
        <w:footnoteReference w:id="3"/>
      </w:r>
      <w:r w:rsidRPr="00F5505A">
        <w:rPr>
          <w:szCs w:val="22"/>
        </w:rPr>
        <w:t xml:space="preserve">  Specifically, the Commission: </w:t>
      </w:r>
      <w:r w:rsidRPr="00F5505A">
        <w:t xml:space="preserve">(1) increased the annual </w:t>
      </w:r>
      <w:r w:rsidRPr="00F5505A">
        <w:t>RHC</w:t>
      </w:r>
      <w:r w:rsidRPr="00F5505A">
        <w:t xml:space="preserve"> Program funding cap;</w:t>
      </w:r>
      <w:r>
        <w:rPr>
          <w:rStyle w:val="FootnoteReference"/>
        </w:rPr>
        <w:footnoteReference w:id="4"/>
      </w:r>
      <w:r w:rsidRPr="00F5505A">
        <w:t xml:space="preserve"> (2) provided for the annual </w:t>
      </w:r>
      <w:r w:rsidRPr="00F5505A">
        <w:t>RHC</w:t>
      </w:r>
      <w:r w:rsidRPr="00F5505A">
        <w:t xml:space="preserve"> Program funding cap to be adjusted for inflation;</w:t>
      </w:r>
      <w:r>
        <w:rPr>
          <w:rStyle w:val="FootnoteReference"/>
        </w:rPr>
        <w:footnoteReference w:id="5"/>
      </w:r>
      <w:r w:rsidRPr="00F5505A">
        <w:t xml:space="preserve"> and (3) established a process to carry-forward unused funds from past funding years for use in future funding years.</w:t>
      </w:r>
      <w:r>
        <w:rPr>
          <w:rStyle w:val="FootnoteReference"/>
        </w:rPr>
        <w:footnoteReference w:id="6"/>
      </w:r>
      <w:r w:rsidRPr="00F5505A">
        <w:t xml:space="preserve">  The Commission also directed the </w:t>
      </w:r>
      <w:r w:rsidRPr="00F5505A">
        <w:rPr>
          <w:szCs w:val="22"/>
        </w:rPr>
        <w:t>Wireline Competition Bureau (Bureau) to announce a specific a</w:t>
      </w:r>
      <w:r w:rsidRPr="00F5505A">
        <w:t>mount of unused funds from prior funding years to be carried forward to increase available funding for future funding years.</w:t>
      </w:r>
      <w:r>
        <w:rPr>
          <w:rStyle w:val="FootnoteReference"/>
          <w:szCs w:val="22"/>
        </w:rPr>
        <w:footnoteReference w:id="7"/>
      </w:r>
      <w:r w:rsidRPr="00F5505A">
        <w:rPr>
          <w:szCs w:val="22"/>
        </w:rPr>
        <w:t xml:space="preserve">  In August 2019, the Commission clarified that the Bureau must </w:t>
      </w:r>
      <w:r w:rsidRPr="00F5505A">
        <w:t>determine the proportion of unused funding available in consultation with the Office of the Managing Director.</w:t>
      </w:r>
      <w:r>
        <w:rPr>
          <w:rStyle w:val="FootnoteReference"/>
        </w:rPr>
        <w:footnoteReference w:id="8"/>
      </w:r>
      <w:r w:rsidRPr="00F5505A">
        <w:t xml:space="preserve">  </w:t>
      </w:r>
    </w:p>
    <w:p w:rsidR="000E51BB" w:rsidRPr="00F5505A" w:rsidP="000E51BB" w14:paraId="0E919A57" w14:textId="77777777">
      <w:pPr>
        <w:widowControl/>
        <w:spacing w:after="120"/>
        <w:ind w:firstLine="720"/>
        <w:rPr>
          <w:szCs w:val="22"/>
        </w:rPr>
      </w:pPr>
      <w:r w:rsidRPr="00F5505A">
        <w:rPr>
          <w:szCs w:val="22"/>
        </w:rPr>
        <w:t xml:space="preserve">USAC projects that, as of the third quarter of this calendar year, </w:t>
      </w:r>
      <w:r w:rsidRPr="006B204B">
        <w:rPr>
          <w:szCs w:val="22"/>
        </w:rPr>
        <w:t>$197.98</w:t>
      </w:r>
      <w:r w:rsidRPr="00F5505A">
        <w:rPr>
          <w:szCs w:val="22"/>
        </w:rPr>
        <w:t xml:space="preserve"> million in unused funds is available for use in future funding years beginning in funding year 2020.</w:t>
      </w:r>
      <w:r>
        <w:rPr>
          <w:rStyle w:val="FootnoteReference"/>
          <w:szCs w:val="22"/>
        </w:rPr>
        <w:footnoteReference w:id="9"/>
      </w:r>
      <w:r w:rsidRPr="00F5505A">
        <w:t xml:space="preserve">  </w:t>
      </w:r>
      <w:r w:rsidRPr="00F5505A">
        <w:rPr>
          <w:szCs w:val="22"/>
        </w:rPr>
        <w:t xml:space="preserve">Pursuant to the Commission’s direction and section 54.619(a)(4)-(5) of the Commission’s rules, </w:t>
      </w:r>
      <w:r w:rsidRPr="00F5505A">
        <w:t xml:space="preserve">the Bureau, </w:t>
      </w:r>
      <w:r>
        <w:rPr>
          <w:szCs w:val="22"/>
        </w:rPr>
        <w:t>in</w:t>
      </w:r>
      <w:r w:rsidRPr="00F5505A">
        <w:rPr>
          <w:szCs w:val="22"/>
        </w:rPr>
        <w:t xml:space="preserve"> </w:t>
      </w:r>
      <w:r w:rsidRPr="00F5505A">
        <w:t>consultation with the Office of the Managing Director,</w:t>
      </w:r>
      <w:r w:rsidRPr="00F5505A">
        <w:rPr>
          <w:szCs w:val="22"/>
        </w:rPr>
        <w:t xml:space="preserve"> </w:t>
      </w:r>
      <w:bookmarkStart w:id="3" w:name="_Hlk11049360"/>
      <w:r w:rsidRPr="00F5505A">
        <w:rPr>
          <w:szCs w:val="22"/>
        </w:rPr>
        <w:t>directs USAC to carry</w:t>
      </w:r>
      <w:r>
        <w:rPr>
          <w:szCs w:val="22"/>
        </w:rPr>
        <w:t xml:space="preserve"> </w:t>
      </w:r>
      <w:r w:rsidRPr="00F5505A">
        <w:rPr>
          <w:szCs w:val="22"/>
        </w:rPr>
        <w:t xml:space="preserve">forward </w:t>
      </w:r>
      <w:r>
        <w:rPr>
          <w:szCs w:val="22"/>
        </w:rPr>
        <w:t xml:space="preserve">up to $197.98 million in </w:t>
      </w:r>
      <w:r w:rsidRPr="00F5505A">
        <w:rPr>
          <w:szCs w:val="22"/>
        </w:rPr>
        <w:t xml:space="preserve">unused funds from prior funding years to the extent necessary to satisfy </w:t>
      </w:r>
      <w:r w:rsidRPr="007E4331">
        <w:rPr>
          <w:szCs w:val="22"/>
        </w:rPr>
        <w:t xml:space="preserve">funding year </w:t>
      </w:r>
      <w:r w:rsidRPr="00F5505A">
        <w:rPr>
          <w:szCs w:val="22"/>
        </w:rPr>
        <w:t xml:space="preserve">2020 </w:t>
      </w:r>
      <w:r w:rsidRPr="00F5505A">
        <w:rPr>
          <w:szCs w:val="22"/>
        </w:rPr>
        <w:t>RHC</w:t>
      </w:r>
      <w:r w:rsidRPr="00F5505A">
        <w:rPr>
          <w:szCs w:val="22"/>
        </w:rPr>
        <w:t xml:space="preserve"> Program demand as of the close of the </w:t>
      </w:r>
      <w:bookmarkStart w:id="4" w:name="_Hlk43894538"/>
      <w:r>
        <w:rPr>
          <w:szCs w:val="22"/>
        </w:rPr>
        <w:t>funding year</w:t>
      </w:r>
      <w:r w:rsidRPr="00F5505A">
        <w:rPr>
          <w:szCs w:val="22"/>
        </w:rPr>
        <w:t xml:space="preserve"> </w:t>
      </w:r>
      <w:bookmarkEnd w:id="4"/>
      <w:r w:rsidRPr="00F5505A">
        <w:rPr>
          <w:szCs w:val="22"/>
        </w:rPr>
        <w:t>2020 application filing window on Ju</w:t>
      </w:r>
      <w:bookmarkStart w:id="5" w:name="_GoBack"/>
      <w:bookmarkEnd w:id="5"/>
      <w:r w:rsidRPr="00F5505A">
        <w:rPr>
          <w:szCs w:val="22"/>
        </w:rPr>
        <w:t>ne 30, 20</w:t>
      </w:r>
      <w:bookmarkEnd w:id="3"/>
      <w:r w:rsidRPr="00F5505A">
        <w:rPr>
          <w:szCs w:val="22"/>
        </w:rPr>
        <w:t>20.</w:t>
      </w:r>
      <w:r>
        <w:rPr>
          <w:rStyle w:val="FootnoteReference"/>
          <w:szCs w:val="22"/>
        </w:rPr>
        <w:footnoteReference w:id="10"/>
      </w:r>
      <w:r w:rsidRPr="00F5505A">
        <w:rPr>
          <w:szCs w:val="22"/>
        </w:rPr>
        <w:t xml:space="preserve">  </w:t>
      </w:r>
    </w:p>
    <w:p w:rsidR="000E51BB" w:rsidRPr="00F5505A" w:rsidP="000E51BB" w14:paraId="02DAB3BC" w14:textId="77777777">
      <w:pPr>
        <w:spacing w:after="120"/>
        <w:ind w:firstLine="720"/>
      </w:pPr>
      <w:r w:rsidRPr="00F5505A">
        <w:rPr>
          <w:szCs w:val="22"/>
        </w:rPr>
        <w:t xml:space="preserve">The </w:t>
      </w:r>
      <w:r w:rsidRPr="00F5505A">
        <w:rPr>
          <w:szCs w:val="22"/>
        </w:rPr>
        <w:t>RHC</w:t>
      </w:r>
      <w:r w:rsidRPr="00F5505A">
        <w:rPr>
          <w:szCs w:val="22"/>
        </w:rPr>
        <w:t xml:space="preserve"> Program funding cap for </w:t>
      </w:r>
      <w:r w:rsidRPr="00337A86">
        <w:rPr>
          <w:szCs w:val="22"/>
        </w:rPr>
        <w:t xml:space="preserve">funding year </w:t>
      </w:r>
      <w:r w:rsidRPr="00F5505A">
        <w:rPr>
          <w:szCs w:val="22"/>
        </w:rPr>
        <w:t>2020 is $604,759,306.</w:t>
      </w:r>
      <w:r>
        <w:rPr>
          <w:rStyle w:val="FootnoteReference"/>
          <w:szCs w:val="22"/>
        </w:rPr>
        <w:footnoteReference w:id="11"/>
      </w:r>
      <w:r w:rsidRPr="00F5505A">
        <w:rPr>
          <w:szCs w:val="22"/>
        </w:rPr>
        <w:t xml:space="preserve">  The cap for </w:t>
      </w:r>
      <w:r w:rsidRPr="00F5505A">
        <w:t>upfront payments and multi-year commitments under the Healthcare Connect Fund Program</w:t>
      </w:r>
      <w:r w:rsidRPr="00F5505A">
        <w:rPr>
          <w:szCs w:val="22"/>
        </w:rPr>
        <w:t xml:space="preserve"> is $152,700,000.</w:t>
      </w:r>
      <w:r>
        <w:rPr>
          <w:rStyle w:val="FootnoteReference"/>
          <w:szCs w:val="22"/>
        </w:rPr>
        <w:footnoteReference w:id="12"/>
      </w:r>
      <w:r w:rsidRPr="00F5505A">
        <w:rPr>
          <w:szCs w:val="22"/>
        </w:rPr>
        <w:t xml:space="preserve">  These </w:t>
      </w:r>
      <w:r w:rsidRPr="00337A86">
        <w:rPr>
          <w:szCs w:val="22"/>
        </w:rPr>
        <w:t xml:space="preserve">funding year </w:t>
      </w:r>
      <w:r w:rsidRPr="00F5505A">
        <w:rPr>
          <w:szCs w:val="22"/>
        </w:rPr>
        <w:t xml:space="preserve">2020 caps represent a 1.8% inflation-adjusted increase </w:t>
      </w:r>
      <w:r>
        <w:rPr>
          <w:szCs w:val="22"/>
        </w:rPr>
        <w:t>to</w:t>
      </w:r>
      <w:r w:rsidRPr="00F5505A">
        <w:rPr>
          <w:szCs w:val="22"/>
        </w:rPr>
        <w:t xml:space="preserve"> the </w:t>
      </w:r>
      <w:r w:rsidRPr="00F5505A">
        <w:rPr>
          <w:szCs w:val="22"/>
        </w:rPr>
        <w:t>RHC</w:t>
      </w:r>
      <w:r w:rsidRPr="00F5505A">
        <w:rPr>
          <w:szCs w:val="22"/>
        </w:rPr>
        <w:t xml:space="preserve"> Program funding cap and the cap </w:t>
      </w:r>
      <w:r w:rsidRPr="00F5505A">
        <w:t xml:space="preserve">on multi-year commitments and upfront payments </w:t>
      </w:r>
      <w:r w:rsidRPr="00F5505A">
        <w:rPr>
          <w:szCs w:val="22"/>
        </w:rPr>
        <w:t xml:space="preserve">from </w:t>
      </w:r>
      <w:r>
        <w:rPr>
          <w:szCs w:val="22"/>
        </w:rPr>
        <w:t>funding year</w:t>
      </w:r>
      <w:r w:rsidRPr="00F5505A">
        <w:rPr>
          <w:szCs w:val="22"/>
        </w:rPr>
        <w:t xml:space="preserve"> 2019.</w:t>
      </w:r>
      <w:r>
        <w:rPr>
          <w:rStyle w:val="FootnoteReference"/>
          <w:szCs w:val="22"/>
        </w:rPr>
        <w:footnoteReference w:id="13"/>
      </w:r>
    </w:p>
    <w:p w:rsidR="000E51BB" w:rsidRPr="00F5505A" w:rsidP="000E51BB" w14:paraId="1B2DD94A" w14:textId="77777777">
      <w:pPr>
        <w:pStyle w:val="ParaNum"/>
        <w:numPr>
          <w:ilvl w:val="0"/>
          <w:numId w:val="0"/>
        </w:numPr>
        <w:ind w:firstLine="720"/>
      </w:pPr>
      <w:r w:rsidRPr="00F5505A">
        <w:t xml:space="preserve">For further information, please contact Bryan P. Boyle, Wireline Competition Bureau at (202) 418-7924 or via email at </w:t>
      </w:r>
      <w:hyperlink r:id="rId5" w:history="1">
        <w:r w:rsidRPr="00A70C02">
          <w:rPr>
            <w:rStyle w:val="Hyperlink"/>
            <w:snapToGrid/>
            <w:kern w:val="0"/>
            <w:szCs w:val="22"/>
          </w:rPr>
          <w:t>Bryan.Boyle@fcc.gov</w:t>
        </w:r>
      </w:hyperlink>
      <w:r w:rsidRPr="00F5505A">
        <w:t xml:space="preserve">. </w:t>
      </w:r>
    </w:p>
    <w:p w:rsidR="000E51BB" w:rsidP="000E51BB" w14:paraId="48F5A2E2" w14:textId="77777777">
      <w:pPr>
        <w:pStyle w:val="Paranum0"/>
        <w:keepNext/>
        <w:keepLines/>
        <w:widowControl/>
        <w:numPr>
          <w:ilvl w:val="0"/>
          <w:numId w:val="0"/>
        </w:numPr>
        <w:spacing w:after="0"/>
        <w:jc w:val="center"/>
        <w:rPr>
          <w:sz w:val="24"/>
        </w:rPr>
      </w:pPr>
      <w:r>
        <w:rPr>
          <w:b/>
        </w:rPr>
        <w:t>- FCC -</w:t>
      </w:r>
    </w:p>
    <w:p w:rsidR="000E51BB" w:rsidP="000E51BB" w14:paraId="12768F06" w14:textId="77777777">
      <w:pPr>
        <w:spacing w:after="120"/>
        <w:rPr>
          <w:sz w:val="24"/>
        </w:rPr>
      </w:pPr>
    </w:p>
    <w:p w:rsidR="000E51BB" w:rsidRPr="00930ECF" w:rsidP="000E51BB" w14:paraId="69598144" w14:textId="77777777">
      <w:pPr>
        <w:rPr>
          <w:sz w:val="24"/>
        </w:rPr>
      </w:pPr>
    </w:p>
    <w:p w:rsidR="000E51BB" w:rsidP="000E51BB" w14:paraId="29C0EE5D" w14:textId="77777777">
      <w:pPr>
        <w:rPr>
          <w:sz w:val="24"/>
        </w:rPr>
      </w:pPr>
    </w:p>
    <w:p w:rsidR="000E51BB" w:rsidRPr="00930ECF" w:rsidP="000E51BB" w14:paraId="69852566" w14:textId="77777777">
      <w:pPr>
        <w:rPr>
          <w:sz w:val="24"/>
        </w:rPr>
      </w:pPr>
    </w:p>
    <w:p w:rsidR="00F96F63" w:rsidRPr="00930ECF" w:rsidP="00F96F63" w14:paraId="4AA76317" w14:textId="77777777">
      <w:pPr>
        <w:rPr>
          <w:sz w:val="24"/>
        </w:rPr>
      </w:pPr>
    </w:p>
    <w:bookmarkEnd w:id="0"/>
    <w:p w:rsidR="00F96F63" w:rsidP="00F96F63" w14:paraId="12914A3E" w14:textId="77777777">
      <w:pPr>
        <w:rPr>
          <w:sz w:val="24"/>
        </w:rPr>
      </w:pPr>
    </w:p>
    <w:p w:rsidR="00930ECF" w:rsidRPr="00930ECF" w:rsidP="00F96F63" w14:paraId="6AD9DAAD"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AA88A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E73B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46873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12A5D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1BB" w14:paraId="42A71ADB" w14:textId="77777777">
      <w:r>
        <w:separator/>
      </w:r>
    </w:p>
  </w:footnote>
  <w:footnote w:type="continuationSeparator" w:id="1">
    <w:p w:rsidR="000E51BB" w14:paraId="59473D13" w14:textId="77777777">
      <w:pPr>
        <w:rPr>
          <w:sz w:val="20"/>
        </w:rPr>
      </w:pPr>
      <w:r>
        <w:rPr>
          <w:sz w:val="20"/>
        </w:rPr>
        <w:t xml:space="preserve">(Continued from previous page)  </w:t>
      </w:r>
      <w:r>
        <w:rPr>
          <w:sz w:val="20"/>
        </w:rPr>
        <w:separator/>
      </w:r>
    </w:p>
  </w:footnote>
  <w:footnote w:type="continuationNotice" w:id="2">
    <w:p w:rsidR="000E51BB" w:rsidP="00910F12" w14:paraId="788016D9" w14:textId="77777777">
      <w:pPr>
        <w:jc w:val="right"/>
        <w:rPr>
          <w:sz w:val="20"/>
        </w:rPr>
      </w:pPr>
      <w:r>
        <w:rPr>
          <w:sz w:val="20"/>
        </w:rPr>
        <w:t>(continued….)</w:t>
      </w:r>
    </w:p>
  </w:footnote>
  <w:footnote w:id="3">
    <w:p w:rsidR="000E51BB" w:rsidRPr="001A3348" w:rsidP="000E51BB" w14:paraId="33F89C10" w14:textId="77777777">
      <w:pPr>
        <w:pStyle w:val="FootnoteText"/>
      </w:pPr>
      <w:r w:rsidRPr="001A3348">
        <w:rPr>
          <w:rStyle w:val="FootnoteReference"/>
        </w:rPr>
        <w:footnoteRef/>
      </w:r>
      <w:r w:rsidRPr="001A3348">
        <w:t xml:space="preserve"> </w:t>
      </w:r>
      <w:r w:rsidRPr="001A3348">
        <w:rPr>
          <w:i/>
          <w:spacing w:val="-2"/>
          <w:lang w:val="sv-SE"/>
        </w:rPr>
        <w:t>Promoting Telehealth In Rural America</w:t>
      </w:r>
      <w:r w:rsidRPr="001A3348">
        <w:rPr>
          <w:spacing w:val="-2"/>
          <w:lang w:val="sv-SE"/>
        </w:rPr>
        <w:t xml:space="preserve">, WC Docket No. 17-310, </w:t>
      </w:r>
      <w:r w:rsidRPr="001A3348">
        <w:t>Report and Order</w:t>
      </w:r>
      <w:r w:rsidRPr="001A3348">
        <w:rPr>
          <w:spacing w:val="-2"/>
          <w:lang w:val="sv-SE"/>
        </w:rPr>
        <w:t xml:space="preserve">, 33 FCC Rcd 6574 (2018) </w:t>
      </w:r>
      <w:r w:rsidRPr="001A3348">
        <w:t>(</w:t>
      </w:r>
      <w:bookmarkStart w:id="2" w:name="_Hlk2331285"/>
      <w:r w:rsidRPr="001A3348">
        <w:rPr>
          <w:i/>
          <w:spacing w:val="-2"/>
          <w:lang w:val="sv-SE"/>
        </w:rPr>
        <w:t>RHC Program Funding Cap Order</w:t>
      </w:r>
      <w:bookmarkEnd w:id="2"/>
      <w:r w:rsidRPr="001A3348">
        <w:t>)</w:t>
      </w:r>
      <w:r w:rsidRPr="001A3348">
        <w:rPr>
          <w:spacing w:val="-2"/>
          <w:lang w:val="sv-SE"/>
        </w:rPr>
        <w:t>.</w:t>
      </w:r>
    </w:p>
  </w:footnote>
  <w:footnote w:id="4">
    <w:p w:rsidR="000E51BB" w:rsidRPr="001A3348" w:rsidP="000E51BB" w14:paraId="6387DBC4" w14:textId="77777777">
      <w:pPr>
        <w:pStyle w:val="FootnoteText"/>
      </w:pPr>
      <w:r w:rsidRPr="001A3348">
        <w:rPr>
          <w:rStyle w:val="FootnoteReference"/>
        </w:rPr>
        <w:footnoteRef/>
      </w:r>
      <w:r w:rsidRPr="001A3348">
        <w:t xml:space="preserve"> </w:t>
      </w:r>
      <w:r w:rsidRPr="001A3348">
        <w:rPr>
          <w:i/>
          <w:iCs/>
        </w:rPr>
        <w:t>See id.</w:t>
      </w:r>
      <w:r w:rsidRPr="001A3348">
        <w:t xml:space="preserve"> at 6578-82, paras. 10-19; </w:t>
      </w:r>
      <w:r w:rsidRPr="001A3348">
        <w:rPr>
          <w:i/>
          <w:iCs/>
        </w:rPr>
        <w:t>see also</w:t>
      </w:r>
      <w:r w:rsidRPr="001A3348">
        <w:t xml:space="preserve"> 47 CFR § 54.619(a).</w:t>
      </w:r>
    </w:p>
  </w:footnote>
  <w:footnote w:id="5">
    <w:p w:rsidR="000E51BB" w:rsidRPr="001A3348" w:rsidP="000E51BB" w14:paraId="6E06D2C1" w14:textId="77777777">
      <w:pPr>
        <w:pStyle w:val="FootnoteText"/>
      </w:pPr>
      <w:r w:rsidRPr="001A3348">
        <w:rPr>
          <w:rStyle w:val="FootnoteReference"/>
        </w:rPr>
        <w:footnoteRef/>
      </w:r>
      <w:r w:rsidRPr="001A3348">
        <w:t xml:space="preserve"> </w:t>
      </w:r>
      <w:r w:rsidRPr="001A3348">
        <w:rPr>
          <w:i/>
          <w:iCs/>
        </w:rPr>
        <w:t xml:space="preserve">See </w:t>
      </w:r>
      <w:r w:rsidRPr="001A3348">
        <w:rPr>
          <w:i/>
          <w:spacing w:val="-2"/>
          <w:lang w:val="sv-SE"/>
        </w:rPr>
        <w:t>RHC Program Funding Cap Order</w:t>
      </w:r>
      <w:r w:rsidRPr="001A3348">
        <w:t xml:space="preserve">, 33 FCC Rcd at 6582-84, paras. 20-23; </w:t>
      </w:r>
      <w:r w:rsidRPr="001A3348">
        <w:rPr>
          <w:i/>
          <w:iCs/>
        </w:rPr>
        <w:t>see also</w:t>
      </w:r>
      <w:r w:rsidRPr="001A3348">
        <w:t xml:space="preserve"> 47 CFR § 54.619(a)(1)-(2).</w:t>
      </w:r>
    </w:p>
  </w:footnote>
  <w:footnote w:id="6">
    <w:p w:rsidR="000E51BB" w:rsidRPr="001A3348" w:rsidP="000E51BB" w14:paraId="16D02D2D" w14:textId="77777777">
      <w:pPr>
        <w:pStyle w:val="FootnoteText"/>
      </w:pPr>
      <w:r w:rsidRPr="001A3348">
        <w:rPr>
          <w:rStyle w:val="FootnoteReference"/>
        </w:rPr>
        <w:footnoteRef/>
      </w:r>
      <w:r w:rsidRPr="001A3348">
        <w:t xml:space="preserve"> </w:t>
      </w:r>
      <w:r w:rsidRPr="001A3348">
        <w:rPr>
          <w:i/>
          <w:iCs/>
        </w:rPr>
        <w:t xml:space="preserve">See </w:t>
      </w:r>
      <w:r w:rsidRPr="001A3348">
        <w:rPr>
          <w:i/>
          <w:spacing w:val="-2"/>
          <w:lang w:val="sv-SE"/>
        </w:rPr>
        <w:t>RHC Program Funding Cap Order</w:t>
      </w:r>
      <w:r w:rsidRPr="001A3348">
        <w:t>, 33 FCC Rcd</w:t>
      </w:r>
      <w:r w:rsidRPr="001A3348">
        <w:rPr>
          <w:i/>
          <w:iCs/>
        </w:rPr>
        <w:t xml:space="preserve"> </w:t>
      </w:r>
      <w:r w:rsidRPr="001A3348">
        <w:t xml:space="preserve">at 6584-85, paras. 24-28; </w:t>
      </w:r>
      <w:r w:rsidRPr="001A3348">
        <w:rPr>
          <w:i/>
          <w:iCs/>
        </w:rPr>
        <w:t>see also</w:t>
      </w:r>
      <w:r w:rsidRPr="001A3348">
        <w:t xml:space="preserve"> 47 CFR § 54.619(a)(4)-(5). </w:t>
      </w:r>
    </w:p>
  </w:footnote>
  <w:footnote w:id="7">
    <w:p w:rsidR="000E51BB" w:rsidRPr="001A3348" w:rsidP="000E51BB" w14:paraId="4B61E2F3" w14:textId="77777777">
      <w:pPr>
        <w:pStyle w:val="FootnoteText"/>
      </w:pPr>
      <w:r w:rsidRPr="001A3348">
        <w:rPr>
          <w:rStyle w:val="FootnoteReference"/>
        </w:rPr>
        <w:footnoteRef/>
      </w:r>
      <w:r w:rsidRPr="001A3348">
        <w:t xml:space="preserve"> </w:t>
      </w:r>
      <w:r w:rsidRPr="001A3348">
        <w:rPr>
          <w:i/>
        </w:rPr>
        <w:t xml:space="preserve">2018 </w:t>
      </w:r>
      <w:r w:rsidRPr="001A3348">
        <w:rPr>
          <w:i/>
          <w:spacing w:val="-2"/>
          <w:lang w:val="sv-SE"/>
        </w:rPr>
        <w:t>RHC Program Funding Cap Order</w:t>
      </w:r>
      <w:r w:rsidRPr="001A3348">
        <w:t>, 33 FCC Rcd</w:t>
      </w:r>
      <w:r w:rsidRPr="001A3348">
        <w:rPr>
          <w:iCs/>
        </w:rPr>
        <w:t xml:space="preserve"> at</w:t>
      </w:r>
      <w:r w:rsidRPr="001A3348">
        <w:rPr>
          <w:spacing w:val="-2"/>
          <w:lang w:val="sv-SE"/>
        </w:rPr>
        <w:t xml:space="preserve"> 6584-85, para. </w:t>
      </w:r>
      <w:r w:rsidRPr="001A3348">
        <w:rPr>
          <w:spacing w:val="-2"/>
          <w:lang w:val="sv-SE"/>
        </w:rPr>
        <w:t>27 (</w:t>
      </w:r>
      <w:r w:rsidRPr="001A3348">
        <w:t>“</w:t>
      </w:r>
      <w:r w:rsidRPr="001A3348">
        <w:rPr>
          <w:spacing w:val="-2"/>
          <w:lang w:val="sv-SE"/>
        </w:rPr>
        <w:t xml:space="preserve">The Bureau will announce the availability and amount of carryover funds during the second quarter of the calendar year.”); </w:t>
      </w:r>
      <w:r w:rsidRPr="001A3348">
        <w:t xml:space="preserve">47 CFR § 54.619(a)(5).   </w:t>
      </w:r>
    </w:p>
  </w:footnote>
  <w:footnote w:id="8">
    <w:p w:rsidR="000E51BB" w:rsidRPr="001A3348" w:rsidP="000E51BB" w14:paraId="054C68AF" w14:textId="77777777">
      <w:pPr>
        <w:pStyle w:val="FootnoteText"/>
      </w:pPr>
      <w:r w:rsidRPr="001A3348">
        <w:rPr>
          <w:rStyle w:val="FootnoteReference"/>
        </w:rPr>
        <w:footnoteRef/>
      </w:r>
      <w:r w:rsidRPr="001A3348">
        <w:t xml:space="preserve"> </w:t>
      </w:r>
      <w:r w:rsidRPr="001A3348">
        <w:rPr>
          <w:i/>
        </w:rPr>
        <w:t>Promoting Telehealth in Rural America</w:t>
      </w:r>
      <w:r w:rsidRPr="001A3348">
        <w:t xml:space="preserve">, WC Docket 17-310, Report and Order, 34 FCC Rcd 7335, 7402, para. 142 (2019); 47 CFR § 54.619(a)(5).   </w:t>
      </w:r>
    </w:p>
  </w:footnote>
  <w:footnote w:id="9">
    <w:p w:rsidR="000E51BB" w:rsidRPr="0092050C" w:rsidP="000E51BB" w14:paraId="5F58C455" w14:textId="77777777">
      <w:pPr>
        <w:pStyle w:val="FootnoteText"/>
      </w:pPr>
      <w:r w:rsidRPr="001A3348">
        <w:rPr>
          <w:rStyle w:val="FootnoteReference"/>
        </w:rPr>
        <w:footnoteRef/>
      </w:r>
      <w:r w:rsidRPr="001A3348">
        <w:t xml:space="preserve"> </w:t>
      </w:r>
      <w:r w:rsidRPr="001A3348">
        <w:rPr>
          <w:i/>
        </w:rPr>
        <w:t>See</w:t>
      </w:r>
      <w:r w:rsidRPr="001A3348">
        <w:t xml:space="preserve"> </w:t>
      </w:r>
      <w:r w:rsidRPr="001E0C67">
        <w:t xml:space="preserve">USAC, Federal Universal Service Support Mechanisms Fund Size Projections for Third Quarter 2020 (May 1, 2020), </w:t>
      </w:r>
      <w:hyperlink r:id="rId1" w:history="1">
        <w:r w:rsidRPr="001F7F31">
          <w:rPr>
            <w:rStyle w:val="Hyperlink"/>
          </w:rPr>
          <w:t>https://www.usac.org/wp-content/uploads/about/documents/fcc-filings/2020/third-quarter/financials/USAC-3Q2020-Federal-Universal-Service-Mechanism-Quarterly-Demand-Filing_Final.pdf</w:t>
        </w:r>
      </w:hyperlink>
      <w:r>
        <w:t xml:space="preserve"> (</w:t>
      </w:r>
      <w:r w:rsidRPr="001E0C67">
        <w:t xml:space="preserve">last visited June </w:t>
      </w:r>
      <w:r>
        <w:t>30</w:t>
      </w:r>
      <w:r w:rsidRPr="001E0C67">
        <w:t xml:space="preserve">, 2020), at 25.  </w:t>
      </w:r>
      <w:r>
        <w:t>The amount of unused funding may fluctuate slightly due to the resolution of pending funding requests and appeals.</w:t>
      </w:r>
      <w:r w:rsidRPr="001E0C67">
        <w:t xml:space="preserve">  If the actual amount of unused funds is lower than the estimated amount, USAC is directed to carry forward the lower amount.</w:t>
      </w:r>
    </w:p>
  </w:footnote>
  <w:footnote w:id="10">
    <w:p w:rsidR="000E51BB" w:rsidRPr="001A3348" w:rsidP="000E51BB" w14:paraId="6B70EB02" w14:textId="413B5E31">
      <w:pPr>
        <w:pStyle w:val="FootnoteText"/>
      </w:pPr>
      <w:r w:rsidRPr="001A3348">
        <w:rPr>
          <w:rStyle w:val="FootnoteReference"/>
        </w:rPr>
        <w:footnoteRef/>
      </w:r>
      <w:r w:rsidRPr="001A3348">
        <w:t xml:space="preserve"> 47 CFR § 54.619(a)(4)-(5).</w:t>
      </w:r>
      <w:r w:rsidR="00AC17F1">
        <w:t xml:space="preserve">  </w:t>
      </w:r>
      <w:r w:rsidRPr="001A3348">
        <w:t xml:space="preserve">The </w:t>
      </w:r>
      <w:r>
        <w:rPr>
          <w:szCs w:val="22"/>
        </w:rPr>
        <w:t>funding year</w:t>
      </w:r>
      <w:r w:rsidRPr="001A3348">
        <w:rPr>
          <w:szCs w:val="22"/>
        </w:rPr>
        <w:t xml:space="preserve"> 2020 application filing window </w:t>
      </w:r>
      <w:r>
        <w:rPr>
          <w:szCs w:val="22"/>
        </w:rPr>
        <w:t>was</w:t>
      </w:r>
      <w:r w:rsidRPr="001A3348">
        <w:rPr>
          <w:szCs w:val="22"/>
        </w:rPr>
        <w:t xml:space="preserve"> extended to June 30, 2020 to </w:t>
      </w:r>
      <w:r w:rsidRPr="001A3348">
        <w:t xml:space="preserve">minimize the disruptions caused by the COVID-19 pandemic. </w:t>
      </w:r>
      <w:r w:rsidRPr="00AC17F1">
        <w:rPr>
          <w:i/>
          <w:iCs/>
        </w:rPr>
        <w:t>See</w:t>
      </w:r>
      <w:r w:rsidRPr="001A3348">
        <w:t xml:space="preserve"> </w:t>
      </w:r>
      <w:r w:rsidRPr="001A3348">
        <w:rPr>
          <w:i/>
        </w:rPr>
        <w:t>Rural Health Care Support Mechanism</w:t>
      </w:r>
      <w:r w:rsidRPr="001A3348">
        <w:t xml:space="preserve">, WC Docket No. 02-60, Order, 35 FCC Rcd 2922, 2924, para. 6 (2020). </w:t>
      </w:r>
    </w:p>
  </w:footnote>
  <w:footnote w:id="11">
    <w:p w:rsidR="000E51BB" w:rsidRPr="001A3348" w:rsidP="000E51BB" w14:paraId="65F4AEC6" w14:textId="3DBDECA9">
      <w:pPr>
        <w:pStyle w:val="FootnoteText"/>
      </w:pPr>
      <w:r w:rsidRPr="001A3348">
        <w:rPr>
          <w:rStyle w:val="FootnoteReference"/>
        </w:rPr>
        <w:footnoteRef/>
      </w:r>
      <w:r w:rsidRPr="001A3348">
        <w:t xml:space="preserve"> </w:t>
      </w:r>
      <w:r w:rsidRPr="001A3348">
        <w:rPr>
          <w:i/>
        </w:rPr>
        <w:t xml:space="preserve">Wireline Competition Bureau Announces E-Rate and </w:t>
      </w:r>
      <w:r w:rsidRPr="001A3348">
        <w:rPr>
          <w:i/>
        </w:rPr>
        <w:t>RHC</w:t>
      </w:r>
      <w:r w:rsidRPr="001A3348">
        <w:rPr>
          <w:i/>
        </w:rPr>
        <w:t xml:space="preserve"> Programs’ Inflation-Based Caps for Funding Year 2020</w:t>
      </w:r>
      <w:r w:rsidRPr="001A3348">
        <w:t>, CC Docket No. 02-6, WC Docket No. 02-60, Public Notice, 35 FCC Rcd 2062, 2063 (WCB 2020).</w:t>
      </w:r>
      <w:r w:rsidR="00AC17F1">
        <w:t xml:space="preserve">  </w:t>
      </w:r>
      <w:r w:rsidRPr="001A3348">
        <w:t>The 2020 funding year runs from July 1, 2020 to June 30, 2021.</w:t>
      </w:r>
    </w:p>
  </w:footnote>
  <w:footnote w:id="12">
    <w:p w:rsidR="000E51BB" w:rsidRPr="001A3348" w:rsidP="000E51BB" w14:paraId="76E1D64A" w14:textId="77777777">
      <w:pPr>
        <w:pStyle w:val="FootnoteText"/>
      </w:pPr>
      <w:r w:rsidRPr="001A3348">
        <w:rPr>
          <w:rStyle w:val="FootnoteReference"/>
        </w:rPr>
        <w:footnoteRef/>
      </w:r>
      <w:r w:rsidRPr="001A3348">
        <w:t xml:space="preserve"> </w:t>
      </w:r>
      <w:r w:rsidRPr="001A3348">
        <w:rPr>
          <w:i/>
        </w:rPr>
        <w:t>Id</w:t>
      </w:r>
      <w:r w:rsidRPr="001A3348">
        <w:t>.</w:t>
      </w:r>
    </w:p>
  </w:footnote>
  <w:footnote w:id="13">
    <w:p w:rsidR="000E51BB" w:rsidRPr="001A3348" w:rsidP="000E51BB" w14:paraId="50E6D875" w14:textId="77777777">
      <w:pPr>
        <w:pStyle w:val="FootnoteText"/>
      </w:pPr>
      <w:r w:rsidRPr="001A3348">
        <w:rPr>
          <w:rStyle w:val="FootnoteReference"/>
        </w:rPr>
        <w:footnoteRef/>
      </w:r>
      <w:r w:rsidRPr="001A3348">
        <w:t xml:space="preserve"> </w:t>
      </w:r>
      <w:r w:rsidRPr="001A3348">
        <w:rPr>
          <w:i/>
        </w:rPr>
        <w:t>Id</w:t>
      </w:r>
      <w:r w:rsidRPr="001A33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AAC310" w14:textId="597366A9">
    <w:pPr>
      <w:tabs>
        <w:tab w:val="center" w:pos="4680"/>
        <w:tab w:val="right" w:pos="9360"/>
      </w:tabs>
    </w:pPr>
    <w:r w:rsidRPr="009838BC">
      <w:rPr>
        <w:b/>
      </w:rPr>
      <w:tab/>
      <w:t>Federal Communications Commission</w:t>
    </w:r>
    <w:r w:rsidRPr="009838BC">
      <w:rPr>
        <w:b/>
      </w:rPr>
      <w:tab/>
    </w:r>
    <w:r w:rsidR="00B25022">
      <w:rPr>
        <w:b/>
      </w:rPr>
      <w:t>DA 20-688</w:t>
    </w:r>
  </w:p>
  <w:p w:rsidR="009838BC" w:rsidRPr="009838BC" w:rsidP="009838BC" w14:paraId="200A18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E6A127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71D96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6ABCFF9" w14:textId="77777777">
                <w:pPr>
                  <w:rPr>
                    <w:rFonts w:ascii="Arial" w:hAnsi="Arial"/>
                    <w:b/>
                  </w:rPr>
                </w:pPr>
                <w:r>
                  <w:rPr>
                    <w:rFonts w:ascii="Arial" w:hAnsi="Arial"/>
                    <w:b/>
                  </w:rPr>
                  <w:t>Federal Communications Commission</w:t>
                </w:r>
              </w:p>
              <w:p w:rsidR="009838BC" w:rsidP="009838BC" w14:paraId="6856757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7E6748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9AD828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7AD9F93" w14:textId="77777777">
                <w:pPr>
                  <w:spacing w:before="40"/>
                  <w:jc w:val="right"/>
                  <w:rPr>
                    <w:rFonts w:ascii="Arial" w:hAnsi="Arial"/>
                    <w:b/>
                    <w:sz w:val="16"/>
                  </w:rPr>
                </w:pPr>
                <w:r>
                  <w:rPr>
                    <w:rFonts w:ascii="Arial" w:hAnsi="Arial"/>
                    <w:b/>
                    <w:sz w:val="16"/>
                  </w:rPr>
                  <w:t>News Media Information 202 / 418-0500</w:t>
                </w:r>
              </w:p>
              <w:p w:rsidR="009838BC" w:rsidP="009838BC" w14:paraId="5ACFC9EE"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70828F4B" w14:textId="77777777">
                <w:pPr>
                  <w:jc w:val="right"/>
                </w:pPr>
                <w:r>
                  <w:rPr>
                    <w:rFonts w:ascii="Arial" w:hAnsi="Arial"/>
                    <w:b/>
                    <w:sz w:val="16"/>
                  </w:rPr>
                  <w:t>TTY: 1-888-835-5322</w:t>
                </w:r>
              </w:p>
            </w:txbxContent>
          </v:textbox>
        </v:shape>
      </w:pict>
    </w:r>
  </w:p>
  <w:p w:rsidR="006F7393" w:rsidRPr="009838BC" w:rsidP="009838BC" w14:paraId="007668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BB"/>
    <w:rsid w:val="000072CE"/>
    <w:rsid w:val="00013A8B"/>
    <w:rsid w:val="00021445"/>
    <w:rsid w:val="00036039"/>
    <w:rsid w:val="00037F90"/>
    <w:rsid w:val="0008529B"/>
    <w:rsid w:val="000875BF"/>
    <w:rsid w:val="00096D8C"/>
    <w:rsid w:val="000C0B65"/>
    <w:rsid w:val="000E3D42"/>
    <w:rsid w:val="000E51BB"/>
    <w:rsid w:val="000E5884"/>
    <w:rsid w:val="00122BD5"/>
    <w:rsid w:val="001979D9"/>
    <w:rsid w:val="001A3348"/>
    <w:rsid w:val="001D6BCF"/>
    <w:rsid w:val="001E01CA"/>
    <w:rsid w:val="001E0C67"/>
    <w:rsid w:val="001F7F31"/>
    <w:rsid w:val="002060D9"/>
    <w:rsid w:val="00226822"/>
    <w:rsid w:val="00260594"/>
    <w:rsid w:val="00285017"/>
    <w:rsid w:val="002A2D2E"/>
    <w:rsid w:val="00337A86"/>
    <w:rsid w:val="00343749"/>
    <w:rsid w:val="00357D50"/>
    <w:rsid w:val="003925DC"/>
    <w:rsid w:val="003B0550"/>
    <w:rsid w:val="003B694F"/>
    <w:rsid w:val="003F171C"/>
    <w:rsid w:val="00412FC5"/>
    <w:rsid w:val="00422276"/>
    <w:rsid w:val="004242F1"/>
    <w:rsid w:val="00445A00"/>
    <w:rsid w:val="00451B0F"/>
    <w:rsid w:val="00454B78"/>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204B"/>
    <w:rsid w:val="006E26AF"/>
    <w:rsid w:val="006F7393"/>
    <w:rsid w:val="0070224F"/>
    <w:rsid w:val="007115F7"/>
    <w:rsid w:val="00785689"/>
    <w:rsid w:val="0079754B"/>
    <w:rsid w:val="007A1E6D"/>
    <w:rsid w:val="007E4331"/>
    <w:rsid w:val="00822CE0"/>
    <w:rsid w:val="00837C62"/>
    <w:rsid w:val="00841AB1"/>
    <w:rsid w:val="008C22FD"/>
    <w:rsid w:val="00910F12"/>
    <w:rsid w:val="0092050C"/>
    <w:rsid w:val="00926503"/>
    <w:rsid w:val="00930ECF"/>
    <w:rsid w:val="009838BC"/>
    <w:rsid w:val="00A45F4F"/>
    <w:rsid w:val="00A600A9"/>
    <w:rsid w:val="00A70C02"/>
    <w:rsid w:val="00A866AC"/>
    <w:rsid w:val="00AA55B7"/>
    <w:rsid w:val="00AA5B9E"/>
    <w:rsid w:val="00AB2407"/>
    <w:rsid w:val="00AB53DF"/>
    <w:rsid w:val="00AC17F1"/>
    <w:rsid w:val="00B07E5C"/>
    <w:rsid w:val="00B20363"/>
    <w:rsid w:val="00B25022"/>
    <w:rsid w:val="00B326E3"/>
    <w:rsid w:val="00B811F7"/>
    <w:rsid w:val="00BA5DC6"/>
    <w:rsid w:val="00BA6196"/>
    <w:rsid w:val="00BC6D8C"/>
    <w:rsid w:val="00C16AF2"/>
    <w:rsid w:val="00C34006"/>
    <w:rsid w:val="00C426B1"/>
    <w:rsid w:val="00C82B6B"/>
    <w:rsid w:val="00C90D6A"/>
    <w:rsid w:val="00CC72B6"/>
    <w:rsid w:val="00D0218D"/>
    <w:rsid w:val="00D02E95"/>
    <w:rsid w:val="00D216CD"/>
    <w:rsid w:val="00DA2529"/>
    <w:rsid w:val="00DB130A"/>
    <w:rsid w:val="00DC10A1"/>
    <w:rsid w:val="00DC655F"/>
    <w:rsid w:val="00DD7EBD"/>
    <w:rsid w:val="00DF62B6"/>
    <w:rsid w:val="00E07225"/>
    <w:rsid w:val="00E155B7"/>
    <w:rsid w:val="00E5409F"/>
    <w:rsid w:val="00EC0185"/>
    <w:rsid w:val="00F021FA"/>
    <w:rsid w:val="00F5505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9C94530-A7FE-4E7C-A725-361086A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78"/>
    <w:pPr>
      <w:widowControl w:val="0"/>
    </w:pPr>
    <w:rPr>
      <w:snapToGrid w:val="0"/>
      <w:kern w:val="28"/>
      <w:sz w:val="22"/>
    </w:rPr>
  </w:style>
  <w:style w:type="paragraph" w:styleId="Heading1">
    <w:name w:val="heading 1"/>
    <w:basedOn w:val="Normal"/>
    <w:next w:val="ParaNum"/>
    <w:qFormat/>
    <w:rsid w:val="00454B7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4B78"/>
    <w:pPr>
      <w:keepNext/>
      <w:numPr>
        <w:ilvl w:val="1"/>
        <w:numId w:val="3"/>
      </w:numPr>
      <w:spacing w:after="120"/>
      <w:outlineLvl w:val="1"/>
    </w:pPr>
    <w:rPr>
      <w:b/>
    </w:rPr>
  </w:style>
  <w:style w:type="paragraph" w:styleId="Heading3">
    <w:name w:val="heading 3"/>
    <w:basedOn w:val="Normal"/>
    <w:next w:val="ParaNum"/>
    <w:qFormat/>
    <w:rsid w:val="00454B78"/>
    <w:pPr>
      <w:keepNext/>
      <w:numPr>
        <w:ilvl w:val="2"/>
        <w:numId w:val="3"/>
      </w:numPr>
      <w:tabs>
        <w:tab w:val="left" w:pos="2160"/>
      </w:tabs>
      <w:spacing w:after="120"/>
      <w:outlineLvl w:val="2"/>
    </w:pPr>
    <w:rPr>
      <w:b/>
    </w:rPr>
  </w:style>
  <w:style w:type="paragraph" w:styleId="Heading4">
    <w:name w:val="heading 4"/>
    <w:basedOn w:val="Normal"/>
    <w:next w:val="ParaNum"/>
    <w:qFormat/>
    <w:rsid w:val="00454B78"/>
    <w:pPr>
      <w:keepNext/>
      <w:numPr>
        <w:ilvl w:val="3"/>
        <w:numId w:val="3"/>
      </w:numPr>
      <w:tabs>
        <w:tab w:val="left" w:pos="2880"/>
      </w:tabs>
      <w:spacing w:after="120"/>
      <w:outlineLvl w:val="3"/>
    </w:pPr>
    <w:rPr>
      <w:b/>
    </w:rPr>
  </w:style>
  <w:style w:type="paragraph" w:styleId="Heading5">
    <w:name w:val="heading 5"/>
    <w:basedOn w:val="Normal"/>
    <w:next w:val="ParaNum"/>
    <w:qFormat/>
    <w:rsid w:val="00454B7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54B78"/>
    <w:pPr>
      <w:numPr>
        <w:ilvl w:val="5"/>
        <w:numId w:val="3"/>
      </w:numPr>
      <w:tabs>
        <w:tab w:val="left" w:pos="4320"/>
      </w:tabs>
      <w:spacing w:after="120"/>
      <w:outlineLvl w:val="5"/>
    </w:pPr>
    <w:rPr>
      <w:b/>
    </w:rPr>
  </w:style>
  <w:style w:type="paragraph" w:styleId="Heading7">
    <w:name w:val="heading 7"/>
    <w:basedOn w:val="Normal"/>
    <w:next w:val="ParaNum"/>
    <w:qFormat/>
    <w:rsid w:val="00454B7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54B7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54B7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54B7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54B78"/>
  </w:style>
  <w:style w:type="paragraph" w:customStyle="1" w:styleId="ParaNum">
    <w:name w:val="ParaNum"/>
    <w:basedOn w:val="Normal"/>
    <w:rsid w:val="00454B78"/>
    <w:pPr>
      <w:numPr>
        <w:numId w:val="2"/>
      </w:numPr>
      <w:tabs>
        <w:tab w:val="clear" w:pos="1080"/>
        <w:tab w:val="num" w:pos="1440"/>
      </w:tabs>
      <w:spacing w:after="120"/>
    </w:pPr>
  </w:style>
  <w:style w:type="paragraph" w:styleId="EndnoteText">
    <w:name w:val="endnote text"/>
    <w:basedOn w:val="Normal"/>
    <w:semiHidden/>
    <w:rsid w:val="00454B78"/>
    <w:rPr>
      <w:sz w:val="20"/>
    </w:rPr>
  </w:style>
  <w:style w:type="character" w:styleId="EndnoteReference">
    <w:name w:val="endnote reference"/>
    <w:semiHidden/>
    <w:rsid w:val="00454B78"/>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454B78"/>
    <w:pPr>
      <w:spacing w:after="120"/>
    </w:pPr>
  </w:style>
  <w:style w:type="character" w:styleId="FootnoteReference">
    <w:name w:val="footnote reference"/>
    <w:aliases w:val="(NECG) Footnote Reference,Appel note de bas de p,FR,Style 12,Style 124,Style 13,Style 3,fr,o"/>
    <w:rsid w:val="00454B78"/>
    <w:rPr>
      <w:rFonts w:ascii="Times New Roman" w:hAnsi="Times New Roman"/>
      <w:dstrike w:val="0"/>
      <w:color w:val="auto"/>
      <w:sz w:val="22"/>
      <w:vertAlign w:val="superscript"/>
    </w:rPr>
  </w:style>
  <w:style w:type="paragraph" w:styleId="TOC1">
    <w:name w:val="toc 1"/>
    <w:basedOn w:val="Normal"/>
    <w:next w:val="Normal"/>
    <w:uiPriority w:val="39"/>
    <w:rsid w:val="00454B7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4B78"/>
    <w:pPr>
      <w:tabs>
        <w:tab w:val="left" w:pos="720"/>
        <w:tab w:val="right" w:leader="dot" w:pos="9360"/>
      </w:tabs>
      <w:suppressAutoHyphens/>
      <w:ind w:left="720" w:right="720" w:hanging="360"/>
    </w:pPr>
    <w:rPr>
      <w:noProof/>
    </w:rPr>
  </w:style>
  <w:style w:type="paragraph" w:styleId="TOC3">
    <w:name w:val="toc 3"/>
    <w:basedOn w:val="Normal"/>
    <w:next w:val="Normal"/>
    <w:semiHidden/>
    <w:rsid w:val="00454B7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4B7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4B7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4B7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4B7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4B7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4B7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4B78"/>
    <w:pPr>
      <w:tabs>
        <w:tab w:val="right" w:pos="9360"/>
      </w:tabs>
      <w:suppressAutoHyphens/>
    </w:pPr>
  </w:style>
  <w:style w:type="character" w:customStyle="1" w:styleId="EquationCaption">
    <w:name w:val="_Equation Caption"/>
    <w:rsid w:val="00454B78"/>
  </w:style>
  <w:style w:type="paragraph" w:styleId="Header">
    <w:name w:val="header"/>
    <w:basedOn w:val="Normal"/>
    <w:autoRedefine/>
    <w:rsid w:val="00454B7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54B78"/>
    <w:pPr>
      <w:tabs>
        <w:tab w:val="center" w:pos="4320"/>
        <w:tab w:val="right" w:pos="8640"/>
      </w:tabs>
    </w:pPr>
  </w:style>
  <w:style w:type="character" w:styleId="PageNumber">
    <w:name w:val="page number"/>
    <w:basedOn w:val="DefaultParagraphFont"/>
    <w:rsid w:val="00454B78"/>
  </w:style>
  <w:style w:type="paragraph" w:styleId="BlockText">
    <w:name w:val="Block Text"/>
    <w:basedOn w:val="Normal"/>
    <w:rsid w:val="00454B78"/>
    <w:pPr>
      <w:spacing w:after="240"/>
      <w:ind w:left="1440" w:right="1440"/>
    </w:pPr>
  </w:style>
  <w:style w:type="paragraph" w:customStyle="1" w:styleId="Paratitle">
    <w:name w:val="Para title"/>
    <w:basedOn w:val="Normal"/>
    <w:rsid w:val="00454B78"/>
    <w:pPr>
      <w:tabs>
        <w:tab w:val="center" w:pos="9270"/>
      </w:tabs>
      <w:spacing w:after="240"/>
    </w:pPr>
    <w:rPr>
      <w:spacing w:val="-2"/>
    </w:rPr>
  </w:style>
  <w:style w:type="paragraph" w:customStyle="1" w:styleId="Bullet">
    <w:name w:val="Bullet"/>
    <w:basedOn w:val="Normal"/>
    <w:rsid w:val="00454B78"/>
    <w:pPr>
      <w:numPr>
        <w:numId w:val="1"/>
      </w:numPr>
      <w:tabs>
        <w:tab w:val="clear" w:pos="360"/>
        <w:tab w:val="left" w:pos="2160"/>
      </w:tabs>
      <w:spacing w:after="220"/>
      <w:ind w:left="2160" w:hanging="720"/>
    </w:pPr>
  </w:style>
  <w:style w:type="paragraph" w:customStyle="1" w:styleId="TableFormat">
    <w:name w:val="TableFormat"/>
    <w:basedOn w:val="Bullet"/>
    <w:rsid w:val="00454B78"/>
    <w:pPr>
      <w:numPr>
        <w:numId w:val="0"/>
      </w:numPr>
      <w:tabs>
        <w:tab w:val="clear" w:pos="2160"/>
        <w:tab w:val="left" w:pos="5040"/>
      </w:tabs>
      <w:ind w:left="5040" w:hanging="3600"/>
    </w:pPr>
  </w:style>
  <w:style w:type="paragraph" w:customStyle="1" w:styleId="TOCTitle">
    <w:name w:val="TOC Title"/>
    <w:basedOn w:val="Normal"/>
    <w:rsid w:val="00454B7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4B78"/>
    <w:pPr>
      <w:jc w:val="center"/>
    </w:pPr>
    <w:rPr>
      <w:rFonts w:ascii="Times New Roman Bold" w:hAnsi="Times New Roman Bold"/>
      <w:b/>
      <w:bCs/>
      <w:caps/>
      <w:szCs w:val="22"/>
    </w:rPr>
  </w:style>
  <w:style w:type="character" w:styleId="Hyperlink">
    <w:name w:val="Hyperlink"/>
    <w:rsid w:val="00454B78"/>
    <w:rPr>
      <w:color w:val="0000FF"/>
      <w:u w:val="single"/>
    </w:rPr>
  </w:style>
  <w:style w:type="character" w:customStyle="1" w:styleId="FooterChar">
    <w:name w:val="Footer Char"/>
    <w:link w:val="Footer"/>
    <w:uiPriority w:val="99"/>
    <w:rsid w:val="00454B78"/>
    <w:rPr>
      <w:snapToGrid w:val="0"/>
      <w:kern w:val="28"/>
      <w:sz w:val="22"/>
    </w:rPr>
  </w:style>
  <w:style w:type="paragraph" w:customStyle="1" w:styleId="Paranum0">
    <w:name w:val="Paranum"/>
    <w:basedOn w:val="Normal"/>
    <w:rsid w:val="000E51BB"/>
    <w:pPr>
      <w:numPr>
        <w:numId w:val="7"/>
      </w:numPr>
      <w:tabs>
        <w:tab w:val="clear" w:pos="1080"/>
      </w:tabs>
      <w:spacing w:after="220"/>
      <w:jc w:val="both"/>
    </w:pPr>
    <w:rPr>
      <w:snapToGrid/>
      <w:kern w:val="0"/>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0E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yan.Boyl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wp-content/uploads/about/documents/fcc-filings/2020/third-quarter/financials/USAC-3Q2020-Federal-Universal-Service-Mechanism-Quarterly-Demand-Filing_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