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560CD" w:rsidRPr="004F7405" w:rsidP="009560CD" w14:paraId="5F5EDD63" w14:textId="3456CFA0">
      <w:pPr>
        <w:widowControl/>
        <w:suppressAutoHyphens/>
        <w:jc w:val="right"/>
        <w:rPr>
          <w:b/>
          <w:color w:val="000000"/>
        </w:rPr>
      </w:pPr>
      <w:bookmarkStart w:id="0" w:name="_GoBack"/>
      <w:bookmarkEnd w:id="0"/>
      <w:r>
        <w:rPr>
          <w:b/>
          <w:color w:val="000000"/>
        </w:rPr>
        <w:t xml:space="preserve"> </w:t>
      </w:r>
      <w:r w:rsidR="001F4EB1">
        <w:rPr>
          <w:b/>
          <w:color w:val="000000"/>
        </w:rPr>
        <w:t xml:space="preserve">DA </w:t>
      </w:r>
      <w:r w:rsidR="00110252">
        <w:rPr>
          <w:b/>
          <w:color w:val="000000"/>
        </w:rPr>
        <w:t>20</w:t>
      </w:r>
      <w:r w:rsidR="001F4EB1">
        <w:rPr>
          <w:b/>
          <w:color w:val="000000"/>
        </w:rPr>
        <w:t>-</w:t>
      </w:r>
      <w:r w:rsidR="00E342F6">
        <w:rPr>
          <w:b/>
          <w:color w:val="000000"/>
        </w:rPr>
        <w:t>696</w:t>
      </w:r>
    </w:p>
    <w:p w:rsidR="009560CD" w:rsidRPr="004F7405" w:rsidP="009560CD" w14:paraId="5560137A" w14:textId="217F30EF">
      <w:pPr>
        <w:widowControl/>
        <w:suppressAutoHyphens/>
        <w:spacing w:after="240"/>
        <w:jc w:val="right"/>
        <w:rPr>
          <w:b/>
          <w:color w:val="000000"/>
        </w:rPr>
      </w:pPr>
      <w:r>
        <w:rPr>
          <w:b/>
          <w:color w:val="000000"/>
        </w:rPr>
        <w:t xml:space="preserve"> Released: </w:t>
      </w:r>
      <w:r w:rsidR="00484D17">
        <w:rPr>
          <w:b/>
          <w:color w:val="000000"/>
        </w:rPr>
        <w:t>June</w:t>
      </w:r>
      <w:r w:rsidR="00F11B64">
        <w:rPr>
          <w:b/>
          <w:color w:val="000000"/>
        </w:rPr>
        <w:t xml:space="preserve"> </w:t>
      </w:r>
      <w:r w:rsidR="00764286">
        <w:rPr>
          <w:b/>
          <w:color w:val="000000"/>
        </w:rPr>
        <w:t>30</w:t>
      </w:r>
      <w:r>
        <w:rPr>
          <w:b/>
          <w:color w:val="000000"/>
        </w:rPr>
        <w:t>, 20</w:t>
      </w:r>
      <w:r w:rsidR="00110252">
        <w:rPr>
          <w:b/>
          <w:color w:val="000000"/>
        </w:rPr>
        <w:t>20</w:t>
      </w:r>
    </w:p>
    <w:p w:rsidR="009560CD" w:rsidRPr="004F7405" w:rsidP="009560CD" w14:paraId="61D81A77" w14:textId="77777777">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9560CD" w14:paraId="3A7C3DB1" w14:textId="77777777">
      <w:pPr>
        <w:widowControl/>
        <w:suppressAutoHyphens/>
        <w:jc w:val="center"/>
        <w:rPr>
          <w:b/>
          <w:color w:val="000000"/>
          <w:szCs w:val="22"/>
        </w:rPr>
      </w:pPr>
    </w:p>
    <w:p w:rsidR="009560CD" w:rsidRPr="001761B2" w:rsidP="009560CD" w14:paraId="4B578FCF" w14:textId="3895015D">
      <w:pPr>
        <w:widowControl/>
        <w:suppressAutoHyphens/>
        <w:spacing w:after="240"/>
        <w:jc w:val="center"/>
        <w:rPr>
          <w:b/>
          <w:color w:val="000000"/>
          <w:szCs w:val="22"/>
        </w:rPr>
      </w:pPr>
      <w:r w:rsidRPr="004F7405">
        <w:rPr>
          <w:b/>
          <w:color w:val="000000"/>
          <w:szCs w:val="22"/>
        </w:rPr>
        <w:t xml:space="preserve">WC Docket No. </w:t>
      </w:r>
      <w:r w:rsidR="00484D17">
        <w:rPr>
          <w:b/>
          <w:color w:val="000000"/>
          <w:szCs w:val="22"/>
        </w:rPr>
        <w:t>20</w:t>
      </w:r>
      <w:r>
        <w:rPr>
          <w:b/>
          <w:color w:val="000000"/>
          <w:szCs w:val="22"/>
        </w:rPr>
        <w:t>-</w:t>
      </w:r>
      <w:r w:rsidR="00484D17">
        <w:rPr>
          <w:b/>
          <w:color w:val="000000"/>
          <w:szCs w:val="22"/>
        </w:rPr>
        <w:t>112</w:t>
      </w:r>
    </w:p>
    <w:p w:rsidR="00B0570A" w:rsidP="00B0570A" w14:paraId="6DBE0D30" w14:textId="77777777">
      <w:pPr>
        <w:widowControl/>
        <w:autoSpaceDE w:val="0"/>
        <w:autoSpaceDN w:val="0"/>
        <w:adjustRightInd w:val="0"/>
        <w:ind w:firstLine="720"/>
        <w:rPr>
          <w:snapToGrid/>
          <w:color w:val="231F20"/>
          <w:kern w:val="0"/>
          <w:szCs w:val="22"/>
        </w:rPr>
      </w:pPr>
    </w:p>
    <w:p w:rsidR="00B0570A" w:rsidRPr="00B0570A" w:rsidP="00B0570A" w14:paraId="37256470" w14:textId="3C5AAB2F">
      <w:pPr>
        <w:widowControl/>
        <w:autoSpaceDE w:val="0"/>
        <w:autoSpaceDN w:val="0"/>
        <w:adjustRightInd w:val="0"/>
        <w:ind w:firstLine="720"/>
        <w:rPr>
          <w:snapToGrid/>
          <w:kern w:val="0"/>
          <w:szCs w:val="22"/>
        </w:rPr>
      </w:pPr>
      <w:r w:rsidRPr="00B0570A">
        <w:rPr>
          <w:snapToGrid/>
          <w:kern w:val="0"/>
          <w:szCs w:val="22"/>
        </w:rPr>
        <w:t xml:space="preserve">By this Public Notice, the Wireline Competition Bureau </w:t>
      </w:r>
      <w:r w:rsidR="00CA3C7A">
        <w:rPr>
          <w:snapToGrid/>
          <w:kern w:val="0"/>
          <w:szCs w:val="22"/>
        </w:rPr>
        <w:t xml:space="preserve">(Bureau) </w:t>
      </w:r>
      <w:r>
        <w:rPr>
          <w:snapToGrid/>
          <w:kern w:val="0"/>
          <w:szCs w:val="22"/>
        </w:rPr>
        <w:t xml:space="preserve">grants </w:t>
      </w:r>
      <w:r w:rsidRPr="00B0570A">
        <w:rPr>
          <w:snapToGrid/>
          <w:kern w:val="0"/>
          <w:szCs w:val="22"/>
        </w:rPr>
        <w:t>an application filed by William Douglas DeVore (Mr. DeVore) and BHT Investments, LLC (BHTI) (collectively, Applicants), pursuant to section 214 of the Communications Act of 1934, as amended, and sections 63.03-04 of the Commission’s rules, requesting consent to transfer control of Bush-Tell, Inc. (Bush-Tell) from Mr. DeVore to BHTI.</w:t>
      </w:r>
      <w:r>
        <w:rPr>
          <w:snapToGrid/>
          <w:kern w:val="0"/>
          <w:szCs w:val="22"/>
          <w:vertAlign w:val="superscript"/>
        </w:rPr>
        <w:footnoteReference w:id="3"/>
      </w:r>
      <w:r>
        <w:rPr>
          <w:snapToGrid/>
          <w:kern w:val="0"/>
          <w:szCs w:val="22"/>
        </w:rPr>
        <w:t xml:space="preserve">  </w:t>
      </w:r>
      <w:r>
        <w:rPr>
          <w:snapToGrid/>
          <w:color w:val="231F20"/>
          <w:kern w:val="0"/>
          <w:szCs w:val="22"/>
        </w:rPr>
        <w:t>On May 12, 2020, the Bureau released a Public Notice seeking comment on the Application.</w:t>
      </w:r>
      <w:r>
        <w:rPr>
          <w:rStyle w:val="FootnoteReference"/>
          <w:snapToGrid/>
          <w:kern w:val="0"/>
          <w:szCs w:val="22"/>
        </w:rPr>
        <w:footnoteReference w:id="4"/>
      </w:r>
      <w:r>
        <w:rPr>
          <w:snapToGrid/>
          <w:color w:val="231F20"/>
          <w:kern w:val="0"/>
          <w:szCs w:val="22"/>
        </w:rPr>
        <w:t xml:space="preserve"> </w:t>
      </w:r>
      <w:r>
        <w:rPr>
          <w:snapToGrid/>
          <w:kern w:val="0"/>
          <w:szCs w:val="22"/>
        </w:rPr>
        <w:t xml:space="preserve"> The Bureau received no comments in opposition to a grant of the Application.</w:t>
      </w:r>
    </w:p>
    <w:p w:rsidR="00B0570A" w:rsidRPr="00B0570A" w:rsidP="00B0570A" w14:paraId="308AF93A" w14:textId="33692755">
      <w:pPr>
        <w:widowControl/>
        <w:autoSpaceDE w:val="0"/>
        <w:autoSpaceDN w:val="0"/>
        <w:adjustRightInd w:val="0"/>
        <w:spacing w:before="120"/>
        <w:ind w:firstLine="720"/>
        <w:rPr>
          <w:snapToGrid/>
          <w:kern w:val="0"/>
          <w:szCs w:val="22"/>
        </w:rPr>
      </w:pPr>
      <w:r w:rsidRPr="00B0570A">
        <w:rPr>
          <w:snapToGrid/>
          <w:kern w:val="0"/>
          <w:szCs w:val="22"/>
        </w:rPr>
        <w:t>Bush-Tell, an Alaska corporation, provides services as an incumbent local exchange carrier (LEC) to 10 village exchanges in southwestern Alaska (approximately 555 access lines).</w:t>
      </w:r>
      <w:r>
        <w:rPr>
          <w:rStyle w:val="FootnoteReference"/>
          <w:snapToGrid/>
          <w:kern w:val="0"/>
          <w:szCs w:val="22"/>
        </w:rPr>
        <w:footnoteReference w:id="5"/>
      </w:r>
      <w:r w:rsidRPr="00B0570A">
        <w:rPr>
          <w:snapToGrid/>
          <w:kern w:val="0"/>
          <w:szCs w:val="22"/>
        </w:rPr>
        <w:t xml:space="preserve">  </w:t>
      </w:r>
      <w:r w:rsidR="0045529B">
        <w:rPr>
          <w:snapToGrid/>
          <w:kern w:val="0"/>
          <w:szCs w:val="22"/>
        </w:rPr>
        <w:t xml:space="preserve">Bush-Tell receives fixed </w:t>
      </w:r>
      <w:r w:rsidR="0045382B">
        <w:rPr>
          <w:snapToGrid/>
          <w:kern w:val="0"/>
          <w:szCs w:val="22"/>
        </w:rPr>
        <w:t xml:space="preserve">universal service </w:t>
      </w:r>
      <w:r w:rsidR="0045529B">
        <w:rPr>
          <w:snapToGrid/>
          <w:kern w:val="0"/>
          <w:szCs w:val="22"/>
        </w:rPr>
        <w:t>support through the Alaska Plan.</w:t>
      </w:r>
      <w:r>
        <w:rPr>
          <w:rStyle w:val="FootnoteReference"/>
          <w:snapToGrid/>
          <w:kern w:val="0"/>
          <w:szCs w:val="22"/>
        </w:rPr>
        <w:footnoteReference w:id="6"/>
      </w:r>
    </w:p>
    <w:p w:rsidR="00B0570A" w:rsidRPr="00B0570A" w:rsidP="00B0570A" w14:paraId="5E87E60F" w14:textId="77777777">
      <w:pPr>
        <w:widowControl/>
        <w:autoSpaceDE w:val="0"/>
        <w:autoSpaceDN w:val="0"/>
        <w:adjustRightInd w:val="0"/>
        <w:rPr>
          <w:snapToGrid/>
          <w:color w:val="231F20"/>
          <w:kern w:val="0"/>
          <w:szCs w:val="22"/>
        </w:rPr>
      </w:pPr>
    </w:p>
    <w:p w:rsidR="006A65D3" w:rsidRPr="000F450D" w:rsidP="000F450D" w14:paraId="7A259E68" w14:textId="676ACCAB">
      <w:pPr>
        <w:autoSpaceDE w:val="0"/>
        <w:autoSpaceDN w:val="0"/>
        <w:adjustRightInd w:val="0"/>
        <w:ind w:firstLine="720"/>
        <w:rPr>
          <w:bCs/>
          <w:snapToGrid/>
          <w:kern w:val="0"/>
          <w:szCs w:val="22"/>
        </w:rPr>
      </w:pPr>
      <w:r w:rsidRPr="00B0570A">
        <w:rPr>
          <w:snapToGrid/>
          <w:color w:val="231F20"/>
          <w:kern w:val="0"/>
          <w:szCs w:val="22"/>
        </w:rPr>
        <w:t>BHTI, a Wyoming limited liability company, is a holding company that does not directly provide any domestic telecommunications services.</w:t>
      </w:r>
      <w:r>
        <w:rPr>
          <w:rStyle w:val="FootnoteReference"/>
          <w:snapToGrid/>
          <w:kern w:val="0"/>
          <w:szCs w:val="22"/>
        </w:rPr>
        <w:footnoteReference w:id="7"/>
      </w:r>
      <w:r w:rsidRPr="00B0570A">
        <w:rPr>
          <w:snapToGrid/>
          <w:color w:val="231F20"/>
          <w:kern w:val="0"/>
          <w:szCs w:val="22"/>
        </w:rPr>
        <w:t xml:space="preserve">  BHT Investment Holdings, LLC (BHTI Parent), a Wyoming limited liability company, is the parent company of BHTI and does not directly provide any telecommunications services.</w:t>
      </w:r>
      <w:r>
        <w:rPr>
          <w:rStyle w:val="FootnoteReference"/>
          <w:snapToGrid/>
          <w:kern w:val="0"/>
          <w:szCs w:val="22"/>
        </w:rPr>
        <w:footnoteReference w:id="8"/>
      </w:r>
      <w:r w:rsidRPr="00B0570A">
        <w:rPr>
          <w:snapToGrid/>
          <w:color w:val="231F20"/>
          <w:kern w:val="0"/>
          <w:szCs w:val="22"/>
        </w:rPr>
        <w:t xml:space="preserve">  The following U.S. citizens and entities hold a 10% or greater interest in </w:t>
      </w:r>
      <w:r w:rsidRPr="00B0570A">
        <w:rPr>
          <w:snapToGrid/>
          <w:color w:val="231F20"/>
          <w:kern w:val="0"/>
          <w:szCs w:val="22"/>
        </w:rPr>
        <w:t xml:space="preserve">BHTI Parent:  Neil </w:t>
      </w:r>
      <w:r w:rsidRPr="00B0570A">
        <w:rPr>
          <w:snapToGrid/>
          <w:color w:val="231F20"/>
          <w:kern w:val="0"/>
          <w:szCs w:val="22"/>
        </w:rPr>
        <w:t>Schlenker</w:t>
      </w:r>
      <w:r w:rsidRPr="00B0570A">
        <w:rPr>
          <w:snapToGrid/>
          <w:color w:val="231F20"/>
          <w:kern w:val="0"/>
          <w:szCs w:val="22"/>
        </w:rPr>
        <w:t xml:space="preserve"> (30%); Kelly Fowler (30%); Colonnade Venture Partners, LLC (30%); </w:t>
      </w:r>
      <w:r w:rsidRPr="00B0570A">
        <w:rPr>
          <w:snapToGrid/>
          <w:color w:val="231F20"/>
          <w:kern w:val="0"/>
          <w:szCs w:val="22"/>
        </w:rPr>
        <w:t>LoLo</w:t>
      </w:r>
      <w:r w:rsidRPr="00B0570A">
        <w:rPr>
          <w:snapToGrid/>
          <w:color w:val="231F20"/>
          <w:kern w:val="0"/>
          <w:szCs w:val="22"/>
        </w:rPr>
        <w:t xml:space="preserve"> Investments, LLC (10%).</w:t>
      </w:r>
      <w:r>
        <w:rPr>
          <w:snapToGrid/>
          <w:color w:val="231F20"/>
          <w:kern w:val="0"/>
          <w:szCs w:val="22"/>
          <w:vertAlign w:val="superscript"/>
        </w:rPr>
        <w:footnoteReference w:id="9"/>
      </w:r>
      <w:r w:rsidRPr="00B0570A">
        <w:rPr>
          <w:snapToGrid/>
          <w:color w:val="231F20"/>
          <w:kern w:val="0"/>
          <w:szCs w:val="22"/>
        </w:rPr>
        <w:t xml:space="preserve">  BHTI is affiliated with Tri-County Telephone Association, Inc. (Tri County), a Wyoming corporation and incumbent LEC that provides service in four local exchanges (approximately 707 access lines) in Wyoming, and TCT West, Inc. (TCT), a Wyoming corporation and wholly owned subsidiary of Tri-County that provides incumbent LEC services and competitive LEC services within seven local exchanges (approximately 3,675 access lines) in northern Wyoming and southern Montana.</w:t>
      </w:r>
      <w:r>
        <w:rPr>
          <w:snapToGrid/>
          <w:color w:val="231F20"/>
          <w:kern w:val="0"/>
          <w:szCs w:val="22"/>
          <w:vertAlign w:val="superscript"/>
        </w:rPr>
        <w:footnoteReference w:id="10"/>
      </w:r>
      <w:r w:rsidRPr="00B0570A">
        <w:rPr>
          <w:snapToGrid/>
          <w:color w:val="231F20"/>
          <w:kern w:val="0"/>
          <w:szCs w:val="22"/>
        </w:rPr>
        <w:t xml:space="preserve">  </w:t>
      </w:r>
      <w:r w:rsidR="003C13D6">
        <w:rPr>
          <w:snapToGrid/>
          <w:color w:val="231F20"/>
          <w:kern w:val="0"/>
          <w:szCs w:val="22"/>
        </w:rPr>
        <w:t>Tri-County did not elect to receive fixed support and receives cost-based universal service support for its incumbent LEC services.</w:t>
      </w:r>
      <w:r>
        <w:rPr>
          <w:rStyle w:val="FootnoteReference"/>
          <w:szCs w:val="22"/>
        </w:rPr>
        <w:footnoteReference w:id="11"/>
      </w:r>
      <w:r w:rsidR="000F450D">
        <w:rPr>
          <w:snapToGrid/>
          <w:color w:val="231F20"/>
          <w:kern w:val="0"/>
          <w:szCs w:val="22"/>
        </w:rPr>
        <w:br/>
      </w:r>
      <w:r w:rsidR="000F450D">
        <w:rPr>
          <w:snapToGrid/>
          <w:color w:val="231F20"/>
          <w:kern w:val="0"/>
          <w:szCs w:val="22"/>
        </w:rPr>
        <w:br/>
      </w:r>
      <w:r w:rsidR="000F450D">
        <w:rPr>
          <w:snapToGrid/>
          <w:color w:val="231F20"/>
          <w:kern w:val="0"/>
          <w:szCs w:val="22"/>
        </w:rPr>
        <w:tab/>
      </w:r>
      <w:r w:rsidRPr="000F450D" w:rsidR="000F450D">
        <w:rPr>
          <w:snapToGrid/>
          <w:kern w:val="0"/>
          <w:szCs w:val="22"/>
        </w:rPr>
        <w:t xml:space="preserve">Pursuant to the terms of the proposed transaction, </w:t>
      </w:r>
      <w:r w:rsidRPr="000F450D" w:rsidR="000F450D">
        <w:rPr>
          <w:bCs/>
          <w:snapToGrid/>
          <w:kern w:val="0"/>
          <w:szCs w:val="22"/>
        </w:rPr>
        <w:t>Mr. DeVore will transfer 100% of the issued and outstanding stock of Bush-Tell to BHTI.</w:t>
      </w:r>
      <w:r>
        <w:rPr>
          <w:rStyle w:val="FootnoteReference"/>
          <w:bCs/>
          <w:snapToGrid/>
          <w:kern w:val="0"/>
          <w:szCs w:val="22"/>
        </w:rPr>
        <w:footnoteReference w:id="12"/>
      </w:r>
      <w:r w:rsidRPr="000F450D" w:rsidR="000F450D">
        <w:rPr>
          <w:bCs/>
          <w:snapToGrid/>
          <w:kern w:val="0"/>
          <w:szCs w:val="22"/>
        </w:rPr>
        <w:t xml:space="preserve">  The Applicants state that completion of the proposed transaction will give BHTI control of Bush-Tell.</w:t>
      </w:r>
      <w:r>
        <w:rPr>
          <w:rStyle w:val="FootnoteReference"/>
          <w:bCs/>
          <w:snapToGrid/>
          <w:kern w:val="0"/>
          <w:szCs w:val="22"/>
        </w:rPr>
        <w:footnoteReference w:id="13"/>
      </w:r>
      <w:r w:rsidRPr="000F450D" w:rsidR="000F450D">
        <w:rPr>
          <w:bCs/>
          <w:snapToGrid/>
          <w:kern w:val="0"/>
          <w:szCs w:val="22"/>
        </w:rPr>
        <w:t xml:space="preserve">  </w:t>
      </w:r>
    </w:p>
    <w:p w:rsidR="006D2EA5" w:rsidP="008C7AD1" w14:paraId="0A71A676" w14:textId="77777777">
      <w:pPr>
        <w:rPr>
          <w:szCs w:val="22"/>
        </w:rPr>
      </w:pPr>
    </w:p>
    <w:p w:rsidR="0047633D" w:rsidRPr="00A530A3" w:rsidP="0047633D" w14:paraId="450BA541" w14:textId="77777777">
      <w:pPr>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 xml:space="preserve">The Applicants request approval to consummate </w:t>
      </w:r>
      <w:r w:rsidR="007C02C8">
        <w:rPr>
          <w:szCs w:val="22"/>
        </w:rPr>
        <w:t xml:space="preserve">a </w:t>
      </w:r>
      <w:r w:rsidRPr="00A530A3">
        <w:rPr>
          <w:szCs w:val="22"/>
        </w:rPr>
        <w:t>transaction involving companies that receive high-cost universal service support under the different mechanisms of fixed</w:t>
      </w:r>
      <w:r w:rsidR="00064A57">
        <w:rPr>
          <w:szCs w:val="22"/>
        </w:rPr>
        <w:t xml:space="preserve"> </w:t>
      </w:r>
      <w:r w:rsidRPr="00A530A3">
        <w:rPr>
          <w:szCs w:val="22"/>
        </w:rPr>
        <w:t>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14"/>
      </w:r>
      <w:r w:rsidRPr="00A530A3">
        <w:rPr>
          <w:szCs w:val="22"/>
        </w:rPr>
        <w:t xml:space="preserve">  </w:t>
      </w:r>
      <w:r w:rsidRPr="00A530A3">
        <w:t xml:space="preserve">When a company receiving a fixed level of support acquires or is acquired by a company receiving support based on its costs, the combined companies could, and in some instances might have an economic incentive to, shift certain shared or common costs from the </w:t>
      </w:r>
      <w:r w:rsidR="00064A57">
        <w:t>fixed</w:t>
      </w:r>
      <w:r w:rsidRPr="00A530A3">
        <w:t xml:space="preserve"> support company to the cost-based support company.</w:t>
      </w:r>
      <w:r>
        <w:rPr>
          <w:rStyle w:val="FootnoteReference"/>
        </w:rPr>
        <w:footnoteReference w:id="15"/>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16"/>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17"/>
      </w:r>
      <w:r w:rsidRPr="00A530A3">
        <w:rPr>
          <w:snapToGrid/>
          <w:kern w:val="0"/>
          <w:sz w:val="13"/>
          <w:szCs w:val="13"/>
        </w:rPr>
        <w:t xml:space="preserve">  </w:t>
      </w:r>
      <w:r w:rsidRPr="00A530A3">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18"/>
      </w:r>
    </w:p>
    <w:p w:rsidR="0047633D" w:rsidP="0047633D" w14:paraId="6ACF84C7" w14:textId="77777777">
      <w:pPr>
        <w:widowControl/>
        <w:autoSpaceDE w:val="0"/>
        <w:autoSpaceDN w:val="0"/>
        <w:adjustRightInd w:val="0"/>
        <w:rPr>
          <w:rFonts w:ascii="TimesNewRomanPSMT" w:hAnsi="TimesNewRomanPSMT" w:cs="TimesNewRomanPSMT"/>
          <w:snapToGrid/>
          <w:kern w:val="0"/>
          <w:szCs w:val="22"/>
        </w:rPr>
      </w:pPr>
    </w:p>
    <w:p w:rsidR="003F2288" w:rsidP="003F2288" w14:paraId="3625C226" w14:textId="77777777">
      <w:pPr>
        <w:tabs>
          <w:tab w:val="left" w:pos="3210"/>
        </w:tabs>
        <w:ind w:firstLine="720"/>
        <w:rPr>
          <w:szCs w:val="22"/>
        </w:rPr>
      </w:pPr>
      <w:r>
        <w:rPr>
          <w:szCs w:val="22"/>
        </w:rPr>
        <w:t xml:space="preserve">In the </w:t>
      </w:r>
      <w:r w:rsidRPr="00496424">
        <w:rPr>
          <w:i/>
          <w:szCs w:val="22"/>
        </w:rPr>
        <w:t>Hargray</w:t>
      </w:r>
      <w:r w:rsidRPr="00496424">
        <w:rPr>
          <w:i/>
          <w:szCs w:val="22"/>
        </w:rPr>
        <w:t>/</w:t>
      </w:r>
      <w:r w:rsidRPr="00496424">
        <w:rPr>
          <w:i/>
          <w:szCs w:val="22"/>
        </w:rPr>
        <w:t>ComSouth</w:t>
      </w:r>
      <w:r w:rsidRPr="00496424">
        <w:rPr>
          <w:i/>
          <w:szCs w:val="22"/>
        </w:rPr>
        <w:t xml:space="preserve">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 xml:space="preserve">finite resources of the high-cost universal service fund by imposing a limited condition that capped high-cost universal service support based on the </w:t>
      </w:r>
      <w:r>
        <w:rPr>
          <w:szCs w:val="22"/>
        </w:rPr>
        <w:t>operating expenses of the entity receiving cost-based support.</w:t>
      </w:r>
      <w:r>
        <w:rPr>
          <w:rStyle w:val="FootnoteReference"/>
          <w:szCs w:val="22"/>
        </w:rPr>
        <w:footnoteReference w:id="19"/>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20"/>
      </w:r>
      <w:r w:rsidRPr="008B3790">
        <w:rPr>
          <w:szCs w:val="22"/>
        </w:rPr>
        <w:t xml:space="preserve">  </w:t>
      </w:r>
    </w:p>
    <w:p w:rsidR="003F2288" w:rsidP="003F2288" w14:paraId="61960F62" w14:textId="77777777">
      <w:pPr>
        <w:tabs>
          <w:tab w:val="left" w:pos="3210"/>
        </w:tabs>
        <w:ind w:firstLine="720"/>
        <w:rPr>
          <w:szCs w:val="22"/>
        </w:rPr>
      </w:pPr>
    </w:p>
    <w:p w:rsidR="003F2288" w:rsidP="003F2288" w14:paraId="54D90BCD" w14:textId="503302B7">
      <w:pPr>
        <w:tabs>
          <w:tab w:val="left" w:pos="3210"/>
        </w:tabs>
        <w:ind w:firstLine="720"/>
      </w:pPr>
      <w:r>
        <w:rPr>
          <w:szCs w:val="22"/>
        </w:rPr>
        <w:t>BHTI</w:t>
      </w:r>
      <w:r w:rsidR="003C13D6">
        <w:rPr>
          <w:szCs w:val="22"/>
        </w:rPr>
        <w:t>, which is</w:t>
      </w:r>
      <w:r w:rsidR="00423648">
        <w:rPr>
          <w:szCs w:val="22"/>
        </w:rPr>
        <w:t xml:space="preserve"> affiliated with </w:t>
      </w:r>
      <w:r>
        <w:rPr>
          <w:szCs w:val="22"/>
        </w:rPr>
        <w:t>Tri-County</w:t>
      </w:r>
      <w:r w:rsidR="007069DD">
        <w:rPr>
          <w:szCs w:val="22"/>
        </w:rPr>
        <w:t>,</w:t>
      </w:r>
      <w:r w:rsidR="003C13D6">
        <w:rPr>
          <w:szCs w:val="22"/>
        </w:rPr>
        <w:t xml:space="preserve"> a </w:t>
      </w:r>
      <w:r>
        <w:rPr>
          <w:szCs w:val="22"/>
        </w:rPr>
        <w:t>cost-based</w:t>
      </w:r>
      <w:r w:rsidR="003C13D6">
        <w:rPr>
          <w:szCs w:val="22"/>
        </w:rPr>
        <w:t xml:space="preserve"> support company, </w:t>
      </w:r>
      <w:r w:rsidR="007069DD">
        <w:rPr>
          <w:szCs w:val="22"/>
        </w:rPr>
        <w:t xml:space="preserve">seeks to acquire </w:t>
      </w:r>
      <w:r w:rsidR="00777263">
        <w:rPr>
          <w:szCs w:val="22"/>
        </w:rPr>
        <w:t xml:space="preserve">the operations of </w:t>
      </w:r>
      <w:r w:rsidR="003C13D6">
        <w:rPr>
          <w:szCs w:val="22"/>
        </w:rPr>
        <w:t>B</w:t>
      </w:r>
      <w:r>
        <w:rPr>
          <w:szCs w:val="22"/>
        </w:rPr>
        <w:t>ush-Tell</w:t>
      </w:r>
      <w:r w:rsidR="007069DD">
        <w:rPr>
          <w:szCs w:val="22"/>
        </w:rPr>
        <w:t xml:space="preserve">, a </w:t>
      </w:r>
      <w:r>
        <w:rPr>
          <w:szCs w:val="22"/>
        </w:rPr>
        <w:t xml:space="preserve">fixed </w:t>
      </w:r>
      <w:r w:rsidR="007069DD">
        <w:rPr>
          <w:szCs w:val="22"/>
        </w:rPr>
        <w:t>based support company.  T</w:t>
      </w:r>
      <w:r w:rsidR="00AB2ED7">
        <w:rPr>
          <w:szCs w:val="22"/>
        </w:rPr>
        <w:t>he</w:t>
      </w:r>
      <w:r w:rsidR="007069DD">
        <w:rPr>
          <w:szCs w:val="22"/>
        </w:rPr>
        <w:t>refore, the</w:t>
      </w:r>
      <w:r w:rsidR="00AB2ED7">
        <w:rPr>
          <w:szCs w:val="22"/>
        </w:rPr>
        <w:t xml:space="preserve"> potential for harm caused by cost-shifting is </w:t>
      </w:r>
      <w:r w:rsidR="00423648">
        <w:rPr>
          <w:szCs w:val="22"/>
        </w:rPr>
        <w:t xml:space="preserve">a </w:t>
      </w:r>
      <w:r w:rsidR="00AB2ED7">
        <w:rPr>
          <w:szCs w:val="22"/>
        </w:rPr>
        <w:t>transaction</w:t>
      </w:r>
      <w:r w:rsidR="00423648">
        <w:rPr>
          <w:szCs w:val="22"/>
        </w:rPr>
        <w:t>-specific harm</w:t>
      </w:r>
      <w:r w:rsidR="00AB2ED7">
        <w:rPr>
          <w:szCs w:val="22"/>
        </w:rPr>
        <w:t xml:space="preserve">.  </w:t>
      </w:r>
      <w:r w:rsidRPr="00C0281C" w:rsidR="00AB2ED7">
        <w:rPr>
          <w:szCs w:val="22"/>
        </w:rPr>
        <w:t>Accordingly, to mitigate the potential for cost shifting, we grant the Application</w:t>
      </w:r>
      <w:r w:rsidR="00E556AA">
        <w:rPr>
          <w:szCs w:val="22"/>
        </w:rPr>
        <w:t xml:space="preserve"> </w:t>
      </w:r>
      <w:r w:rsidRPr="00C0281C" w:rsidR="00AB2ED7">
        <w:rPr>
          <w:szCs w:val="22"/>
        </w:rPr>
        <w:t xml:space="preserve">subject to the condition adopted in the </w:t>
      </w:r>
      <w:r w:rsidRPr="00C0281C" w:rsidR="00AB2ED7">
        <w:rPr>
          <w:i/>
          <w:szCs w:val="22"/>
        </w:rPr>
        <w:t>Hargray</w:t>
      </w:r>
      <w:r w:rsidRPr="00C0281C" w:rsidR="00AB2ED7">
        <w:rPr>
          <w:i/>
          <w:szCs w:val="22"/>
        </w:rPr>
        <w:t>/</w:t>
      </w:r>
      <w:r w:rsidRPr="00C0281C" w:rsidR="00AB2ED7">
        <w:rPr>
          <w:i/>
          <w:szCs w:val="22"/>
        </w:rPr>
        <w:t>ComSouth</w:t>
      </w:r>
      <w:r w:rsidRPr="00C0281C" w:rsidR="00AB2ED7">
        <w:rPr>
          <w:i/>
          <w:szCs w:val="22"/>
        </w:rPr>
        <w:t xml:space="preserve"> Order</w:t>
      </w:r>
      <w:r w:rsidRPr="00C0281C" w:rsidR="00AB2ED7">
        <w:rPr>
          <w:szCs w:val="22"/>
        </w:rPr>
        <w:t>.</w:t>
      </w:r>
      <w:r>
        <w:rPr>
          <w:rStyle w:val="FootnoteReference"/>
        </w:rPr>
        <w:footnoteReference w:id="21"/>
      </w:r>
      <w:r w:rsidRPr="00C0281C" w:rsidR="00AB2ED7">
        <w:t xml:space="preserve">  </w:t>
      </w:r>
      <w:r w:rsidRPr="00C0281C" w:rsidR="00AB2ED7">
        <w:rPr>
          <w:szCs w:val="22"/>
        </w:rPr>
        <w:t>The combined operating expense</w:t>
      </w:r>
      <w:r w:rsidR="00AB2ED7">
        <w:rPr>
          <w:szCs w:val="22"/>
        </w:rPr>
        <w:t>s</w:t>
      </w:r>
      <w:r w:rsidRPr="00C0281C" w:rsidR="00AB2ED7">
        <w:rPr>
          <w:szCs w:val="22"/>
        </w:rPr>
        <w:t xml:space="preserve"> of </w:t>
      </w:r>
      <w:r w:rsidR="00DC3493">
        <w:rPr>
          <w:szCs w:val="22"/>
        </w:rPr>
        <w:t>the</w:t>
      </w:r>
      <w:r w:rsidR="00AB2ED7">
        <w:rPr>
          <w:szCs w:val="22"/>
        </w:rPr>
        <w:t xml:space="preserve"> post-consummation company’s </w:t>
      </w:r>
      <w:r w:rsidRPr="00C0281C" w:rsidR="00AB2ED7">
        <w:rPr>
          <w:szCs w:val="22"/>
        </w:rPr>
        <w:t xml:space="preserve">rate-of-return </w:t>
      </w:r>
      <w:r w:rsidR="00AB2ED7">
        <w:rPr>
          <w:szCs w:val="22"/>
        </w:rPr>
        <w:t>affiliates</w:t>
      </w:r>
      <w:r>
        <w:rPr>
          <w:rStyle w:val="FootnoteReference"/>
          <w:szCs w:val="22"/>
        </w:rPr>
        <w:footnoteReference w:id="22"/>
      </w:r>
      <w:r w:rsidRPr="00C0281C" w:rsidR="00AB2ED7">
        <w:rPr>
          <w:szCs w:val="22"/>
        </w:rPr>
        <w:t xml:space="preserve"> shall be capped</w:t>
      </w:r>
      <w:r w:rsidRPr="00647A6E" w:rsidR="00AB2ED7">
        <w:rPr>
          <w:szCs w:val="22"/>
        </w:rPr>
        <w:t xml:space="preserve"> at the averaged combined operating expense</w:t>
      </w:r>
      <w:r w:rsidR="00AB2ED7">
        <w:rPr>
          <w:szCs w:val="22"/>
        </w:rPr>
        <w:t>s</w:t>
      </w:r>
      <w:r w:rsidRPr="00647A6E" w:rsidR="00AB2ED7">
        <w:rPr>
          <w:szCs w:val="22"/>
        </w:rPr>
        <w:t xml:space="preserve"> of the three calendar years preceding the transaction</w:t>
      </w:r>
      <w:r w:rsidR="00DC3493">
        <w:rPr>
          <w:szCs w:val="22"/>
        </w:rPr>
        <w:t>’</w:t>
      </w:r>
      <w:r w:rsidR="001D1964">
        <w:rPr>
          <w:szCs w:val="22"/>
        </w:rPr>
        <w:t>s</w:t>
      </w:r>
      <w:r w:rsidRPr="00647A6E" w:rsidR="00AB2ED7">
        <w:rPr>
          <w:szCs w:val="22"/>
        </w:rPr>
        <w:t xml:space="preserve"> closing date for which the operating expense data are available</w:t>
      </w:r>
      <w:r w:rsidRPr="00C0281C" w:rsidR="00AB2ED7">
        <w:t>.</w:t>
      </w:r>
      <w:r>
        <w:rPr>
          <w:rStyle w:val="FootnoteReference"/>
        </w:rPr>
        <w:footnoteReference w:id="23"/>
      </w:r>
      <w:r w:rsidRPr="00C0281C" w:rsidR="00AB2ED7">
        <w:t xml:space="preserve">  </w:t>
      </w:r>
    </w:p>
    <w:p w:rsidR="003F2288" w:rsidP="003F2288" w14:paraId="25A69236" w14:textId="77777777">
      <w:pPr>
        <w:tabs>
          <w:tab w:val="left" w:pos="3210"/>
        </w:tabs>
        <w:ind w:firstLine="720"/>
      </w:pPr>
    </w:p>
    <w:p w:rsidR="003F2288" w:rsidRPr="00A530A3" w:rsidP="003F2288" w14:paraId="0243FA30" w14:textId="77777777">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24"/>
      </w:r>
      <w:r w:rsidRPr="00A530A3">
        <w:t xml:space="preserve">  For example, if the cap requires that a post-consummation </w:t>
      </w:r>
      <w:r w:rsidRPr="00A530A3">
        <w:rPr>
          <w:szCs w:val="22"/>
        </w:rPr>
        <w:t>company’s</w:t>
      </w:r>
      <w:r w:rsidRPr="00A530A3">
        <w:t xml:space="preserve"> eligible operating expense be reduced by 10</w:t>
      </w:r>
      <w:r w:rsidR="00534B0C">
        <w:t>%</w:t>
      </w:r>
      <w:r w:rsidRPr="00A530A3">
        <w:t>, then each account used to determine each rate-of-return affiliate’s eligible operating expense</w:t>
      </w:r>
      <w:r>
        <w:t>s</w:t>
      </w:r>
      <w:r w:rsidRPr="00A530A3">
        <w:t xml:space="preserve"> shall be reduced by 10</w:t>
      </w:r>
      <w:r w:rsidR="00534B0C">
        <w:t>%</w:t>
      </w:r>
      <w:r w:rsidRPr="00A530A3">
        <w:t>.</w:t>
      </w:r>
      <w:r>
        <w:rPr>
          <w:rStyle w:val="FootnoteReference"/>
        </w:rPr>
        <w:footnoteReference w:id="25"/>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26"/>
      </w:r>
    </w:p>
    <w:p w:rsidR="003F2288" w:rsidP="003F2288" w14:paraId="04E1AB61" w14:textId="77777777">
      <w:pPr>
        <w:autoSpaceDE w:val="0"/>
        <w:autoSpaceDN w:val="0"/>
        <w:adjustRightInd w:val="0"/>
        <w:ind w:firstLine="720"/>
      </w:pPr>
    </w:p>
    <w:p w:rsidR="003F2288" w:rsidP="003F2288" w14:paraId="60785499" w14:textId="77777777">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27"/>
      </w:r>
      <w:r w:rsidRPr="00A44430">
        <w:t xml:space="preserve">  </w:t>
      </w:r>
      <w:r w:rsidRPr="006650A4">
        <w:t>This cap shall remain in effect for seven years from the consummation of the transaction.</w:t>
      </w:r>
      <w:r>
        <w:rPr>
          <w:rStyle w:val="FootnoteReference"/>
        </w:rPr>
        <w:footnoteReference w:id="28"/>
      </w:r>
      <w:r w:rsidRPr="006650A4">
        <w:t xml:space="preserve">  </w:t>
      </w:r>
      <w:r w:rsidRPr="006650A4">
        <w:t xml:space="preserve">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w:t>
      </w:r>
      <w:r w:rsidR="00064A57">
        <w:t>fixed</w:t>
      </w:r>
      <w:r w:rsidRPr="006650A4">
        <w:t xml:space="preserve"> support companies at any point during the seven-year period.</w:t>
      </w:r>
      <w:r>
        <w:rPr>
          <w:rStyle w:val="FootnoteReference"/>
        </w:rPr>
        <w:footnoteReference w:id="29"/>
      </w:r>
    </w:p>
    <w:p w:rsidR="003F2288" w:rsidP="003F2288" w14:paraId="03525070" w14:textId="77777777">
      <w:pPr>
        <w:ind w:firstLine="720"/>
        <w:rPr>
          <w:color w:val="000000"/>
          <w:szCs w:val="22"/>
        </w:rPr>
      </w:pPr>
    </w:p>
    <w:p w:rsidR="003F2288" w:rsidRPr="00E415F4" w:rsidP="003F2288" w14:paraId="07E47B3C" w14:textId="77777777">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0"/>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31"/>
      </w:r>
      <w:r w:rsidRPr="00E415F4">
        <w:rPr>
          <w:color w:val="000000"/>
          <w:szCs w:val="22"/>
        </w:rPr>
        <w:t xml:space="preserve">  </w:t>
      </w:r>
    </w:p>
    <w:p w:rsidR="003F2288" w:rsidRPr="004F7405" w:rsidP="003F2288" w14:paraId="63585628" w14:textId="77777777">
      <w:pPr>
        <w:rPr>
          <w:color w:val="000000"/>
          <w:szCs w:val="22"/>
        </w:rPr>
      </w:pPr>
    </w:p>
    <w:p w:rsidR="003F2288" w:rsidP="003F2288" w14:paraId="4EEE378E" w14:textId="77777777">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bookmarkStart w:id="2" w:name="_Hlk44414719"/>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bookmarkEnd w:id="2"/>
    <w:p w:rsidR="003F2288" w:rsidP="003F2288" w14:paraId="23D616E2" w14:textId="77777777">
      <w:pPr>
        <w:ind w:firstLine="720"/>
        <w:rPr>
          <w:color w:val="000000"/>
          <w:szCs w:val="22"/>
        </w:rPr>
      </w:pPr>
    </w:p>
    <w:p w:rsidR="009560CD" w:rsidRPr="0073741A" w:rsidP="009560CD" w14:paraId="67389CD6" w14:textId="77777777">
      <w:pPr>
        <w:jc w:val="center"/>
        <w:rPr>
          <w:color w:val="000000"/>
          <w:szCs w:val="22"/>
        </w:rPr>
      </w:pPr>
      <w:r>
        <w:rPr>
          <w:color w:val="000000"/>
          <w:szCs w:val="22"/>
        </w:rPr>
        <w:t>-FCC-</w:t>
      </w:r>
    </w:p>
    <w:p w:rsidR="009560CD" w:rsidRPr="00930ECF" w:rsidP="009560CD" w14:paraId="01E5BB8D" w14:textId="77777777">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4C0CD3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231DC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6906DCD1"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0F5B70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055F" w14:paraId="376DB129" w14:textId="77777777">
      <w:r>
        <w:separator/>
      </w:r>
    </w:p>
  </w:footnote>
  <w:footnote w:type="continuationSeparator" w:id="1">
    <w:p w:rsidR="0006055F" w14:paraId="510C2E6D" w14:textId="77777777">
      <w:pPr>
        <w:rPr>
          <w:sz w:val="20"/>
        </w:rPr>
      </w:pPr>
      <w:r>
        <w:rPr>
          <w:sz w:val="20"/>
        </w:rPr>
        <w:t xml:space="preserve">(Continued from previous page)  </w:t>
      </w:r>
      <w:r>
        <w:rPr>
          <w:sz w:val="20"/>
        </w:rPr>
        <w:separator/>
      </w:r>
    </w:p>
  </w:footnote>
  <w:footnote w:type="continuationNotice" w:id="2">
    <w:p w:rsidR="0006055F" w:rsidP="009560CD" w14:paraId="3F094AE6" w14:textId="77777777">
      <w:pPr>
        <w:jc w:val="right"/>
        <w:rPr>
          <w:sz w:val="20"/>
        </w:rPr>
      </w:pPr>
      <w:r>
        <w:rPr>
          <w:sz w:val="20"/>
        </w:rPr>
        <w:t>(continued….)</w:t>
      </w:r>
    </w:p>
  </w:footnote>
  <w:footnote w:id="3">
    <w:p w:rsidR="00B0570A" w:rsidP="00B0570A" w14:paraId="557DCB89" w14:textId="08D222A0">
      <w:pPr>
        <w:rPr>
          <w:rFonts w:eastAsia="Calibri"/>
          <w:sz w:val="20"/>
        </w:rPr>
      </w:pPr>
      <w:r>
        <w:rPr>
          <w:rStyle w:val="FootnoteReference"/>
        </w:rPr>
        <w:footnoteRef/>
      </w:r>
      <w:r>
        <w:t xml:space="preserve"> </w:t>
      </w:r>
      <w:r w:rsidRPr="00204D99">
        <w:rPr>
          <w:i/>
          <w:sz w:val="20"/>
        </w:rPr>
        <w:t>See</w:t>
      </w:r>
      <w:r w:rsidRPr="00204D99">
        <w:rPr>
          <w:sz w:val="20"/>
        </w:rPr>
        <w:t xml:space="preserve"> 47 U.S.C. § 214; 47 CFR §§ 63.03-04. </w:t>
      </w:r>
      <w:r>
        <w:rPr>
          <w:sz w:val="20"/>
        </w:rPr>
        <w:t xml:space="preserve"> Application for Transfer of Control of Domestic Section 214 Authorization, WC Docket No. 20-112 (filed Apr</w:t>
      </w:r>
      <w:r w:rsidR="00AE1A28">
        <w:rPr>
          <w:sz w:val="20"/>
        </w:rPr>
        <w:t>.</w:t>
      </w:r>
      <w:r>
        <w:rPr>
          <w:sz w:val="20"/>
        </w:rPr>
        <w:t xml:space="preserve"> 24, 2020) (Application).  Applicants filed a supplement to the Application on May 1, 2020.  </w:t>
      </w:r>
      <w:r w:rsidRPr="00090770">
        <w:rPr>
          <w:sz w:val="20"/>
        </w:rPr>
        <w:t>Applicants also fil</w:t>
      </w:r>
      <w:r>
        <w:rPr>
          <w:sz w:val="20"/>
        </w:rPr>
        <w:t>ed</w:t>
      </w:r>
      <w:r w:rsidRPr="00090770">
        <w:rPr>
          <w:sz w:val="20"/>
        </w:rPr>
        <w:t xml:space="preserve"> an application for the transfer of </w:t>
      </w:r>
      <w:r>
        <w:rPr>
          <w:sz w:val="20"/>
        </w:rPr>
        <w:t xml:space="preserve">authorizations associated with wireless </w:t>
      </w:r>
      <w:r w:rsidR="000239C4">
        <w:rPr>
          <w:sz w:val="20"/>
        </w:rPr>
        <w:t>services</w:t>
      </w:r>
      <w:r w:rsidRPr="00090770">
        <w:rPr>
          <w:sz w:val="20"/>
        </w:rPr>
        <w:t>.</w:t>
      </w:r>
      <w:r>
        <w:rPr>
          <w:sz w:val="20"/>
        </w:rPr>
        <w:t xml:space="preserve"> </w:t>
      </w:r>
      <w:r w:rsidRPr="00090770">
        <w:rPr>
          <w:sz w:val="20"/>
        </w:rPr>
        <w:t xml:space="preserve"> Any action on this domestic section 214 application is without prejudice to Commission action on other related, pending applications</w:t>
      </w:r>
      <w:r w:rsidRPr="00090770">
        <w:rPr>
          <w:rFonts w:eastAsia="Calibri"/>
          <w:sz w:val="20"/>
        </w:rPr>
        <w:t>.</w:t>
      </w:r>
    </w:p>
    <w:p w:rsidR="00B0570A" w:rsidP="00B0570A" w14:paraId="55F62D32" w14:textId="77777777"/>
  </w:footnote>
  <w:footnote w:id="4">
    <w:p w:rsidR="00B0570A" w:rsidP="00B0570A" w14:paraId="2115CFB4" w14:textId="6F8EB46F">
      <w:pPr>
        <w:pStyle w:val="FootnoteText"/>
      </w:pPr>
      <w:r>
        <w:rPr>
          <w:rStyle w:val="FootnoteReference"/>
        </w:rPr>
        <w:footnoteRef/>
      </w:r>
      <w:r>
        <w:t xml:space="preserve"> </w:t>
      </w:r>
      <w:r w:rsidRPr="00336AC8">
        <w:rPr>
          <w:i/>
          <w:iCs/>
        </w:rPr>
        <w:t xml:space="preserve">Domestic Section 214 Application Filed for </w:t>
      </w:r>
      <w:r>
        <w:rPr>
          <w:i/>
          <w:iCs/>
        </w:rPr>
        <w:t>t</w:t>
      </w:r>
      <w:r w:rsidRPr="00336AC8">
        <w:rPr>
          <w:i/>
          <w:iCs/>
        </w:rPr>
        <w:t xml:space="preserve">he </w:t>
      </w:r>
      <w:r w:rsidR="00172504">
        <w:rPr>
          <w:i/>
          <w:iCs/>
        </w:rPr>
        <w:t>Transfer of Control of Bush-Tell, Inc.</w:t>
      </w:r>
      <w:r>
        <w:t xml:space="preserve">, WC Docket No. </w:t>
      </w:r>
      <w:r w:rsidR="00172504">
        <w:t>20</w:t>
      </w:r>
      <w:r>
        <w:t>-</w:t>
      </w:r>
      <w:r w:rsidR="00172504">
        <w:t>112</w:t>
      </w:r>
      <w:r>
        <w:t>, Public Notice, DA 20-</w:t>
      </w:r>
      <w:r w:rsidR="00172504">
        <w:t>506</w:t>
      </w:r>
      <w:r>
        <w:t xml:space="preserve"> (WCB </w:t>
      </w:r>
      <w:r w:rsidR="00172504">
        <w:t>May</w:t>
      </w:r>
      <w:r>
        <w:t xml:space="preserve"> </w:t>
      </w:r>
      <w:r w:rsidR="00172504">
        <w:t>12</w:t>
      </w:r>
      <w:r>
        <w:t>, 2020).</w:t>
      </w:r>
      <w:r w:rsidR="007E5F46">
        <w:t xml:space="preserve">  </w:t>
      </w:r>
    </w:p>
  </w:footnote>
  <w:footnote w:id="5">
    <w:p w:rsidR="004C1C4F" w14:paraId="5E90AA45" w14:textId="2C82D0F7">
      <w:pPr>
        <w:pStyle w:val="FootnoteText"/>
      </w:pPr>
      <w:r>
        <w:rPr>
          <w:rStyle w:val="FootnoteReference"/>
        </w:rPr>
        <w:footnoteRef/>
      </w:r>
      <w:r>
        <w:t xml:space="preserve"> Application at 1. </w:t>
      </w:r>
    </w:p>
  </w:footnote>
  <w:footnote w:id="6">
    <w:p w:rsidR="0045529B" w14:paraId="595C19D7" w14:textId="30DD3B9B">
      <w:pPr>
        <w:pStyle w:val="FootnoteText"/>
      </w:pPr>
      <w:r>
        <w:rPr>
          <w:rStyle w:val="FootnoteReference"/>
        </w:rPr>
        <w:footnoteRef/>
      </w:r>
      <w:r>
        <w:t xml:space="preserve"> </w:t>
      </w:r>
      <w:r w:rsidRPr="0045529B">
        <w:rPr>
          <w:i/>
          <w:iCs/>
        </w:rPr>
        <w:t>Wireline Competition Bureau Authorizes Alaska Plan Support for 13 Alaskan Rate-Of-Return Companies</w:t>
      </w:r>
      <w:r>
        <w:t xml:space="preserve">, Public Notice, WC Docket Nos. 10-90 and 16-271, </w:t>
      </w:r>
      <w:r w:rsidR="00AE1A28">
        <w:t xml:space="preserve">Public Notice, 31 FCC </w:t>
      </w:r>
      <w:r w:rsidR="00AE1A28">
        <w:t>Rcd</w:t>
      </w:r>
      <w:r w:rsidR="00AE1A28">
        <w:t xml:space="preserve"> 13347</w:t>
      </w:r>
      <w:r>
        <w:t xml:space="preserve"> at Appendix A (WCB 2016).</w:t>
      </w:r>
      <w:r w:rsidR="00116E56">
        <w:t xml:space="preserve">  </w:t>
      </w:r>
      <w:r w:rsidRPr="00285B65" w:rsidR="00116E56">
        <w:rPr>
          <w:snapToGrid w:val="0"/>
          <w:kern w:val="28"/>
          <w:szCs w:val="22"/>
        </w:rPr>
        <w:t xml:space="preserve">On August 23, 2016, the Federal Communications Commission (Commission) adopted the </w:t>
      </w:r>
      <w:r w:rsidRPr="00285B65" w:rsidR="00116E56">
        <w:rPr>
          <w:i/>
          <w:snapToGrid w:val="0"/>
          <w:kern w:val="28"/>
          <w:szCs w:val="22"/>
        </w:rPr>
        <w:t>Alaska Plan Order</w:t>
      </w:r>
      <w:r w:rsidRPr="00285B65" w:rsidR="00116E56">
        <w:rPr>
          <w:snapToGrid w:val="0"/>
          <w:kern w:val="28"/>
          <w:szCs w:val="22"/>
        </w:rPr>
        <w:t xml:space="preserve">.  In the </w:t>
      </w:r>
      <w:r w:rsidRPr="00285B65" w:rsidR="00116E56">
        <w:rPr>
          <w:i/>
          <w:snapToGrid w:val="0"/>
          <w:kern w:val="28"/>
          <w:szCs w:val="22"/>
        </w:rPr>
        <w:t>Alaska Plan Order</w:t>
      </w:r>
      <w:r w:rsidRPr="00285B65" w:rsidR="00116E56">
        <w:rPr>
          <w:snapToGrid w:val="0"/>
          <w:kern w:val="28"/>
          <w:szCs w:val="22"/>
        </w:rPr>
        <w:t>, the Commission provided a one-time opportunity for Alaskan rate-of-return carriers to elect to receive support frozen at adjusted 2011 levels for a 10-year term in exchange for meeting individualized performance obligations — offering voice and broadband services meeting specific service obligations at specified minimum speeds by five-year and 10-year service milestones to a specified number of locations</w:t>
      </w:r>
      <w:r w:rsidR="00116E56">
        <w:rPr>
          <w:snapToGrid w:val="0"/>
          <w:kern w:val="28"/>
          <w:szCs w:val="22"/>
        </w:rPr>
        <w:t xml:space="preserve">.  </w:t>
      </w:r>
      <w:r w:rsidRPr="00AA03F5" w:rsidR="00116E56">
        <w:rPr>
          <w:i/>
        </w:rPr>
        <w:t>Connect America Fund, et al.</w:t>
      </w:r>
      <w:r w:rsidRPr="00AA03F5" w:rsidR="00116E56">
        <w:t xml:space="preserve">, WC Docket No. 10-90 et al., Report and Order and Further Notice of Proposed Rulemaking, 31 FCC </w:t>
      </w:r>
      <w:r w:rsidRPr="00AA03F5" w:rsidR="00116E56">
        <w:t>Rcd</w:t>
      </w:r>
      <w:r w:rsidRPr="00AA03F5" w:rsidR="00116E56">
        <w:t xml:space="preserve"> 10139 (2016) (</w:t>
      </w:r>
      <w:r w:rsidRPr="00AA03F5" w:rsidR="00116E56">
        <w:rPr>
          <w:i/>
        </w:rPr>
        <w:t>Alaska Plan Order</w:t>
      </w:r>
      <w:r w:rsidRPr="00AA03F5" w:rsidR="00116E56">
        <w:t xml:space="preserve">).  </w:t>
      </w:r>
    </w:p>
  </w:footnote>
  <w:footnote w:id="7">
    <w:p w:rsidR="004C1C4F" w:rsidRPr="004C1C4F" w14:paraId="1511DCBA" w14:textId="55AC502F">
      <w:pPr>
        <w:pStyle w:val="FootnoteText"/>
      </w:pPr>
      <w:r w:rsidRPr="004C1C4F">
        <w:rPr>
          <w:rStyle w:val="FootnoteReference"/>
          <w:sz w:val="20"/>
        </w:rPr>
        <w:footnoteRef/>
      </w:r>
      <w:r w:rsidRPr="004C1C4F">
        <w:t xml:space="preserve"> Application at 2. </w:t>
      </w:r>
    </w:p>
  </w:footnote>
  <w:footnote w:id="8">
    <w:p w:rsidR="004C1C4F" w14:paraId="56DA8FA0" w14:textId="0764B2F7">
      <w:pPr>
        <w:pStyle w:val="FootnoteText"/>
      </w:pPr>
      <w:r>
        <w:rPr>
          <w:rStyle w:val="FootnoteReference"/>
        </w:rPr>
        <w:footnoteRef/>
      </w:r>
      <w:r>
        <w:t xml:space="preserve"> </w:t>
      </w:r>
      <w:r w:rsidRPr="004C1C4F">
        <w:rPr>
          <w:i/>
          <w:iCs/>
        </w:rPr>
        <w:t>Id.</w:t>
      </w:r>
      <w:r>
        <w:t xml:space="preserve"> at 7.</w:t>
      </w:r>
    </w:p>
  </w:footnote>
  <w:footnote w:id="9">
    <w:p w:rsidR="00B0570A" w:rsidRPr="00565D80" w:rsidP="00B0570A" w14:paraId="6030BC9E" w14:textId="77777777">
      <w:pPr>
        <w:pStyle w:val="FootnoteText"/>
      </w:pPr>
      <w:r w:rsidRPr="00565D80">
        <w:rPr>
          <w:rStyle w:val="FootnoteReference"/>
        </w:rPr>
        <w:footnoteRef/>
      </w:r>
      <w:r w:rsidRPr="00565D80">
        <w:t xml:space="preserve"> Eric Steinman, a U.S. citizen</w:t>
      </w:r>
      <w:r>
        <w:t>,</w:t>
      </w:r>
      <w:r w:rsidRPr="00565D80">
        <w:t xml:space="preserve"> holds over 75% of the equity and voting interest </w:t>
      </w:r>
      <w:r>
        <w:t xml:space="preserve">of Colonnade Venture Partners, LLC.  Chris Davidson, a U.S. citizen, wholly owns </w:t>
      </w:r>
      <w:r>
        <w:t>LoLo</w:t>
      </w:r>
      <w:r>
        <w:t xml:space="preserve"> Investments, LLC.  Applicants state that, after consummation of the proposed transaction, no other individual or entity will hold a 10% or greater interest in Bush-Tell.</w:t>
      </w:r>
    </w:p>
  </w:footnote>
  <w:footnote w:id="10">
    <w:p w:rsidR="00B0570A" w:rsidRPr="00976757" w:rsidP="00B0570A" w14:paraId="48C0D0FD" w14:textId="77777777">
      <w:pPr>
        <w:pStyle w:val="FootnoteText"/>
      </w:pPr>
      <w:r w:rsidRPr="00976757">
        <w:rPr>
          <w:rStyle w:val="FootnoteReference"/>
        </w:rPr>
        <w:footnoteRef/>
      </w:r>
      <w:r w:rsidRPr="00976757">
        <w:t xml:space="preserve"> </w:t>
      </w:r>
      <w:r>
        <w:rPr>
          <w:color w:val="231F20"/>
        </w:rPr>
        <w:t>Applicants provided a description of BHTI’s other operating affiliates in the Application.  Application at 7.</w:t>
      </w:r>
      <w:r w:rsidRPr="00976757">
        <w:rPr>
          <w:color w:val="231F20"/>
        </w:rPr>
        <w:t xml:space="preserve">  </w:t>
      </w:r>
    </w:p>
  </w:footnote>
  <w:footnote w:id="11">
    <w:p w:rsidR="003C13D6" w:rsidRPr="00F46420" w:rsidP="003C13D6" w14:paraId="5A5C5BAC" w14:textId="01A1C9AF">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12">
    <w:p w:rsidR="000F450D" w:rsidP="00462BEA" w14:paraId="23D39041" w14:textId="63FE437A">
      <w:pPr>
        <w:pStyle w:val="FootnoteText"/>
        <w:tabs>
          <w:tab w:val="left" w:pos="704"/>
        </w:tabs>
      </w:pPr>
      <w:r>
        <w:rPr>
          <w:rStyle w:val="FootnoteReference"/>
        </w:rPr>
        <w:footnoteRef/>
      </w:r>
      <w:r>
        <w:t xml:space="preserve"> </w:t>
      </w:r>
      <w:r w:rsidR="00462BEA">
        <w:t xml:space="preserve">Application at 2. </w:t>
      </w:r>
    </w:p>
  </w:footnote>
  <w:footnote w:id="13">
    <w:p w:rsidR="00462BEA" w14:paraId="311B4F85" w14:textId="22612067">
      <w:pPr>
        <w:pStyle w:val="FootnoteText"/>
      </w:pPr>
      <w:r>
        <w:rPr>
          <w:rStyle w:val="FootnoteReference"/>
        </w:rPr>
        <w:footnoteRef/>
      </w:r>
      <w:r>
        <w:t xml:space="preserve"> </w:t>
      </w:r>
      <w:r w:rsidRPr="00462BEA">
        <w:rPr>
          <w:i/>
          <w:iCs/>
        </w:rPr>
        <w:t>Id.</w:t>
      </w:r>
    </w:p>
  </w:footnote>
  <w:footnote w:id="14">
    <w:p w:rsidR="0047633D" w:rsidRPr="00265992" w:rsidP="0047633D" w14:paraId="37382240" w14:textId="32448625">
      <w:pPr>
        <w:pStyle w:val="FootnoteText"/>
      </w:pPr>
      <w:r w:rsidRPr="00265992">
        <w:rPr>
          <w:rStyle w:val="FootnoteReference"/>
          <w:sz w:val="20"/>
        </w:rPr>
        <w:footnoteRef/>
      </w:r>
      <w:r w:rsidRPr="00265992">
        <w:t xml:space="preserve"> </w:t>
      </w:r>
      <w:r w:rsidRPr="00265992">
        <w:rPr>
          <w:i/>
        </w:rPr>
        <w:t xml:space="preserve">Joint Application of W. Mansfield Jennings Limited Partnership and </w:t>
      </w:r>
      <w:r w:rsidRPr="00265992">
        <w:rPr>
          <w:i/>
        </w:rPr>
        <w:t>Har</w:t>
      </w:r>
      <w:r>
        <w:rPr>
          <w:i/>
        </w:rPr>
        <w:t>gray</w:t>
      </w:r>
      <w:r>
        <w:rPr>
          <w:i/>
        </w:rPr>
        <w:t xml:space="preserve"> Communications Group, Inc.</w:t>
      </w:r>
      <w:r w:rsidRPr="00265992">
        <w:rPr>
          <w:i/>
        </w:rPr>
        <w:t xml:space="preserve"> for Consent to the Transfer of Control of ComSouth Corporation Pursuant to Section 214 of the Communications Act of 1934</w:t>
      </w:r>
      <w:r w:rsidRPr="00265992">
        <w:t xml:space="preserve">, WC Docket 18-52, Memorandum Opinion and Order, </w:t>
      </w:r>
      <w:r w:rsidR="00341E18">
        <w:t xml:space="preserve">33 FCC </w:t>
      </w:r>
      <w:r w:rsidR="00341E18">
        <w:t>Rcd</w:t>
      </w:r>
      <w:r w:rsidR="00341E18">
        <w:t xml:space="preserve"> 478</w:t>
      </w:r>
      <w:r w:rsidR="00D92B9C">
        <w:t>0, 4784</w:t>
      </w:r>
      <w:r w:rsidRPr="00265992">
        <w:t>, para. 19 (2018) (</w:t>
      </w:r>
      <w:r w:rsidRPr="00265992">
        <w:rPr>
          <w:i/>
        </w:rPr>
        <w:t>Hargray</w:t>
      </w:r>
      <w:r w:rsidRPr="00265992">
        <w:rPr>
          <w:i/>
        </w:rPr>
        <w:t>/</w:t>
      </w:r>
      <w:r w:rsidRPr="00265992">
        <w:rPr>
          <w:i/>
        </w:rPr>
        <w:t>ComSouth</w:t>
      </w:r>
      <w:r w:rsidRPr="00265992">
        <w:rPr>
          <w:i/>
        </w:rPr>
        <w:t xml:space="preserve"> Order</w:t>
      </w:r>
      <w:r w:rsidRPr="00265992">
        <w:t>).</w:t>
      </w:r>
    </w:p>
  </w:footnote>
  <w:footnote w:id="15">
    <w:p w:rsidR="0047633D" w:rsidRPr="00265992" w:rsidP="0047633D" w14:paraId="7F86B864"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16">
    <w:p w:rsidR="0047633D" w:rsidRPr="00265992" w:rsidP="0047633D" w14:paraId="6E5CD341" w14:textId="77777777">
      <w:pPr>
        <w:pStyle w:val="FootnoteText"/>
      </w:pPr>
      <w:r w:rsidRPr="00265992">
        <w:rPr>
          <w:rStyle w:val="FootnoteReference"/>
          <w:sz w:val="20"/>
        </w:rPr>
        <w:footnoteRef/>
      </w:r>
      <w:r w:rsidRPr="00265992">
        <w:t xml:space="preserve"> </w:t>
      </w:r>
      <w:r w:rsidRPr="00265992">
        <w:rPr>
          <w:i/>
        </w:rPr>
        <w:t>Id</w:t>
      </w:r>
      <w:r w:rsidRPr="00265992">
        <w:t>.</w:t>
      </w:r>
    </w:p>
  </w:footnote>
  <w:footnote w:id="17">
    <w:p w:rsidR="0047633D" w:rsidRPr="00265992" w:rsidP="0047633D" w14:paraId="7A21596C" w14:textId="77777777">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18">
    <w:p w:rsidR="0047633D" w:rsidRPr="00265992" w:rsidP="0047633D" w14:paraId="6C708B54"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19">
    <w:p w:rsidR="003F2288" w:rsidRPr="00F46420" w:rsidP="003F2288" w14:paraId="349E028A" w14:textId="77777777">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0">
    <w:p w:rsidR="003F2288" w:rsidRPr="00F46420" w:rsidP="003F2288" w14:paraId="2CD426B3" w14:textId="77777777">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21">
    <w:p w:rsidR="003F2288" w:rsidRPr="00F46420" w:rsidP="003F2288" w14:paraId="61DD6E34" w14:textId="77777777">
      <w:pPr>
        <w:pStyle w:val="FootnoteText"/>
      </w:pPr>
      <w:r w:rsidRPr="00F46420">
        <w:rPr>
          <w:rStyle w:val="FootnoteReference"/>
          <w:sz w:val="20"/>
        </w:rPr>
        <w:footnoteRef/>
      </w:r>
      <w:r w:rsidRPr="00F46420">
        <w:t xml:space="preserve"> </w:t>
      </w:r>
      <w:r w:rsidRPr="00F46420">
        <w:rPr>
          <w:i/>
        </w:rPr>
        <w:t>Id.</w:t>
      </w:r>
      <w:r w:rsidRPr="00F46420">
        <w:t xml:space="preserve"> at 4788-90, paras. 26-31.</w:t>
      </w:r>
    </w:p>
  </w:footnote>
  <w:footnote w:id="22">
    <w:p w:rsidR="003F2288" w:rsidRPr="00F46420" w:rsidP="003F2288" w14:paraId="06D99E2E" w14:textId="77777777">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23">
    <w:p w:rsidR="003F2288" w:rsidRPr="00F46420" w:rsidP="003F2288" w14:paraId="659603A8" w14:textId="77777777">
      <w:pPr>
        <w:pStyle w:val="FootnoteText"/>
      </w:pPr>
      <w:r w:rsidRPr="00F46420">
        <w:rPr>
          <w:rStyle w:val="FootnoteReference"/>
          <w:sz w:val="20"/>
        </w:rPr>
        <w:footnoteRef/>
      </w:r>
      <w:r w:rsidRPr="00F46420">
        <w:t xml:space="preserve"> </w:t>
      </w:r>
      <w:r w:rsidRPr="00F46420">
        <w:rPr>
          <w:i/>
        </w:rPr>
        <w:t>Hargray</w:t>
      </w:r>
      <w:r w:rsidRPr="00F46420">
        <w:rPr>
          <w:i/>
        </w:rPr>
        <w:t>/</w:t>
      </w:r>
      <w:r w:rsidRPr="00F46420">
        <w:rPr>
          <w:i/>
        </w:rPr>
        <w:t>ComSouth</w:t>
      </w:r>
      <w:r w:rsidRPr="00F46420">
        <w:rPr>
          <w:i/>
        </w:rPr>
        <w:t xml:space="preserve"> Order </w:t>
      </w:r>
      <w:r w:rsidRPr="00F46420">
        <w:t>at 4788-89, para. 27.  The cap will apply to the combined operating expenses of the post-consummation compan</w:t>
      </w:r>
      <w:r w:rsidR="00534B0C">
        <w:t>y</w:t>
      </w:r>
      <w:r w:rsidRPr="00F46420">
        <w:t xml:space="preserve"> and any other existing rate-of-return affiliates </w:t>
      </w:r>
      <w:r w:rsidR="00534B0C">
        <w:t>acquired</w:t>
      </w:r>
      <w:r w:rsidRPr="00F46420">
        <w:t xml:space="preserv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24">
    <w:p w:rsidR="003F2288" w:rsidRPr="00F46420" w:rsidP="003F2288" w14:paraId="47171FAB" w14:textId="77777777">
      <w:pPr>
        <w:pStyle w:val="FootnoteText"/>
      </w:pPr>
      <w:r w:rsidRPr="00F46420">
        <w:rPr>
          <w:rStyle w:val="FootnoteReference"/>
          <w:sz w:val="20"/>
        </w:rPr>
        <w:footnoteRef/>
      </w:r>
      <w:r w:rsidRPr="00F46420">
        <w:t xml:space="preserve"> </w:t>
      </w:r>
      <w:r w:rsidR="00534B0C">
        <w:rPr>
          <w:i/>
          <w:iCs/>
        </w:rPr>
        <w:t>Id</w:t>
      </w:r>
      <w:r w:rsidR="00534B0C">
        <w:t>.</w:t>
      </w:r>
      <w:r w:rsidRPr="00F46420">
        <w:t xml:space="preserve"> at 4789, para. 28.</w:t>
      </w:r>
    </w:p>
  </w:footnote>
  <w:footnote w:id="25">
    <w:p w:rsidR="003F2288" w:rsidRPr="00F46420" w:rsidP="003F2288" w14:paraId="5D26C294" w14:textId="77777777">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26">
    <w:p w:rsidR="003F2288" w:rsidRPr="00F46420" w:rsidP="003F2288" w14:paraId="33039157" w14:textId="77777777">
      <w:pPr>
        <w:pStyle w:val="FootnoteText"/>
      </w:pPr>
      <w:r w:rsidRPr="00F46420">
        <w:rPr>
          <w:rStyle w:val="FootnoteReference"/>
          <w:sz w:val="20"/>
        </w:rPr>
        <w:footnoteRef/>
      </w:r>
      <w:r w:rsidRPr="00F46420">
        <w:t xml:space="preserve"> </w:t>
      </w:r>
      <w:r w:rsidRPr="00F46420">
        <w:rPr>
          <w:i/>
        </w:rPr>
        <w:t>Id.</w:t>
      </w:r>
    </w:p>
  </w:footnote>
  <w:footnote w:id="27">
    <w:p w:rsidR="003F2288" w:rsidRPr="00F46420" w:rsidP="003F2288" w14:paraId="2AEB8DD3" w14:textId="77777777">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28">
    <w:p w:rsidR="003F2288" w:rsidRPr="00F46420" w:rsidP="003F2288" w14:paraId="29AC9B9D" w14:textId="77777777">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p>
  </w:footnote>
  <w:footnote w:id="29">
    <w:p w:rsidR="003F2288" w:rsidRPr="00F46420" w:rsidP="003F2288" w14:paraId="5DDAA635" w14:textId="77777777">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0">
    <w:p w:rsidR="003F2288" w:rsidRPr="00F46420" w:rsidP="003F2288" w14:paraId="282726BB" w14:textId="77777777">
      <w:pPr>
        <w:pStyle w:val="FootnoteText"/>
        <w:rPr>
          <w:iCs/>
          <w:color w:val="212121"/>
        </w:rPr>
      </w:pPr>
      <w:r w:rsidRPr="00F46420">
        <w:rPr>
          <w:rStyle w:val="FootnoteReference"/>
          <w:sz w:val="20"/>
        </w:rPr>
        <w:footnoteRef/>
      </w:r>
      <w:r w:rsidRPr="00F46420">
        <w:t xml:space="preserve"> </w:t>
      </w:r>
      <w:bookmarkStart w:id="1" w:name="_Hlk34313410"/>
      <w:r w:rsidRPr="00B76D5C">
        <w:rPr>
          <w:i/>
          <w:iCs/>
        </w:rPr>
        <w:t>See</w:t>
      </w:r>
      <w:r w:rsidRPr="00B76D5C">
        <w:t> </w:t>
      </w:r>
      <w:hyperlink r:id="rId2" w:anchor="co_pp_8b3b0000958a4" w:history="1">
        <w:r w:rsidRPr="00B76D5C">
          <w:t>47 U.S.C. § 214(a)</w:t>
        </w:r>
      </w:hyperlink>
      <w:r w:rsidRPr="00B76D5C">
        <w:t>; </w:t>
      </w:r>
      <w:hyperlink r:id="rId3" w:history="1">
        <w:r w:rsidRPr="00B76D5C">
          <w:t>47 CFR § 63.03</w:t>
        </w:r>
      </w:hyperlink>
      <w:r w:rsidRPr="00B76D5C">
        <w:t>.</w:t>
      </w:r>
      <w:bookmarkEnd w:id="1"/>
    </w:p>
  </w:footnote>
  <w:footnote w:id="31">
    <w:p w:rsidR="003F2288" w:rsidRPr="00F46420" w:rsidP="003F2288" w14:paraId="0105A7DC" w14:textId="77777777">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provide incumbent LEC services in their respective study areas.  Within 30 days of closing the proposed transaction,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2E9C56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34ED7A4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51947DF9" w14:textId="77777777">
                    <w:pPr>
                      <w:rPr>
                        <w:rFonts w:ascii="Arial" w:hAnsi="Arial"/>
                        <w:b/>
                      </w:rPr>
                    </w:pPr>
                    <w:r>
                      <w:rPr>
                        <w:rFonts w:ascii="Arial" w:hAnsi="Arial"/>
                        <w:b/>
                      </w:rPr>
                      <w:t>Federal Communications Commission</w:t>
                    </w:r>
                  </w:p>
                  <w:p w:rsidR="009560CD" w:rsidP="009560CD" w14:paraId="48B19BE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paraId="60B72D6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15792AE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6FA48366" w14:textId="77777777">
                    <w:pPr>
                      <w:spacing w:before="40"/>
                      <w:jc w:val="right"/>
                      <w:rPr>
                        <w:rFonts w:ascii="Arial" w:hAnsi="Arial"/>
                        <w:b/>
                        <w:sz w:val="16"/>
                      </w:rPr>
                    </w:pPr>
                    <w:r>
                      <w:rPr>
                        <w:rFonts w:ascii="Arial" w:hAnsi="Arial"/>
                        <w:b/>
                        <w:sz w:val="16"/>
                      </w:rPr>
                      <w:t>News Media Information 202 / 418-0500</w:t>
                    </w:r>
                  </w:p>
                  <w:p w:rsidR="009560CD" w:rsidP="009560CD" w14:paraId="1551E342"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560CD" w:rsidP="009560CD" w14:paraId="0188108E" w14:textId="77777777">
                    <w:pPr>
                      <w:jc w:val="right"/>
                    </w:pPr>
                    <w:r>
                      <w:rPr>
                        <w:rFonts w:ascii="Arial" w:hAnsi="Arial"/>
                        <w:b/>
                        <w:sz w:val="16"/>
                      </w:rPr>
                      <w:t>TTY: 1-888-835-5322</w:t>
                    </w:r>
                  </w:p>
                </w:txbxContent>
              </v:textbox>
            </v:shape>
          </w:pict>
        </mc:Fallback>
      </mc:AlternateContent>
    </w:r>
  </w:p>
  <w:p w:rsidR="009560CD" w:rsidRPr="009838BC" w:rsidP="009560CD" w14:paraId="646F6E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239C4"/>
    <w:rsid w:val="00034BE8"/>
    <w:rsid w:val="000372E6"/>
    <w:rsid w:val="000418D2"/>
    <w:rsid w:val="0004613C"/>
    <w:rsid w:val="00050449"/>
    <w:rsid w:val="000524B4"/>
    <w:rsid w:val="0006055F"/>
    <w:rsid w:val="00062A4F"/>
    <w:rsid w:val="00064A57"/>
    <w:rsid w:val="0006543D"/>
    <w:rsid w:val="00065809"/>
    <w:rsid w:val="00081548"/>
    <w:rsid w:val="00090770"/>
    <w:rsid w:val="00097664"/>
    <w:rsid w:val="000A4D44"/>
    <w:rsid w:val="000A6021"/>
    <w:rsid w:val="000B0AF7"/>
    <w:rsid w:val="000D6AF4"/>
    <w:rsid w:val="000D782A"/>
    <w:rsid w:val="000E7034"/>
    <w:rsid w:val="000E78BD"/>
    <w:rsid w:val="000F4074"/>
    <w:rsid w:val="000F450D"/>
    <w:rsid w:val="000F5D40"/>
    <w:rsid w:val="00105A80"/>
    <w:rsid w:val="001073F8"/>
    <w:rsid w:val="00110252"/>
    <w:rsid w:val="00113574"/>
    <w:rsid w:val="00116E56"/>
    <w:rsid w:val="0011735A"/>
    <w:rsid w:val="00121DB7"/>
    <w:rsid w:val="001401F3"/>
    <w:rsid w:val="001407B1"/>
    <w:rsid w:val="00141A16"/>
    <w:rsid w:val="001503AE"/>
    <w:rsid w:val="001539FC"/>
    <w:rsid w:val="00163C91"/>
    <w:rsid w:val="00164EFA"/>
    <w:rsid w:val="00166B5D"/>
    <w:rsid w:val="00170171"/>
    <w:rsid w:val="00172504"/>
    <w:rsid w:val="001761B2"/>
    <w:rsid w:val="00177B81"/>
    <w:rsid w:val="00191F3D"/>
    <w:rsid w:val="001D1964"/>
    <w:rsid w:val="001D4DD9"/>
    <w:rsid w:val="001E44A8"/>
    <w:rsid w:val="001E6D45"/>
    <w:rsid w:val="001F4EB1"/>
    <w:rsid w:val="001F6A0C"/>
    <w:rsid w:val="002025B5"/>
    <w:rsid w:val="0020405A"/>
    <w:rsid w:val="00204D99"/>
    <w:rsid w:val="00205454"/>
    <w:rsid w:val="002142F7"/>
    <w:rsid w:val="0023170B"/>
    <w:rsid w:val="0023369C"/>
    <w:rsid w:val="002350C2"/>
    <w:rsid w:val="002470F8"/>
    <w:rsid w:val="0025269E"/>
    <w:rsid w:val="002538EE"/>
    <w:rsid w:val="002574B7"/>
    <w:rsid w:val="00257C5D"/>
    <w:rsid w:val="00264EFA"/>
    <w:rsid w:val="00265992"/>
    <w:rsid w:val="002707E1"/>
    <w:rsid w:val="002738F1"/>
    <w:rsid w:val="00277A7E"/>
    <w:rsid w:val="00285B65"/>
    <w:rsid w:val="00286FDD"/>
    <w:rsid w:val="00292AE8"/>
    <w:rsid w:val="002940B4"/>
    <w:rsid w:val="002A13B7"/>
    <w:rsid w:val="002B101C"/>
    <w:rsid w:val="002B13E2"/>
    <w:rsid w:val="002B3A65"/>
    <w:rsid w:val="002E44D9"/>
    <w:rsid w:val="002F0235"/>
    <w:rsid w:val="00301D79"/>
    <w:rsid w:val="00306EEF"/>
    <w:rsid w:val="00325C8A"/>
    <w:rsid w:val="00325FA0"/>
    <w:rsid w:val="003338CD"/>
    <w:rsid w:val="00335DC9"/>
    <w:rsid w:val="00336AC8"/>
    <w:rsid w:val="00341E18"/>
    <w:rsid w:val="00346506"/>
    <w:rsid w:val="003546A9"/>
    <w:rsid w:val="00356188"/>
    <w:rsid w:val="00357D50"/>
    <w:rsid w:val="00360A25"/>
    <w:rsid w:val="00361E29"/>
    <w:rsid w:val="00373C2C"/>
    <w:rsid w:val="003752FC"/>
    <w:rsid w:val="0038358F"/>
    <w:rsid w:val="00384183"/>
    <w:rsid w:val="00386B01"/>
    <w:rsid w:val="003870E8"/>
    <w:rsid w:val="003915EF"/>
    <w:rsid w:val="00391D67"/>
    <w:rsid w:val="00392396"/>
    <w:rsid w:val="003C13D6"/>
    <w:rsid w:val="003C4042"/>
    <w:rsid w:val="003C564B"/>
    <w:rsid w:val="003D22F9"/>
    <w:rsid w:val="003E5F04"/>
    <w:rsid w:val="003F2288"/>
    <w:rsid w:val="003F5C32"/>
    <w:rsid w:val="003F5FD5"/>
    <w:rsid w:val="0041513E"/>
    <w:rsid w:val="00422637"/>
    <w:rsid w:val="00423648"/>
    <w:rsid w:val="00427EB3"/>
    <w:rsid w:val="0044021E"/>
    <w:rsid w:val="0044046E"/>
    <w:rsid w:val="00445585"/>
    <w:rsid w:val="0045382B"/>
    <w:rsid w:val="0045529B"/>
    <w:rsid w:val="00462BEA"/>
    <w:rsid w:val="00472D8C"/>
    <w:rsid w:val="004762AB"/>
    <w:rsid w:val="0047633D"/>
    <w:rsid w:val="004763C8"/>
    <w:rsid w:val="00484D17"/>
    <w:rsid w:val="00485F44"/>
    <w:rsid w:val="00495353"/>
    <w:rsid w:val="00496424"/>
    <w:rsid w:val="004A0B35"/>
    <w:rsid w:val="004B1DE5"/>
    <w:rsid w:val="004B5558"/>
    <w:rsid w:val="004B6CF4"/>
    <w:rsid w:val="004B7EBD"/>
    <w:rsid w:val="004C1C4F"/>
    <w:rsid w:val="004C3980"/>
    <w:rsid w:val="004C39E4"/>
    <w:rsid w:val="004C52B2"/>
    <w:rsid w:val="004E02FE"/>
    <w:rsid w:val="004F0B5B"/>
    <w:rsid w:val="004F340A"/>
    <w:rsid w:val="004F37A3"/>
    <w:rsid w:val="004F659A"/>
    <w:rsid w:val="004F7405"/>
    <w:rsid w:val="00516504"/>
    <w:rsid w:val="00533D3B"/>
    <w:rsid w:val="00534B0C"/>
    <w:rsid w:val="0054080B"/>
    <w:rsid w:val="00554A55"/>
    <w:rsid w:val="00557F9A"/>
    <w:rsid w:val="00561173"/>
    <w:rsid w:val="00565A49"/>
    <w:rsid w:val="00565D80"/>
    <w:rsid w:val="00566466"/>
    <w:rsid w:val="005708F1"/>
    <w:rsid w:val="00576F3C"/>
    <w:rsid w:val="005812EE"/>
    <w:rsid w:val="0058534C"/>
    <w:rsid w:val="005874E5"/>
    <w:rsid w:val="005B0BA9"/>
    <w:rsid w:val="005B1800"/>
    <w:rsid w:val="005B75B3"/>
    <w:rsid w:val="005C2671"/>
    <w:rsid w:val="005C3880"/>
    <w:rsid w:val="005C4B42"/>
    <w:rsid w:val="005C5609"/>
    <w:rsid w:val="005C7D71"/>
    <w:rsid w:val="005F4E54"/>
    <w:rsid w:val="00600899"/>
    <w:rsid w:val="00611481"/>
    <w:rsid w:val="0061344C"/>
    <w:rsid w:val="00613C3A"/>
    <w:rsid w:val="00622DF5"/>
    <w:rsid w:val="00626DE6"/>
    <w:rsid w:val="00640931"/>
    <w:rsid w:val="00647A6E"/>
    <w:rsid w:val="00653788"/>
    <w:rsid w:val="00654741"/>
    <w:rsid w:val="006614C1"/>
    <w:rsid w:val="006650A4"/>
    <w:rsid w:val="006657C3"/>
    <w:rsid w:val="00677C03"/>
    <w:rsid w:val="0068256F"/>
    <w:rsid w:val="0068538C"/>
    <w:rsid w:val="00696C93"/>
    <w:rsid w:val="006A65D3"/>
    <w:rsid w:val="006B0317"/>
    <w:rsid w:val="006B6FEB"/>
    <w:rsid w:val="006D2EA5"/>
    <w:rsid w:val="006D5E3A"/>
    <w:rsid w:val="006E68A2"/>
    <w:rsid w:val="00702179"/>
    <w:rsid w:val="00702592"/>
    <w:rsid w:val="00706977"/>
    <w:rsid w:val="007069DD"/>
    <w:rsid w:val="00711614"/>
    <w:rsid w:val="00714BDA"/>
    <w:rsid w:val="00727FFE"/>
    <w:rsid w:val="007305E9"/>
    <w:rsid w:val="0073741A"/>
    <w:rsid w:val="00743A97"/>
    <w:rsid w:val="00750859"/>
    <w:rsid w:val="0075234E"/>
    <w:rsid w:val="00756CF7"/>
    <w:rsid w:val="00762CDC"/>
    <w:rsid w:val="00764286"/>
    <w:rsid w:val="00766B73"/>
    <w:rsid w:val="00767932"/>
    <w:rsid w:val="0077087C"/>
    <w:rsid w:val="00777263"/>
    <w:rsid w:val="007C02C8"/>
    <w:rsid w:val="007C69C8"/>
    <w:rsid w:val="007E5F46"/>
    <w:rsid w:val="00803316"/>
    <w:rsid w:val="00804B0E"/>
    <w:rsid w:val="008103A8"/>
    <w:rsid w:val="0081347F"/>
    <w:rsid w:val="0082446B"/>
    <w:rsid w:val="00827491"/>
    <w:rsid w:val="00832947"/>
    <w:rsid w:val="0083415B"/>
    <w:rsid w:val="00834342"/>
    <w:rsid w:val="008454A4"/>
    <w:rsid w:val="008473D9"/>
    <w:rsid w:val="0085405E"/>
    <w:rsid w:val="008571DC"/>
    <w:rsid w:val="00870737"/>
    <w:rsid w:val="00871F43"/>
    <w:rsid w:val="00872C6A"/>
    <w:rsid w:val="0087682A"/>
    <w:rsid w:val="008A5C2D"/>
    <w:rsid w:val="008A5FEF"/>
    <w:rsid w:val="008B1967"/>
    <w:rsid w:val="008B3790"/>
    <w:rsid w:val="008B4602"/>
    <w:rsid w:val="008B63B6"/>
    <w:rsid w:val="008C7AD1"/>
    <w:rsid w:val="008D2EB0"/>
    <w:rsid w:val="008E09B6"/>
    <w:rsid w:val="008E4CC6"/>
    <w:rsid w:val="008F04B1"/>
    <w:rsid w:val="008F60C6"/>
    <w:rsid w:val="009061CF"/>
    <w:rsid w:val="009120C4"/>
    <w:rsid w:val="00930423"/>
    <w:rsid w:val="00930ECF"/>
    <w:rsid w:val="009322C0"/>
    <w:rsid w:val="00933DC6"/>
    <w:rsid w:val="009423B4"/>
    <w:rsid w:val="00945B79"/>
    <w:rsid w:val="00950931"/>
    <w:rsid w:val="009560CD"/>
    <w:rsid w:val="00960E82"/>
    <w:rsid w:val="00976757"/>
    <w:rsid w:val="009838BC"/>
    <w:rsid w:val="00994314"/>
    <w:rsid w:val="009A0A07"/>
    <w:rsid w:val="009B0F0C"/>
    <w:rsid w:val="009B5A07"/>
    <w:rsid w:val="009C7271"/>
    <w:rsid w:val="009D2F73"/>
    <w:rsid w:val="009D361F"/>
    <w:rsid w:val="009D5706"/>
    <w:rsid w:val="009E703B"/>
    <w:rsid w:val="009E70CB"/>
    <w:rsid w:val="00A018C5"/>
    <w:rsid w:val="00A04201"/>
    <w:rsid w:val="00A426A6"/>
    <w:rsid w:val="00A44430"/>
    <w:rsid w:val="00A530A3"/>
    <w:rsid w:val="00A53330"/>
    <w:rsid w:val="00A65DF7"/>
    <w:rsid w:val="00A82512"/>
    <w:rsid w:val="00A866AC"/>
    <w:rsid w:val="00A90863"/>
    <w:rsid w:val="00AA03F5"/>
    <w:rsid w:val="00AB2ED7"/>
    <w:rsid w:val="00AB699D"/>
    <w:rsid w:val="00AC00DB"/>
    <w:rsid w:val="00AC5680"/>
    <w:rsid w:val="00AC7A38"/>
    <w:rsid w:val="00AD017F"/>
    <w:rsid w:val="00AD18BA"/>
    <w:rsid w:val="00AE12BC"/>
    <w:rsid w:val="00AE1A28"/>
    <w:rsid w:val="00AE3359"/>
    <w:rsid w:val="00AE5FA3"/>
    <w:rsid w:val="00B038EB"/>
    <w:rsid w:val="00B0570A"/>
    <w:rsid w:val="00B16ACF"/>
    <w:rsid w:val="00B17585"/>
    <w:rsid w:val="00B2241A"/>
    <w:rsid w:val="00B45C5D"/>
    <w:rsid w:val="00B5779E"/>
    <w:rsid w:val="00B76D5C"/>
    <w:rsid w:val="00B80854"/>
    <w:rsid w:val="00B9233A"/>
    <w:rsid w:val="00BA5EC1"/>
    <w:rsid w:val="00BB23E9"/>
    <w:rsid w:val="00BB5719"/>
    <w:rsid w:val="00BC767F"/>
    <w:rsid w:val="00BD076D"/>
    <w:rsid w:val="00BD7197"/>
    <w:rsid w:val="00BE1D98"/>
    <w:rsid w:val="00BF492A"/>
    <w:rsid w:val="00C021C8"/>
    <w:rsid w:val="00C0281C"/>
    <w:rsid w:val="00C0409C"/>
    <w:rsid w:val="00C04EBC"/>
    <w:rsid w:val="00C05D47"/>
    <w:rsid w:val="00C06EE4"/>
    <w:rsid w:val="00C13A13"/>
    <w:rsid w:val="00C16154"/>
    <w:rsid w:val="00C16D24"/>
    <w:rsid w:val="00C23F1A"/>
    <w:rsid w:val="00C24C5F"/>
    <w:rsid w:val="00C26786"/>
    <w:rsid w:val="00C3081E"/>
    <w:rsid w:val="00C373AB"/>
    <w:rsid w:val="00C4042C"/>
    <w:rsid w:val="00C44427"/>
    <w:rsid w:val="00C460C9"/>
    <w:rsid w:val="00C50EBF"/>
    <w:rsid w:val="00C576F0"/>
    <w:rsid w:val="00C66D1D"/>
    <w:rsid w:val="00C710E0"/>
    <w:rsid w:val="00C8359B"/>
    <w:rsid w:val="00C847FD"/>
    <w:rsid w:val="00CA1BA1"/>
    <w:rsid w:val="00CA316D"/>
    <w:rsid w:val="00CA3C7A"/>
    <w:rsid w:val="00CB6D42"/>
    <w:rsid w:val="00CC0210"/>
    <w:rsid w:val="00CC46AA"/>
    <w:rsid w:val="00CC4A75"/>
    <w:rsid w:val="00CC4C1E"/>
    <w:rsid w:val="00CC62D8"/>
    <w:rsid w:val="00CD4064"/>
    <w:rsid w:val="00CD40D8"/>
    <w:rsid w:val="00CE77C6"/>
    <w:rsid w:val="00CF4485"/>
    <w:rsid w:val="00CF5D99"/>
    <w:rsid w:val="00D00C2E"/>
    <w:rsid w:val="00D01D05"/>
    <w:rsid w:val="00D115F7"/>
    <w:rsid w:val="00D116C2"/>
    <w:rsid w:val="00D14CC0"/>
    <w:rsid w:val="00D216CD"/>
    <w:rsid w:val="00D260D4"/>
    <w:rsid w:val="00D438C7"/>
    <w:rsid w:val="00D5278C"/>
    <w:rsid w:val="00D54847"/>
    <w:rsid w:val="00D60708"/>
    <w:rsid w:val="00D62FBC"/>
    <w:rsid w:val="00D708CD"/>
    <w:rsid w:val="00D77F6C"/>
    <w:rsid w:val="00D92B9C"/>
    <w:rsid w:val="00DA34DD"/>
    <w:rsid w:val="00DA6514"/>
    <w:rsid w:val="00DC32C3"/>
    <w:rsid w:val="00DC3493"/>
    <w:rsid w:val="00DC3725"/>
    <w:rsid w:val="00DE4ABF"/>
    <w:rsid w:val="00DE5A50"/>
    <w:rsid w:val="00DE7B1E"/>
    <w:rsid w:val="00E0389F"/>
    <w:rsid w:val="00E20623"/>
    <w:rsid w:val="00E2331D"/>
    <w:rsid w:val="00E25C28"/>
    <w:rsid w:val="00E342F6"/>
    <w:rsid w:val="00E415F4"/>
    <w:rsid w:val="00E432B8"/>
    <w:rsid w:val="00E50942"/>
    <w:rsid w:val="00E51A89"/>
    <w:rsid w:val="00E556AA"/>
    <w:rsid w:val="00E572E9"/>
    <w:rsid w:val="00E619D6"/>
    <w:rsid w:val="00E63E39"/>
    <w:rsid w:val="00E64CE6"/>
    <w:rsid w:val="00E6719E"/>
    <w:rsid w:val="00E679CD"/>
    <w:rsid w:val="00E70943"/>
    <w:rsid w:val="00E7470B"/>
    <w:rsid w:val="00EB3799"/>
    <w:rsid w:val="00ED2AC4"/>
    <w:rsid w:val="00ED32C7"/>
    <w:rsid w:val="00EE03EA"/>
    <w:rsid w:val="00EE3B42"/>
    <w:rsid w:val="00EE568B"/>
    <w:rsid w:val="00EE65ED"/>
    <w:rsid w:val="00EF299B"/>
    <w:rsid w:val="00F10C9D"/>
    <w:rsid w:val="00F11B64"/>
    <w:rsid w:val="00F142E2"/>
    <w:rsid w:val="00F25E01"/>
    <w:rsid w:val="00F2676B"/>
    <w:rsid w:val="00F336F1"/>
    <w:rsid w:val="00F46084"/>
    <w:rsid w:val="00F46420"/>
    <w:rsid w:val="00F61613"/>
    <w:rsid w:val="00F70187"/>
    <w:rsid w:val="00F9008E"/>
    <w:rsid w:val="00F9389F"/>
    <w:rsid w:val="00FA3C30"/>
    <w:rsid w:val="00FB2BBF"/>
    <w:rsid w:val="00FC7A60"/>
    <w:rsid w:val="00FD3FFD"/>
    <w:rsid w:val="00FD42AF"/>
    <w:rsid w:val="00FE0C05"/>
    <w:rsid w:val="00FE52EB"/>
    <w:rsid w:val="00FE6A0C"/>
    <w:rsid w:val="00FF0304"/>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297AF8-2986-4B73-BAC4-9FE8FBF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A2"/>
    <w:pPr>
      <w:widowControl w:val="0"/>
    </w:pPr>
    <w:rPr>
      <w:snapToGrid w:val="0"/>
      <w:kern w:val="28"/>
      <w:sz w:val="22"/>
      <w:lang w:eastAsia="en-US"/>
    </w:rPr>
  </w:style>
  <w:style w:type="paragraph" w:styleId="Heading1">
    <w:name w:val="heading 1"/>
    <w:basedOn w:val="Normal"/>
    <w:next w:val="ParaNum"/>
    <w:qFormat/>
    <w:rsid w:val="006E68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68A2"/>
    <w:pPr>
      <w:keepNext/>
      <w:numPr>
        <w:ilvl w:val="1"/>
        <w:numId w:val="3"/>
      </w:numPr>
      <w:spacing w:after="120"/>
      <w:outlineLvl w:val="1"/>
    </w:pPr>
    <w:rPr>
      <w:b/>
    </w:rPr>
  </w:style>
  <w:style w:type="paragraph" w:styleId="Heading3">
    <w:name w:val="heading 3"/>
    <w:basedOn w:val="Normal"/>
    <w:next w:val="ParaNum"/>
    <w:qFormat/>
    <w:rsid w:val="006E68A2"/>
    <w:pPr>
      <w:keepNext/>
      <w:numPr>
        <w:ilvl w:val="2"/>
        <w:numId w:val="3"/>
      </w:numPr>
      <w:tabs>
        <w:tab w:val="left" w:pos="2160"/>
      </w:tabs>
      <w:spacing w:after="120"/>
      <w:outlineLvl w:val="2"/>
    </w:pPr>
    <w:rPr>
      <w:b/>
    </w:rPr>
  </w:style>
  <w:style w:type="paragraph" w:styleId="Heading4">
    <w:name w:val="heading 4"/>
    <w:basedOn w:val="Normal"/>
    <w:next w:val="ParaNum"/>
    <w:qFormat/>
    <w:rsid w:val="006E68A2"/>
    <w:pPr>
      <w:keepNext/>
      <w:numPr>
        <w:ilvl w:val="3"/>
        <w:numId w:val="3"/>
      </w:numPr>
      <w:tabs>
        <w:tab w:val="left" w:pos="2880"/>
      </w:tabs>
      <w:spacing w:after="120"/>
      <w:outlineLvl w:val="3"/>
    </w:pPr>
    <w:rPr>
      <w:b/>
    </w:rPr>
  </w:style>
  <w:style w:type="paragraph" w:styleId="Heading5">
    <w:name w:val="heading 5"/>
    <w:basedOn w:val="Normal"/>
    <w:next w:val="ParaNum"/>
    <w:qFormat/>
    <w:rsid w:val="006E68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68A2"/>
    <w:pPr>
      <w:numPr>
        <w:ilvl w:val="5"/>
        <w:numId w:val="3"/>
      </w:numPr>
      <w:tabs>
        <w:tab w:val="left" w:pos="4320"/>
      </w:tabs>
      <w:spacing w:after="120"/>
      <w:outlineLvl w:val="5"/>
    </w:pPr>
    <w:rPr>
      <w:b/>
    </w:rPr>
  </w:style>
  <w:style w:type="paragraph" w:styleId="Heading7">
    <w:name w:val="heading 7"/>
    <w:basedOn w:val="Normal"/>
    <w:next w:val="ParaNum"/>
    <w:qFormat/>
    <w:rsid w:val="006E68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68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68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E68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E68A2"/>
  </w:style>
  <w:style w:type="paragraph" w:customStyle="1" w:styleId="ParaNum">
    <w:name w:val="ParaNum"/>
    <w:basedOn w:val="Normal"/>
    <w:rsid w:val="006E68A2"/>
    <w:pPr>
      <w:numPr>
        <w:numId w:val="2"/>
      </w:numPr>
      <w:tabs>
        <w:tab w:val="clear" w:pos="1080"/>
        <w:tab w:val="num" w:pos="1440"/>
      </w:tabs>
      <w:spacing w:after="120"/>
    </w:pPr>
  </w:style>
  <w:style w:type="paragraph" w:styleId="EndnoteText">
    <w:name w:val="endnote text"/>
    <w:basedOn w:val="Normal"/>
    <w:semiHidden/>
    <w:rsid w:val="006E68A2"/>
    <w:rPr>
      <w:sz w:val="20"/>
    </w:rPr>
  </w:style>
  <w:style w:type="character" w:styleId="EndnoteReference">
    <w:name w:val="endnote reference"/>
    <w:semiHidden/>
    <w:rsid w:val="006E68A2"/>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6E68A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E68A2"/>
    <w:rPr>
      <w:rFonts w:ascii="Times New Roman" w:hAnsi="Times New Roman"/>
      <w:dstrike w:val="0"/>
      <w:color w:val="auto"/>
      <w:sz w:val="22"/>
      <w:vertAlign w:val="superscript"/>
    </w:rPr>
  </w:style>
  <w:style w:type="paragraph" w:styleId="TOC1">
    <w:name w:val="toc 1"/>
    <w:basedOn w:val="Normal"/>
    <w:next w:val="Normal"/>
    <w:uiPriority w:val="39"/>
    <w:rsid w:val="006E68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68A2"/>
    <w:pPr>
      <w:tabs>
        <w:tab w:val="left" w:pos="720"/>
        <w:tab w:val="right" w:leader="dot" w:pos="9360"/>
      </w:tabs>
      <w:suppressAutoHyphens/>
      <w:ind w:left="720" w:right="720" w:hanging="360"/>
    </w:pPr>
    <w:rPr>
      <w:noProof/>
    </w:rPr>
  </w:style>
  <w:style w:type="paragraph" w:styleId="TOC3">
    <w:name w:val="toc 3"/>
    <w:basedOn w:val="Normal"/>
    <w:next w:val="Normal"/>
    <w:semiHidden/>
    <w:rsid w:val="006E68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68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68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68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68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68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68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68A2"/>
    <w:pPr>
      <w:tabs>
        <w:tab w:val="right" w:pos="9360"/>
      </w:tabs>
      <w:suppressAutoHyphens/>
    </w:pPr>
  </w:style>
  <w:style w:type="character" w:customStyle="1" w:styleId="EquationCaption">
    <w:name w:val="_Equation Caption"/>
    <w:rsid w:val="006E68A2"/>
  </w:style>
  <w:style w:type="paragraph" w:styleId="Header">
    <w:name w:val="header"/>
    <w:basedOn w:val="Normal"/>
    <w:autoRedefine/>
    <w:rsid w:val="006E68A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E68A2"/>
    <w:pPr>
      <w:tabs>
        <w:tab w:val="center" w:pos="4320"/>
        <w:tab w:val="right" w:pos="8640"/>
      </w:tabs>
    </w:pPr>
  </w:style>
  <w:style w:type="character" w:styleId="PageNumber">
    <w:name w:val="page number"/>
    <w:basedOn w:val="DefaultParagraphFont"/>
    <w:rsid w:val="006E68A2"/>
  </w:style>
  <w:style w:type="paragraph" w:styleId="BlockText">
    <w:name w:val="Block Text"/>
    <w:basedOn w:val="Normal"/>
    <w:rsid w:val="006E68A2"/>
    <w:pPr>
      <w:spacing w:after="240"/>
      <w:ind w:left="1440" w:right="1440"/>
    </w:pPr>
  </w:style>
  <w:style w:type="paragraph" w:customStyle="1" w:styleId="Paratitle">
    <w:name w:val="Para title"/>
    <w:basedOn w:val="Normal"/>
    <w:rsid w:val="006E68A2"/>
    <w:pPr>
      <w:tabs>
        <w:tab w:val="center" w:pos="9270"/>
      </w:tabs>
      <w:spacing w:after="240"/>
    </w:pPr>
    <w:rPr>
      <w:spacing w:val="-2"/>
    </w:rPr>
  </w:style>
  <w:style w:type="paragraph" w:customStyle="1" w:styleId="Bullet">
    <w:name w:val="Bullet"/>
    <w:basedOn w:val="Normal"/>
    <w:rsid w:val="006E68A2"/>
    <w:pPr>
      <w:numPr>
        <w:numId w:val="1"/>
      </w:numPr>
      <w:tabs>
        <w:tab w:val="clear" w:pos="360"/>
        <w:tab w:val="left" w:pos="2160"/>
      </w:tabs>
      <w:spacing w:after="220"/>
      <w:ind w:left="2160" w:hanging="720"/>
    </w:pPr>
  </w:style>
  <w:style w:type="paragraph" w:customStyle="1" w:styleId="TableFormat">
    <w:name w:val="TableFormat"/>
    <w:basedOn w:val="Bullet"/>
    <w:rsid w:val="006E68A2"/>
    <w:pPr>
      <w:numPr>
        <w:numId w:val="0"/>
      </w:numPr>
      <w:tabs>
        <w:tab w:val="clear" w:pos="2160"/>
        <w:tab w:val="left" w:pos="5040"/>
      </w:tabs>
      <w:ind w:left="5040" w:hanging="3600"/>
    </w:pPr>
  </w:style>
  <w:style w:type="paragraph" w:customStyle="1" w:styleId="TOCTitle">
    <w:name w:val="TOC Title"/>
    <w:basedOn w:val="Normal"/>
    <w:rsid w:val="006E68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68A2"/>
    <w:pPr>
      <w:jc w:val="center"/>
    </w:pPr>
    <w:rPr>
      <w:rFonts w:ascii="Times New Roman Bold" w:hAnsi="Times New Roman Bold"/>
      <w:b/>
      <w:bCs/>
      <w:caps/>
      <w:szCs w:val="22"/>
    </w:rPr>
  </w:style>
  <w:style w:type="character" w:styleId="Hyperlink">
    <w:name w:val="Hyperlink"/>
    <w:rsid w:val="006E68A2"/>
    <w:rPr>
      <w:color w:val="0000FF"/>
      <w:u w:val="single"/>
    </w:rPr>
  </w:style>
  <w:style w:type="character" w:customStyle="1" w:styleId="FooterChar">
    <w:name w:val="Footer Char"/>
    <w:link w:val="Footer"/>
    <w:uiPriority w:val="99"/>
    <w:rsid w:val="006E68A2"/>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 w:type="character" w:customStyle="1" w:styleId="UnresolvedMention2">
    <w:name w:val="Unresolved Mention2"/>
    <w:basedOn w:val="DefaultParagraphFont"/>
    <w:uiPriority w:val="99"/>
    <w:rsid w:val="0091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3"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