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ED4404" w14:paraId="00C555DD" w14:textId="77777777">
      <w:pPr>
        <w:spacing w:after="120"/>
        <w:jc w:val="right"/>
        <w:rPr>
          <w:sz w:val="24"/>
        </w:rPr>
      </w:pPr>
    </w:p>
    <w:p w:rsidR="00013A8B" w:rsidRPr="00B20363" w:rsidP="00ED4404" w14:paraId="2D7BA7F9" w14:textId="77777777">
      <w:pPr>
        <w:spacing w:after="120"/>
        <w:jc w:val="right"/>
        <w:rPr>
          <w:b/>
          <w:sz w:val="24"/>
        </w:rPr>
      </w:pPr>
      <w:r>
        <w:rPr>
          <w:b/>
          <w:sz w:val="24"/>
        </w:rPr>
        <w:t>DA 20-</w:t>
      </w:r>
      <w:r w:rsidR="00F82809">
        <w:rPr>
          <w:b/>
          <w:sz w:val="24"/>
        </w:rPr>
        <w:t>703</w:t>
      </w:r>
    </w:p>
    <w:p w:rsidR="00013A8B" w:rsidP="00ED4404" w14:paraId="7BE7C722" w14:textId="1A9E7037">
      <w:pPr>
        <w:spacing w:before="60" w:after="120"/>
        <w:jc w:val="right"/>
        <w:rPr>
          <w:b/>
          <w:sz w:val="24"/>
        </w:rPr>
      </w:pPr>
      <w:r>
        <w:rPr>
          <w:b/>
          <w:sz w:val="24"/>
        </w:rPr>
        <w:t xml:space="preserve">Released: </w:t>
      </w:r>
      <w:r w:rsidR="00AF3F42">
        <w:rPr>
          <w:b/>
          <w:sz w:val="24"/>
        </w:rPr>
        <w:t>Ju</w:t>
      </w:r>
      <w:r w:rsidR="008F0931">
        <w:rPr>
          <w:b/>
          <w:sz w:val="24"/>
        </w:rPr>
        <w:t>ly</w:t>
      </w:r>
      <w:r w:rsidR="00AF3F42">
        <w:rPr>
          <w:b/>
          <w:sz w:val="24"/>
        </w:rPr>
        <w:t xml:space="preserve"> </w:t>
      </w:r>
      <w:r w:rsidR="006D081E">
        <w:rPr>
          <w:b/>
          <w:sz w:val="24"/>
        </w:rPr>
        <w:t>6</w:t>
      </w:r>
      <w:r w:rsidR="00AF3F42">
        <w:rPr>
          <w:b/>
          <w:sz w:val="24"/>
        </w:rPr>
        <w:t>, 2020</w:t>
      </w:r>
    </w:p>
    <w:p w:rsidR="00013A8B" w:rsidP="00ED4404" w14:paraId="05CF5A3B" w14:textId="77777777">
      <w:pPr>
        <w:spacing w:after="120"/>
        <w:jc w:val="right"/>
        <w:rPr>
          <w:sz w:val="24"/>
        </w:rPr>
      </w:pPr>
    </w:p>
    <w:p w:rsidR="00013A8B" w:rsidRPr="00B20363" w:rsidP="00ED4404" w14:paraId="7EC53078" w14:textId="77777777">
      <w:pPr>
        <w:spacing w:after="120"/>
        <w:jc w:val="center"/>
        <w:rPr>
          <w:rFonts w:ascii="Times New Roman Bold" w:hAnsi="Times New Roman Bold"/>
          <w:b/>
          <w:caps/>
          <w:sz w:val="24"/>
        </w:rPr>
      </w:pPr>
      <w:r>
        <w:rPr>
          <w:rFonts w:ascii="Times New Roman Bold" w:hAnsi="Times New Roman Bold"/>
          <w:b/>
          <w:caps/>
          <w:sz w:val="24"/>
        </w:rPr>
        <w:t>International</w:t>
      </w:r>
      <w:r w:rsidRPr="00D33283" w:rsidR="00D33283">
        <w:rPr>
          <w:rFonts w:ascii="Times New Roman Bold" w:hAnsi="Times New Roman Bold"/>
          <w:b/>
          <w:caps/>
          <w:sz w:val="24"/>
        </w:rPr>
        <w:t xml:space="preserve"> bureau </w:t>
      </w:r>
      <w:r w:rsidR="0036427A">
        <w:rPr>
          <w:rFonts w:ascii="Times New Roman Bold" w:hAnsi="Times New Roman Bold"/>
          <w:b/>
          <w:caps/>
          <w:sz w:val="24"/>
        </w:rPr>
        <w:t>RELEASES</w:t>
      </w:r>
      <w:r w:rsidR="00236E88">
        <w:rPr>
          <w:rFonts w:ascii="Times New Roman Bold" w:hAnsi="Times New Roman Bold"/>
          <w:b/>
          <w:caps/>
          <w:sz w:val="24"/>
        </w:rPr>
        <w:t xml:space="preserve"> </w:t>
      </w:r>
      <w:r w:rsidR="00376E63">
        <w:rPr>
          <w:rFonts w:ascii="Times New Roman Bold" w:hAnsi="Times New Roman Bold"/>
          <w:b/>
          <w:caps/>
          <w:sz w:val="24"/>
        </w:rPr>
        <w:t>Preliminary</w:t>
      </w:r>
      <w:r w:rsidR="00DB3B20">
        <w:rPr>
          <w:rFonts w:ascii="Times New Roman Bold" w:hAnsi="Times New Roman Bold"/>
          <w:b/>
          <w:caps/>
          <w:sz w:val="24"/>
        </w:rPr>
        <w:t xml:space="preserve"> </w:t>
      </w:r>
      <w:r>
        <w:rPr>
          <w:rFonts w:ascii="Times New Roman Bold" w:hAnsi="Times New Roman Bold"/>
          <w:b/>
          <w:caps/>
          <w:sz w:val="24"/>
        </w:rPr>
        <w:t>list of incumbent earth stations in the</w:t>
      </w:r>
      <w:r w:rsidRPr="00D33283" w:rsidR="00D33283">
        <w:rPr>
          <w:rFonts w:ascii="Times New Roman Bold" w:hAnsi="Times New Roman Bold"/>
          <w:b/>
          <w:caps/>
          <w:sz w:val="24"/>
        </w:rPr>
        <w:t xml:space="preserve"> 3.7-4.2 ghz Band </w:t>
      </w:r>
      <w:r w:rsidR="00DB3B20">
        <w:rPr>
          <w:rFonts w:ascii="Times New Roman Bold" w:hAnsi="Times New Roman Bold"/>
          <w:b/>
          <w:caps/>
          <w:sz w:val="24"/>
        </w:rPr>
        <w:t>IN THE CONTIGUOUS UNITED STATES</w:t>
      </w:r>
    </w:p>
    <w:p w:rsidR="00013A8B" w:rsidP="00ED4404" w14:paraId="6DE15DC8" w14:textId="77777777">
      <w:pPr>
        <w:spacing w:after="120"/>
        <w:jc w:val="center"/>
        <w:rPr>
          <w:b/>
          <w:sz w:val="24"/>
        </w:rPr>
      </w:pPr>
      <w:r>
        <w:rPr>
          <w:b/>
          <w:sz w:val="24"/>
        </w:rPr>
        <w:t>IB</w:t>
      </w:r>
      <w:r w:rsidRPr="008F0931" w:rsidR="00D33283">
        <w:rPr>
          <w:b/>
          <w:sz w:val="24"/>
        </w:rPr>
        <w:t xml:space="preserve"> Docket No. </w:t>
      </w:r>
      <w:r>
        <w:rPr>
          <w:b/>
          <w:sz w:val="24"/>
        </w:rPr>
        <w:t>20</w:t>
      </w:r>
      <w:r w:rsidRPr="008F0931" w:rsidR="00D33283">
        <w:rPr>
          <w:b/>
          <w:sz w:val="24"/>
        </w:rPr>
        <w:t>-</w:t>
      </w:r>
      <w:r>
        <w:rPr>
          <w:b/>
          <w:sz w:val="24"/>
        </w:rPr>
        <w:t>205</w:t>
      </w:r>
    </w:p>
    <w:p w:rsidR="00F96F63" w:rsidRPr="00930ECF" w:rsidP="00ED4404" w14:paraId="79D7BAF6" w14:textId="77777777">
      <w:pPr>
        <w:spacing w:after="120"/>
        <w:rPr>
          <w:sz w:val="24"/>
        </w:rPr>
      </w:pPr>
      <w:bookmarkStart w:id="0" w:name="TOChere"/>
    </w:p>
    <w:bookmarkEnd w:id="0"/>
    <w:p w:rsidR="00930ECF" w:rsidP="00ED4404" w14:paraId="642C7291" w14:textId="77777777">
      <w:pPr>
        <w:spacing w:after="120"/>
        <w:rPr>
          <w:sz w:val="24"/>
        </w:rPr>
      </w:pPr>
      <w:r w:rsidRPr="00D33283">
        <w:rPr>
          <w:b/>
          <w:bCs/>
          <w:sz w:val="24"/>
        </w:rPr>
        <w:t xml:space="preserve">Comments </w:t>
      </w:r>
      <w:r w:rsidR="004E502C">
        <w:rPr>
          <w:b/>
          <w:bCs/>
          <w:sz w:val="24"/>
        </w:rPr>
        <w:t>D</w:t>
      </w:r>
      <w:r w:rsidRPr="00D33283">
        <w:rPr>
          <w:b/>
          <w:bCs/>
          <w:sz w:val="24"/>
        </w:rPr>
        <w:t xml:space="preserve">ue:  </w:t>
      </w:r>
      <w:r w:rsidR="00FD310F">
        <w:rPr>
          <w:b/>
          <w:bCs/>
          <w:sz w:val="24"/>
        </w:rPr>
        <w:t>July 16, 2020</w:t>
      </w:r>
    </w:p>
    <w:p w:rsidR="00490D40" w:rsidP="00ED4404" w14:paraId="1834009E" w14:textId="77777777">
      <w:pPr>
        <w:spacing w:after="120"/>
        <w:ind w:firstLine="720"/>
        <w:rPr>
          <w:sz w:val="24"/>
          <w:szCs w:val="24"/>
        </w:rPr>
      </w:pPr>
    </w:p>
    <w:p w:rsidR="009015F6" w:rsidRPr="00C9457A" w:rsidP="00ED4404" w14:paraId="1E085C02" w14:textId="77777777">
      <w:pPr>
        <w:spacing w:after="120"/>
        <w:ind w:firstLine="720"/>
        <w:rPr>
          <w:snapToGrid/>
          <w:color w:val="000000"/>
          <w:kern w:val="0"/>
          <w:sz w:val="24"/>
          <w:szCs w:val="24"/>
        </w:rPr>
      </w:pPr>
      <w:r>
        <w:rPr>
          <w:sz w:val="24"/>
          <w:szCs w:val="24"/>
        </w:rPr>
        <w:t>With</w:t>
      </w:r>
      <w:r w:rsidRPr="008C4517" w:rsidR="00D33283">
        <w:rPr>
          <w:sz w:val="24"/>
          <w:szCs w:val="24"/>
        </w:rPr>
        <w:t xml:space="preserve"> this Public Notice, the </w:t>
      </w:r>
      <w:r w:rsidR="004C59BE">
        <w:rPr>
          <w:sz w:val="24"/>
          <w:szCs w:val="24"/>
        </w:rPr>
        <w:t>International</w:t>
      </w:r>
      <w:r w:rsidRPr="008C4517" w:rsidR="00D33283">
        <w:rPr>
          <w:sz w:val="24"/>
          <w:szCs w:val="24"/>
        </w:rPr>
        <w:t xml:space="preserve"> Bureau (the Bureau) </w:t>
      </w:r>
      <w:r w:rsidR="00AB2388">
        <w:rPr>
          <w:sz w:val="24"/>
          <w:szCs w:val="24"/>
        </w:rPr>
        <w:t>releases</w:t>
      </w:r>
      <w:r w:rsidR="00236E88">
        <w:rPr>
          <w:sz w:val="24"/>
          <w:szCs w:val="24"/>
        </w:rPr>
        <w:t xml:space="preserve"> </w:t>
      </w:r>
      <w:r w:rsidR="004A1EAC">
        <w:rPr>
          <w:sz w:val="24"/>
          <w:szCs w:val="24"/>
        </w:rPr>
        <w:t xml:space="preserve">a </w:t>
      </w:r>
      <w:r w:rsidR="00C648ED">
        <w:rPr>
          <w:sz w:val="24"/>
          <w:szCs w:val="24"/>
        </w:rPr>
        <w:t xml:space="preserve">preliminary </w:t>
      </w:r>
      <w:r w:rsidR="00236E88">
        <w:rPr>
          <w:sz w:val="24"/>
          <w:szCs w:val="24"/>
        </w:rPr>
        <w:t xml:space="preserve">list of </w:t>
      </w:r>
      <w:r w:rsidR="00C70285">
        <w:rPr>
          <w:sz w:val="24"/>
          <w:szCs w:val="24"/>
        </w:rPr>
        <w:t xml:space="preserve">those </w:t>
      </w:r>
      <w:r w:rsidR="00236E88">
        <w:rPr>
          <w:sz w:val="24"/>
          <w:szCs w:val="24"/>
        </w:rPr>
        <w:t xml:space="preserve">Fixed Satellite Service (FSS) earth stations in the 3.7-4.2 GHz band </w:t>
      </w:r>
      <w:r w:rsidR="00DB3B20">
        <w:rPr>
          <w:sz w:val="24"/>
          <w:szCs w:val="24"/>
        </w:rPr>
        <w:t>in the contiguous United States</w:t>
      </w:r>
      <w:r w:rsidR="00490D40">
        <w:rPr>
          <w:sz w:val="24"/>
          <w:szCs w:val="24"/>
        </w:rPr>
        <w:t xml:space="preserve"> </w:t>
      </w:r>
      <w:r w:rsidR="004A1EAC">
        <w:rPr>
          <w:sz w:val="24"/>
          <w:szCs w:val="24"/>
        </w:rPr>
        <w:t xml:space="preserve">that the </w:t>
      </w:r>
      <w:r w:rsidR="000B1034">
        <w:rPr>
          <w:sz w:val="24"/>
          <w:szCs w:val="24"/>
        </w:rPr>
        <w:t xml:space="preserve">Bureau has found </w:t>
      </w:r>
      <w:r w:rsidR="006030F9">
        <w:rPr>
          <w:sz w:val="24"/>
          <w:szCs w:val="24"/>
        </w:rPr>
        <w:t>may</w:t>
      </w:r>
      <w:r w:rsidR="005C4919">
        <w:rPr>
          <w:sz w:val="24"/>
          <w:szCs w:val="24"/>
        </w:rPr>
        <w:t xml:space="preserve"> </w:t>
      </w:r>
      <w:r w:rsidR="000B1034">
        <w:rPr>
          <w:sz w:val="24"/>
          <w:szCs w:val="24"/>
        </w:rPr>
        <w:t>satisfy the criteria to be</w:t>
      </w:r>
      <w:r w:rsidR="004A1EAC">
        <w:rPr>
          <w:sz w:val="24"/>
          <w:szCs w:val="24"/>
        </w:rPr>
        <w:t xml:space="preserve"> </w:t>
      </w:r>
      <w:r w:rsidR="00C70285">
        <w:rPr>
          <w:sz w:val="24"/>
          <w:szCs w:val="24"/>
        </w:rPr>
        <w:t>classif</w:t>
      </w:r>
      <w:r w:rsidR="000B1034">
        <w:rPr>
          <w:sz w:val="24"/>
          <w:szCs w:val="24"/>
        </w:rPr>
        <w:t>ied</w:t>
      </w:r>
      <w:r w:rsidR="004A1EAC">
        <w:rPr>
          <w:sz w:val="24"/>
          <w:szCs w:val="24"/>
        </w:rPr>
        <w:t xml:space="preserve"> as incumbent earth stations for purposes</w:t>
      </w:r>
      <w:r w:rsidR="00540513">
        <w:rPr>
          <w:sz w:val="24"/>
          <w:szCs w:val="24"/>
        </w:rPr>
        <w:t xml:space="preserve"> of </w:t>
      </w:r>
      <w:r w:rsidRPr="008C4517" w:rsidR="00D33283">
        <w:rPr>
          <w:sz w:val="24"/>
          <w:szCs w:val="24"/>
        </w:rPr>
        <w:t xml:space="preserve">the 3.7-4.2 GHz </w:t>
      </w:r>
      <w:r>
        <w:rPr>
          <w:sz w:val="24"/>
          <w:szCs w:val="24"/>
        </w:rPr>
        <w:t xml:space="preserve">band </w:t>
      </w:r>
      <w:r w:rsidR="00462ABF">
        <w:rPr>
          <w:sz w:val="24"/>
          <w:szCs w:val="24"/>
        </w:rPr>
        <w:t xml:space="preserve">(C-band) </w:t>
      </w:r>
      <w:r w:rsidRPr="008C4517" w:rsidR="00D33283">
        <w:rPr>
          <w:sz w:val="24"/>
          <w:szCs w:val="24"/>
        </w:rPr>
        <w:t>transition.</w:t>
      </w:r>
      <w:r>
        <w:rPr>
          <w:rStyle w:val="FootnoteReference"/>
          <w:szCs w:val="24"/>
        </w:rPr>
        <w:footnoteReference w:id="3"/>
      </w:r>
      <w:r w:rsidR="00236E88">
        <w:rPr>
          <w:sz w:val="24"/>
          <w:szCs w:val="24"/>
        </w:rPr>
        <w:t xml:space="preserve"> </w:t>
      </w:r>
    </w:p>
    <w:p w:rsidR="00AB2388" w:rsidP="00ED4404" w14:paraId="41BE6B74" w14:textId="77777777">
      <w:pPr>
        <w:widowControl/>
        <w:spacing w:before="100" w:beforeAutospacing="1" w:after="120" w:line="259" w:lineRule="auto"/>
        <w:ind w:firstLine="720"/>
        <w:contextualSpacing/>
        <w:rPr>
          <w:sz w:val="24"/>
          <w:szCs w:val="24"/>
        </w:rPr>
      </w:pPr>
      <w:r w:rsidRPr="00C9457A">
        <w:rPr>
          <w:sz w:val="24"/>
          <w:szCs w:val="24"/>
        </w:rPr>
        <w:t xml:space="preserve">In the </w:t>
      </w:r>
      <w:r w:rsidRPr="00C9457A">
        <w:rPr>
          <w:i/>
          <w:iCs/>
          <w:sz w:val="24"/>
          <w:szCs w:val="24"/>
        </w:rPr>
        <w:t xml:space="preserve">3.7 GHz Band </w:t>
      </w:r>
      <w:r w:rsidRPr="00C9457A" w:rsidR="009954AA">
        <w:rPr>
          <w:i/>
          <w:iCs/>
          <w:sz w:val="24"/>
          <w:szCs w:val="24"/>
        </w:rPr>
        <w:t xml:space="preserve">Report and </w:t>
      </w:r>
      <w:r w:rsidRPr="00C9457A">
        <w:rPr>
          <w:i/>
          <w:iCs/>
          <w:sz w:val="24"/>
          <w:szCs w:val="24"/>
        </w:rPr>
        <w:t>Order</w:t>
      </w:r>
      <w:r w:rsidRPr="00C9457A">
        <w:rPr>
          <w:sz w:val="24"/>
          <w:szCs w:val="24"/>
        </w:rPr>
        <w:t xml:space="preserve">, the Commission adopted rules to make </w:t>
      </w:r>
      <w:r w:rsidRPr="00C9457A" w:rsidR="004C65C2">
        <w:rPr>
          <w:sz w:val="24"/>
          <w:szCs w:val="24"/>
        </w:rPr>
        <w:t>280</w:t>
      </w:r>
      <w:r w:rsidRPr="00C9457A">
        <w:rPr>
          <w:sz w:val="24"/>
          <w:szCs w:val="24"/>
        </w:rPr>
        <w:t xml:space="preserve"> megahertz of </w:t>
      </w:r>
      <w:r w:rsidRPr="00C9457A" w:rsidR="00F6741A">
        <w:rPr>
          <w:sz w:val="24"/>
          <w:szCs w:val="24"/>
        </w:rPr>
        <w:t xml:space="preserve">mid-band </w:t>
      </w:r>
      <w:r w:rsidRPr="00C9457A">
        <w:rPr>
          <w:sz w:val="24"/>
          <w:szCs w:val="24"/>
        </w:rPr>
        <w:t>spectrum available for flexible use</w:t>
      </w:r>
      <w:r w:rsidRPr="00C9457A" w:rsidR="00875DD8">
        <w:rPr>
          <w:sz w:val="24"/>
          <w:szCs w:val="24"/>
        </w:rPr>
        <w:t>, plus a 20 megahertz guard band</w:t>
      </w:r>
      <w:r w:rsidRPr="00C9457A" w:rsidR="00C35A7D">
        <w:rPr>
          <w:sz w:val="24"/>
          <w:szCs w:val="24"/>
        </w:rPr>
        <w:t>,</w:t>
      </w:r>
      <w:r w:rsidRPr="00C9457A">
        <w:rPr>
          <w:sz w:val="24"/>
          <w:szCs w:val="24"/>
        </w:rPr>
        <w:t xml:space="preserve"> </w:t>
      </w:r>
      <w:r w:rsidRPr="00C9457A" w:rsidR="00107686">
        <w:rPr>
          <w:sz w:val="24"/>
          <w:szCs w:val="24"/>
        </w:rPr>
        <w:t xml:space="preserve">throughout the contiguous United States </w:t>
      </w:r>
      <w:r w:rsidRPr="00C9457A">
        <w:rPr>
          <w:sz w:val="24"/>
          <w:szCs w:val="24"/>
        </w:rPr>
        <w:t xml:space="preserve">by transitioning existing services out of the lower portion </w:t>
      </w:r>
      <w:r w:rsidRPr="00C9457A" w:rsidR="00CF47B5">
        <w:rPr>
          <w:sz w:val="24"/>
          <w:szCs w:val="24"/>
        </w:rPr>
        <w:t xml:space="preserve">and into the upper 200 megahertz </w:t>
      </w:r>
      <w:r w:rsidRPr="00C9457A">
        <w:rPr>
          <w:sz w:val="24"/>
          <w:szCs w:val="24"/>
        </w:rPr>
        <w:t xml:space="preserve">of the </w:t>
      </w:r>
      <w:r w:rsidRPr="00C9457A" w:rsidR="00462ABF">
        <w:rPr>
          <w:sz w:val="24"/>
          <w:szCs w:val="24"/>
        </w:rPr>
        <w:t>C-</w:t>
      </w:r>
      <w:r w:rsidRPr="00C9457A">
        <w:rPr>
          <w:sz w:val="24"/>
          <w:szCs w:val="24"/>
        </w:rPr>
        <w:t>band.</w:t>
      </w:r>
      <w:r>
        <w:rPr>
          <w:rStyle w:val="FootnoteReference"/>
          <w:sz w:val="24"/>
          <w:szCs w:val="24"/>
        </w:rPr>
        <w:footnoteReference w:id="4"/>
      </w:r>
      <w:r w:rsidRPr="00C9457A">
        <w:rPr>
          <w:sz w:val="24"/>
          <w:szCs w:val="24"/>
        </w:rPr>
        <w:t xml:space="preserve">  The </w:t>
      </w:r>
      <w:r w:rsidRPr="00C9457A" w:rsidR="006B4028">
        <w:rPr>
          <w:i/>
          <w:iCs/>
          <w:sz w:val="24"/>
          <w:szCs w:val="24"/>
        </w:rPr>
        <w:t xml:space="preserve">3.7 GHz </w:t>
      </w:r>
      <w:r w:rsidRPr="00C9457A" w:rsidR="004C59BE">
        <w:rPr>
          <w:i/>
          <w:iCs/>
          <w:sz w:val="24"/>
          <w:szCs w:val="24"/>
        </w:rPr>
        <w:t xml:space="preserve">Band </w:t>
      </w:r>
      <w:r w:rsidRPr="00C9457A" w:rsidR="00C50E4C">
        <w:rPr>
          <w:i/>
          <w:iCs/>
          <w:sz w:val="24"/>
          <w:szCs w:val="24"/>
        </w:rPr>
        <w:t xml:space="preserve">Report and </w:t>
      </w:r>
      <w:r w:rsidRPr="00C9457A">
        <w:rPr>
          <w:i/>
          <w:iCs/>
          <w:sz w:val="24"/>
          <w:szCs w:val="24"/>
        </w:rPr>
        <w:t xml:space="preserve">Order </w:t>
      </w:r>
      <w:r w:rsidRPr="00C9457A" w:rsidR="00236B8A">
        <w:rPr>
          <w:sz w:val="24"/>
          <w:szCs w:val="24"/>
        </w:rPr>
        <w:t xml:space="preserve">established </w:t>
      </w:r>
      <w:r w:rsidRPr="00C9457A" w:rsidR="009614B4">
        <w:rPr>
          <w:sz w:val="24"/>
          <w:szCs w:val="24"/>
        </w:rPr>
        <w:t xml:space="preserve">that </w:t>
      </w:r>
      <w:r w:rsidRPr="00C9457A" w:rsidR="000B7F68">
        <w:rPr>
          <w:sz w:val="24"/>
          <w:szCs w:val="24"/>
        </w:rPr>
        <w:t xml:space="preserve">new </w:t>
      </w:r>
      <w:r w:rsidRPr="00C9457A" w:rsidR="007D5607">
        <w:rPr>
          <w:sz w:val="24"/>
          <w:szCs w:val="24"/>
        </w:rPr>
        <w:t>3.7 GHz Service</w:t>
      </w:r>
      <w:r w:rsidRPr="00C9457A" w:rsidR="000B7F68">
        <w:rPr>
          <w:sz w:val="24"/>
          <w:szCs w:val="24"/>
        </w:rPr>
        <w:t xml:space="preserve"> license</w:t>
      </w:r>
      <w:r w:rsidRPr="00C9457A" w:rsidR="00293B3D">
        <w:rPr>
          <w:sz w:val="24"/>
          <w:szCs w:val="24"/>
        </w:rPr>
        <w:t>e</w:t>
      </w:r>
      <w:r w:rsidRPr="00C9457A" w:rsidR="000B7F68">
        <w:rPr>
          <w:sz w:val="24"/>
          <w:szCs w:val="24"/>
        </w:rPr>
        <w:t>s w</w:t>
      </w:r>
      <w:r w:rsidRPr="00C9457A" w:rsidR="0096443C">
        <w:rPr>
          <w:sz w:val="24"/>
          <w:szCs w:val="24"/>
        </w:rPr>
        <w:t>ill</w:t>
      </w:r>
      <w:r w:rsidRPr="00C9457A" w:rsidR="000B7F68">
        <w:rPr>
          <w:sz w:val="24"/>
          <w:szCs w:val="24"/>
        </w:rPr>
        <w:t xml:space="preserve"> reimburse </w:t>
      </w:r>
      <w:r w:rsidRPr="00C9457A" w:rsidR="008D3EB4">
        <w:rPr>
          <w:sz w:val="24"/>
          <w:szCs w:val="24"/>
        </w:rPr>
        <w:t xml:space="preserve">the reasonable relocation costs of </w:t>
      </w:r>
      <w:r w:rsidRPr="00C9457A" w:rsidR="009614B4">
        <w:rPr>
          <w:sz w:val="24"/>
          <w:szCs w:val="24"/>
        </w:rPr>
        <w:t xml:space="preserve">eligible </w:t>
      </w:r>
      <w:r w:rsidRPr="00C9457A" w:rsidR="00236B8A">
        <w:rPr>
          <w:sz w:val="24"/>
          <w:szCs w:val="24"/>
        </w:rPr>
        <w:t>incumbents, including</w:t>
      </w:r>
      <w:r w:rsidRPr="00C9457A" w:rsidR="009614B4">
        <w:rPr>
          <w:sz w:val="24"/>
          <w:szCs w:val="24"/>
        </w:rPr>
        <w:t xml:space="preserve"> </w:t>
      </w:r>
      <w:r w:rsidRPr="00C9457A" w:rsidR="00293B3D">
        <w:rPr>
          <w:sz w:val="24"/>
          <w:szCs w:val="24"/>
        </w:rPr>
        <w:t xml:space="preserve">incumbent </w:t>
      </w:r>
      <w:r w:rsidRPr="00C9457A" w:rsidR="00B35BA7">
        <w:rPr>
          <w:sz w:val="24"/>
          <w:szCs w:val="24"/>
        </w:rPr>
        <w:t>FSS</w:t>
      </w:r>
      <w:r w:rsidRPr="00C9457A" w:rsidR="009E51BE">
        <w:rPr>
          <w:sz w:val="24"/>
          <w:szCs w:val="24"/>
        </w:rPr>
        <w:t xml:space="preserve"> </w:t>
      </w:r>
      <w:r w:rsidRPr="00C9457A" w:rsidR="009614B4">
        <w:rPr>
          <w:sz w:val="24"/>
          <w:szCs w:val="24"/>
        </w:rPr>
        <w:t xml:space="preserve">earth station operators, </w:t>
      </w:r>
      <w:r w:rsidRPr="00C9457A" w:rsidR="008D3EB4">
        <w:rPr>
          <w:sz w:val="24"/>
          <w:szCs w:val="24"/>
        </w:rPr>
        <w:t xml:space="preserve">to transition </w:t>
      </w:r>
      <w:r w:rsidRPr="00C9457A" w:rsidR="00540513">
        <w:rPr>
          <w:sz w:val="24"/>
          <w:szCs w:val="24"/>
        </w:rPr>
        <w:t>to the upper 200 megahertz of the band</w:t>
      </w:r>
      <w:r w:rsidRPr="00C9457A" w:rsidR="009614B4">
        <w:rPr>
          <w:sz w:val="24"/>
          <w:szCs w:val="24"/>
        </w:rPr>
        <w:t>.</w:t>
      </w:r>
      <w:r>
        <w:rPr>
          <w:rStyle w:val="FootnoteReference"/>
          <w:sz w:val="24"/>
          <w:szCs w:val="24"/>
        </w:rPr>
        <w:footnoteReference w:id="5"/>
      </w:r>
      <w:r w:rsidRPr="00C9457A" w:rsidR="009614B4">
        <w:rPr>
          <w:sz w:val="24"/>
          <w:szCs w:val="24"/>
        </w:rPr>
        <w:t xml:space="preserve">  </w:t>
      </w:r>
      <w:r w:rsidRPr="00C9457A" w:rsidR="004842F1">
        <w:rPr>
          <w:sz w:val="24"/>
          <w:szCs w:val="24"/>
        </w:rPr>
        <w:t xml:space="preserve">The </w:t>
      </w:r>
      <w:r w:rsidRPr="00C9457A" w:rsidR="004842F1">
        <w:rPr>
          <w:i/>
          <w:iCs/>
          <w:sz w:val="24"/>
          <w:szCs w:val="24"/>
        </w:rPr>
        <w:t>3.7 GHz</w:t>
      </w:r>
      <w:r w:rsidRPr="00C9457A" w:rsidR="004842F1">
        <w:rPr>
          <w:i/>
          <w:sz w:val="24"/>
          <w:szCs w:val="24"/>
        </w:rPr>
        <w:t xml:space="preserve"> Band </w:t>
      </w:r>
      <w:r w:rsidRPr="00C9457A" w:rsidR="004842F1">
        <w:rPr>
          <w:i/>
          <w:iCs/>
          <w:sz w:val="24"/>
          <w:szCs w:val="24"/>
        </w:rPr>
        <w:t xml:space="preserve">Report and Order </w:t>
      </w:r>
      <w:r w:rsidR="004842F1">
        <w:rPr>
          <w:sz w:val="24"/>
          <w:szCs w:val="24"/>
        </w:rPr>
        <w:t>also provided that incumbent earth stations in the contiguous United States will have the option of electing lump sum payments in lieu of actual relocation costs.</w:t>
      </w:r>
      <w:r>
        <w:rPr>
          <w:rStyle w:val="FootnoteReference"/>
          <w:szCs w:val="24"/>
        </w:rPr>
        <w:footnoteReference w:id="6"/>
      </w:r>
      <w:r w:rsidR="00E8477C">
        <w:rPr>
          <w:sz w:val="24"/>
          <w:szCs w:val="24"/>
        </w:rPr>
        <w:t xml:space="preserve">  </w:t>
      </w:r>
      <w:r w:rsidRPr="00C9457A" w:rsidR="004C59BE">
        <w:rPr>
          <w:sz w:val="24"/>
          <w:szCs w:val="24"/>
        </w:rPr>
        <w:t xml:space="preserve">The </w:t>
      </w:r>
      <w:r w:rsidRPr="00C9457A" w:rsidR="004C59BE">
        <w:rPr>
          <w:i/>
          <w:iCs/>
          <w:sz w:val="24"/>
          <w:szCs w:val="24"/>
        </w:rPr>
        <w:t>3.7 GHz</w:t>
      </w:r>
      <w:r w:rsidRPr="00C9457A" w:rsidR="004C59BE">
        <w:rPr>
          <w:i/>
          <w:sz w:val="24"/>
          <w:szCs w:val="24"/>
        </w:rPr>
        <w:t xml:space="preserve"> Band </w:t>
      </w:r>
      <w:r w:rsidRPr="00C9457A" w:rsidR="004C59BE">
        <w:rPr>
          <w:i/>
          <w:iCs/>
          <w:sz w:val="24"/>
          <w:szCs w:val="24"/>
        </w:rPr>
        <w:t xml:space="preserve">Report and Order </w:t>
      </w:r>
      <w:r w:rsidRPr="00C9457A" w:rsidR="004C59BE">
        <w:rPr>
          <w:sz w:val="24"/>
          <w:szCs w:val="24"/>
        </w:rPr>
        <w:t xml:space="preserve">defines the </w:t>
      </w:r>
      <w:r w:rsidR="001A24E2">
        <w:rPr>
          <w:sz w:val="24"/>
          <w:szCs w:val="24"/>
        </w:rPr>
        <w:t xml:space="preserve">criteria that </w:t>
      </w:r>
      <w:r w:rsidRPr="00C9457A" w:rsidR="004C59BE">
        <w:rPr>
          <w:sz w:val="24"/>
          <w:szCs w:val="24"/>
        </w:rPr>
        <w:t>earth stations</w:t>
      </w:r>
      <w:r w:rsidR="001A24E2">
        <w:rPr>
          <w:sz w:val="24"/>
          <w:szCs w:val="24"/>
        </w:rPr>
        <w:t xml:space="preserve"> must satisfy to </w:t>
      </w:r>
      <w:r w:rsidRPr="00C9457A" w:rsidR="004C59BE">
        <w:rPr>
          <w:sz w:val="24"/>
          <w:szCs w:val="24"/>
        </w:rPr>
        <w:t>be eligible</w:t>
      </w:r>
      <w:r w:rsidR="001A24E2">
        <w:rPr>
          <w:sz w:val="24"/>
          <w:szCs w:val="24"/>
        </w:rPr>
        <w:t xml:space="preserve"> as incumbent earth stations</w:t>
      </w:r>
      <w:r w:rsidRPr="00C9457A" w:rsidR="004C59BE">
        <w:rPr>
          <w:sz w:val="24"/>
          <w:szCs w:val="24"/>
        </w:rPr>
        <w:t xml:space="preserve"> to receive their </w:t>
      </w:r>
      <w:r w:rsidRPr="00C9457A" w:rsidR="004C59BE">
        <w:rPr>
          <w:sz w:val="24"/>
          <w:szCs w:val="24"/>
        </w:rPr>
        <w:t>reasonable relocation costs.  Specifically, incumbent earth stations are those FSS earth stations</w:t>
      </w:r>
      <w:r>
        <w:rPr>
          <w:sz w:val="24"/>
          <w:szCs w:val="24"/>
        </w:rPr>
        <w:t xml:space="preserve"> that meet the following qualifications:</w:t>
      </w:r>
    </w:p>
    <w:p w:rsidR="00AB2388" w:rsidP="00ED4404" w14:paraId="412D19DB" w14:textId="77777777">
      <w:pPr>
        <w:widowControl/>
        <w:spacing w:before="100" w:beforeAutospacing="1" w:after="120" w:line="259" w:lineRule="auto"/>
        <w:ind w:firstLine="720"/>
        <w:contextualSpacing/>
        <w:rPr>
          <w:sz w:val="24"/>
          <w:szCs w:val="24"/>
        </w:rPr>
      </w:pPr>
    </w:p>
    <w:p w:rsidR="00AB2388" w:rsidP="00ED4404" w14:paraId="7A45C2CB" w14:textId="77777777">
      <w:pPr>
        <w:widowControl/>
        <w:numPr>
          <w:ilvl w:val="0"/>
          <w:numId w:val="12"/>
        </w:numPr>
        <w:spacing w:before="100" w:beforeAutospacing="1" w:after="120" w:line="259" w:lineRule="auto"/>
        <w:contextualSpacing/>
        <w:rPr>
          <w:snapToGrid/>
          <w:color w:val="000000"/>
          <w:kern w:val="0"/>
          <w:sz w:val="24"/>
          <w:szCs w:val="24"/>
        </w:rPr>
      </w:pPr>
      <w:r>
        <w:rPr>
          <w:snapToGrid/>
          <w:color w:val="000000"/>
          <w:kern w:val="0"/>
          <w:sz w:val="24"/>
          <w:szCs w:val="24"/>
        </w:rPr>
        <w:t>O</w:t>
      </w:r>
      <w:r w:rsidRPr="00E943C5" w:rsidR="00E943C5">
        <w:rPr>
          <w:snapToGrid/>
          <w:color w:val="000000"/>
          <w:kern w:val="0"/>
          <w:sz w:val="24"/>
          <w:szCs w:val="24"/>
        </w:rPr>
        <w:t xml:space="preserve">perational as of </w:t>
      </w:r>
      <w:r w:rsidR="00E96C39">
        <w:rPr>
          <w:snapToGrid/>
          <w:color w:val="000000"/>
          <w:kern w:val="0"/>
          <w:sz w:val="24"/>
          <w:szCs w:val="24"/>
        </w:rPr>
        <w:t>April 18, 2018 filing freeze</w:t>
      </w:r>
      <w:r w:rsidRPr="00E943C5" w:rsidR="00E943C5">
        <w:rPr>
          <w:snapToGrid/>
          <w:color w:val="000000"/>
          <w:kern w:val="0"/>
          <w:sz w:val="24"/>
          <w:szCs w:val="24"/>
        </w:rPr>
        <w:t xml:space="preserve"> and remain operational</w:t>
      </w:r>
      <w:r>
        <w:rPr>
          <w:snapToGrid/>
          <w:color w:val="000000"/>
          <w:kern w:val="0"/>
          <w:sz w:val="24"/>
          <w:szCs w:val="24"/>
        </w:rPr>
        <w:t xml:space="preserve">; </w:t>
      </w:r>
      <w:r w:rsidR="008F0931">
        <w:rPr>
          <w:snapToGrid/>
          <w:color w:val="000000"/>
          <w:kern w:val="0"/>
          <w:sz w:val="24"/>
          <w:szCs w:val="24"/>
        </w:rPr>
        <w:t xml:space="preserve">and </w:t>
      </w:r>
    </w:p>
    <w:p w:rsidR="00E96C39" w:rsidP="00ED4404" w14:paraId="614ED696" w14:textId="77777777">
      <w:pPr>
        <w:widowControl/>
        <w:spacing w:before="100" w:beforeAutospacing="1" w:after="120" w:line="259" w:lineRule="auto"/>
        <w:ind w:left="1080"/>
        <w:contextualSpacing/>
        <w:rPr>
          <w:snapToGrid/>
          <w:color w:val="000000"/>
          <w:kern w:val="0"/>
          <w:sz w:val="24"/>
          <w:szCs w:val="24"/>
        </w:rPr>
      </w:pPr>
      <w:r>
        <w:rPr>
          <w:snapToGrid/>
          <w:color w:val="000000"/>
          <w:kern w:val="0"/>
          <w:sz w:val="24"/>
          <w:szCs w:val="24"/>
        </w:rPr>
        <w:t>r</w:t>
      </w:r>
      <w:r w:rsidR="00AB2388">
        <w:rPr>
          <w:snapToGrid/>
          <w:color w:val="000000"/>
          <w:kern w:val="0"/>
          <w:sz w:val="24"/>
          <w:szCs w:val="24"/>
        </w:rPr>
        <w:t>egistered (receive-</w:t>
      </w:r>
      <w:r>
        <w:rPr>
          <w:snapToGrid/>
          <w:color w:val="000000"/>
          <w:kern w:val="0"/>
          <w:sz w:val="24"/>
          <w:szCs w:val="24"/>
        </w:rPr>
        <w:t>o</w:t>
      </w:r>
      <w:r w:rsidR="00AB2388">
        <w:rPr>
          <w:snapToGrid/>
          <w:color w:val="000000"/>
          <w:kern w:val="0"/>
          <w:sz w:val="24"/>
          <w:szCs w:val="24"/>
        </w:rPr>
        <w:t xml:space="preserve">nly) or licensed (transmit/receive) </w:t>
      </w:r>
      <w:r w:rsidR="00ED6DAB">
        <w:rPr>
          <w:snapToGrid/>
          <w:color w:val="000000"/>
          <w:kern w:val="0"/>
          <w:sz w:val="24"/>
          <w:szCs w:val="24"/>
        </w:rPr>
        <w:t>in the 3700-4200 MHz band.</w:t>
      </w:r>
    </w:p>
    <w:p w:rsidR="00E96C39" w:rsidP="00ED4404" w14:paraId="288B279D" w14:textId="77777777">
      <w:pPr>
        <w:widowControl/>
        <w:numPr>
          <w:ilvl w:val="0"/>
          <w:numId w:val="12"/>
        </w:numPr>
        <w:spacing w:before="100" w:beforeAutospacing="1" w:after="120" w:line="259" w:lineRule="auto"/>
        <w:contextualSpacing/>
        <w:rPr>
          <w:snapToGrid/>
          <w:color w:val="000000"/>
          <w:kern w:val="0"/>
          <w:sz w:val="24"/>
          <w:szCs w:val="24"/>
        </w:rPr>
      </w:pPr>
      <w:r>
        <w:rPr>
          <w:snapToGrid/>
          <w:color w:val="000000"/>
          <w:kern w:val="0"/>
          <w:sz w:val="24"/>
          <w:szCs w:val="24"/>
        </w:rPr>
        <w:t xml:space="preserve">If unregistered or unlicensed before April 18, 2018, </w:t>
      </w:r>
      <w:r>
        <w:rPr>
          <w:snapToGrid/>
          <w:color w:val="000000"/>
          <w:kern w:val="0"/>
          <w:sz w:val="24"/>
          <w:szCs w:val="24"/>
        </w:rPr>
        <w:t xml:space="preserve">registration </w:t>
      </w:r>
      <w:r>
        <w:rPr>
          <w:snapToGrid/>
          <w:color w:val="000000"/>
          <w:kern w:val="0"/>
          <w:sz w:val="24"/>
          <w:szCs w:val="24"/>
        </w:rPr>
        <w:t xml:space="preserve">or license </w:t>
      </w:r>
      <w:r>
        <w:rPr>
          <w:snapToGrid/>
          <w:color w:val="000000"/>
          <w:kern w:val="0"/>
          <w:sz w:val="24"/>
          <w:szCs w:val="24"/>
        </w:rPr>
        <w:t xml:space="preserve">applications must have been filed by November 7, 2018.  </w:t>
      </w:r>
    </w:p>
    <w:p w:rsidR="00AB2388" w:rsidRPr="00ED6DAB" w:rsidP="00ED4404" w14:paraId="7D7B73D2" w14:textId="77777777">
      <w:pPr>
        <w:widowControl/>
        <w:numPr>
          <w:ilvl w:val="0"/>
          <w:numId w:val="12"/>
        </w:numPr>
        <w:spacing w:before="100" w:beforeAutospacing="1" w:after="120" w:line="259" w:lineRule="auto"/>
        <w:contextualSpacing/>
        <w:rPr>
          <w:snapToGrid/>
          <w:color w:val="000000"/>
          <w:kern w:val="0"/>
          <w:sz w:val="24"/>
          <w:szCs w:val="24"/>
        </w:rPr>
      </w:pPr>
      <w:r>
        <w:rPr>
          <w:snapToGrid/>
          <w:color w:val="000000"/>
          <w:kern w:val="0"/>
          <w:sz w:val="24"/>
          <w:szCs w:val="24"/>
        </w:rPr>
        <w:t>I</w:t>
      </w:r>
      <w:r w:rsidRPr="00ED6DAB">
        <w:rPr>
          <w:snapToGrid/>
          <w:color w:val="000000"/>
          <w:kern w:val="0"/>
          <w:sz w:val="24"/>
          <w:szCs w:val="24"/>
        </w:rPr>
        <w:t xml:space="preserve">f registered or licensed before </w:t>
      </w:r>
      <w:r w:rsidR="00E96C39">
        <w:rPr>
          <w:snapToGrid/>
          <w:color w:val="000000"/>
          <w:kern w:val="0"/>
          <w:sz w:val="24"/>
          <w:szCs w:val="24"/>
        </w:rPr>
        <w:t>April 18, 2018</w:t>
      </w:r>
      <w:r w:rsidR="00434215">
        <w:rPr>
          <w:snapToGrid/>
          <w:color w:val="000000"/>
          <w:kern w:val="0"/>
          <w:sz w:val="24"/>
          <w:szCs w:val="24"/>
        </w:rPr>
        <w:t>, the registrant or licensee must have:</w:t>
      </w:r>
    </w:p>
    <w:p w:rsidR="00AB2388" w:rsidP="00ED4404" w14:paraId="04172B90" w14:textId="77777777">
      <w:pPr>
        <w:widowControl/>
        <w:numPr>
          <w:ilvl w:val="1"/>
          <w:numId w:val="12"/>
        </w:numPr>
        <w:spacing w:before="100" w:beforeAutospacing="1" w:after="120" w:line="259" w:lineRule="auto"/>
        <w:contextualSpacing/>
        <w:rPr>
          <w:snapToGrid/>
          <w:color w:val="000000"/>
          <w:kern w:val="0"/>
          <w:sz w:val="24"/>
          <w:szCs w:val="24"/>
        </w:rPr>
      </w:pPr>
      <w:r>
        <w:rPr>
          <w:snapToGrid/>
          <w:color w:val="000000"/>
          <w:kern w:val="0"/>
          <w:sz w:val="24"/>
          <w:szCs w:val="24"/>
        </w:rPr>
        <w:t>C</w:t>
      </w:r>
      <w:r w:rsidRPr="00E943C5">
        <w:rPr>
          <w:snapToGrid/>
          <w:color w:val="000000"/>
          <w:kern w:val="0"/>
          <w:sz w:val="24"/>
          <w:szCs w:val="24"/>
        </w:rPr>
        <w:t>ertifi</w:t>
      </w:r>
      <w:r w:rsidR="00ED6DAB">
        <w:rPr>
          <w:snapToGrid/>
          <w:color w:val="000000"/>
          <w:kern w:val="0"/>
          <w:sz w:val="24"/>
          <w:szCs w:val="24"/>
        </w:rPr>
        <w:t>ed</w:t>
      </w:r>
      <w:r w:rsidRPr="00E943C5">
        <w:rPr>
          <w:snapToGrid/>
          <w:color w:val="000000"/>
          <w:kern w:val="0"/>
          <w:sz w:val="24"/>
          <w:szCs w:val="24"/>
        </w:rPr>
        <w:t xml:space="preserve"> the accuracy of the</w:t>
      </w:r>
      <w:r w:rsidR="00ED6DAB">
        <w:rPr>
          <w:snapToGrid/>
          <w:color w:val="000000"/>
          <w:kern w:val="0"/>
          <w:sz w:val="24"/>
          <w:szCs w:val="24"/>
        </w:rPr>
        <w:t xml:space="preserve"> registration/license</w:t>
      </w:r>
      <w:r w:rsidRPr="00E943C5">
        <w:rPr>
          <w:snapToGrid/>
          <w:color w:val="000000"/>
          <w:kern w:val="0"/>
          <w:sz w:val="24"/>
          <w:szCs w:val="24"/>
        </w:rPr>
        <w:t xml:space="preserve"> information in </w:t>
      </w:r>
      <w:r w:rsidR="0099106C">
        <w:rPr>
          <w:snapToGrid/>
          <w:color w:val="000000"/>
          <w:kern w:val="0"/>
          <w:sz w:val="24"/>
          <w:szCs w:val="24"/>
        </w:rPr>
        <w:t xml:space="preserve">the </w:t>
      </w:r>
      <w:r w:rsidRPr="00F00687" w:rsidR="0099106C">
        <w:rPr>
          <w:sz w:val="24"/>
          <w:szCs w:val="24"/>
        </w:rPr>
        <w:t xml:space="preserve">International Bureau Filing System </w:t>
      </w:r>
      <w:r w:rsidR="0099106C">
        <w:rPr>
          <w:sz w:val="24"/>
          <w:szCs w:val="24"/>
        </w:rPr>
        <w:t>(</w:t>
      </w:r>
      <w:r w:rsidRPr="00E943C5">
        <w:rPr>
          <w:snapToGrid/>
          <w:color w:val="000000"/>
          <w:kern w:val="0"/>
          <w:sz w:val="24"/>
          <w:szCs w:val="24"/>
        </w:rPr>
        <w:t>IBFS</w:t>
      </w:r>
      <w:r w:rsidR="0099106C">
        <w:rPr>
          <w:snapToGrid/>
          <w:color w:val="000000"/>
          <w:kern w:val="0"/>
          <w:sz w:val="24"/>
          <w:szCs w:val="24"/>
        </w:rPr>
        <w:t>)</w:t>
      </w:r>
      <w:r w:rsidRPr="00E943C5">
        <w:rPr>
          <w:snapToGrid/>
          <w:color w:val="000000"/>
          <w:kern w:val="0"/>
          <w:sz w:val="24"/>
          <w:szCs w:val="24"/>
        </w:rPr>
        <w:t xml:space="preserve"> by </w:t>
      </w:r>
      <w:r>
        <w:rPr>
          <w:snapToGrid/>
          <w:color w:val="000000"/>
          <w:kern w:val="0"/>
          <w:sz w:val="24"/>
          <w:szCs w:val="24"/>
        </w:rPr>
        <w:t xml:space="preserve">May 28, </w:t>
      </w:r>
      <w:r w:rsidRPr="00E943C5">
        <w:rPr>
          <w:snapToGrid/>
          <w:color w:val="000000"/>
          <w:kern w:val="0"/>
          <w:sz w:val="24"/>
          <w:szCs w:val="24"/>
        </w:rPr>
        <w:t>2019</w:t>
      </w:r>
      <w:r>
        <w:rPr>
          <w:snapToGrid/>
          <w:color w:val="000000"/>
          <w:kern w:val="0"/>
          <w:sz w:val="24"/>
          <w:szCs w:val="24"/>
        </w:rPr>
        <w:t>;</w:t>
      </w:r>
      <w:r w:rsidR="00ED6DAB">
        <w:rPr>
          <w:snapToGrid/>
          <w:color w:val="000000"/>
          <w:kern w:val="0"/>
          <w:sz w:val="24"/>
          <w:szCs w:val="24"/>
        </w:rPr>
        <w:t xml:space="preserve"> OR</w:t>
      </w:r>
    </w:p>
    <w:p w:rsidR="00E943C5" w:rsidP="00ED4404" w14:paraId="07EEF8ED" w14:textId="77777777">
      <w:pPr>
        <w:widowControl/>
        <w:numPr>
          <w:ilvl w:val="1"/>
          <w:numId w:val="12"/>
        </w:numPr>
        <w:spacing w:before="100" w:beforeAutospacing="1" w:after="120" w:line="259" w:lineRule="auto"/>
        <w:contextualSpacing/>
        <w:rPr>
          <w:snapToGrid/>
          <w:color w:val="000000"/>
          <w:kern w:val="0"/>
          <w:sz w:val="24"/>
          <w:szCs w:val="24"/>
        </w:rPr>
      </w:pPr>
      <w:r>
        <w:rPr>
          <w:snapToGrid/>
          <w:color w:val="000000"/>
          <w:kern w:val="0"/>
          <w:sz w:val="24"/>
          <w:szCs w:val="24"/>
        </w:rPr>
        <w:t>Filed a m</w:t>
      </w:r>
      <w:r w:rsidRPr="00C9457A" w:rsidR="00AB2388">
        <w:rPr>
          <w:snapToGrid/>
          <w:color w:val="000000"/>
          <w:kern w:val="0"/>
          <w:sz w:val="24"/>
          <w:szCs w:val="24"/>
        </w:rPr>
        <w:t>odification</w:t>
      </w:r>
      <w:r>
        <w:rPr>
          <w:snapToGrid/>
          <w:color w:val="000000"/>
          <w:kern w:val="0"/>
          <w:sz w:val="24"/>
          <w:szCs w:val="24"/>
        </w:rPr>
        <w:t>/update</w:t>
      </w:r>
      <w:r w:rsidR="00F24855">
        <w:rPr>
          <w:snapToGrid/>
          <w:color w:val="000000"/>
          <w:kern w:val="0"/>
          <w:sz w:val="24"/>
          <w:szCs w:val="24"/>
        </w:rPr>
        <w:t xml:space="preserve"> to the registration or license</w:t>
      </w:r>
      <w:r>
        <w:rPr>
          <w:snapToGrid/>
          <w:color w:val="000000"/>
          <w:kern w:val="0"/>
          <w:sz w:val="24"/>
          <w:szCs w:val="24"/>
        </w:rPr>
        <w:t xml:space="preserve"> </w:t>
      </w:r>
      <w:r w:rsidR="00F24855">
        <w:rPr>
          <w:snapToGrid/>
          <w:color w:val="000000"/>
          <w:kern w:val="0"/>
          <w:sz w:val="24"/>
          <w:szCs w:val="24"/>
        </w:rPr>
        <w:t xml:space="preserve">in IBFS </w:t>
      </w:r>
      <w:r w:rsidRPr="00E943C5" w:rsidR="00AB2388">
        <w:rPr>
          <w:snapToGrid/>
          <w:color w:val="000000"/>
          <w:kern w:val="0"/>
          <w:sz w:val="24"/>
          <w:szCs w:val="24"/>
        </w:rPr>
        <w:t xml:space="preserve">during the </w:t>
      </w:r>
      <w:r w:rsidR="00434215">
        <w:rPr>
          <w:snapToGrid/>
          <w:color w:val="000000"/>
          <w:kern w:val="0"/>
          <w:sz w:val="24"/>
          <w:szCs w:val="24"/>
        </w:rPr>
        <w:t>April 19, 2018 – November 7, 2018</w:t>
      </w:r>
      <w:r>
        <w:rPr>
          <w:snapToGrid/>
          <w:color w:val="000000"/>
          <w:kern w:val="0"/>
          <w:sz w:val="24"/>
          <w:szCs w:val="24"/>
        </w:rPr>
        <w:t xml:space="preserve"> filing</w:t>
      </w:r>
      <w:r w:rsidRPr="00E943C5" w:rsidR="00AB2388">
        <w:rPr>
          <w:snapToGrid/>
          <w:color w:val="000000"/>
          <w:kern w:val="0"/>
          <w:sz w:val="24"/>
          <w:szCs w:val="24"/>
        </w:rPr>
        <w:t xml:space="preserve"> window</w:t>
      </w:r>
      <w:r w:rsidRPr="00C9457A" w:rsidR="00AB2388">
        <w:rPr>
          <w:snapToGrid/>
          <w:color w:val="000000"/>
          <w:kern w:val="0"/>
          <w:sz w:val="24"/>
          <w:szCs w:val="24"/>
        </w:rPr>
        <w:t>;</w:t>
      </w:r>
      <w:r>
        <w:rPr>
          <w:rStyle w:val="FootnoteReference"/>
          <w:snapToGrid/>
          <w:kern w:val="0"/>
          <w:sz w:val="24"/>
          <w:szCs w:val="24"/>
        </w:rPr>
        <w:footnoteReference w:id="7"/>
      </w:r>
      <w:r w:rsidR="00AB2388">
        <w:rPr>
          <w:snapToGrid/>
          <w:color w:val="000000"/>
          <w:kern w:val="0"/>
          <w:sz w:val="24"/>
          <w:szCs w:val="24"/>
        </w:rPr>
        <w:t xml:space="preserve"> OR</w:t>
      </w:r>
    </w:p>
    <w:p w:rsidR="00ED6DAB" w:rsidRPr="00C9457A" w:rsidP="00ED4404" w14:paraId="75D045C1" w14:textId="77777777">
      <w:pPr>
        <w:widowControl/>
        <w:numPr>
          <w:ilvl w:val="1"/>
          <w:numId w:val="12"/>
        </w:numPr>
        <w:spacing w:before="100" w:beforeAutospacing="1" w:after="120" w:line="259" w:lineRule="auto"/>
        <w:contextualSpacing/>
        <w:rPr>
          <w:snapToGrid/>
          <w:color w:val="000000"/>
          <w:kern w:val="0"/>
          <w:sz w:val="24"/>
          <w:szCs w:val="24"/>
        </w:rPr>
      </w:pPr>
      <w:r>
        <w:rPr>
          <w:snapToGrid/>
          <w:color w:val="000000"/>
          <w:kern w:val="0"/>
          <w:sz w:val="24"/>
          <w:szCs w:val="24"/>
        </w:rPr>
        <w:t>Filed a timely</w:t>
      </w:r>
      <w:r w:rsidRPr="00E943C5">
        <w:rPr>
          <w:snapToGrid/>
          <w:color w:val="000000"/>
          <w:kern w:val="0"/>
          <w:sz w:val="24"/>
          <w:szCs w:val="24"/>
        </w:rPr>
        <w:t xml:space="preserve"> renewal application for </w:t>
      </w:r>
      <w:r w:rsidR="00E96C39">
        <w:rPr>
          <w:snapToGrid/>
          <w:color w:val="000000"/>
          <w:kern w:val="0"/>
          <w:sz w:val="24"/>
          <w:szCs w:val="24"/>
        </w:rPr>
        <w:t>the</w:t>
      </w:r>
      <w:r w:rsidRPr="00E943C5">
        <w:rPr>
          <w:snapToGrid/>
          <w:color w:val="000000"/>
          <w:kern w:val="0"/>
          <w:sz w:val="24"/>
          <w:szCs w:val="24"/>
        </w:rPr>
        <w:t xml:space="preserve"> existing </w:t>
      </w:r>
      <w:r w:rsidR="00E96C39">
        <w:rPr>
          <w:snapToGrid/>
          <w:color w:val="000000"/>
          <w:kern w:val="0"/>
          <w:sz w:val="24"/>
          <w:szCs w:val="24"/>
        </w:rPr>
        <w:t>registration or license</w:t>
      </w:r>
      <w:r w:rsidRPr="00E943C5">
        <w:rPr>
          <w:snapToGrid/>
          <w:color w:val="000000"/>
          <w:kern w:val="0"/>
          <w:sz w:val="24"/>
          <w:szCs w:val="24"/>
        </w:rPr>
        <w:t xml:space="preserve"> </w:t>
      </w:r>
      <w:r w:rsidR="00E96C39">
        <w:rPr>
          <w:snapToGrid/>
          <w:color w:val="000000"/>
          <w:kern w:val="0"/>
          <w:sz w:val="24"/>
          <w:szCs w:val="24"/>
        </w:rPr>
        <w:t>by</w:t>
      </w:r>
      <w:r w:rsidRPr="00E943C5">
        <w:rPr>
          <w:snapToGrid/>
          <w:color w:val="000000"/>
          <w:kern w:val="0"/>
          <w:sz w:val="24"/>
          <w:szCs w:val="24"/>
        </w:rPr>
        <w:t xml:space="preserve"> </w:t>
      </w:r>
      <w:r w:rsidR="00434215">
        <w:rPr>
          <w:snapToGrid/>
          <w:color w:val="000000"/>
          <w:kern w:val="0"/>
          <w:sz w:val="24"/>
          <w:szCs w:val="24"/>
        </w:rPr>
        <w:t>May 28, 2019</w:t>
      </w:r>
      <w:r>
        <w:rPr>
          <w:snapToGrid/>
          <w:color w:val="000000"/>
          <w:kern w:val="0"/>
          <w:sz w:val="24"/>
          <w:szCs w:val="24"/>
        </w:rPr>
        <w:t>.</w:t>
      </w:r>
      <w:r>
        <w:rPr>
          <w:rStyle w:val="FootnoteReference"/>
          <w:sz w:val="24"/>
          <w:szCs w:val="24"/>
        </w:rPr>
        <w:footnoteReference w:id="8"/>
      </w:r>
      <w:r w:rsidRPr="00C9457A">
        <w:rPr>
          <w:sz w:val="24"/>
          <w:szCs w:val="24"/>
        </w:rPr>
        <w:t xml:space="preserve">  </w:t>
      </w:r>
    </w:p>
    <w:p w:rsidR="00F24855" w:rsidP="00ED4404" w14:paraId="5210FD04" w14:textId="77777777">
      <w:pPr>
        <w:widowControl/>
        <w:spacing w:before="100" w:beforeAutospacing="1" w:after="120" w:line="259" w:lineRule="auto"/>
        <w:ind w:firstLine="720"/>
        <w:contextualSpacing/>
        <w:rPr>
          <w:sz w:val="24"/>
          <w:szCs w:val="24"/>
        </w:rPr>
      </w:pPr>
    </w:p>
    <w:p w:rsidR="000B1034" w:rsidP="00ED4404" w14:paraId="70C75EB0" w14:textId="77777777">
      <w:pPr>
        <w:widowControl/>
        <w:spacing w:before="100" w:beforeAutospacing="1" w:after="120" w:line="259" w:lineRule="auto"/>
        <w:ind w:firstLine="720"/>
        <w:contextualSpacing/>
        <w:rPr>
          <w:sz w:val="24"/>
          <w:szCs w:val="24"/>
        </w:rPr>
      </w:pPr>
      <w:r>
        <w:rPr>
          <w:snapToGrid/>
          <w:color w:val="000000"/>
          <w:kern w:val="0"/>
          <w:sz w:val="24"/>
          <w:szCs w:val="24"/>
        </w:rPr>
        <w:t xml:space="preserve">The Bureau has reviewed the status of all earth stations </w:t>
      </w:r>
      <w:r w:rsidR="00740331">
        <w:rPr>
          <w:snapToGrid/>
          <w:color w:val="000000"/>
          <w:kern w:val="0"/>
          <w:sz w:val="24"/>
          <w:szCs w:val="24"/>
        </w:rPr>
        <w:t xml:space="preserve">in IBFS </w:t>
      </w:r>
      <w:r w:rsidR="0099106C">
        <w:rPr>
          <w:snapToGrid/>
          <w:color w:val="000000"/>
          <w:kern w:val="0"/>
          <w:sz w:val="24"/>
          <w:szCs w:val="24"/>
        </w:rPr>
        <w:t xml:space="preserve">with active or pending licenses or registrations to receive </w:t>
      </w:r>
      <w:r>
        <w:rPr>
          <w:snapToGrid/>
          <w:color w:val="000000"/>
          <w:kern w:val="0"/>
          <w:sz w:val="24"/>
          <w:szCs w:val="24"/>
        </w:rPr>
        <w:t>in the 3.7-4.2 GHz band</w:t>
      </w:r>
      <w:r w:rsidRPr="00E943C5" w:rsidR="00E943C5">
        <w:rPr>
          <w:snapToGrid/>
          <w:color w:val="000000"/>
          <w:kern w:val="0"/>
          <w:sz w:val="24"/>
          <w:szCs w:val="24"/>
        </w:rPr>
        <w:t xml:space="preserve"> </w:t>
      </w:r>
      <w:r>
        <w:rPr>
          <w:snapToGrid/>
          <w:color w:val="000000"/>
          <w:kern w:val="0"/>
          <w:sz w:val="24"/>
          <w:szCs w:val="24"/>
        </w:rPr>
        <w:t>pursuant to the above criteria</w:t>
      </w:r>
      <w:r w:rsidRPr="00E943C5" w:rsidR="00E943C5">
        <w:rPr>
          <w:snapToGrid/>
          <w:color w:val="000000"/>
          <w:kern w:val="0"/>
          <w:sz w:val="24"/>
          <w:szCs w:val="24"/>
        </w:rPr>
        <w:t xml:space="preserve">. </w:t>
      </w:r>
      <w:r w:rsidRPr="00F00687" w:rsidR="00D70827">
        <w:rPr>
          <w:sz w:val="24"/>
          <w:szCs w:val="24"/>
        </w:rPr>
        <w:t>The list</w:t>
      </w:r>
      <w:r w:rsidR="0099106C">
        <w:rPr>
          <w:sz w:val="24"/>
          <w:szCs w:val="24"/>
        </w:rPr>
        <w:t xml:space="preserve"> attached to this Public Notice includes all such earth stations that the Bureau has</w:t>
      </w:r>
      <w:r w:rsidR="00FE308E">
        <w:rPr>
          <w:sz w:val="24"/>
          <w:szCs w:val="24"/>
        </w:rPr>
        <w:t xml:space="preserve"> found</w:t>
      </w:r>
      <w:r w:rsidR="0099106C">
        <w:rPr>
          <w:sz w:val="24"/>
          <w:szCs w:val="24"/>
        </w:rPr>
        <w:t xml:space="preserve">, after its preliminary review, </w:t>
      </w:r>
      <w:r w:rsidR="006030F9">
        <w:rPr>
          <w:sz w:val="24"/>
          <w:szCs w:val="24"/>
        </w:rPr>
        <w:t>may</w:t>
      </w:r>
      <w:r w:rsidR="00DF55FE">
        <w:rPr>
          <w:sz w:val="24"/>
          <w:szCs w:val="24"/>
        </w:rPr>
        <w:t xml:space="preserve"> </w:t>
      </w:r>
      <w:r w:rsidR="0099106C">
        <w:rPr>
          <w:sz w:val="24"/>
          <w:szCs w:val="24"/>
        </w:rPr>
        <w:t>satisfy the incumbent earth station criteria.</w:t>
      </w:r>
      <w:r>
        <w:rPr>
          <w:rStyle w:val="FootnoteReference"/>
          <w:szCs w:val="24"/>
        </w:rPr>
        <w:footnoteReference w:id="9"/>
      </w:r>
      <w:r w:rsidR="0099106C">
        <w:rPr>
          <w:sz w:val="24"/>
          <w:szCs w:val="24"/>
        </w:rPr>
        <w:t xml:space="preserve"> </w:t>
      </w:r>
    </w:p>
    <w:p w:rsidR="000B1034" w:rsidP="00ED4404" w14:paraId="2B8876C8" w14:textId="77777777">
      <w:pPr>
        <w:widowControl/>
        <w:spacing w:before="100" w:beforeAutospacing="1" w:after="120" w:line="259" w:lineRule="auto"/>
        <w:ind w:firstLine="720"/>
        <w:contextualSpacing/>
        <w:rPr>
          <w:sz w:val="24"/>
          <w:szCs w:val="24"/>
        </w:rPr>
      </w:pPr>
    </w:p>
    <w:p w:rsidR="000B1034" w:rsidRPr="00C92DD1" w:rsidP="00ED4404" w14:paraId="2D419F6A" w14:textId="77777777">
      <w:pPr>
        <w:widowControl/>
        <w:spacing w:before="100" w:beforeAutospacing="1" w:after="120" w:line="259" w:lineRule="auto"/>
        <w:ind w:firstLine="720"/>
        <w:contextualSpacing/>
        <w:rPr>
          <w:sz w:val="24"/>
          <w:szCs w:val="24"/>
        </w:rPr>
      </w:pPr>
      <w:r w:rsidRPr="00322612">
        <w:rPr>
          <w:sz w:val="24"/>
          <w:szCs w:val="24"/>
        </w:rPr>
        <w:t>The</w:t>
      </w:r>
      <w:r>
        <w:rPr>
          <w:i/>
          <w:iCs/>
          <w:sz w:val="24"/>
          <w:szCs w:val="24"/>
        </w:rPr>
        <w:t xml:space="preserve"> </w:t>
      </w:r>
      <w:r w:rsidRPr="00C9457A">
        <w:rPr>
          <w:i/>
          <w:iCs/>
          <w:sz w:val="24"/>
          <w:szCs w:val="24"/>
        </w:rPr>
        <w:t>3.7 GHz</w:t>
      </w:r>
      <w:r w:rsidRPr="00C9457A">
        <w:rPr>
          <w:i/>
          <w:sz w:val="24"/>
          <w:szCs w:val="24"/>
        </w:rPr>
        <w:t xml:space="preserve"> Band </w:t>
      </w:r>
      <w:r w:rsidRPr="00C9457A">
        <w:rPr>
          <w:i/>
          <w:iCs/>
          <w:sz w:val="24"/>
          <w:szCs w:val="24"/>
        </w:rPr>
        <w:t>Report and Order</w:t>
      </w:r>
      <w:r>
        <w:rPr>
          <w:sz w:val="24"/>
          <w:szCs w:val="24"/>
        </w:rPr>
        <w:t xml:space="preserve"> directed the Bureau to complete the processing of all earth station license or registration applications</w:t>
      </w:r>
      <w:r w:rsidR="009D7BE0">
        <w:rPr>
          <w:sz w:val="24"/>
          <w:szCs w:val="24"/>
        </w:rPr>
        <w:t xml:space="preserve"> (whether for an initial grant, modification, or renewal)</w:t>
      </w:r>
      <w:r>
        <w:rPr>
          <w:sz w:val="24"/>
          <w:szCs w:val="24"/>
        </w:rPr>
        <w:t xml:space="preserve"> that were filed during the limited freeze window.</w:t>
      </w:r>
      <w:r>
        <w:rPr>
          <w:rStyle w:val="FootnoteReference"/>
          <w:szCs w:val="24"/>
        </w:rPr>
        <w:footnoteReference w:id="10"/>
      </w:r>
      <w:r>
        <w:rPr>
          <w:sz w:val="24"/>
          <w:szCs w:val="24"/>
        </w:rPr>
        <w:t xml:space="preserve">  However, </w:t>
      </w:r>
      <w:r w:rsidR="005C4919">
        <w:rPr>
          <w:sz w:val="24"/>
          <w:szCs w:val="24"/>
        </w:rPr>
        <w:t>because of the</w:t>
      </w:r>
      <w:r w:rsidR="001E7D33">
        <w:rPr>
          <w:sz w:val="24"/>
          <w:szCs w:val="24"/>
        </w:rPr>
        <w:t>ir</w:t>
      </w:r>
      <w:r w:rsidR="005C4919">
        <w:rPr>
          <w:sz w:val="24"/>
          <w:szCs w:val="24"/>
        </w:rPr>
        <w:t xml:space="preserve"> large quantities</w:t>
      </w:r>
      <w:r w:rsidR="001E7D33">
        <w:rPr>
          <w:sz w:val="24"/>
          <w:szCs w:val="24"/>
        </w:rPr>
        <w:t xml:space="preserve"> </w:t>
      </w:r>
      <w:r>
        <w:rPr>
          <w:sz w:val="24"/>
          <w:szCs w:val="24"/>
        </w:rPr>
        <w:t>the Burea</w:t>
      </w:r>
      <w:r w:rsidRPr="005C4919">
        <w:rPr>
          <w:sz w:val="24"/>
          <w:szCs w:val="24"/>
        </w:rPr>
        <w:t xml:space="preserve">u </w:t>
      </w:r>
      <w:r w:rsidRPr="00322612">
        <w:rPr>
          <w:sz w:val="24"/>
          <w:szCs w:val="24"/>
        </w:rPr>
        <w:t xml:space="preserve">is continuing to process a limited number of applications that were timely filed before the earth station freeze.  </w:t>
      </w:r>
      <w:r w:rsidR="007A4BFB">
        <w:rPr>
          <w:sz w:val="24"/>
          <w:szCs w:val="24"/>
        </w:rPr>
        <w:t xml:space="preserve">The </w:t>
      </w:r>
      <w:r w:rsidRPr="00322612">
        <w:rPr>
          <w:sz w:val="24"/>
          <w:szCs w:val="24"/>
        </w:rPr>
        <w:t xml:space="preserve">Bureau </w:t>
      </w:r>
      <w:r w:rsidR="007A4BFB">
        <w:rPr>
          <w:sz w:val="24"/>
          <w:szCs w:val="24"/>
        </w:rPr>
        <w:t>has included in the</w:t>
      </w:r>
      <w:r w:rsidR="00F83629">
        <w:rPr>
          <w:sz w:val="24"/>
          <w:szCs w:val="24"/>
        </w:rPr>
        <w:t xml:space="preserve"> attached</w:t>
      </w:r>
      <w:r w:rsidR="007A4BFB">
        <w:rPr>
          <w:sz w:val="24"/>
          <w:szCs w:val="24"/>
        </w:rPr>
        <w:t xml:space="preserve"> list earth stations that are the subject of currently pending applications.  </w:t>
      </w:r>
      <w:r w:rsidR="005A59E8">
        <w:rPr>
          <w:sz w:val="24"/>
          <w:szCs w:val="24"/>
        </w:rPr>
        <w:t>The</w:t>
      </w:r>
      <w:r w:rsidR="00704950">
        <w:rPr>
          <w:sz w:val="24"/>
          <w:szCs w:val="24"/>
        </w:rPr>
        <w:t xml:space="preserve"> ultimate</w:t>
      </w:r>
      <w:r w:rsidR="005A59E8">
        <w:rPr>
          <w:sz w:val="24"/>
          <w:szCs w:val="24"/>
        </w:rPr>
        <w:t xml:space="preserve"> status of such</w:t>
      </w:r>
      <w:r w:rsidR="007A4BFB">
        <w:rPr>
          <w:sz w:val="24"/>
          <w:szCs w:val="24"/>
        </w:rPr>
        <w:t xml:space="preserve"> earth stations </w:t>
      </w:r>
      <w:r w:rsidR="005A59E8">
        <w:rPr>
          <w:sz w:val="24"/>
          <w:szCs w:val="24"/>
        </w:rPr>
        <w:t xml:space="preserve">as </w:t>
      </w:r>
      <w:r w:rsidR="00704950">
        <w:rPr>
          <w:sz w:val="24"/>
          <w:szCs w:val="24"/>
        </w:rPr>
        <w:t>incumbent</w:t>
      </w:r>
      <w:r w:rsidR="005A59E8">
        <w:rPr>
          <w:sz w:val="24"/>
          <w:szCs w:val="24"/>
        </w:rPr>
        <w:t xml:space="preserve"> earth stations </w:t>
      </w:r>
      <w:r w:rsidR="007A4BFB">
        <w:rPr>
          <w:sz w:val="24"/>
          <w:szCs w:val="24"/>
        </w:rPr>
        <w:t xml:space="preserve">is conditional upon the grant of the pending applications.  </w:t>
      </w:r>
      <w:r w:rsidRPr="00BA61A2" w:rsidR="00C92DD1">
        <w:rPr>
          <w:sz w:val="24"/>
          <w:szCs w:val="24"/>
        </w:rPr>
        <w:t xml:space="preserve">The Bureau </w:t>
      </w:r>
      <w:r w:rsidRPr="00BA61A2" w:rsidR="00F542F7">
        <w:rPr>
          <w:sz w:val="24"/>
          <w:szCs w:val="24"/>
        </w:rPr>
        <w:t>has</w:t>
      </w:r>
      <w:r w:rsidRPr="00BA61A2" w:rsidR="00C92DD1">
        <w:rPr>
          <w:sz w:val="24"/>
          <w:szCs w:val="24"/>
        </w:rPr>
        <w:t xml:space="preserve"> not include</w:t>
      </w:r>
      <w:r w:rsidRPr="00BA61A2" w:rsidR="00F542F7">
        <w:rPr>
          <w:sz w:val="24"/>
          <w:szCs w:val="24"/>
        </w:rPr>
        <w:t>d</w:t>
      </w:r>
      <w:r w:rsidRPr="00BA61A2" w:rsidR="00C92DD1">
        <w:rPr>
          <w:sz w:val="24"/>
          <w:szCs w:val="24"/>
        </w:rPr>
        <w:t xml:space="preserve"> </w:t>
      </w:r>
      <w:r w:rsidRPr="00BA61A2" w:rsidR="007A4BFB">
        <w:rPr>
          <w:sz w:val="24"/>
          <w:szCs w:val="24"/>
        </w:rPr>
        <w:t>on the list those</w:t>
      </w:r>
      <w:r w:rsidRPr="00BA61A2" w:rsidR="00C92DD1">
        <w:rPr>
          <w:sz w:val="24"/>
          <w:szCs w:val="24"/>
        </w:rPr>
        <w:t xml:space="preserve"> earth stations whose applications </w:t>
      </w:r>
      <w:r w:rsidRPr="00BA61A2" w:rsidR="007C24B6">
        <w:rPr>
          <w:sz w:val="24"/>
          <w:szCs w:val="24"/>
        </w:rPr>
        <w:t>it has</w:t>
      </w:r>
      <w:r w:rsidRPr="00BA61A2" w:rsidR="007A4BFB">
        <w:rPr>
          <w:sz w:val="24"/>
          <w:szCs w:val="24"/>
        </w:rPr>
        <w:t xml:space="preserve"> dismissed as not meeting the criteria for incumbent status</w:t>
      </w:r>
      <w:r w:rsidRPr="00BA61A2" w:rsidR="00E32D0E">
        <w:rPr>
          <w:sz w:val="24"/>
          <w:szCs w:val="24"/>
        </w:rPr>
        <w:t xml:space="preserve">, </w:t>
      </w:r>
      <w:r w:rsidRPr="00BA61A2" w:rsidR="00F542F7">
        <w:rPr>
          <w:sz w:val="24"/>
          <w:szCs w:val="24"/>
        </w:rPr>
        <w:t>including</w:t>
      </w:r>
      <w:r w:rsidRPr="00BA61A2" w:rsidR="00E32D0E">
        <w:rPr>
          <w:sz w:val="24"/>
          <w:szCs w:val="24"/>
        </w:rPr>
        <w:t xml:space="preserve"> those earth stations </w:t>
      </w:r>
      <w:r w:rsidRPr="00BA61A2" w:rsidR="007A4BFB">
        <w:rPr>
          <w:sz w:val="24"/>
          <w:szCs w:val="24"/>
        </w:rPr>
        <w:t>where the dismissal is not yet final under the Commission’s rules.</w:t>
      </w:r>
      <w:r>
        <w:rPr>
          <w:rStyle w:val="FootnoteReference"/>
          <w:szCs w:val="24"/>
        </w:rPr>
        <w:footnoteReference w:id="11"/>
      </w:r>
      <w:r w:rsidRPr="00BA61A2" w:rsidR="00740331">
        <w:rPr>
          <w:sz w:val="24"/>
          <w:szCs w:val="24"/>
        </w:rPr>
        <w:t xml:space="preserve">  </w:t>
      </w:r>
    </w:p>
    <w:p w:rsidR="000B1034" w:rsidP="00ED4404" w14:paraId="498D674B" w14:textId="77777777">
      <w:pPr>
        <w:widowControl/>
        <w:spacing w:before="100" w:beforeAutospacing="1" w:after="120" w:line="259" w:lineRule="auto"/>
        <w:contextualSpacing/>
        <w:rPr>
          <w:sz w:val="24"/>
          <w:szCs w:val="24"/>
        </w:rPr>
      </w:pPr>
    </w:p>
    <w:p w:rsidR="00792B7D" w:rsidP="00ED4404" w14:paraId="50C09484" w14:textId="77777777">
      <w:pPr>
        <w:widowControl/>
        <w:spacing w:before="100" w:beforeAutospacing="1" w:after="120" w:line="259" w:lineRule="auto"/>
        <w:ind w:firstLine="720"/>
        <w:contextualSpacing/>
        <w:rPr>
          <w:snapToGrid/>
          <w:color w:val="000000"/>
          <w:kern w:val="0"/>
          <w:sz w:val="24"/>
          <w:szCs w:val="24"/>
        </w:rPr>
      </w:pPr>
      <w:r>
        <w:rPr>
          <w:sz w:val="24"/>
          <w:szCs w:val="24"/>
        </w:rPr>
        <w:t>For ease of identification, the</w:t>
      </w:r>
      <w:r w:rsidR="0099106C">
        <w:rPr>
          <w:sz w:val="24"/>
          <w:szCs w:val="24"/>
        </w:rPr>
        <w:t xml:space="preserve"> list</w:t>
      </w:r>
      <w:r w:rsidR="00740331">
        <w:rPr>
          <w:sz w:val="24"/>
          <w:szCs w:val="24"/>
        </w:rPr>
        <w:t xml:space="preserve"> of earth stations</w:t>
      </w:r>
      <w:r w:rsidRPr="00F00687" w:rsidR="00D70827">
        <w:rPr>
          <w:sz w:val="24"/>
          <w:szCs w:val="24"/>
        </w:rPr>
        <w:t xml:space="preserve"> includes the following information from the IBFS database: (1) </w:t>
      </w:r>
      <w:r w:rsidRPr="00942540" w:rsidR="00D70827">
        <w:rPr>
          <w:snapToGrid/>
          <w:color w:val="000000"/>
          <w:kern w:val="0"/>
          <w:sz w:val="24"/>
          <w:szCs w:val="24"/>
        </w:rPr>
        <w:t>Licensee/Registrant/Applicant</w:t>
      </w:r>
      <w:r w:rsidRPr="00F00687" w:rsidR="00D70827">
        <w:rPr>
          <w:sz w:val="24"/>
          <w:szCs w:val="24"/>
        </w:rPr>
        <w:t xml:space="preserve"> name; (2)</w:t>
      </w:r>
      <w:r w:rsidRPr="00F00687" w:rsidR="00D70827">
        <w:rPr>
          <w:snapToGrid/>
          <w:color w:val="000000"/>
          <w:kern w:val="0"/>
          <w:sz w:val="24"/>
          <w:szCs w:val="24"/>
        </w:rPr>
        <w:t xml:space="preserve"> </w:t>
      </w:r>
      <w:r w:rsidRPr="00E943C5" w:rsidR="00D70827">
        <w:rPr>
          <w:snapToGrid/>
          <w:color w:val="000000"/>
          <w:kern w:val="0"/>
          <w:sz w:val="24"/>
          <w:szCs w:val="24"/>
        </w:rPr>
        <w:t>Earth Station Callsign</w:t>
      </w:r>
      <w:r w:rsidRPr="00F00687" w:rsidR="00D70827">
        <w:rPr>
          <w:snapToGrid/>
          <w:color w:val="000000"/>
          <w:kern w:val="0"/>
          <w:sz w:val="24"/>
          <w:szCs w:val="24"/>
        </w:rPr>
        <w:t>; (3)</w:t>
      </w:r>
      <w:r w:rsidRPr="00E943C5" w:rsidR="00D70827">
        <w:rPr>
          <w:snapToGrid/>
          <w:color w:val="000000"/>
          <w:kern w:val="0"/>
          <w:sz w:val="24"/>
          <w:szCs w:val="24"/>
        </w:rPr>
        <w:t xml:space="preserve"> Site</w:t>
      </w:r>
      <w:r w:rsidR="00D70827">
        <w:rPr>
          <w:snapToGrid/>
          <w:color w:val="000000"/>
          <w:kern w:val="0"/>
          <w:sz w:val="24"/>
          <w:szCs w:val="24"/>
        </w:rPr>
        <w:t xml:space="preserve"> </w:t>
      </w:r>
      <w:r w:rsidRPr="00E943C5" w:rsidR="00D70827">
        <w:rPr>
          <w:snapToGrid/>
          <w:color w:val="000000"/>
          <w:kern w:val="0"/>
          <w:sz w:val="24"/>
          <w:szCs w:val="24"/>
        </w:rPr>
        <w:t>ID</w:t>
      </w:r>
      <w:r w:rsidRPr="00F00687" w:rsidR="00D70827">
        <w:rPr>
          <w:snapToGrid/>
          <w:color w:val="000000"/>
          <w:kern w:val="0"/>
          <w:sz w:val="24"/>
          <w:szCs w:val="24"/>
        </w:rPr>
        <w:t>; (4)</w:t>
      </w:r>
      <w:r w:rsidRPr="00E943C5" w:rsidR="00D70827">
        <w:rPr>
          <w:snapToGrid/>
          <w:color w:val="000000"/>
          <w:kern w:val="0"/>
          <w:sz w:val="24"/>
          <w:szCs w:val="24"/>
        </w:rPr>
        <w:t xml:space="preserve"> Ant</w:t>
      </w:r>
      <w:r w:rsidRPr="00F00687" w:rsidR="00D70827">
        <w:rPr>
          <w:snapToGrid/>
          <w:color w:val="000000"/>
          <w:kern w:val="0"/>
          <w:sz w:val="24"/>
          <w:szCs w:val="24"/>
        </w:rPr>
        <w:t xml:space="preserve">enna </w:t>
      </w:r>
      <w:r w:rsidRPr="00E943C5" w:rsidR="00D70827">
        <w:rPr>
          <w:snapToGrid/>
          <w:color w:val="000000"/>
          <w:kern w:val="0"/>
          <w:sz w:val="24"/>
          <w:szCs w:val="24"/>
        </w:rPr>
        <w:t>ID</w:t>
      </w:r>
      <w:r w:rsidRPr="00F00687" w:rsidR="00D70827">
        <w:rPr>
          <w:snapToGrid/>
          <w:color w:val="000000"/>
          <w:kern w:val="0"/>
          <w:sz w:val="24"/>
          <w:szCs w:val="24"/>
        </w:rPr>
        <w:t>; (5) number of</w:t>
      </w:r>
      <w:r w:rsidRPr="00E943C5" w:rsidR="00D70827">
        <w:rPr>
          <w:snapToGrid/>
          <w:color w:val="000000"/>
          <w:kern w:val="0"/>
          <w:sz w:val="24"/>
          <w:szCs w:val="24"/>
        </w:rPr>
        <w:t xml:space="preserve"> antennas</w:t>
      </w:r>
      <w:r w:rsidR="008F0931">
        <w:rPr>
          <w:snapToGrid/>
          <w:color w:val="000000"/>
          <w:kern w:val="0"/>
          <w:sz w:val="24"/>
          <w:szCs w:val="24"/>
        </w:rPr>
        <w:t>/dishes</w:t>
      </w:r>
      <w:r w:rsidR="00DB3B20">
        <w:rPr>
          <w:snapToGrid/>
          <w:color w:val="000000"/>
          <w:kern w:val="0"/>
          <w:sz w:val="24"/>
          <w:szCs w:val="24"/>
        </w:rPr>
        <w:t xml:space="preserve"> associated with that Antenna ID</w:t>
      </w:r>
      <w:r w:rsidRPr="00F00687" w:rsidR="00D70827">
        <w:rPr>
          <w:snapToGrid/>
          <w:color w:val="000000"/>
          <w:kern w:val="0"/>
          <w:sz w:val="24"/>
          <w:szCs w:val="24"/>
        </w:rPr>
        <w:t>; (6)</w:t>
      </w:r>
      <w:r w:rsidRPr="00E943C5" w:rsidR="00D70827">
        <w:rPr>
          <w:snapToGrid/>
          <w:color w:val="000000"/>
          <w:kern w:val="0"/>
          <w:sz w:val="24"/>
          <w:szCs w:val="24"/>
        </w:rPr>
        <w:t xml:space="preserve"> </w:t>
      </w:r>
      <w:r w:rsidR="00DB3B20">
        <w:rPr>
          <w:snapToGrid/>
          <w:color w:val="000000"/>
          <w:kern w:val="0"/>
          <w:sz w:val="24"/>
          <w:szCs w:val="24"/>
        </w:rPr>
        <w:t xml:space="preserve">site </w:t>
      </w:r>
      <w:r w:rsidRPr="00E943C5" w:rsidR="00D70827">
        <w:rPr>
          <w:snapToGrid/>
          <w:color w:val="000000"/>
          <w:kern w:val="0"/>
          <w:sz w:val="24"/>
          <w:szCs w:val="24"/>
        </w:rPr>
        <w:t>address</w:t>
      </w:r>
      <w:r w:rsidRPr="00F00687" w:rsidR="00D70827">
        <w:rPr>
          <w:snapToGrid/>
          <w:color w:val="000000"/>
          <w:kern w:val="0"/>
          <w:sz w:val="24"/>
          <w:szCs w:val="24"/>
        </w:rPr>
        <w:t>; (7)</w:t>
      </w:r>
      <w:r w:rsidRPr="00E943C5" w:rsidR="00D70827">
        <w:rPr>
          <w:snapToGrid/>
          <w:color w:val="000000"/>
          <w:kern w:val="0"/>
          <w:sz w:val="24"/>
          <w:szCs w:val="24"/>
        </w:rPr>
        <w:t xml:space="preserve"> GPS</w:t>
      </w:r>
      <w:r w:rsidRPr="00F00687" w:rsidR="00D70827">
        <w:rPr>
          <w:snapToGrid/>
          <w:color w:val="000000"/>
          <w:kern w:val="0"/>
          <w:sz w:val="24"/>
          <w:szCs w:val="24"/>
        </w:rPr>
        <w:t xml:space="preserve"> coordinates</w:t>
      </w:r>
      <w:r w:rsidR="004842F1">
        <w:rPr>
          <w:snapToGrid/>
          <w:color w:val="000000"/>
          <w:kern w:val="0"/>
          <w:sz w:val="24"/>
          <w:szCs w:val="24"/>
        </w:rPr>
        <w:t xml:space="preserve"> of </w:t>
      </w:r>
      <w:r w:rsidR="00EE517D">
        <w:rPr>
          <w:snapToGrid/>
          <w:color w:val="000000"/>
          <w:kern w:val="0"/>
          <w:sz w:val="24"/>
          <w:szCs w:val="24"/>
        </w:rPr>
        <w:t xml:space="preserve">the </w:t>
      </w:r>
      <w:r w:rsidR="004842F1">
        <w:rPr>
          <w:snapToGrid/>
          <w:color w:val="000000"/>
          <w:kern w:val="0"/>
          <w:sz w:val="24"/>
          <w:szCs w:val="24"/>
        </w:rPr>
        <w:t>antenna</w:t>
      </w:r>
      <w:r w:rsidRPr="00F00687" w:rsidR="00D70827">
        <w:rPr>
          <w:snapToGrid/>
          <w:color w:val="000000"/>
          <w:kern w:val="0"/>
          <w:sz w:val="24"/>
          <w:szCs w:val="24"/>
        </w:rPr>
        <w:t xml:space="preserve">; </w:t>
      </w:r>
      <w:r w:rsidR="00185EC1">
        <w:rPr>
          <w:snapToGrid/>
          <w:color w:val="000000"/>
          <w:kern w:val="0"/>
          <w:sz w:val="24"/>
          <w:szCs w:val="24"/>
        </w:rPr>
        <w:t xml:space="preserve">and </w:t>
      </w:r>
      <w:r w:rsidRPr="00F00687" w:rsidR="00D70827">
        <w:rPr>
          <w:snapToGrid/>
          <w:color w:val="000000"/>
          <w:kern w:val="0"/>
          <w:sz w:val="24"/>
          <w:szCs w:val="24"/>
        </w:rPr>
        <w:t>(8)</w:t>
      </w:r>
      <w:r w:rsidRPr="00E943C5" w:rsidR="00D70827">
        <w:rPr>
          <w:snapToGrid/>
          <w:color w:val="000000"/>
          <w:kern w:val="0"/>
          <w:sz w:val="24"/>
          <w:szCs w:val="24"/>
        </w:rPr>
        <w:t xml:space="preserve"> File</w:t>
      </w:r>
      <w:r w:rsidRPr="00F00687" w:rsidR="00D70827">
        <w:rPr>
          <w:snapToGrid/>
          <w:color w:val="000000"/>
          <w:kern w:val="0"/>
          <w:sz w:val="24"/>
          <w:szCs w:val="24"/>
        </w:rPr>
        <w:t xml:space="preserve"> </w:t>
      </w:r>
      <w:r w:rsidRPr="00E943C5" w:rsidR="00D70827">
        <w:rPr>
          <w:snapToGrid/>
          <w:color w:val="000000"/>
          <w:kern w:val="0"/>
          <w:sz w:val="24"/>
          <w:szCs w:val="24"/>
        </w:rPr>
        <w:t>Number</w:t>
      </w:r>
      <w:r w:rsidR="00DB3B20">
        <w:rPr>
          <w:snapToGrid/>
          <w:color w:val="000000"/>
          <w:kern w:val="0"/>
          <w:sz w:val="24"/>
          <w:szCs w:val="24"/>
        </w:rPr>
        <w:t>(s)</w:t>
      </w:r>
      <w:r w:rsidRPr="00E943C5" w:rsidR="00D70827">
        <w:rPr>
          <w:snapToGrid/>
          <w:color w:val="000000"/>
          <w:kern w:val="0"/>
          <w:sz w:val="24"/>
          <w:szCs w:val="24"/>
        </w:rPr>
        <w:t xml:space="preserve"> of current authorization</w:t>
      </w:r>
      <w:r w:rsidR="00DB3B20">
        <w:rPr>
          <w:snapToGrid/>
          <w:color w:val="000000"/>
          <w:kern w:val="0"/>
          <w:sz w:val="24"/>
          <w:szCs w:val="24"/>
        </w:rPr>
        <w:t xml:space="preserve"> and/or pending application.</w:t>
      </w:r>
      <w:r>
        <w:rPr>
          <w:rStyle w:val="FootnoteReference"/>
          <w:snapToGrid/>
          <w:kern w:val="0"/>
          <w:szCs w:val="24"/>
        </w:rPr>
        <w:footnoteReference w:id="12"/>
      </w:r>
      <w:r w:rsidR="000473D9">
        <w:rPr>
          <w:snapToGrid/>
          <w:color w:val="000000"/>
          <w:kern w:val="0"/>
          <w:sz w:val="24"/>
          <w:szCs w:val="24"/>
        </w:rPr>
        <w:t xml:space="preserve">  Registrants, licensees, applicants, and other stakeholders should</w:t>
      </w:r>
      <w:r w:rsidRPr="00E943C5" w:rsidR="000473D9">
        <w:rPr>
          <w:snapToGrid/>
          <w:color w:val="000000"/>
          <w:kern w:val="0"/>
          <w:sz w:val="24"/>
          <w:szCs w:val="24"/>
        </w:rPr>
        <w:t xml:space="preserve"> review the </w:t>
      </w:r>
      <w:r w:rsidR="000473D9">
        <w:rPr>
          <w:snapToGrid/>
          <w:color w:val="000000"/>
          <w:kern w:val="0"/>
          <w:sz w:val="24"/>
          <w:szCs w:val="24"/>
        </w:rPr>
        <w:t>l</w:t>
      </w:r>
      <w:r w:rsidRPr="00E943C5" w:rsidR="000473D9">
        <w:rPr>
          <w:snapToGrid/>
          <w:color w:val="000000"/>
          <w:kern w:val="0"/>
          <w:sz w:val="24"/>
          <w:szCs w:val="24"/>
        </w:rPr>
        <w:t>ist for accuracy</w:t>
      </w:r>
      <w:r w:rsidR="000473D9">
        <w:rPr>
          <w:snapToGrid/>
          <w:color w:val="000000"/>
          <w:kern w:val="0"/>
          <w:sz w:val="24"/>
          <w:szCs w:val="24"/>
        </w:rPr>
        <w:t xml:space="preserve">.  Parties requesting </w:t>
      </w:r>
      <w:r w:rsidRPr="00E943C5" w:rsidR="000473D9">
        <w:rPr>
          <w:snapToGrid/>
          <w:color w:val="000000"/>
          <w:kern w:val="0"/>
          <w:sz w:val="24"/>
          <w:szCs w:val="24"/>
        </w:rPr>
        <w:t>any correction</w:t>
      </w:r>
      <w:r w:rsidR="000473D9">
        <w:rPr>
          <w:snapToGrid/>
          <w:color w:val="000000"/>
          <w:kern w:val="0"/>
          <w:sz w:val="24"/>
          <w:szCs w:val="24"/>
        </w:rPr>
        <w:t xml:space="preserve"> regarding the inclusion or omission of any earth station should</w:t>
      </w:r>
      <w:r w:rsidRPr="00E943C5" w:rsidR="000473D9">
        <w:rPr>
          <w:snapToGrid/>
          <w:color w:val="000000"/>
          <w:kern w:val="0"/>
          <w:sz w:val="24"/>
          <w:szCs w:val="24"/>
        </w:rPr>
        <w:t xml:space="preserve"> </w:t>
      </w:r>
      <w:r w:rsidR="000473D9">
        <w:rPr>
          <w:snapToGrid/>
          <w:color w:val="000000"/>
          <w:kern w:val="0"/>
          <w:sz w:val="24"/>
          <w:szCs w:val="24"/>
        </w:rPr>
        <w:t xml:space="preserve">do so </w:t>
      </w:r>
      <w:r w:rsidR="00BC20CB">
        <w:rPr>
          <w:snapToGrid/>
          <w:color w:val="000000"/>
          <w:kern w:val="0"/>
          <w:sz w:val="24"/>
          <w:szCs w:val="24"/>
        </w:rPr>
        <w:t xml:space="preserve">in </w:t>
      </w:r>
      <w:r w:rsidR="000473D9">
        <w:rPr>
          <w:snapToGrid/>
          <w:color w:val="000000"/>
          <w:kern w:val="0"/>
          <w:sz w:val="24"/>
          <w:szCs w:val="24"/>
        </w:rPr>
        <w:t xml:space="preserve">writing </w:t>
      </w:r>
      <w:r w:rsidR="00EA6746">
        <w:rPr>
          <w:snapToGrid/>
          <w:color w:val="000000"/>
          <w:kern w:val="0"/>
          <w:sz w:val="24"/>
          <w:szCs w:val="24"/>
        </w:rPr>
        <w:t xml:space="preserve">according to the filing requirements outlined </w:t>
      </w:r>
      <w:r w:rsidR="00EA6746">
        <w:rPr>
          <w:snapToGrid/>
          <w:color w:val="000000"/>
          <w:kern w:val="0"/>
          <w:sz w:val="24"/>
          <w:szCs w:val="24"/>
        </w:rPr>
        <w:t xml:space="preserve">below, </w:t>
      </w:r>
      <w:r w:rsidR="000473D9">
        <w:rPr>
          <w:snapToGrid/>
          <w:color w:val="000000"/>
          <w:kern w:val="0"/>
          <w:sz w:val="24"/>
          <w:szCs w:val="24"/>
        </w:rPr>
        <w:t>and</w:t>
      </w:r>
      <w:r w:rsidR="000473D9">
        <w:rPr>
          <w:snapToGrid/>
          <w:color w:val="000000"/>
          <w:kern w:val="0"/>
          <w:sz w:val="24"/>
          <w:szCs w:val="24"/>
        </w:rPr>
        <w:t xml:space="preserve"> reference the existing file number(s)</w:t>
      </w:r>
      <w:r w:rsidRPr="00E943C5" w:rsidR="000473D9">
        <w:rPr>
          <w:snapToGrid/>
          <w:color w:val="000000"/>
          <w:kern w:val="0"/>
          <w:sz w:val="24"/>
          <w:szCs w:val="24"/>
        </w:rPr>
        <w:t xml:space="preserve"> in IBFS</w:t>
      </w:r>
      <w:r w:rsidR="000473D9">
        <w:rPr>
          <w:snapToGrid/>
          <w:color w:val="000000"/>
          <w:kern w:val="0"/>
          <w:sz w:val="24"/>
          <w:szCs w:val="24"/>
        </w:rPr>
        <w:t xml:space="preserve"> to support those requests</w:t>
      </w:r>
      <w:r w:rsidRPr="00E943C5" w:rsidR="000473D9">
        <w:rPr>
          <w:snapToGrid/>
          <w:color w:val="000000"/>
          <w:kern w:val="0"/>
          <w:sz w:val="24"/>
          <w:szCs w:val="24"/>
        </w:rPr>
        <w:t>.</w:t>
      </w:r>
      <w:r w:rsidR="000473D9">
        <w:rPr>
          <w:snapToGrid/>
          <w:color w:val="000000"/>
          <w:kern w:val="0"/>
          <w:sz w:val="24"/>
          <w:szCs w:val="24"/>
        </w:rPr>
        <w:t xml:space="preserve">  </w:t>
      </w:r>
    </w:p>
    <w:p w:rsidR="00AC23EA" w:rsidP="00ED4404" w14:paraId="070E77DB" w14:textId="77777777">
      <w:pPr>
        <w:widowControl/>
        <w:spacing w:before="100" w:beforeAutospacing="1" w:after="120" w:line="259" w:lineRule="auto"/>
        <w:ind w:firstLine="720"/>
        <w:contextualSpacing/>
        <w:rPr>
          <w:snapToGrid/>
          <w:color w:val="000000"/>
          <w:kern w:val="0"/>
          <w:sz w:val="24"/>
          <w:szCs w:val="24"/>
        </w:rPr>
      </w:pPr>
    </w:p>
    <w:p w:rsidR="00EE517D" w:rsidP="00ED4404" w14:paraId="5118AF40" w14:textId="77777777">
      <w:pPr>
        <w:widowControl/>
        <w:spacing w:before="100" w:beforeAutospacing="1" w:after="120" w:line="259" w:lineRule="auto"/>
        <w:ind w:firstLine="720"/>
        <w:contextualSpacing/>
        <w:rPr>
          <w:snapToGrid/>
          <w:color w:val="000000"/>
          <w:kern w:val="0"/>
          <w:sz w:val="24"/>
          <w:szCs w:val="24"/>
        </w:rPr>
      </w:pPr>
      <w:r>
        <w:rPr>
          <w:snapToGrid/>
          <w:color w:val="000000"/>
          <w:kern w:val="0"/>
          <w:sz w:val="24"/>
          <w:szCs w:val="24"/>
        </w:rPr>
        <w:t xml:space="preserve"> </w:t>
      </w:r>
      <w:r w:rsidRPr="00E943C5" w:rsidR="00DE07BE">
        <w:rPr>
          <w:snapToGrid/>
          <w:color w:val="000000"/>
          <w:kern w:val="0"/>
          <w:sz w:val="24"/>
          <w:szCs w:val="24"/>
        </w:rPr>
        <w:t xml:space="preserve">The </w:t>
      </w:r>
      <w:r w:rsidRPr="00C9457A" w:rsidR="00DE07BE">
        <w:rPr>
          <w:i/>
          <w:iCs/>
          <w:sz w:val="24"/>
          <w:szCs w:val="24"/>
        </w:rPr>
        <w:t>3.7 GHz Band Report and Order</w:t>
      </w:r>
      <w:r w:rsidRPr="00E943C5" w:rsidR="00DE07BE">
        <w:rPr>
          <w:snapToGrid/>
          <w:color w:val="000000"/>
          <w:kern w:val="0"/>
          <w:sz w:val="24"/>
          <w:szCs w:val="24"/>
        </w:rPr>
        <w:t xml:space="preserve"> rejected a request to open an additional</w:t>
      </w:r>
      <w:r w:rsidR="005D17F7">
        <w:rPr>
          <w:snapToGrid/>
          <w:color w:val="000000"/>
          <w:kern w:val="0"/>
          <w:sz w:val="24"/>
          <w:szCs w:val="24"/>
        </w:rPr>
        <w:t xml:space="preserve"> earth station</w:t>
      </w:r>
      <w:r w:rsidRPr="00E943C5" w:rsidR="00DE07BE">
        <w:rPr>
          <w:snapToGrid/>
          <w:color w:val="000000"/>
          <w:kern w:val="0"/>
          <w:sz w:val="24"/>
          <w:szCs w:val="24"/>
        </w:rPr>
        <w:t xml:space="preserve"> filing window</w:t>
      </w:r>
      <w:r w:rsidR="00DE07BE">
        <w:rPr>
          <w:snapToGrid/>
          <w:color w:val="000000"/>
          <w:kern w:val="0"/>
          <w:sz w:val="24"/>
          <w:szCs w:val="24"/>
        </w:rPr>
        <w:t>,</w:t>
      </w:r>
      <w:r>
        <w:rPr>
          <w:rStyle w:val="FootnoteReference"/>
          <w:snapToGrid/>
          <w:kern w:val="0"/>
          <w:szCs w:val="24"/>
        </w:rPr>
        <w:footnoteReference w:id="13"/>
      </w:r>
      <w:r w:rsidR="00DE07BE">
        <w:rPr>
          <w:snapToGrid/>
          <w:color w:val="000000"/>
          <w:kern w:val="0"/>
          <w:sz w:val="24"/>
          <w:szCs w:val="24"/>
        </w:rPr>
        <w:t xml:space="preserve"> and p</w:t>
      </w:r>
      <w:r w:rsidRPr="00E943C5" w:rsidR="00E943C5">
        <w:rPr>
          <w:snapToGrid/>
          <w:color w:val="000000"/>
          <w:kern w:val="0"/>
          <w:sz w:val="24"/>
          <w:szCs w:val="24"/>
        </w:rPr>
        <w:t xml:space="preserve">arties </w:t>
      </w:r>
      <w:r w:rsidR="00EF7DCF">
        <w:rPr>
          <w:snapToGrid/>
          <w:color w:val="000000"/>
          <w:kern w:val="0"/>
          <w:sz w:val="24"/>
          <w:szCs w:val="24"/>
        </w:rPr>
        <w:t>may</w:t>
      </w:r>
      <w:r w:rsidRPr="00E943C5" w:rsidR="00E943C5">
        <w:rPr>
          <w:snapToGrid/>
          <w:color w:val="000000"/>
          <w:kern w:val="0"/>
          <w:sz w:val="24"/>
          <w:szCs w:val="24"/>
        </w:rPr>
        <w:t xml:space="preserve"> not </w:t>
      </w:r>
      <w:r w:rsidR="00EF7DCF">
        <w:rPr>
          <w:snapToGrid/>
          <w:color w:val="000000"/>
          <w:kern w:val="0"/>
          <w:sz w:val="24"/>
          <w:szCs w:val="24"/>
        </w:rPr>
        <w:t xml:space="preserve">submit new </w:t>
      </w:r>
      <w:r w:rsidR="00D70827">
        <w:rPr>
          <w:snapToGrid/>
          <w:color w:val="000000"/>
          <w:kern w:val="0"/>
          <w:sz w:val="24"/>
          <w:szCs w:val="24"/>
        </w:rPr>
        <w:t>filings</w:t>
      </w:r>
      <w:r w:rsidRPr="00E943C5" w:rsidR="00E943C5">
        <w:rPr>
          <w:snapToGrid/>
          <w:color w:val="000000"/>
          <w:kern w:val="0"/>
          <w:sz w:val="24"/>
          <w:szCs w:val="24"/>
        </w:rPr>
        <w:t xml:space="preserve"> in IBFS – </w:t>
      </w:r>
      <w:r w:rsidR="00EF7DCF">
        <w:rPr>
          <w:snapToGrid/>
          <w:color w:val="000000"/>
          <w:kern w:val="0"/>
          <w:sz w:val="24"/>
          <w:szCs w:val="24"/>
        </w:rPr>
        <w:t>including applications to register, modify or amend</w:t>
      </w:r>
      <w:r w:rsidRPr="00E943C5" w:rsidR="00E943C5">
        <w:rPr>
          <w:snapToGrid/>
          <w:color w:val="000000"/>
          <w:kern w:val="0"/>
          <w:sz w:val="24"/>
          <w:szCs w:val="24"/>
        </w:rPr>
        <w:t xml:space="preserve"> – </w:t>
      </w:r>
      <w:r w:rsidR="00EF7DCF">
        <w:rPr>
          <w:snapToGrid/>
          <w:color w:val="000000"/>
          <w:kern w:val="0"/>
          <w:sz w:val="24"/>
          <w:szCs w:val="24"/>
        </w:rPr>
        <w:t>in order to</w:t>
      </w:r>
      <w:r w:rsidRPr="00E943C5" w:rsidR="00E943C5">
        <w:rPr>
          <w:snapToGrid/>
          <w:color w:val="000000"/>
          <w:kern w:val="0"/>
          <w:sz w:val="24"/>
          <w:szCs w:val="24"/>
        </w:rPr>
        <w:t xml:space="preserve"> attempt to qualify for incumbent status</w:t>
      </w:r>
      <w:r w:rsidR="00CE20A2">
        <w:rPr>
          <w:snapToGrid/>
          <w:color w:val="000000"/>
          <w:kern w:val="0"/>
          <w:sz w:val="24"/>
          <w:szCs w:val="24"/>
        </w:rPr>
        <w:t>.  The Commission will also not consider filings from current licensees or registrants to a</w:t>
      </w:r>
      <w:r w:rsidR="00EF7DCF">
        <w:rPr>
          <w:snapToGrid/>
          <w:color w:val="000000"/>
          <w:kern w:val="0"/>
          <w:sz w:val="24"/>
          <w:szCs w:val="24"/>
        </w:rPr>
        <w:t xml:space="preserve">dd </w:t>
      </w:r>
      <w:r w:rsidR="004D71E8">
        <w:rPr>
          <w:snapToGrid/>
          <w:color w:val="000000"/>
          <w:kern w:val="0"/>
          <w:sz w:val="24"/>
          <w:szCs w:val="24"/>
        </w:rPr>
        <w:t xml:space="preserve">existing </w:t>
      </w:r>
      <w:r w:rsidR="00EF7DCF">
        <w:rPr>
          <w:snapToGrid/>
          <w:color w:val="000000"/>
          <w:kern w:val="0"/>
          <w:sz w:val="24"/>
          <w:szCs w:val="24"/>
        </w:rPr>
        <w:t>antenna</w:t>
      </w:r>
      <w:r w:rsidR="004842F1">
        <w:rPr>
          <w:snapToGrid/>
          <w:color w:val="000000"/>
          <w:kern w:val="0"/>
          <w:sz w:val="24"/>
          <w:szCs w:val="24"/>
        </w:rPr>
        <w:t>s to a registration or license</w:t>
      </w:r>
      <w:r w:rsidR="00D70827">
        <w:rPr>
          <w:snapToGrid/>
          <w:color w:val="000000"/>
          <w:kern w:val="0"/>
          <w:sz w:val="24"/>
          <w:szCs w:val="24"/>
        </w:rPr>
        <w:t xml:space="preserve"> or change an earth station location</w:t>
      </w:r>
      <w:r w:rsidRPr="00E943C5" w:rsidR="00E943C5">
        <w:rPr>
          <w:snapToGrid/>
          <w:color w:val="000000"/>
          <w:kern w:val="0"/>
          <w:sz w:val="24"/>
          <w:szCs w:val="24"/>
        </w:rPr>
        <w:t>.</w:t>
      </w:r>
      <w:r w:rsidR="008F0931">
        <w:rPr>
          <w:snapToGrid/>
          <w:color w:val="000000"/>
          <w:kern w:val="0"/>
          <w:sz w:val="24"/>
          <w:szCs w:val="24"/>
        </w:rPr>
        <w:t xml:space="preserve"> </w:t>
      </w:r>
      <w:r w:rsidRPr="00E943C5" w:rsidR="00E943C5">
        <w:rPr>
          <w:snapToGrid/>
          <w:color w:val="000000"/>
          <w:kern w:val="0"/>
          <w:sz w:val="24"/>
          <w:szCs w:val="24"/>
        </w:rPr>
        <w:t xml:space="preserve"> </w:t>
      </w:r>
      <w:r w:rsidRPr="00E943C5" w:rsidR="007E4DB9">
        <w:rPr>
          <w:snapToGrid/>
          <w:color w:val="000000"/>
          <w:kern w:val="0"/>
          <w:sz w:val="24"/>
          <w:szCs w:val="24"/>
        </w:rPr>
        <w:t xml:space="preserve">Filings </w:t>
      </w:r>
      <w:r w:rsidR="008F0931">
        <w:rPr>
          <w:snapToGrid/>
          <w:color w:val="000000"/>
          <w:kern w:val="0"/>
          <w:sz w:val="24"/>
          <w:szCs w:val="24"/>
        </w:rPr>
        <w:t xml:space="preserve">in this docket </w:t>
      </w:r>
      <w:r w:rsidR="007E4DB9">
        <w:rPr>
          <w:snapToGrid/>
          <w:color w:val="000000"/>
          <w:kern w:val="0"/>
          <w:sz w:val="24"/>
          <w:szCs w:val="24"/>
        </w:rPr>
        <w:t>that</w:t>
      </w:r>
      <w:r w:rsidRPr="00E943C5" w:rsidR="007E4DB9">
        <w:rPr>
          <w:snapToGrid/>
          <w:color w:val="000000"/>
          <w:kern w:val="0"/>
          <w:sz w:val="24"/>
          <w:szCs w:val="24"/>
        </w:rPr>
        <w:t xml:space="preserve"> </w:t>
      </w:r>
      <w:r w:rsidR="007E4DB9">
        <w:rPr>
          <w:snapToGrid/>
          <w:color w:val="000000"/>
          <w:kern w:val="0"/>
          <w:sz w:val="24"/>
          <w:szCs w:val="24"/>
        </w:rPr>
        <w:t>provide minor corrections to</w:t>
      </w:r>
      <w:r w:rsidRPr="00E943C5" w:rsidR="007E4DB9">
        <w:rPr>
          <w:snapToGrid/>
          <w:color w:val="000000"/>
          <w:kern w:val="0"/>
          <w:sz w:val="24"/>
          <w:szCs w:val="24"/>
        </w:rPr>
        <w:t xml:space="preserve"> site address and/or GPS coordinates of an </w:t>
      </w:r>
      <w:r w:rsidR="00D857BF">
        <w:rPr>
          <w:snapToGrid/>
          <w:color w:val="000000"/>
          <w:kern w:val="0"/>
          <w:sz w:val="24"/>
          <w:szCs w:val="24"/>
        </w:rPr>
        <w:t xml:space="preserve">existing </w:t>
      </w:r>
      <w:r w:rsidRPr="00E943C5" w:rsidR="007E4DB9">
        <w:rPr>
          <w:snapToGrid/>
          <w:color w:val="000000"/>
          <w:kern w:val="0"/>
          <w:sz w:val="24"/>
          <w:szCs w:val="24"/>
        </w:rPr>
        <w:t>earth station location</w:t>
      </w:r>
      <w:r w:rsidR="007E4DB9">
        <w:rPr>
          <w:snapToGrid/>
          <w:color w:val="000000"/>
          <w:kern w:val="0"/>
          <w:sz w:val="24"/>
          <w:szCs w:val="24"/>
        </w:rPr>
        <w:t xml:space="preserve"> or </w:t>
      </w:r>
      <w:r w:rsidR="001C4C0C">
        <w:rPr>
          <w:snapToGrid/>
          <w:color w:val="000000"/>
          <w:kern w:val="0"/>
          <w:sz w:val="24"/>
          <w:szCs w:val="24"/>
        </w:rPr>
        <w:t>minor</w:t>
      </w:r>
      <w:r w:rsidR="007E4DB9">
        <w:rPr>
          <w:snapToGrid/>
          <w:color w:val="000000"/>
          <w:kern w:val="0"/>
          <w:sz w:val="24"/>
          <w:szCs w:val="24"/>
        </w:rPr>
        <w:t xml:space="preserve"> change</w:t>
      </w:r>
      <w:r w:rsidR="001C4C0C">
        <w:rPr>
          <w:snapToGrid/>
          <w:color w:val="000000"/>
          <w:kern w:val="0"/>
          <w:sz w:val="24"/>
          <w:szCs w:val="24"/>
        </w:rPr>
        <w:t>s</w:t>
      </w:r>
      <w:r w:rsidR="007E4DB9">
        <w:rPr>
          <w:snapToGrid/>
          <w:color w:val="000000"/>
          <w:kern w:val="0"/>
          <w:sz w:val="24"/>
          <w:szCs w:val="24"/>
        </w:rPr>
        <w:t xml:space="preserve"> in operations (e.g., </w:t>
      </w:r>
      <w:r w:rsidR="001C4C0C">
        <w:rPr>
          <w:snapToGrid/>
          <w:color w:val="000000"/>
          <w:kern w:val="0"/>
          <w:sz w:val="24"/>
          <w:szCs w:val="24"/>
        </w:rPr>
        <w:t>change in an emission designator</w:t>
      </w:r>
      <w:r w:rsidR="00036C64">
        <w:rPr>
          <w:snapToGrid/>
          <w:color w:val="000000"/>
          <w:kern w:val="0"/>
          <w:sz w:val="24"/>
          <w:szCs w:val="24"/>
        </w:rPr>
        <w:t xml:space="preserve"> or</w:t>
      </w:r>
      <w:r w:rsidR="001C4C0C">
        <w:rPr>
          <w:snapToGrid/>
          <w:color w:val="000000"/>
          <w:kern w:val="0"/>
          <w:sz w:val="24"/>
          <w:szCs w:val="24"/>
        </w:rPr>
        <w:t>,</w:t>
      </w:r>
      <w:r w:rsidR="00036C64">
        <w:rPr>
          <w:snapToGrid/>
          <w:color w:val="000000"/>
          <w:kern w:val="0"/>
          <w:sz w:val="24"/>
          <w:szCs w:val="24"/>
        </w:rPr>
        <w:t xml:space="preserve"> importantly,</w:t>
      </w:r>
      <w:r w:rsidR="001C4C0C">
        <w:rPr>
          <w:snapToGrid/>
          <w:color w:val="000000"/>
          <w:kern w:val="0"/>
          <w:sz w:val="24"/>
          <w:szCs w:val="24"/>
        </w:rPr>
        <w:t xml:space="preserve"> </w:t>
      </w:r>
      <w:r w:rsidR="00DE207C">
        <w:rPr>
          <w:snapToGrid/>
          <w:color w:val="000000"/>
          <w:kern w:val="0"/>
          <w:sz w:val="24"/>
          <w:szCs w:val="24"/>
        </w:rPr>
        <w:t>an antenna</w:t>
      </w:r>
      <w:r w:rsidR="007E4DB9">
        <w:rPr>
          <w:snapToGrid/>
          <w:color w:val="000000"/>
          <w:kern w:val="0"/>
          <w:sz w:val="24"/>
          <w:szCs w:val="24"/>
        </w:rPr>
        <w:t xml:space="preserve"> no longer in use</w:t>
      </w:r>
      <w:r w:rsidR="006A6F10">
        <w:rPr>
          <w:snapToGrid/>
          <w:color w:val="000000"/>
          <w:kern w:val="0"/>
          <w:sz w:val="24"/>
          <w:szCs w:val="24"/>
        </w:rPr>
        <w:t>, or other information that would help inform the satellite operators’ transition plans</w:t>
      </w:r>
      <w:r w:rsidR="007E4DB9">
        <w:rPr>
          <w:snapToGrid/>
          <w:color w:val="000000"/>
          <w:kern w:val="0"/>
          <w:sz w:val="24"/>
          <w:szCs w:val="24"/>
        </w:rPr>
        <w:t>)</w:t>
      </w:r>
      <w:r w:rsidRPr="00E943C5" w:rsidR="007E4DB9">
        <w:rPr>
          <w:snapToGrid/>
          <w:color w:val="000000"/>
          <w:kern w:val="0"/>
          <w:sz w:val="24"/>
          <w:szCs w:val="24"/>
        </w:rPr>
        <w:t xml:space="preserve"> are permissible</w:t>
      </w:r>
      <w:r w:rsidR="007E4DB9">
        <w:rPr>
          <w:snapToGrid/>
          <w:color w:val="000000"/>
          <w:kern w:val="0"/>
          <w:sz w:val="24"/>
          <w:szCs w:val="24"/>
        </w:rPr>
        <w:t xml:space="preserve">.  </w:t>
      </w:r>
    </w:p>
    <w:p w:rsidR="00D33283" w:rsidRPr="008C4517" w:rsidP="00ED4404" w14:paraId="3B0807E9" w14:textId="77777777">
      <w:pPr>
        <w:pStyle w:val="Paranum0"/>
        <w:widowControl/>
        <w:spacing w:after="120"/>
        <w:ind w:firstLine="720"/>
        <w:jc w:val="center"/>
        <w:rPr>
          <w:sz w:val="24"/>
          <w:szCs w:val="24"/>
        </w:rPr>
      </w:pPr>
      <w:r w:rsidRPr="008C4517">
        <w:rPr>
          <w:sz w:val="24"/>
          <w:szCs w:val="24"/>
        </w:rPr>
        <w:t>***</w:t>
      </w:r>
    </w:p>
    <w:p w:rsidR="00C50E4C" w:rsidRPr="00C50E4C" w:rsidP="00ED4404" w14:paraId="3E24516F" w14:textId="77777777">
      <w:pPr>
        <w:spacing w:after="120"/>
        <w:ind w:firstLine="720"/>
        <w:rPr>
          <w:sz w:val="24"/>
          <w:szCs w:val="24"/>
        </w:rPr>
      </w:pPr>
      <w:r w:rsidRPr="00C50E4C">
        <w:rPr>
          <w:i/>
          <w:sz w:val="24"/>
          <w:szCs w:val="24"/>
        </w:rPr>
        <w:t xml:space="preserve">Filing Requirements.  </w:t>
      </w:r>
      <w:r w:rsidRPr="00C50E4C">
        <w:rPr>
          <w:sz w:val="24"/>
          <w:szCs w:val="24"/>
        </w:rPr>
        <w:t xml:space="preserve">Interested parties are invited to file comments on or before the date indicated on the first page of this document.  </w:t>
      </w:r>
      <w:r w:rsidRPr="00C50E4C">
        <w:rPr>
          <w:iCs/>
          <w:sz w:val="24"/>
          <w:szCs w:val="24"/>
        </w:rPr>
        <w:t xml:space="preserve">All filings must reference </w:t>
      </w:r>
      <w:r w:rsidR="008F0931">
        <w:rPr>
          <w:iCs/>
          <w:sz w:val="24"/>
          <w:szCs w:val="24"/>
        </w:rPr>
        <w:t>IB</w:t>
      </w:r>
      <w:r w:rsidRPr="008F0931">
        <w:rPr>
          <w:iCs/>
          <w:sz w:val="24"/>
          <w:szCs w:val="24"/>
        </w:rPr>
        <w:t xml:space="preserve"> Docket No. </w:t>
      </w:r>
      <w:r w:rsidR="008F0931">
        <w:rPr>
          <w:iCs/>
          <w:sz w:val="24"/>
          <w:szCs w:val="24"/>
        </w:rPr>
        <w:t>20</w:t>
      </w:r>
      <w:r w:rsidRPr="008F0931">
        <w:rPr>
          <w:iCs/>
          <w:sz w:val="24"/>
          <w:szCs w:val="24"/>
        </w:rPr>
        <w:t>-2</w:t>
      </w:r>
      <w:r w:rsidR="008F0931">
        <w:rPr>
          <w:iCs/>
          <w:sz w:val="24"/>
          <w:szCs w:val="24"/>
        </w:rPr>
        <w:t>05</w:t>
      </w:r>
      <w:r w:rsidRPr="00C50E4C">
        <w:rPr>
          <w:iCs/>
          <w:sz w:val="24"/>
          <w:szCs w:val="24"/>
        </w:rPr>
        <w:t xml:space="preserve">.  </w:t>
      </w:r>
      <w:r w:rsidRPr="00C50E4C">
        <w:rPr>
          <w:sz w:val="24"/>
          <w:szCs w:val="24"/>
        </w:rPr>
        <w:t xml:space="preserve">Comments may be filed using the Commission’s Electronic Comment Filing System (ECFS). </w:t>
      </w:r>
    </w:p>
    <w:p w:rsidR="00C50E4C" w:rsidP="00ED4404" w14:paraId="1254D65C" w14:textId="77777777">
      <w:pPr>
        <w:numPr>
          <w:ilvl w:val="0"/>
          <w:numId w:val="8"/>
        </w:numPr>
        <w:spacing w:after="120"/>
        <w:ind w:left="720"/>
        <w:rPr>
          <w:sz w:val="24"/>
          <w:szCs w:val="24"/>
        </w:rPr>
      </w:pPr>
      <w:r w:rsidRPr="00C50E4C">
        <w:rPr>
          <w:sz w:val="24"/>
          <w:szCs w:val="24"/>
        </w:rPr>
        <w:t xml:space="preserve">Electronic Filers:  Comments may be filed electronically using the internet by accessing the ECFS: </w:t>
      </w:r>
      <w:hyperlink r:id="rId5" w:history="1">
        <w:r w:rsidRPr="00C50E4C">
          <w:rPr>
            <w:rStyle w:val="Hyperlink"/>
            <w:sz w:val="24"/>
            <w:szCs w:val="24"/>
          </w:rPr>
          <w:t>https://www.fcc.gov/ecfs/</w:t>
        </w:r>
      </w:hyperlink>
      <w:r w:rsidRPr="00C50E4C">
        <w:rPr>
          <w:sz w:val="24"/>
          <w:szCs w:val="24"/>
        </w:rPr>
        <w:t xml:space="preserve">. </w:t>
      </w:r>
    </w:p>
    <w:p w:rsidR="00C61A3E" w:rsidRPr="00C50E4C" w:rsidP="00ED4404" w14:paraId="5BB04264" w14:textId="77777777">
      <w:pPr>
        <w:numPr>
          <w:ilvl w:val="0"/>
          <w:numId w:val="8"/>
        </w:numPr>
        <w:spacing w:after="120"/>
        <w:ind w:left="720"/>
        <w:rPr>
          <w:sz w:val="24"/>
          <w:szCs w:val="24"/>
        </w:rPr>
      </w:pPr>
      <w:r>
        <w:rPr>
          <w:sz w:val="24"/>
          <w:szCs w:val="24"/>
        </w:rPr>
        <w:t xml:space="preserve">Alternatively, an e-mail with the proposed correction(s) may be sent to </w:t>
      </w:r>
      <w:r>
        <w:rPr>
          <w:sz w:val="24"/>
          <w:szCs w:val="24"/>
        </w:rPr>
        <w:t>IBFSINFO@</w:t>
      </w:r>
      <w:r>
        <w:rPr>
          <w:sz w:val="24"/>
          <w:szCs w:val="24"/>
        </w:rPr>
        <w:t>fcc,gov</w:t>
      </w:r>
      <w:r>
        <w:rPr>
          <w:sz w:val="24"/>
          <w:szCs w:val="24"/>
        </w:rPr>
        <w:t>.</w:t>
      </w:r>
      <w:r>
        <w:rPr>
          <w:sz w:val="24"/>
          <w:szCs w:val="24"/>
        </w:rPr>
        <w:t xml:space="preserve">  The subject line of the e-mail should reference this docket, as well as the IBFS file number(s) to be considered.  To the extent that any e-mail results in a change to the incumbent earth station </w:t>
      </w:r>
      <w:r>
        <w:rPr>
          <w:sz w:val="24"/>
          <w:szCs w:val="24"/>
        </w:rPr>
        <w:t xml:space="preserve">list, </w:t>
      </w:r>
      <w:r w:rsidR="00352D50">
        <w:rPr>
          <w:sz w:val="24"/>
          <w:szCs w:val="24"/>
        </w:rPr>
        <w:t>or</w:t>
      </w:r>
      <w:r w:rsidR="00352D50">
        <w:rPr>
          <w:sz w:val="24"/>
          <w:szCs w:val="24"/>
        </w:rPr>
        <w:t xml:space="preserve"> includes substantive comments (beyond submitting corrections to a current IBFS listing)</w:t>
      </w:r>
      <w:r w:rsidR="00D975E3">
        <w:rPr>
          <w:sz w:val="24"/>
          <w:szCs w:val="24"/>
        </w:rPr>
        <w:t>,</w:t>
      </w:r>
      <w:r w:rsidR="00352D50">
        <w:rPr>
          <w:sz w:val="24"/>
          <w:szCs w:val="24"/>
        </w:rPr>
        <w:t xml:space="preserve"> </w:t>
      </w:r>
      <w:r>
        <w:rPr>
          <w:sz w:val="24"/>
          <w:szCs w:val="24"/>
        </w:rPr>
        <w:t>IB staff will add the email to the official record in this proceeding.</w:t>
      </w:r>
    </w:p>
    <w:p w:rsidR="00C50E4C" w:rsidRPr="00C50E4C" w:rsidP="00ED4404" w14:paraId="13EFCE4C" w14:textId="77777777">
      <w:pPr>
        <w:spacing w:after="120"/>
        <w:ind w:firstLine="720"/>
        <w:rPr>
          <w:sz w:val="24"/>
          <w:szCs w:val="24"/>
        </w:rPr>
      </w:pPr>
      <w:r w:rsidRPr="00C50E4C">
        <w:rPr>
          <w:i/>
          <w:iCs/>
          <w:sz w:val="24"/>
          <w:szCs w:val="24"/>
        </w:rPr>
        <w:t>People with Disabilities</w:t>
      </w:r>
      <w:r w:rsidRPr="00C50E4C">
        <w:rPr>
          <w:sz w:val="24"/>
          <w:szCs w:val="24"/>
        </w:rPr>
        <w:t xml:space="preserve">:  To request materials in accessible formats for people with disabilities (braille, large print, electronic files, audio format), send an e-mail to </w:t>
      </w:r>
      <w:hyperlink r:id="rId6" w:history="1">
        <w:r w:rsidRPr="00C50E4C">
          <w:rPr>
            <w:rStyle w:val="Hyperlink"/>
            <w:sz w:val="24"/>
            <w:szCs w:val="24"/>
          </w:rPr>
          <w:t>fcc504@fcc.gov</w:t>
        </w:r>
      </w:hyperlink>
      <w:r w:rsidRPr="00C50E4C">
        <w:rPr>
          <w:sz w:val="24"/>
          <w:szCs w:val="24"/>
        </w:rPr>
        <w:t xml:space="preserve"> or call the Consumer &amp; Government Affairs Bureau at 202-418-0530 (voice, 202-418-0432 (</w:t>
      </w:r>
      <w:r w:rsidRPr="00C50E4C">
        <w:rPr>
          <w:sz w:val="24"/>
          <w:szCs w:val="24"/>
        </w:rPr>
        <w:t>tty</w:t>
      </w:r>
      <w:r w:rsidRPr="00C50E4C">
        <w:rPr>
          <w:sz w:val="24"/>
          <w:szCs w:val="24"/>
        </w:rPr>
        <w:t xml:space="preserve">). </w:t>
      </w:r>
    </w:p>
    <w:p w:rsidR="00C50E4C" w:rsidP="00ED4404" w14:paraId="71C9F686" w14:textId="77777777">
      <w:pPr>
        <w:spacing w:after="120"/>
        <w:ind w:firstLine="720"/>
        <w:rPr>
          <w:sz w:val="24"/>
          <w:szCs w:val="24"/>
        </w:rPr>
      </w:pPr>
      <w:r w:rsidRPr="00C50E4C">
        <w:rPr>
          <w:i/>
          <w:iCs/>
          <w:sz w:val="24"/>
          <w:szCs w:val="24"/>
        </w:rPr>
        <w:t xml:space="preserve">Ex </w:t>
      </w:r>
      <w:r w:rsidRPr="00C50E4C">
        <w:rPr>
          <w:i/>
          <w:iCs/>
          <w:sz w:val="24"/>
          <w:szCs w:val="24"/>
        </w:rPr>
        <w:t>Parte</w:t>
      </w:r>
      <w:r w:rsidRPr="008C4517">
        <w:rPr>
          <w:i/>
          <w:iCs/>
          <w:sz w:val="24"/>
          <w:szCs w:val="24"/>
        </w:rPr>
        <w:t xml:space="preserve"> Rules</w:t>
      </w:r>
      <w:r w:rsidRPr="008C4517">
        <w:rPr>
          <w:sz w:val="24"/>
          <w:szCs w:val="24"/>
        </w:rPr>
        <w:t xml:space="preserve">.  This proceeding shall be treated as a “permit-but-disclose” proceeding in </w:t>
      </w:r>
      <w:r w:rsidRPr="008C4517">
        <w:rPr>
          <w:sz w:val="24"/>
          <w:szCs w:val="24"/>
        </w:rPr>
        <w:t xml:space="preserve">accordance with the Commission’s </w:t>
      </w:r>
      <w:r w:rsidRPr="008C4517">
        <w:rPr>
          <w:i/>
          <w:iCs/>
          <w:sz w:val="24"/>
          <w:szCs w:val="24"/>
        </w:rPr>
        <w:t xml:space="preserve">ex </w:t>
      </w:r>
      <w:r w:rsidRPr="008C4517">
        <w:rPr>
          <w:i/>
          <w:iCs/>
          <w:sz w:val="24"/>
          <w:szCs w:val="24"/>
        </w:rPr>
        <w:t>parte</w:t>
      </w:r>
      <w:r w:rsidRPr="008C4517">
        <w:rPr>
          <w:sz w:val="24"/>
          <w:szCs w:val="24"/>
        </w:rPr>
        <w:t xml:space="preserve"> rules.</w:t>
      </w:r>
      <w:r>
        <w:rPr>
          <w:rStyle w:val="FootnoteReference"/>
          <w:sz w:val="24"/>
          <w:szCs w:val="24"/>
        </w:rPr>
        <w:footnoteReference w:id="14"/>
      </w:r>
      <w:r w:rsidRPr="008C4517">
        <w:rPr>
          <w:sz w:val="24"/>
          <w:szCs w:val="24"/>
        </w:rPr>
        <w:t xml:space="preserve">  Persons making </w:t>
      </w:r>
      <w:r w:rsidRPr="008C4517">
        <w:rPr>
          <w:i/>
          <w:iCs/>
          <w:sz w:val="24"/>
          <w:szCs w:val="24"/>
        </w:rPr>
        <w:t xml:space="preserve">ex </w:t>
      </w:r>
      <w:r w:rsidRPr="008C4517">
        <w:rPr>
          <w:i/>
          <w:iCs/>
          <w:sz w:val="24"/>
          <w:szCs w:val="24"/>
        </w:rPr>
        <w:t>parte</w:t>
      </w:r>
      <w:r w:rsidRPr="008C4517">
        <w:rPr>
          <w:sz w:val="24"/>
          <w:szCs w:val="24"/>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4517">
        <w:rPr>
          <w:i/>
          <w:iCs/>
          <w:sz w:val="24"/>
          <w:szCs w:val="24"/>
        </w:rPr>
        <w:t xml:space="preserve">ex </w:t>
      </w:r>
      <w:r w:rsidRPr="008C4517">
        <w:rPr>
          <w:i/>
          <w:iCs/>
          <w:sz w:val="24"/>
          <w:szCs w:val="24"/>
        </w:rPr>
        <w:t>parte</w:t>
      </w:r>
      <w:r w:rsidRPr="008C4517">
        <w:rPr>
          <w:sz w:val="24"/>
          <w:szCs w:val="24"/>
        </w:rPr>
        <w:t xml:space="preserve"> presentations are reminded that memoranda summarizing the presentation must: (1) list all persons attending or otherwise participating in the meeting at which the </w:t>
      </w:r>
      <w:r w:rsidRPr="008C4517">
        <w:rPr>
          <w:i/>
          <w:iCs/>
          <w:sz w:val="24"/>
          <w:szCs w:val="24"/>
        </w:rPr>
        <w:t xml:space="preserve">ex </w:t>
      </w:r>
      <w:r w:rsidRPr="008C4517">
        <w:rPr>
          <w:i/>
          <w:iCs/>
          <w:sz w:val="24"/>
          <w:szCs w:val="24"/>
        </w:rPr>
        <w:t>parte</w:t>
      </w:r>
      <w:r w:rsidRPr="008C4517">
        <w:rPr>
          <w:sz w:val="24"/>
          <w:szCs w:val="24"/>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4517">
        <w:rPr>
          <w:i/>
          <w:iCs/>
          <w:sz w:val="24"/>
          <w:szCs w:val="24"/>
        </w:rPr>
        <w:t xml:space="preserve">ex </w:t>
      </w:r>
      <w:r w:rsidRPr="008C4517">
        <w:rPr>
          <w:i/>
          <w:iCs/>
          <w:sz w:val="24"/>
          <w:szCs w:val="24"/>
        </w:rPr>
        <w:t>parte</w:t>
      </w:r>
      <w:r w:rsidRPr="008C4517">
        <w:rPr>
          <w:sz w:val="24"/>
          <w:szCs w:val="24"/>
        </w:rPr>
        <w:t xml:space="preserve"> meetings are deemed to be written </w:t>
      </w:r>
      <w:r w:rsidRPr="008C4517">
        <w:rPr>
          <w:i/>
          <w:iCs/>
          <w:sz w:val="24"/>
          <w:szCs w:val="24"/>
        </w:rPr>
        <w:t xml:space="preserve">ex </w:t>
      </w:r>
      <w:r w:rsidRPr="008C4517">
        <w:rPr>
          <w:i/>
          <w:iCs/>
          <w:sz w:val="24"/>
          <w:szCs w:val="24"/>
        </w:rPr>
        <w:t>parte</w:t>
      </w:r>
      <w:r w:rsidRPr="008C4517">
        <w:rPr>
          <w:sz w:val="24"/>
          <w:szCs w:val="24"/>
        </w:rPr>
        <w:t xml:space="preserve"> presentations and must be filed consistent with section 1.1206(b) of the Commission’s rules.  In proceedings governed by section 1.49(f) of the rules or for which the Commission has made available a method of electronic filing, written </w:t>
      </w:r>
      <w:r w:rsidRPr="008C4517">
        <w:rPr>
          <w:i/>
          <w:iCs/>
          <w:sz w:val="24"/>
          <w:szCs w:val="24"/>
        </w:rPr>
        <w:t xml:space="preserve">ex </w:t>
      </w:r>
      <w:r w:rsidRPr="008C4517">
        <w:rPr>
          <w:i/>
          <w:iCs/>
          <w:sz w:val="24"/>
          <w:szCs w:val="24"/>
        </w:rPr>
        <w:t>parte</w:t>
      </w:r>
      <w:r w:rsidRPr="008C4517">
        <w:rPr>
          <w:sz w:val="24"/>
          <w:szCs w:val="24"/>
        </w:rPr>
        <w:t xml:space="preserve"> presentations and memoranda summarizing oral </w:t>
      </w:r>
      <w:r w:rsidRPr="008C4517">
        <w:rPr>
          <w:i/>
          <w:iCs/>
          <w:sz w:val="24"/>
          <w:szCs w:val="24"/>
        </w:rPr>
        <w:t xml:space="preserve">ex </w:t>
      </w:r>
      <w:r w:rsidRPr="008C4517">
        <w:rPr>
          <w:i/>
          <w:iCs/>
          <w:sz w:val="24"/>
          <w:szCs w:val="24"/>
        </w:rPr>
        <w:t>parte</w:t>
      </w:r>
      <w:r w:rsidRPr="008C4517">
        <w:rPr>
          <w:i/>
          <w:iCs/>
          <w:sz w:val="24"/>
          <w:szCs w:val="24"/>
        </w:rPr>
        <w:t xml:space="preserve"> </w:t>
      </w:r>
      <w:r w:rsidRPr="008C4517">
        <w:rPr>
          <w:sz w:val="24"/>
          <w:szCs w:val="24"/>
        </w:rPr>
        <w:t>presentations, and all attachments thereto, must be filed through the electronic comment filing system available for that proceeding, and must be filed in their native format (</w:t>
      </w:r>
      <w:r w:rsidRPr="008C4517">
        <w:rPr>
          <w:i/>
          <w:iCs/>
          <w:sz w:val="24"/>
          <w:szCs w:val="24"/>
        </w:rPr>
        <w:t>e.g.</w:t>
      </w:r>
      <w:r w:rsidRPr="008C4517">
        <w:rPr>
          <w:sz w:val="24"/>
          <w:szCs w:val="24"/>
        </w:rPr>
        <w:t>, .doc, .xml., .ppt, searchable .pdf).</w:t>
      </w:r>
      <w:r>
        <w:rPr>
          <w:rStyle w:val="FootnoteReference"/>
          <w:sz w:val="24"/>
          <w:szCs w:val="24"/>
        </w:rPr>
        <w:footnoteReference w:id="15"/>
      </w:r>
      <w:r w:rsidRPr="008C4517">
        <w:rPr>
          <w:sz w:val="24"/>
          <w:szCs w:val="24"/>
        </w:rPr>
        <w:t xml:space="preserve">  Participants in this proceeding should familiarize themselves with the Commission’s </w:t>
      </w:r>
      <w:r w:rsidRPr="008C4517">
        <w:rPr>
          <w:i/>
          <w:iCs/>
          <w:sz w:val="24"/>
          <w:szCs w:val="24"/>
        </w:rPr>
        <w:t xml:space="preserve">ex </w:t>
      </w:r>
      <w:r w:rsidRPr="008C4517">
        <w:rPr>
          <w:i/>
          <w:iCs/>
          <w:sz w:val="24"/>
          <w:szCs w:val="24"/>
        </w:rPr>
        <w:t>parte</w:t>
      </w:r>
      <w:r w:rsidRPr="008C4517">
        <w:rPr>
          <w:sz w:val="24"/>
          <w:szCs w:val="24"/>
        </w:rPr>
        <w:t xml:space="preserve"> rules.</w:t>
      </w:r>
    </w:p>
    <w:p w:rsidR="004E502C" w:rsidP="00ED4404" w14:paraId="6C03665E" w14:textId="77777777">
      <w:pPr>
        <w:spacing w:after="120"/>
        <w:ind w:firstLine="720"/>
        <w:rPr>
          <w:sz w:val="24"/>
          <w:szCs w:val="24"/>
        </w:rPr>
      </w:pPr>
    </w:p>
    <w:p w:rsidR="004E502C" w:rsidP="00ED4404" w14:paraId="597B0F5F" w14:textId="77777777">
      <w:pPr>
        <w:spacing w:after="120"/>
        <w:ind w:firstLine="720"/>
        <w:rPr>
          <w:sz w:val="24"/>
          <w:szCs w:val="24"/>
        </w:rPr>
      </w:pPr>
    </w:p>
    <w:p w:rsidR="004E502C" w:rsidRPr="004E502C" w:rsidP="00F66D47" w14:paraId="457F9806" w14:textId="77777777">
      <w:pPr>
        <w:spacing w:after="120"/>
        <w:jc w:val="center"/>
        <w:rPr>
          <w:b/>
          <w:bCs/>
          <w:sz w:val="24"/>
          <w:szCs w:val="24"/>
        </w:rPr>
      </w:pPr>
      <w:bookmarkStart w:id="1" w:name="_GoBack"/>
      <w:bookmarkEnd w:id="1"/>
      <w:r w:rsidRPr="004E502C">
        <w:rPr>
          <w:b/>
          <w:bCs/>
          <w:sz w:val="24"/>
          <w:szCs w:val="24"/>
        </w:rPr>
        <w:t>-FCC-</w:t>
      </w:r>
    </w:p>
    <w:p w:rsidR="00D33283" w:rsidRPr="00C50E4C" w:rsidP="00ED4404" w14:paraId="4AF7F279" w14:textId="77777777">
      <w:pPr>
        <w:spacing w:after="120"/>
        <w:ind w:firstLine="720"/>
        <w:rPr>
          <w:iCs/>
          <w:sz w:val="24"/>
          <w:szCs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548" w:rsidP="0055614C" w14:paraId="7CDCD9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03548" w14:paraId="3F88BE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75B" w:rsidP="00F66D47" w14:paraId="4B499C4A" w14:textId="114EACE3">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75B" w14:paraId="7C2925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78C7" w14:paraId="251DF30F" w14:textId="77777777">
      <w:r>
        <w:separator/>
      </w:r>
    </w:p>
  </w:footnote>
  <w:footnote w:type="continuationSeparator" w:id="1">
    <w:p w:rsidR="00D878C7" w14:paraId="3AD8CCB2" w14:textId="77777777">
      <w:pPr>
        <w:rPr>
          <w:sz w:val="20"/>
        </w:rPr>
      </w:pPr>
      <w:r>
        <w:rPr>
          <w:sz w:val="20"/>
        </w:rPr>
        <w:t xml:space="preserve">(Continued from previous page)  </w:t>
      </w:r>
      <w:r>
        <w:rPr>
          <w:sz w:val="20"/>
        </w:rPr>
        <w:separator/>
      </w:r>
    </w:p>
  </w:footnote>
  <w:footnote w:type="continuationNotice" w:id="2">
    <w:p w:rsidR="00D878C7" w:rsidP="00910F12" w14:paraId="49E6E68F" w14:textId="77777777">
      <w:pPr>
        <w:jc w:val="right"/>
        <w:rPr>
          <w:sz w:val="20"/>
        </w:rPr>
      </w:pPr>
      <w:r>
        <w:rPr>
          <w:sz w:val="20"/>
        </w:rPr>
        <w:t>(continued….)</w:t>
      </w:r>
    </w:p>
  </w:footnote>
  <w:footnote w:id="3">
    <w:p w:rsidR="00E81BCF" w:rsidRPr="00657874" w14:paraId="6826C424" w14:textId="77777777">
      <w:pPr>
        <w:pStyle w:val="FootnoteText"/>
      </w:pPr>
      <w:r w:rsidRPr="00657874">
        <w:rPr>
          <w:rStyle w:val="FootnoteReference"/>
          <w:sz w:val="20"/>
        </w:rPr>
        <w:footnoteRef/>
      </w:r>
      <w:r w:rsidRPr="004A1EAC">
        <w:t xml:space="preserve"> </w:t>
      </w:r>
      <w:r w:rsidRPr="00657874">
        <w:rPr>
          <w:i/>
          <w:iCs/>
        </w:rPr>
        <w:t xml:space="preserve">See </w:t>
      </w:r>
      <w:r w:rsidRPr="00657874">
        <w:t>47 CFR § 27.1419.</w:t>
      </w:r>
      <w:r w:rsidRPr="00657874" w:rsidR="00FD3178">
        <w:t xml:space="preserve">  The Bureau will releas</w:t>
      </w:r>
      <w:r w:rsidRPr="00657874" w:rsidR="00A859DD">
        <w:t>e</w:t>
      </w:r>
      <w:r w:rsidRPr="00657874" w:rsidR="00FD3178">
        <w:t xml:space="preserve"> </w:t>
      </w:r>
      <w:r w:rsidR="000B1034">
        <w:t>a preliminary</w:t>
      </w:r>
      <w:r w:rsidRPr="00657874" w:rsidR="00FD3178">
        <w:t xml:space="preserve"> List of </w:t>
      </w:r>
      <w:r w:rsidRPr="00657874" w:rsidR="00A859DD">
        <w:t>Incumbent Earth Stations outside the contiguous United States</w:t>
      </w:r>
      <w:r w:rsidRPr="00657874" w:rsidR="00C648ED">
        <w:t xml:space="preserve"> in a separate Public Notice</w:t>
      </w:r>
      <w:r w:rsidRPr="00657874" w:rsidR="00A859DD">
        <w:t>.</w:t>
      </w:r>
      <w:r w:rsidR="005C4919">
        <w:t xml:space="preserve">  </w:t>
      </w:r>
      <w:r w:rsidRPr="004A1EAC" w:rsidR="005C4919">
        <w:t>The C-Band transition is not occurring outside the contiguous United States,</w:t>
      </w:r>
      <w:r w:rsidRPr="00657874" w:rsidR="005C4919">
        <w:t xml:space="preserve"> but U.S. </w:t>
      </w:r>
      <w:r w:rsidR="005C4919">
        <w:t xml:space="preserve">licensed or registered </w:t>
      </w:r>
      <w:r w:rsidRPr="00657874" w:rsidR="005C4919">
        <w:t>earth stations in those locations may seek reimbursement of costs directly related to the transition if they satisfy the criteria for incumbent earth station status.  Those earth stations, however, are not eligible to elect lump sum payments.</w:t>
      </w:r>
    </w:p>
  </w:footnote>
  <w:footnote w:id="4">
    <w:p w:rsidR="00D03548" w:rsidRPr="00657874" w:rsidP="00D33283" w14:paraId="323F8593" w14:textId="77777777">
      <w:pPr>
        <w:pStyle w:val="FootnoteText"/>
      </w:pPr>
      <w:r w:rsidRPr="00657874">
        <w:rPr>
          <w:rStyle w:val="FootnoteReference"/>
          <w:sz w:val="20"/>
        </w:rPr>
        <w:footnoteRef/>
      </w:r>
      <w:r w:rsidRPr="004A1EAC">
        <w:t xml:space="preserve"> </w:t>
      </w:r>
      <w:r w:rsidRPr="00657874">
        <w:rPr>
          <w:i/>
          <w:iCs/>
        </w:rPr>
        <w:t>Expanding Flexible Use of the 3.7 to 4.2 GHz Band</w:t>
      </w:r>
      <w:r w:rsidRPr="00657874">
        <w:t xml:space="preserve">, Report and Order and Order of Proposed Modification, </w:t>
      </w:r>
      <w:r w:rsidRPr="00657874" w:rsidR="00C27A1D">
        <w:t xml:space="preserve">35 FCC </w:t>
      </w:r>
      <w:r w:rsidRPr="00657874" w:rsidR="00C27A1D">
        <w:t>Rcd</w:t>
      </w:r>
      <w:r w:rsidRPr="00657874" w:rsidR="00C27A1D">
        <w:t xml:space="preserve"> 2343</w:t>
      </w:r>
      <w:r w:rsidRPr="00657874">
        <w:t xml:space="preserve">, </w:t>
      </w:r>
      <w:r w:rsidRPr="00657874" w:rsidR="007344B3">
        <w:t>2345</w:t>
      </w:r>
      <w:r w:rsidRPr="00657874">
        <w:t>, para. 4 (2020) (</w:t>
      </w:r>
      <w:r w:rsidRPr="00657874" w:rsidR="005C52BC">
        <w:rPr>
          <w:i/>
          <w:iCs/>
        </w:rPr>
        <w:t xml:space="preserve">3.7 GHz </w:t>
      </w:r>
      <w:r w:rsidRPr="00657874">
        <w:rPr>
          <w:i/>
          <w:iCs/>
        </w:rPr>
        <w:t>Report and Order</w:t>
      </w:r>
      <w:r w:rsidRPr="00657874">
        <w:t>).</w:t>
      </w:r>
    </w:p>
  </w:footnote>
  <w:footnote w:id="5">
    <w:p w:rsidR="00D03548" w:rsidRPr="00657874" w14:paraId="49F432D7" w14:textId="77777777">
      <w:pPr>
        <w:pStyle w:val="FootnoteText"/>
      </w:pPr>
      <w:r w:rsidRPr="00657874">
        <w:rPr>
          <w:rStyle w:val="FootnoteReference"/>
          <w:sz w:val="20"/>
        </w:rPr>
        <w:footnoteRef/>
      </w:r>
      <w:r w:rsidRPr="004A1EAC">
        <w:t xml:space="preserve"> </w:t>
      </w:r>
      <w:r w:rsidRPr="00657874" w:rsidR="005C52BC">
        <w:rPr>
          <w:i/>
          <w:iCs/>
        </w:rPr>
        <w:t>3.7 GHz</w:t>
      </w:r>
      <w:r w:rsidRPr="00657874">
        <w:rPr>
          <w:i/>
        </w:rPr>
        <w:t xml:space="preserve"> </w:t>
      </w:r>
      <w:r w:rsidRPr="00657874">
        <w:rPr>
          <w:i/>
          <w:iCs/>
        </w:rPr>
        <w:t>Report and Order</w:t>
      </w:r>
      <w:r w:rsidRPr="00657874" w:rsidR="00CB73F0">
        <w:t xml:space="preserve">, 35 FCC </w:t>
      </w:r>
      <w:r w:rsidRPr="00657874" w:rsidR="00CB73F0">
        <w:t>Rcd</w:t>
      </w:r>
      <w:r w:rsidRPr="00657874" w:rsidR="00CB73F0">
        <w:rPr>
          <w:i/>
          <w:iCs/>
        </w:rPr>
        <w:t xml:space="preserve"> </w:t>
      </w:r>
      <w:r w:rsidRPr="00657874" w:rsidR="00CB73F0">
        <w:t>at 2391, 2465-66</w:t>
      </w:r>
      <w:r w:rsidRPr="00657874">
        <w:t xml:space="preserve">, paras. 111, 326; 47 CFR § 27.4.  </w:t>
      </w:r>
    </w:p>
  </w:footnote>
  <w:footnote w:id="6">
    <w:p w:rsidR="004842F1" w:rsidRPr="00657874" w14:paraId="384F4529" w14:textId="77777777">
      <w:pPr>
        <w:pStyle w:val="FootnoteText"/>
      </w:pPr>
      <w:r w:rsidRPr="00657874">
        <w:rPr>
          <w:rStyle w:val="FootnoteReference"/>
          <w:sz w:val="20"/>
        </w:rPr>
        <w:footnoteRef/>
      </w:r>
      <w:r w:rsidRPr="004A1EAC">
        <w:t xml:space="preserve"> </w:t>
      </w:r>
      <w:r w:rsidRPr="00657874" w:rsidR="00FD3178">
        <w:rPr>
          <w:i/>
          <w:iCs/>
        </w:rPr>
        <w:t>3.7 GHz</w:t>
      </w:r>
      <w:r w:rsidRPr="00657874" w:rsidR="00FD3178">
        <w:rPr>
          <w:i/>
        </w:rPr>
        <w:t xml:space="preserve"> </w:t>
      </w:r>
      <w:r w:rsidRPr="00657874" w:rsidR="00FD3178">
        <w:rPr>
          <w:i/>
          <w:iCs/>
        </w:rPr>
        <w:t>Report and Order</w:t>
      </w:r>
      <w:r w:rsidRPr="00657874" w:rsidR="00FD3178">
        <w:t xml:space="preserve">, 35 FCC </w:t>
      </w:r>
      <w:r w:rsidRPr="00657874" w:rsidR="00FD3178">
        <w:t>Rcd</w:t>
      </w:r>
      <w:r w:rsidRPr="00657874" w:rsidR="00FD3178">
        <w:rPr>
          <w:i/>
          <w:iCs/>
        </w:rPr>
        <w:t xml:space="preserve"> </w:t>
      </w:r>
      <w:r w:rsidRPr="00657874" w:rsidR="00FD3178">
        <w:t>at 2427</w:t>
      </w:r>
      <w:r w:rsidRPr="00657874" w:rsidR="00E13B02">
        <w:t xml:space="preserve">-28, </w:t>
      </w:r>
      <w:r w:rsidRPr="00657874" w:rsidR="00FD3178">
        <w:t xml:space="preserve">paras. </w:t>
      </w:r>
      <w:r w:rsidRPr="00657874" w:rsidR="00E13B02">
        <w:t>202-204 &amp; note 550</w:t>
      </w:r>
      <w:r w:rsidRPr="00657874" w:rsidR="00FD3178">
        <w:t xml:space="preserve">; 47 CFR </w:t>
      </w:r>
      <w:r w:rsidRPr="00657874" w:rsidR="00E13B02">
        <w:t>§</w:t>
      </w:r>
      <w:r w:rsidRPr="00657874" w:rsidR="00351264">
        <w:t>§ 27.1412</w:t>
      </w:r>
      <w:r w:rsidRPr="00657874" w:rsidR="00E13B02">
        <w:t>(e), 27.1419</w:t>
      </w:r>
      <w:r w:rsidRPr="00657874" w:rsidR="00FD3178">
        <w:t xml:space="preserve">.  </w:t>
      </w:r>
    </w:p>
  </w:footnote>
  <w:footnote w:id="7">
    <w:p w:rsidR="00AB2388" w:rsidRPr="00657874" w:rsidP="00AB2388" w14:paraId="541D14AE" w14:textId="77777777">
      <w:pPr>
        <w:pStyle w:val="FootnoteText"/>
      </w:pPr>
      <w:r w:rsidRPr="00657874">
        <w:rPr>
          <w:rStyle w:val="FootnoteReference"/>
          <w:sz w:val="20"/>
        </w:rPr>
        <w:footnoteRef/>
      </w:r>
      <w:r w:rsidRPr="004A1EAC">
        <w:t xml:space="preserve"> </w:t>
      </w:r>
      <w:r w:rsidRPr="004A1EAC" w:rsidR="00490D40">
        <w:rPr>
          <w:i/>
          <w:iCs/>
        </w:rPr>
        <w:t>3.7 GHz</w:t>
      </w:r>
      <w:r w:rsidRPr="004A1EAC" w:rsidR="00490D40">
        <w:rPr>
          <w:i/>
        </w:rPr>
        <w:t xml:space="preserve"> </w:t>
      </w:r>
      <w:r w:rsidRPr="00657874" w:rsidR="00490D40">
        <w:rPr>
          <w:i/>
          <w:iCs/>
        </w:rPr>
        <w:t>Report and Order</w:t>
      </w:r>
      <w:r w:rsidRPr="00657874" w:rsidR="00490D40">
        <w:t xml:space="preserve">, 35 FCC </w:t>
      </w:r>
      <w:r w:rsidRPr="00657874" w:rsidR="00490D40">
        <w:t>Rcd</w:t>
      </w:r>
      <w:r w:rsidRPr="00657874" w:rsidR="00490D40">
        <w:rPr>
          <w:i/>
          <w:iCs/>
        </w:rPr>
        <w:t xml:space="preserve"> </w:t>
      </w:r>
      <w:r w:rsidRPr="00657874" w:rsidR="00490D40">
        <w:t>at 239</w:t>
      </w:r>
      <w:r w:rsidRPr="00657874" w:rsidR="00407157">
        <w:t>0</w:t>
      </w:r>
      <w:r w:rsidRPr="00657874" w:rsidR="00490D40">
        <w:t>, paras. 116-17.</w:t>
      </w:r>
    </w:p>
  </w:footnote>
  <w:footnote w:id="8">
    <w:p w:rsidR="00ED6DAB" w:rsidRPr="00657874" w:rsidP="00ED6DAB" w14:paraId="7AAF286E" w14:textId="77777777">
      <w:pPr>
        <w:pStyle w:val="FootnoteText"/>
      </w:pPr>
      <w:r w:rsidRPr="00657874">
        <w:rPr>
          <w:rStyle w:val="FootnoteReference"/>
          <w:sz w:val="20"/>
        </w:rPr>
        <w:footnoteRef/>
      </w:r>
      <w:r w:rsidRPr="004A1EAC">
        <w:t xml:space="preserve"> </w:t>
      </w:r>
      <w:r w:rsidRPr="004A1EAC">
        <w:rPr>
          <w:i/>
          <w:iCs/>
        </w:rPr>
        <w:t>See id.</w:t>
      </w:r>
      <w:r w:rsidRPr="00657874">
        <w:t xml:space="preserve"> at 2392, para. 116; 47 CFR § 27.1411(b)(3) (defining incumbent earth stations)</w:t>
      </w:r>
      <w:r w:rsidRPr="00657874" w:rsidR="00F24855">
        <w:t>;</w:t>
      </w:r>
      <w:r w:rsidRPr="00657874">
        <w:t xml:space="preserve"> </w:t>
      </w:r>
      <w:r w:rsidRPr="00657874" w:rsidR="00F24855">
        <w:t>47 CFR § 25.</w:t>
      </w:r>
      <w:r w:rsidRPr="00657874" w:rsidR="00185EC1">
        <w:t>121</w:t>
      </w:r>
      <w:r w:rsidRPr="00657874" w:rsidR="00F24855">
        <w:t xml:space="preserve"> (</w:t>
      </w:r>
      <w:r w:rsidRPr="00657874" w:rsidR="00185EC1">
        <w:t xml:space="preserve">earth station </w:t>
      </w:r>
      <w:r w:rsidRPr="00657874" w:rsidR="00F24855">
        <w:t>renewal requirements)</w:t>
      </w:r>
      <w:r w:rsidRPr="00657874" w:rsidR="00E8477C">
        <w:t>.</w:t>
      </w:r>
      <w:r w:rsidRPr="00657874" w:rsidR="007E4DB9">
        <w:t xml:space="preserve">  In addition, an earth station must maintain a current authorization in IBFS.</w:t>
      </w:r>
    </w:p>
  </w:footnote>
  <w:footnote w:id="9">
    <w:p w:rsidR="001B42AD" w14:paraId="2CAF0045" w14:textId="77777777">
      <w:pPr>
        <w:pStyle w:val="FootnoteText"/>
      </w:pPr>
      <w:r>
        <w:rPr>
          <w:rStyle w:val="FootnoteReference"/>
        </w:rPr>
        <w:footnoteRef/>
      </w:r>
      <w:r>
        <w:t xml:space="preserve"> </w:t>
      </w:r>
      <w:r w:rsidR="00036C64">
        <w:t>A</w:t>
      </w:r>
      <w:r>
        <w:t xml:space="preserve">ny earth station registrations that fail to qualify </w:t>
      </w:r>
      <w:r w:rsidR="0016451E">
        <w:t xml:space="preserve">for incumbent status will be removed as an active registration from IBFS.  </w:t>
      </w:r>
      <w:r w:rsidRPr="0016451E" w:rsidR="0016451E">
        <w:rPr>
          <w:i/>
          <w:iCs/>
        </w:rPr>
        <w:t>See 3.7 GHz Report and Order</w:t>
      </w:r>
      <w:r w:rsidR="0016451E">
        <w:t xml:space="preserve">, 35 FCC </w:t>
      </w:r>
      <w:r w:rsidR="0016451E">
        <w:t>Rcd</w:t>
      </w:r>
      <w:r w:rsidR="0016451E">
        <w:t xml:space="preserve"> at 2394, para. 123.</w:t>
      </w:r>
    </w:p>
  </w:footnote>
  <w:footnote w:id="10">
    <w:p w:rsidR="000B1034" w:rsidP="000B1034" w14:paraId="50AA17BB" w14:textId="77777777">
      <w:pPr>
        <w:pStyle w:val="FootnoteText"/>
      </w:pPr>
      <w:r>
        <w:rPr>
          <w:rStyle w:val="FootnoteReference"/>
        </w:rPr>
        <w:footnoteRef/>
      </w:r>
      <w:r>
        <w:t xml:space="preserve"> </w:t>
      </w:r>
      <w:r w:rsidRPr="0032438B">
        <w:rPr>
          <w:i/>
          <w:iCs/>
        </w:rPr>
        <w:t>3.7 GHz</w:t>
      </w:r>
      <w:r w:rsidRPr="0032438B">
        <w:rPr>
          <w:i/>
        </w:rPr>
        <w:t xml:space="preserve"> </w:t>
      </w:r>
      <w:r w:rsidRPr="0032438B">
        <w:rPr>
          <w:i/>
          <w:iCs/>
        </w:rPr>
        <w:t>Report and Order</w:t>
      </w:r>
      <w:r w:rsidRPr="0032438B">
        <w:t xml:space="preserve">, 35 FCC </w:t>
      </w:r>
      <w:r w:rsidRPr="0032438B">
        <w:t>Rcd</w:t>
      </w:r>
      <w:r>
        <w:t xml:space="preserve"> at </w:t>
      </w:r>
      <w:r w:rsidR="008F0931">
        <w:t>239</w:t>
      </w:r>
      <w:r w:rsidR="0016451E">
        <w:t>3-94</w:t>
      </w:r>
      <w:r>
        <w:t>, para. 122.</w:t>
      </w:r>
      <w:r w:rsidR="009D7BE0">
        <w:t xml:space="preserve">  </w:t>
      </w:r>
      <w:r w:rsidRPr="00F70A7C" w:rsidR="009D7BE0">
        <w:t xml:space="preserve">Similarly, the Bureau </w:t>
      </w:r>
      <w:r w:rsidR="00F70A7C">
        <w:t>is charged with</w:t>
      </w:r>
      <w:r w:rsidRPr="00F70A7C" w:rsidR="009D7BE0">
        <w:t xml:space="preserve"> assess</w:t>
      </w:r>
      <w:r w:rsidR="00F70A7C">
        <w:t>ing</w:t>
      </w:r>
      <w:r w:rsidRPr="00F70A7C" w:rsidR="009D7BE0">
        <w:t xml:space="preserve"> whether certifications were filed on a timely basis</w:t>
      </w:r>
      <w:r w:rsidR="00F70A7C">
        <w:t>.</w:t>
      </w:r>
    </w:p>
  </w:footnote>
  <w:footnote w:id="11">
    <w:p w:rsidR="007A4BFB" w14:paraId="285D3169" w14:textId="77777777">
      <w:pPr>
        <w:pStyle w:val="FootnoteText"/>
      </w:pPr>
      <w:r>
        <w:rPr>
          <w:rStyle w:val="FootnoteReference"/>
        </w:rPr>
        <w:footnoteRef/>
      </w:r>
      <w:r>
        <w:t xml:space="preserve"> An applicant seeking to challenge a dismissal of its application has 30 days from public notice of the dismissal to challenge that dismissal.</w:t>
      </w:r>
      <w:r w:rsidR="003D3628">
        <w:t xml:space="preserve">  47 CFR</w:t>
      </w:r>
      <w:r w:rsidR="00FD310F">
        <w:t xml:space="preserve"> </w:t>
      </w:r>
      <w:r w:rsidRPr="00657874" w:rsidR="00FD310F">
        <w:t>§</w:t>
      </w:r>
      <w:r w:rsidR="003D3628">
        <w:t xml:space="preserve"> 1.106</w:t>
      </w:r>
      <w:r w:rsidR="00A33FB6">
        <w:t>, 1.115</w:t>
      </w:r>
      <w:r w:rsidRPr="00A33FB6" w:rsidR="00A33FB6">
        <w:rPr>
          <w:i/>
          <w:iCs/>
        </w:rPr>
        <w:t>.  See, e.g.</w:t>
      </w:r>
      <w:r w:rsidR="00A33FB6">
        <w:rPr>
          <w:i/>
          <w:iCs/>
        </w:rPr>
        <w:t>,</w:t>
      </w:r>
      <w:r w:rsidRPr="00A33FB6" w:rsidR="00A33FB6">
        <w:rPr>
          <w:i/>
          <w:iCs/>
        </w:rPr>
        <w:t xml:space="preserve"> Public Notice</w:t>
      </w:r>
      <w:r w:rsidR="00A33FB6">
        <w:rPr>
          <w:i/>
          <w:iCs/>
        </w:rPr>
        <w:t>,</w:t>
      </w:r>
      <w:r w:rsidR="00A33FB6">
        <w:t xml:space="preserve"> Rep. No. SES-02267 (IB May 13, 2020).</w:t>
      </w:r>
    </w:p>
  </w:footnote>
  <w:footnote w:id="12">
    <w:p w:rsidR="00D857BF" w:rsidRPr="008F0931" w:rsidP="008F0931" w14:paraId="1A3D3FC5" w14:textId="77777777">
      <w:pPr>
        <w:widowControl/>
        <w:spacing w:before="100" w:beforeAutospacing="1" w:after="100" w:afterAutospacing="1" w:line="259" w:lineRule="auto"/>
        <w:contextualSpacing/>
        <w:rPr>
          <w:snapToGrid/>
          <w:color w:val="000000"/>
          <w:kern w:val="0"/>
          <w:sz w:val="20"/>
        </w:rPr>
      </w:pPr>
      <w:r w:rsidRPr="00657874">
        <w:rPr>
          <w:rStyle w:val="FootnoteReference"/>
          <w:sz w:val="20"/>
        </w:rPr>
        <w:footnoteRef/>
      </w:r>
      <w:r w:rsidRPr="00657874">
        <w:rPr>
          <w:sz w:val="20"/>
        </w:rPr>
        <w:t xml:space="preserve"> </w:t>
      </w:r>
      <w:r w:rsidRPr="004A1EAC" w:rsidR="00C7495A">
        <w:rPr>
          <w:sz w:val="20"/>
        </w:rPr>
        <w:t xml:space="preserve">Certain C-Band certifications were </w:t>
      </w:r>
      <w:r w:rsidRPr="00657874" w:rsidR="00C7495A">
        <w:rPr>
          <w:sz w:val="20"/>
        </w:rPr>
        <w:t xml:space="preserve">timely filed in association with File Numbers that have since been superseded by later </w:t>
      </w:r>
      <w:r w:rsidR="00C7495A">
        <w:rPr>
          <w:sz w:val="20"/>
        </w:rPr>
        <w:t>filings; in the list, those earth stations can be identified by the subsequent File Number</w:t>
      </w:r>
      <w:r w:rsidRPr="00657874" w:rsidR="00C7495A">
        <w:rPr>
          <w:sz w:val="20"/>
        </w:rPr>
        <w:t>.</w:t>
      </w:r>
      <w:r w:rsidR="00C7495A">
        <w:rPr>
          <w:sz w:val="20"/>
        </w:rPr>
        <w:t xml:space="preserve">  </w:t>
      </w:r>
      <w:r w:rsidRPr="00657874">
        <w:rPr>
          <w:snapToGrid/>
          <w:color w:val="000000"/>
          <w:kern w:val="0"/>
          <w:sz w:val="20"/>
        </w:rPr>
        <w:t xml:space="preserve">The status of an earth station antenna under the </w:t>
      </w:r>
      <w:r w:rsidRPr="00322612" w:rsidR="00C7495A">
        <w:rPr>
          <w:i/>
          <w:iCs/>
          <w:snapToGrid/>
          <w:color w:val="000000"/>
          <w:kern w:val="0"/>
          <w:sz w:val="20"/>
        </w:rPr>
        <w:t xml:space="preserve">3.7 GHz </w:t>
      </w:r>
      <w:r w:rsidRPr="00322612">
        <w:rPr>
          <w:i/>
          <w:iCs/>
          <w:snapToGrid/>
          <w:color w:val="000000"/>
          <w:kern w:val="0"/>
          <w:sz w:val="20"/>
        </w:rPr>
        <w:t xml:space="preserve">Report </w:t>
      </w:r>
      <w:r w:rsidR="00C7495A">
        <w:rPr>
          <w:i/>
          <w:iCs/>
          <w:snapToGrid/>
          <w:color w:val="000000"/>
          <w:kern w:val="0"/>
          <w:sz w:val="20"/>
        </w:rPr>
        <w:t>and</w:t>
      </w:r>
      <w:r w:rsidRPr="00322612">
        <w:rPr>
          <w:i/>
          <w:iCs/>
          <w:snapToGrid/>
          <w:color w:val="000000"/>
          <w:kern w:val="0"/>
          <w:sz w:val="20"/>
        </w:rPr>
        <w:t xml:space="preserve"> Order</w:t>
      </w:r>
      <w:r w:rsidRPr="00657874">
        <w:rPr>
          <w:snapToGrid/>
          <w:color w:val="000000"/>
          <w:kern w:val="0"/>
          <w:sz w:val="20"/>
        </w:rPr>
        <w:t xml:space="preserve"> pertains only to the reception of satellite transmissions on 3.7-4.2 GHz by fixed earth stations and transportable (temporary fixed) earth stations.  </w:t>
      </w:r>
      <w:r w:rsidR="00B77D12">
        <w:rPr>
          <w:snapToGrid/>
          <w:color w:val="000000"/>
          <w:kern w:val="0"/>
          <w:sz w:val="20"/>
        </w:rPr>
        <w:t>A</w:t>
      </w:r>
      <w:r w:rsidRPr="00657874">
        <w:rPr>
          <w:snapToGrid/>
          <w:color w:val="000000"/>
          <w:kern w:val="0"/>
          <w:sz w:val="20"/>
        </w:rPr>
        <w:t xml:space="preserve">uthorizations to transmit and receive transmissions </w:t>
      </w:r>
      <w:r w:rsidR="00B77D12">
        <w:rPr>
          <w:snapToGrid/>
          <w:color w:val="000000"/>
          <w:kern w:val="0"/>
          <w:sz w:val="20"/>
        </w:rPr>
        <w:t>on</w:t>
      </w:r>
      <w:r w:rsidRPr="00657874" w:rsidR="00B77D12">
        <w:rPr>
          <w:snapToGrid/>
          <w:color w:val="000000"/>
          <w:kern w:val="0"/>
          <w:sz w:val="20"/>
        </w:rPr>
        <w:t xml:space="preserve"> </w:t>
      </w:r>
      <w:r w:rsidRPr="00657874">
        <w:rPr>
          <w:snapToGrid/>
          <w:color w:val="000000"/>
          <w:kern w:val="0"/>
          <w:sz w:val="20"/>
        </w:rPr>
        <w:t xml:space="preserve">other satellite </w:t>
      </w:r>
      <w:r w:rsidR="00B77D12">
        <w:rPr>
          <w:snapToGrid/>
          <w:color w:val="000000"/>
          <w:kern w:val="0"/>
          <w:sz w:val="20"/>
        </w:rPr>
        <w:t xml:space="preserve">frequencies, including the 5.9-6.4 GHz portion of the C-Band, </w:t>
      </w:r>
      <w:r w:rsidRPr="00657874">
        <w:rPr>
          <w:snapToGrid/>
          <w:color w:val="000000"/>
          <w:kern w:val="0"/>
          <w:sz w:val="20"/>
        </w:rPr>
        <w:t xml:space="preserve">are unaffected.  Finally, under the terms of the </w:t>
      </w:r>
      <w:r w:rsidRPr="00657874">
        <w:rPr>
          <w:i/>
          <w:iCs/>
          <w:sz w:val="20"/>
        </w:rPr>
        <w:t>3.7 GHz Band Report and Order</w:t>
      </w:r>
      <w:r w:rsidRPr="00657874">
        <w:rPr>
          <w:snapToGrid/>
          <w:color w:val="000000"/>
          <w:kern w:val="0"/>
          <w:sz w:val="20"/>
        </w:rPr>
        <w:t xml:space="preserve">, authorizations to receive transmissions in 3.7-4.2 GHz for other Classes of Earth Stations (e.g., Earth Stations on Vessels, Blanket-Licensed Earth Stations) are not eligible to become incumbent earth stations.  </w:t>
      </w:r>
      <w:r w:rsidRPr="00657874">
        <w:rPr>
          <w:i/>
          <w:iCs/>
          <w:sz w:val="20"/>
        </w:rPr>
        <w:t>3.7 GHz</w:t>
      </w:r>
      <w:r w:rsidRPr="00657874">
        <w:rPr>
          <w:i/>
          <w:sz w:val="20"/>
        </w:rPr>
        <w:t xml:space="preserve"> </w:t>
      </w:r>
      <w:r w:rsidRPr="00657874">
        <w:rPr>
          <w:i/>
          <w:iCs/>
          <w:sz w:val="20"/>
        </w:rPr>
        <w:t>Report and Order</w:t>
      </w:r>
      <w:r w:rsidRPr="00657874">
        <w:rPr>
          <w:sz w:val="20"/>
        </w:rPr>
        <w:t xml:space="preserve">, 35 FCC </w:t>
      </w:r>
      <w:r w:rsidRPr="00657874">
        <w:rPr>
          <w:sz w:val="20"/>
        </w:rPr>
        <w:t>Rcd</w:t>
      </w:r>
      <w:r w:rsidRPr="00657874">
        <w:rPr>
          <w:i/>
          <w:iCs/>
          <w:sz w:val="20"/>
        </w:rPr>
        <w:t xml:space="preserve"> </w:t>
      </w:r>
      <w:r w:rsidRPr="00657874">
        <w:rPr>
          <w:sz w:val="20"/>
        </w:rPr>
        <w:t>at 2391, paras. 122-23</w:t>
      </w:r>
      <w:r w:rsidR="008F0931">
        <w:rPr>
          <w:sz w:val="20"/>
        </w:rPr>
        <w:t>.</w:t>
      </w:r>
    </w:p>
  </w:footnote>
  <w:footnote w:id="13">
    <w:p w:rsidR="00DE07BE" w:rsidRPr="00657874" w:rsidP="00DE07BE" w14:paraId="3AC42C01" w14:textId="77777777">
      <w:pPr>
        <w:pStyle w:val="FootnoteText"/>
      </w:pPr>
      <w:r w:rsidRPr="00657874">
        <w:rPr>
          <w:rStyle w:val="FootnoteReference"/>
          <w:sz w:val="20"/>
        </w:rPr>
        <w:footnoteRef/>
      </w:r>
      <w:r w:rsidRPr="004A1EAC">
        <w:t xml:space="preserve"> </w:t>
      </w:r>
      <w:r w:rsidRPr="004A1EAC">
        <w:rPr>
          <w:i/>
          <w:iCs/>
        </w:rPr>
        <w:t>3.7 GHz</w:t>
      </w:r>
      <w:r w:rsidRPr="00657874">
        <w:rPr>
          <w:i/>
        </w:rPr>
        <w:t xml:space="preserve"> </w:t>
      </w:r>
      <w:r w:rsidRPr="00657874">
        <w:rPr>
          <w:i/>
          <w:iCs/>
        </w:rPr>
        <w:t>Report and Order</w:t>
      </w:r>
      <w:r w:rsidRPr="00657874">
        <w:t xml:space="preserve">, 35 FCC </w:t>
      </w:r>
      <w:r w:rsidRPr="00657874">
        <w:t>Rcd</w:t>
      </w:r>
      <w:r w:rsidRPr="00657874">
        <w:rPr>
          <w:i/>
          <w:iCs/>
        </w:rPr>
        <w:t xml:space="preserve"> </w:t>
      </w:r>
      <w:r w:rsidRPr="00657874">
        <w:t>at 2391, paras. 120-21.</w:t>
      </w:r>
    </w:p>
  </w:footnote>
  <w:footnote w:id="14">
    <w:p w:rsidR="00D03548" w:rsidRPr="00657874" w:rsidP="00C50E4C" w14:paraId="12D8E820" w14:textId="77777777">
      <w:pPr>
        <w:pStyle w:val="FootnoteText"/>
        <w:rPr>
          <w:i/>
          <w:iCs/>
        </w:rPr>
      </w:pPr>
      <w:r w:rsidRPr="00657874">
        <w:rPr>
          <w:rStyle w:val="FootnoteReference"/>
          <w:sz w:val="20"/>
        </w:rPr>
        <w:footnoteRef/>
      </w:r>
      <w:r w:rsidRPr="004A1EAC">
        <w:t xml:space="preserve"> </w:t>
      </w:r>
      <w:r w:rsidRPr="004A1EAC">
        <w:rPr>
          <w:i/>
          <w:iCs/>
        </w:rPr>
        <w:t xml:space="preserve">See </w:t>
      </w:r>
      <w:r w:rsidRPr="00657874">
        <w:t xml:space="preserve">47 CFR § 1.1200 </w:t>
      </w:r>
      <w:r w:rsidRPr="00657874">
        <w:rPr>
          <w:i/>
          <w:iCs/>
        </w:rPr>
        <w:t>et seq.</w:t>
      </w:r>
    </w:p>
  </w:footnote>
  <w:footnote w:id="15">
    <w:p w:rsidR="00D03548" w:rsidRPr="00657874" w:rsidP="00C50E4C" w14:paraId="264DCB39" w14:textId="77777777">
      <w:pPr>
        <w:pStyle w:val="FootnoteText"/>
      </w:pPr>
      <w:r w:rsidRPr="00657874">
        <w:rPr>
          <w:rStyle w:val="FootnoteReference"/>
          <w:sz w:val="20"/>
        </w:rPr>
        <w:footnoteRef/>
      </w:r>
      <w:r w:rsidRPr="004A1EAC">
        <w:t xml:space="preserve"> </w:t>
      </w:r>
      <w:r w:rsidRPr="004A1EAC">
        <w:rPr>
          <w:i/>
          <w:iCs/>
        </w:rPr>
        <w:t>Id.</w:t>
      </w:r>
      <w:r w:rsidRPr="00657874">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548" w:rsidRPr="009838BC" w:rsidP="009838BC" w14:paraId="15FEBBA8" w14:textId="77777777">
    <w:pPr>
      <w:tabs>
        <w:tab w:val="center" w:pos="4680"/>
        <w:tab w:val="right" w:pos="9360"/>
      </w:tabs>
    </w:pPr>
    <w:r w:rsidRPr="009838BC">
      <w:rPr>
        <w:b/>
      </w:rPr>
      <w:tab/>
      <w:t>Federal Communications Commission</w:t>
    </w:r>
    <w:r w:rsidRPr="009838BC">
      <w:rPr>
        <w:b/>
      </w:rPr>
      <w:tab/>
    </w:r>
    <w:r w:rsidR="004D615E">
      <w:rPr>
        <w:b/>
      </w:rPr>
      <w:t>DA 20-</w:t>
    </w:r>
    <w:r w:rsidR="004E502C">
      <w:rPr>
        <w:b/>
      </w:rPr>
      <w:t>703</w:t>
    </w:r>
  </w:p>
  <w:p w:rsidR="00D03548" w:rsidRPr="009838BC" w:rsidP="009838BC" w14:paraId="6871E72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D03548" w:rsidRPr="009838BC" w:rsidP="009838BC" w14:paraId="74BED70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548" w:rsidRPr="00A866AC" w:rsidP="009838BC" w14:paraId="59EDD15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03548" w:rsidP="009838BC" w14:paraId="146AD247" w14:textId="77777777">
                <w:pPr>
                  <w:rPr>
                    <w:rFonts w:ascii="Arial" w:hAnsi="Arial"/>
                    <w:b/>
                  </w:rPr>
                </w:pPr>
                <w:r>
                  <w:rPr>
                    <w:rFonts w:ascii="Arial" w:hAnsi="Arial"/>
                    <w:b/>
                  </w:rPr>
                  <w:t>Federal Communications Commission</w:t>
                </w:r>
              </w:p>
              <w:p w:rsidR="00D03548" w:rsidP="009838BC" w14:paraId="6111AA4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03548" w:rsidP="009838BC" w14:paraId="7DBD963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D03548" w:rsidRPr="00357D50" w:rsidP="009838BC" w14:paraId="1383F86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16.8pt,56.7pt" to="884.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D03548" w:rsidP="009838BC" w14:paraId="3527E25B" w14:textId="77777777">
                <w:pPr>
                  <w:spacing w:before="40"/>
                  <w:jc w:val="right"/>
                  <w:rPr>
                    <w:rFonts w:ascii="Arial" w:hAnsi="Arial"/>
                    <w:b/>
                    <w:sz w:val="16"/>
                  </w:rPr>
                </w:pPr>
                <w:r>
                  <w:rPr>
                    <w:rFonts w:ascii="Arial" w:hAnsi="Arial"/>
                    <w:b/>
                    <w:sz w:val="16"/>
                  </w:rPr>
                  <w:t>News Media Information 202 / 418-0500</w:t>
                </w:r>
              </w:p>
              <w:p w:rsidR="00D03548" w:rsidP="009838BC" w14:paraId="56238F4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D03548" w:rsidP="009838BC" w14:paraId="2D3B946B" w14:textId="77777777">
                <w:pPr>
                  <w:jc w:val="right"/>
                </w:pPr>
                <w:r>
                  <w:rPr>
                    <w:rFonts w:ascii="Arial" w:hAnsi="Arial"/>
                    <w:b/>
                    <w:sz w:val="16"/>
                  </w:rPr>
                  <w:t>TTY: 1-888-835-5322</w:t>
                </w:r>
              </w:p>
            </w:txbxContent>
          </v:textbox>
        </v:shape>
      </w:pict>
    </w:r>
  </w:p>
  <w:p w:rsidR="00D03548" w:rsidRPr="009838BC" w:rsidP="009838BC" w14:paraId="48DE4BE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260"/>
        </w:tabs>
        <w:ind w:left="180" w:firstLine="720"/>
      </w:pPr>
    </w:lvl>
  </w:abstractNum>
  <w:abstractNum w:abstractNumId="1">
    <w:nsid w:val="099A0AC5"/>
    <w:multiLevelType w:val="hybridMultilevel"/>
    <w:tmpl w:val="5852D0D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10"/>
  </w:num>
  <w:num w:numId="8">
    <w:abstractNumId w:val="2"/>
  </w:num>
  <w:num w:numId="9">
    <w:abstractNumId w:val="11"/>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83"/>
    <w:rsid w:val="000007F3"/>
    <w:rsid w:val="00002CBC"/>
    <w:rsid w:val="000033E7"/>
    <w:rsid w:val="00006644"/>
    <w:rsid w:val="00006ACD"/>
    <w:rsid w:val="000072CE"/>
    <w:rsid w:val="00007894"/>
    <w:rsid w:val="00007AC5"/>
    <w:rsid w:val="00010D69"/>
    <w:rsid w:val="00013A00"/>
    <w:rsid w:val="00013A8B"/>
    <w:rsid w:val="00014912"/>
    <w:rsid w:val="00015286"/>
    <w:rsid w:val="00017D70"/>
    <w:rsid w:val="00021445"/>
    <w:rsid w:val="000220D9"/>
    <w:rsid w:val="000335EC"/>
    <w:rsid w:val="00034EF1"/>
    <w:rsid w:val="00035813"/>
    <w:rsid w:val="00035B9C"/>
    <w:rsid w:val="00036039"/>
    <w:rsid w:val="00036C64"/>
    <w:rsid w:val="00037F90"/>
    <w:rsid w:val="00040934"/>
    <w:rsid w:val="000438F2"/>
    <w:rsid w:val="000473D9"/>
    <w:rsid w:val="00047867"/>
    <w:rsid w:val="00053811"/>
    <w:rsid w:val="000539D1"/>
    <w:rsid w:val="00061179"/>
    <w:rsid w:val="00064C6C"/>
    <w:rsid w:val="0007122A"/>
    <w:rsid w:val="00073CB3"/>
    <w:rsid w:val="0007454D"/>
    <w:rsid w:val="000745BE"/>
    <w:rsid w:val="00075B1A"/>
    <w:rsid w:val="000764ED"/>
    <w:rsid w:val="00082285"/>
    <w:rsid w:val="00082A5E"/>
    <w:rsid w:val="000847A3"/>
    <w:rsid w:val="0008520C"/>
    <w:rsid w:val="0008733A"/>
    <w:rsid w:val="000875BF"/>
    <w:rsid w:val="00091083"/>
    <w:rsid w:val="00091242"/>
    <w:rsid w:val="000916C4"/>
    <w:rsid w:val="00091922"/>
    <w:rsid w:val="00096D8C"/>
    <w:rsid w:val="000A084D"/>
    <w:rsid w:val="000A1C37"/>
    <w:rsid w:val="000A2219"/>
    <w:rsid w:val="000A2356"/>
    <w:rsid w:val="000A2DB7"/>
    <w:rsid w:val="000A3310"/>
    <w:rsid w:val="000A3A78"/>
    <w:rsid w:val="000A3B81"/>
    <w:rsid w:val="000A479B"/>
    <w:rsid w:val="000A6FD5"/>
    <w:rsid w:val="000B1034"/>
    <w:rsid w:val="000B3813"/>
    <w:rsid w:val="000B49B3"/>
    <w:rsid w:val="000B5E99"/>
    <w:rsid w:val="000B7F68"/>
    <w:rsid w:val="000C0B65"/>
    <w:rsid w:val="000C2468"/>
    <w:rsid w:val="000C4BB7"/>
    <w:rsid w:val="000C536B"/>
    <w:rsid w:val="000D130E"/>
    <w:rsid w:val="000D1904"/>
    <w:rsid w:val="000D2391"/>
    <w:rsid w:val="000D2914"/>
    <w:rsid w:val="000D2C5B"/>
    <w:rsid w:val="000D391E"/>
    <w:rsid w:val="000D4C40"/>
    <w:rsid w:val="000D6B6F"/>
    <w:rsid w:val="000E04F1"/>
    <w:rsid w:val="000E312C"/>
    <w:rsid w:val="000E3D42"/>
    <w:rsid w:val="000E487E"/>
    <w:rsid w:val="000E561A"/>
    <w:rsid w:val="000E5884"/>
    <w:rsid w:val="000F322C"/>
    <w:rsid w:val="000F6457"/>
    <w:rsid w:val="000F6DB0"/>
    <w:rsid w:val="000F78E7"/>
    <w:rsid w:val="000F79FF"/>
    <w:rsid w:val="00102870"/>
    <w:rsid w:val="00102DA7"/>
    <w:rsid w:val="001045F2"/>
    <w:rsid w:val="0010665D"/>
    <w:rsid w:val="00107686"/>
    <w:rsid w:val="001105C6"/>
    <w:rsid w:val="00110602"/>
    <w:rsid w:val="001115B7"/>
    <w:rsid w:val="00112A81"/>
    <w:rsid w:val="00112F27"/>
    <w:rsid w:val="00116868"/>
    <w:rsid w:val="00117A8A"/>
    <w:rsid w:val="0012014F"/>
    <w:rsid w:val="00120962"/>
    <w:rsid w:val="00120AA9"/>
    <w:rsid w:val="00122BD5"/>
    <w:rsid w:val="00123AA9"/>
    <w:rsid w:val="00123BFC"/>
    <w:rsid w:val="001262B3"/>
    <w:rsid w:val="00127268"/>
    <w:rsid w:val="0013480A"/>
    <w:rsid w:val="001362AD"/>
    <w:rsid w:val="001364DA"/>
    <w:rsid w:val="001372F8"/>
    <w:rsid w:val="0013759A"/>
    <w:rsid w:val="00140868"/>
    <w:rsid w:val="001429A4"/>
    <w:rsid w:val="00144F54"/>
    <w:rsid w:val="0014511E"/>
    <w:rsid w:val="0014668A"/>
    <w:rsid w:val="001471A9"/>
    <w:rsid w:val="001475F1"/>
    <w:rsid w:val="00155C31"/>
    <w:rsid w:val="00157DE9"/>
    <w:rsid w:val="001611CE"/>
    <w:rsid w:val="0016451E"/>
    <w:rsid w:val="001648F6"/>
    <w:rsid w:val="00164BFA"/>
    <w:rsid w:val="001716C7"/>
    <w:rsid w:val="001728EF"/>
    <w:rsid w:val="001742AF"/>
    <w:rsid w:val="00174B1E"/>
    <w:rsid w:val="00175424"/>
    <w:rsid w:val="00176148"/>
    <w:rsid w:val="00176619"/>
    <w:rsid w:val="00176A5D"/>
    <w:rsid w:val="001774AB"/>
    <w:rsid w:val="00181629"/>
    <w:rsid w:val="001828B0"/>
    <w:rsid w:val="00182EB9"/>
    <w:rsid w:val="00183C1A"/>
    <w:rsid w:val="00185761"/>
    <w:rsid w:val="00185EC1"/>
    <w:rsid w:val="00187136"/>
    <w:rsid w:val="0019082A"/>
    <w:rsid w:val="0019782C"/>
    <w:rsid w:val="001979D9"/>
    <w:rsid w:val="001A03D7"/>
    <w:rsid w:val="001A1808"/>
    <w:rsid w:val="001A1AEA"/>
    <w:rsid w:val="001A24E2"/>
    <w:rsid w:val="001A257B"/>
    <w:rsid w:val="001A2D0F"/>
    <w:rsid w:val="001A5806"/>
    <w:rsid w:val="001A6BE7"/>
    <w:rsid w:val="001A786D"/>
    <w:rsid w:val="001B2A4D"/>
    <w:rsid w:val="001B32DD"/>
    <w:rsid w:val="001B42AD"/>
    <w:rsid w:val="001B502E"/>
    <w:rsid w:val="001B78B6"/>
    <w:rsid w:val="001C0832"/>
    <w:rsid w:val="001C19B3"/>
    <w:rsid w:val="001C1F29"/>
    <w:rsid w:val="001C313C"/>
    <w:rsid w:val="001C4C0C"/>
    <w:rsid w:val="001C6353"/>
    <w:rsid w:val="001C6613"/>
    <w:rsid w:val="001C7086"/>
    <w:rsid w:val="001D03F6"/>
    <w:rsid w:val="001D2923"/>
    <w:rsid w:val="001D2D59"/>
    <w:rsid w:val="001D3ECC"/>
    <w:rsid w:val="001D4DF7"/>
    <w:rsid w:val="001D5057"/>
    <w:rsid w:val="001D6BCF"/>
    <w:rsid w:val="001D749A"/>
    <w:rsid w:val="001E01CA"/>
    <w:rsid w:val="001E0A35"/>
    <w:rsid w:val="001E0BC9"/>
    <w:rsid w:val="001E1B8E"/>
    <w:rsid w:val="001E2AEC"/>
    <w:rsid w:val="001E4D5B"/>
    <w:rsid w:val="001E51AB"/>
    <w:rsid w:val="001E5E48"/>
    <w:rsid w:val="001E60A4"/>
    <w:rsid w:val="001E6B54"/>
    <w:rsid w:val="001E6C3A"/>
    <w:rsid w:val="001E70CE"/>
    <w:rsid w:val="001E7D33"/>
    <w:rsid w:val="001F215A"/>
    <w:rsid w:val="001F30E0"/>
    <w:rsid w:val="001F38A7"/>
    <w:rsid w:val="001F54D9"/>
    <w:rsid w:val="001F5587"/>
    <w:rsid w:val="00202B53"/>
    <w:rsid w:val="00203FDB"/>
    <w:rsid w:val="00205B37"/>
    <w:rsid w:val="002060D9"/>
    <w:rsid w:val="002064A1"/>
    <w:rsid w:val="00207439"/>
    <w:rsid w:val="00207D5D"/>
    <w:rsid w:val="00211379"/>
    <w:rsid w:val="002220A3"/>
    <w:rsid w:val="00222DB5"/>
    <w:rsid w:val="0022360B"/>
    <w:rsid w:val="0022411C"/>
    <w:rsid w:val="002251DD"/>
    <w:rsid w:val="00225A7E"/>
    <w:rsid w:val="00226397"/>
    <w:rsid w:val="00226822"/>
    <w:rsid w:val="00227C35"/>
    <w:rsid w:val="00231375"/>
    <w:rsid w:val="0023466B"/>
    <w:rsid w:val="00236297"/>
    <w:rsid w:val="00236B8A"/>
    <w:rsid w:val="00236E88"/>
    <w:rsid w:val="00236FA5"/>
    <w:rsid w:val="00237389"/>
    <w:rsid w:val="00244B68"/>
    <w:rsid w:val="0024644D"/>
    <w:rsid w:val="002464D8"/>
    <w:rsid w:val="002471FB"/>
    <w:rsid w:val="00251341"/>
    <w:rsid w:val="00255BF8"/>
    <w:rsid w:val="00256746"/>
    <w:rsid w:val="00260594"/>
    <w:rsid w:val="002635DA"/>
    <w:rsid w:val="00270B0F"/>
    <w:rsid w:val="00270BD7"/>
    <w:rsid w:val="00271596"/>
    <w:rsid w:val="0027233C"/>
    <w:rsid w:val="002757AB"/>
    <w:rsid w:val="00281715"/>
    <w:rsid w:val="00283AD2"/>
    <w:rsid w:val="00285017"/>
    <w:rsid w:val="00285F12"/>
    <w:rsid w:val="002860B5"/>
    <w:rsid w:val="00287620"/>
    <w:rsid w:val="00291F34"/>
    <w:rsid w:val="00291FCA"/>
    <w:rsid w:val="00293B3D"/>
    <w:rsid w:val="00294B2B"/>
    <w:rsid w:val="002A0A30"/>
    <w:rsid w:val="002A0F70"/>
    <w:rsid w:val="002A2D2E"/>
    <w:rsid w:val="002A3AC1"/>
    <w:rsid w:val="002A7310"/>
    <w:rsid w:val="002A7F8D"/>
    <w:rsid w:val="002B7209"/>
    <w:rsid w:val="002C5583"/>
    <w:rsid w:val="002D07DC"/>
    <w:rsid w:val="002D26B3"/>
    <w:rsid w:val="002D350E"/>
    <w:rsid w:val="002D3DBD"/>
    <w:rsid w:val="002D4A54"/>
    <w:rsid w:val="002D61EE"/>
    <w:rsid w:val="002E13BC"/>
    <w:rsid w:val="002E3F0E"/>
    <w:rsid w:val="002E554F"/>
    <w:rsid w:val="002F0009"/>
    <w:rsid w:val="002F20A6"/>
    <w:rsid w:val="002F2F3D"/>
    <w:rsid w:val="002F62BD"/>
    <w:rsid w:val="002F6AEF"/>
    <w:rsid w:val="002F7C5F"/>
    <w:rsid w:val="00304030"/>
    <w:rsid w:val="003044AE"/>
    <w:rsid w:val="00304522"/>
    <w:rsid w:val="0030562B"/>
    <w:rsid w:val="00307CF3"/>
    <w:rsid w:val="00311CCB"/>
    <w:rsid w:val="00313AC1"/>
    <w:rsid w:val="00320AC7"/>
    <w:rsid w:val="00322612"/>
    <w:rsid w:val="0032438B"/>
    <w:rsid w:val="00326A2A"/>
    <w:rsid w:val="003279A8"/>
    <w:rsid w:val="0033242A"/>
    <w:rsid w:val="00340752"/>
    <w:rsid w:val="003407D7"/>
    <w:rsid w:val="003423A3"/>
    <w:rsid w:val="0034280E"/>
    <w:rsid w:val="003434B9"/>
    <w:rsid w:val="00343749"/>
    <w:rsid w:val="00345E49"/>
    <w:rsid w:val="00347A15"/>
    <w:rsid w:val="00351018"/>
    <w:rsid w:val="00351264"/>
    <w:rsid w:val="003522E2"/>
    <w:rsid w:val="00352CD6"/>
    <w:rsid w:val="00352D50"/>
    <w:rsid w:val="00356BBE"/>
    <w:rsid w:val="00357D50"/>
    <w:rsid w:val="00360280"/>
    <w:rsid w:val="0036239C"/>
    <w:rsid w:val="00362D91"/>
    <w:rsid w:val="0036324F"/>
    <w:rsid w:val="0036427A"/>
    <w:rsid w:val="0036481B"/>
    <w:rsid w:val="00366BD4"/>
    <w:rsid w:val="003732A9"/>
    <w:rsid w:val="003733C1"/>
    <w:rsid w:val="00374D20"/>
    <w:rsid w:val="00375E49"/>
    <w:rsid w:val="00376DA7"/>
    <w:rsid w:val="00376E63"/>
    <w:rsid w:val="00380951"/>
    <w:rsid w:val="00382A98"/>
    <w:rsid w:val="00386F27"/>
    <w:rsid w:val="00387C03"/>
    <w:rsid w:val="003925DC"/>
    <w:rsid w:val="0039730D"/>
    <w:rsid w:val="003A051E"/>
    <w:rsid w:val="003A79BD"/>
    <w:rsid w:val="003A7E1E"/>
    <w:rsid w:val="003B0550"/>
    <w:rsid w:val="003B070E"/>
    <w:rsid w:val="003B694F"/>
    <w:rsid w:val="003B7131"/>
    <w:rsid w:val="003B7C66"/>
    <w:rsid w:val="003C41F5"/>
    <w:rsid w:val="003C5593"/>
    <w:rsid w:val="003C6AD4"/>
    <w:rsid w:val="003D0CE2"/>
    <w:rsid w:val="003D275D"/>
    <w:rsid w:val="003D3628"/>
    <w:rsid w:val="003D3717"/>
    <w:rsid w:val="003D5706"/>
    <w:rsid w:val="003D5BBD"/>
    <w:rsid w:val="003D6FB5"/>
    <w:rsid w:val="003D78AA"/>
    <w:rsid w:val="003E0D83"/>
    <w:rsid w:val="003E33A6"/>
    <w:rsid w:val="003E68C3"/>
    <w:rsid w:val="003E7EBB"/>
    <w:rsid w:val="003F1239"/>
    <w:rsid w:val="003F13D8"/>
    <w:rsid w:val="003F171C"/>
    <w:rsid w:val="003F78CA"/>
    <w:rsid w:val="0040061D"/>
    <w:rsid w:val="0040078E"/>
    <w:rsid w:val="00401DCF"/>
    <w:rsid w:val="00402AFD"/>
    <w:rsid w:val="00404637"/>
    <w:rsid w:val="00407157"/>
    <w:rsid w:val="00410430"/>
    <w:rsid w:val="00410E50"/>
    <w:rsid w:val="00412C1D"/>
    <w:rsid w:val="00412FC5"/>
    <w:rsid w:val="00422276"/>
    <w:rsid w:val="004242F1"/>
    <w:rsid w:val="00424A96"/>
    <w:rsid w:val="00424FAD"/>
    <w:rsid w:val="004263B4"/>
    <w:rsid w:val="00434215"/>
    <w:rsid w:val="004407CB"/>
    <w:rsid w:val="004408B5"/>
    <w:rsid w:val="0044431A"/>
    <w:rsid w:val="00444B21"/>
    <w:rsid w:val="00445A00"/>
    <w:rsid w:val="00445C45"/>
    <w:rsid w:val="00446DB2"/>
    <w:rsid w:val="00451B0F"/>
    <w:rsid w:val="00451CD4"/>
    <w:rsid w:val="00451CE2"/>
    <w:rsid w:val="00451E3D"/>
    <w:rsid w:val="00452959"/>
    <w:rsid w:val="004543FE"/>
    <w:rsid w:val="004603FB"/>
    <w:rsid w:val="0046125F"/>
    <w:rsid w:val="00462ABF"/>
    <w:rsid w:val="004636A8"/>
    <w:rsid w:val="004646FE"/>
    <w:rsid w:val="00467965"/>
    <w:rsid w:val="00467F90"/>
    <w:rsid w:val="00470045"/>
    <w:rsid w:val="00470627"/>
    <w:rsid w:val="00471ACB"/>
    <w:rsid w:val="00471C06"/>
    <w:rsid w:val="00472DDC"/>
    <w:rsid w:val="0047376D"/>
    <w:rsid w:val="00475AD4"/>
    <w:rsid w:val="00476120"/>
    <w:rsid w:val="00480225"/>
    <w:rsid w:val="00480ABB"/>
    <w:rsid w:val="00481081"/>
    <w:rsid w:val="00482805"/>
    <w:rsid w:val="00482BE1"/>
    <w:rsid w:val="004842F1"/>
    <w:rsid w:val="0048475D"/>
    <w:rsid w:val="00485B5D"/>
    <w:rsid w:val="00486BD5"/>
    <w:rsid w:val="00487524"/>
    <w:rsid w:val="00490D40"/>
    <w:rsid w:val="00490EFE"/>
    <w:rsid w:val="0049312A"/>
    <w:rsid w:val="004937EC"/>
    <w:rsid w:val="00494CA1"/>
    <w:rsid w:val="00496106"/>
    <w:rsid w:val="004A06BF"/>
    <w:rsid w:val="004A12B0"/>
    <w:rsid w:val="004A1438"/>
    <w:rsid w:val="004A1923"/>
    <w:rsid w:val="004A1EAC"/>
    <w:rsid w:val="004A2512"/>
    <w:rsid w:val="004A57C0"/>
    <w:rsid w:val="004A7DF8"/>
    <w:rsid w:val="004B311B"/>
    <w:rsid w:val="004B3755"/>
    <w:rsid w:val="004B4012"/>
    <w:rsid w:val="004B495A"/>
    <w:rsid w:val="004B65B5"/>
    <w:rsid w:val="004C0F9D"/>
    <w:rsid w:val="004C12D0"/>
    <w:rsid w:val="004C2EE3"/>
    <w:rsid w:val="004C5482"/>
    <w:rsid w:val="004C59BE"/>
    <w:rsid w:val="004C5E2E"/>
    <w:rsid w:val="004C65C2"/>
    <w:rsid w:val="004C78B7"/>
    <w:rsid w:val="004D21CE"/>
    <w:rsid w:val="004D21EB"/>
    <w:rsid w:val="004D28C2"/>
    <w:rsid w:val="004D311B"/>
    <w:rsid w:val="004D4B2F"/>
    <w:rsid w:val="004D5FB0"/>
    <w:rsid w:val="004D615E"/>
    <w:rsid w:val="004D64E4"/>
    <w:rsid w:val="004D71E8"/>
    <w:rsid w:val="004E0841"/>
    <w:rsid w:val="004E4A22"/>
    <w:rsid w:val="004E502C"/>
    <w:rsid w:val="004E5281"/>
    <w:rsid w:val="004F1400"/>
    <w:rsid w:val="004F36F6"/>
    <w:rsid w:val="004F63C3"/>
    <w:rsid w:val="0050057A"/>
    <w:rsid w:val="00504398"/>
    <w:rsid w:val="00506265"/>
    <w:rsid w:val="0050675B"/>
    <w:rsid w:val="00507310"/>
    <w:rsid w:val="00507587"/>
    <w:rsid w:val="00507A58"/>
    <w:rsid w:val="00511968"/>
    <w:rsid w:val="00511E9C"/>
    <w:rsid w:val="0051264B"/>
    <w:rsid w:val="00512B58"/>
    <w:rsid w:val="00512FFB"/>
    <w:rsid w:val="0051493A"/>
    <w:rsid w:val="005150BD"/>
    <w:rsid w:val="0051574A"/>
    <w:rsid w:val="00517D0A"/>
    <w:rsid w:val="0052061B"/>
    <w:rsid w:val="00522A5B"/>
    <w:rsid w:val="0052431D"/>
    <w:rsid w:val="00524E92"/>
    <w:rsid w:val="00524EB2"/>
    <w:rsid w:val="00526349"/>
    <w:rsid w:val="00526447"/>
    <w:rsid w:val="005333DF"/>
    <w:rsid w:val="00537A81"/>
    <w:rsid w:val="00540513"/>
    <w:rsid w:val="00542214"/>
    <w:rsid w:val="00544090"/>
    <w:rsid w:val="00551048"/>
    <w:rsid w:val="00551FCC"/>
    <w:rsid w:val="0055272C"/>
    <w:rsid w:val="00553580"/>
    <w:rsid w:val="0055614C"/>
    <w:rsid w:val="00561A23"/>
    <w:rsid w:val="00561FCB"/>
    <w:rsid w:val="00562514"/>
    <w:rsid w:val="00565047"/>
    <w:rsid w:val="00566FD7"/>
    <w:rsid w:val="00567CD9"/>
    <w:rsid w:val="00571852"/>
    <w:rsid w:val="005736FE"/>
    <w:rsid w:val="00574955"/>
    <w:rsid w:val="0058081A"/>
    <w:rsid w:val="00582A46"/>
    <w:rsid w:val="00585436"/>
    <w:rsid w:val="00586C99"/>
    <w:rsid w:val="00587AF7"/>
    <w:rsid w:val="005902CF"/>
    <w:rsid w:val="005905AC"/>
    <w:rsid w:val="00591B32"/>
    <w:rsid w:val="0059482F"/>
    <w:rsid w:val="00595435"/>
    <w:rsid w:val="00596331"/>
    <w:rsid w:val="00597DF3"/>
    <w:rsid w:val="005A0184"/>
    <w:rsid w:val="005A2358"/>
    <w:rsid w:val="005A2C3E"/>
    <w:rsid w:val="005A3792"/>
    <w:rsid w:val="005A57C0"/>
    <w:rsid w:val="005A59E8"/>
    <w:rsid w:val="005A5DCF"/>
    <w:rsid w:val="005A6127"/>
    <w:rsid w:val="005A7033"/>
    <w:rsid w:val="005B2156"/>
    <w:rsid w:val="005B2981"/>
    <w:rsid w:val="005B3B59"/>
    <w:rsid w:val="005B50FE"/>
    <w:rsid w:val="005B55FA"/>
    <w:rsid w:val="005B5D17"/>
    <w:rsid w:val="005B65D8"/>
    <w:rsid w:val="005C2A1D"/>
    <w:rsid w:val="005C4919"/>
    <w:rsid w:val="005C52BC"/>
    <w:rsid w:val="005C6233"/>
    <w:rsid w:val="005C70D5"/>
    <w:rsid w:val="005C7295"/>
    <w:rsid w:val="005D17F7"/>
    <w:rsid w:val="005D36F4"/>
    <w:rsid w:val="005D5F73"/>
    <w:rsid w:val="005E1576"/>
    <w:rsid w:val="005E29EF"/>
    <w:rsid w:val="005E3CB8"/>
    <w:rsid w:val="005E6FE9"/>
    <w:rsid w:val="005E72E4"/>
    <w:rsid w:val="005E7356"/>
    <w:rsid w:val="005E7AEC"/>
    <w:rsid w:val="005E7CC6"/>
    <w:rsid w:val="005F0D3C"/>
    <w:rsid w:val="005F1DF9"/>
    <w:rsid w:val="005F3155"/>
    <w:rsid w:val="005F5DCC"/>
    <w:rsid w:val="005F77C5"/>
    <w:rsid w:val="006014A2"/>
    <w:rsid w:val="006030F9"/>
    <w:rsid w:val="00605080"/>
    <w:rsid w:val="00607BA5"/>
    <w:rsid w:val="00610595"/>
    <w:rsid w:val="006122A8"/>
    <w:rsid w:val="00615E1A"/>
    <w:rsid w:val="006160E3"/>
    <w:rsid w:val="0061692F"/>
    <w:rsid w:val="00617781"/>
    <w:rsid w:val="0062605B"/>
    <w:rsid w:val="00626EB6"/>
    <w:rsid w:val="006322A1"/>
    <w:rsid w:val="00634040"/>
    <w:rsid w:val="006353A3"/>
    <w:rsid w:val="00636A22"/>
    <w:rsid w:val="00637080"/>
    <w:rsid w:val="006411D3"/>
    <w:rsid w:val="00642B47"/>
    <w:rsid w:val="00645C16"/>
    <w:rsid w:val="006469F8"/>
    <w:rsid w:val="00646D96"/>
    <w:rsid w:val="00647A3F"/>
    <w:rsid w:val="006500D1"/>
    <w:rsid w:val="00650CDF"/>
    <w:rsid w:val="006534F9"/>
    <w:rsid w:val="00655D03"/>
    <w:rsid w:val="00656F7B"/>
    <w:rsid w:val="00657874"/>
    <w:rsid w:val="006605E4"/>
    <w:rsid w:val="00661549"/>
    <w:rsid w:val="00661684"/>
    <w:rsid w:val="00666CAF"/>
    <w:rsid w:val="006671A9"/>
    <w:rsid w:val="0067442E"/>
    <w:rsid w:val="006749FA"/>
    <w:rsid w:val="00675BD9"/>
    <w:rsid w:val="00676F0D"/>
    <w:rsid w:val="00677036"/>
    <w:rsid w:val="006771B9"/>
    <w:rsid w:val="00682860"/>
    <w:rsid w:val="0068295F"/>
    <w:rsid w:val="00683F84"/>
    <w:rsid w:val="00685B3C"/>
    <w:rsid w:val="00685B74"/>
    <w:rsid w:val="00690A19"/>
    <w:rsid w:val="00691306"/>
    <w:rsid w:val="00692CFB"/>
    <w:rsid w:val="00692DD2"/>
    <w:rsid w:val="00692F51"/>
    <w:rsid w:val="00693613"/>
    <w:rsid w:val="00693C5D"/>
    <w:rsid w:val="00696BBE"/>
    <w:rsid w:val="006A0ACB"/>
    <w:rsid w:val="006A1422"/>
    <w:rsid w:val="006A427F"/>
    <w:rsid w:val="006A61EB"/>
    <w:rsid w:val="006A6A81"/>
    <w:rsid w:val="006A6F10"/>
    <w:rsid w:val="006A70ED"/>
    <w:rsid w:val="006B046D"/>
    <w:rsid w:val="006B4028"/>
    <w:rsid w:val="006B56C3"/>
    <w:rsid w:val="006B6E95"/>
    <w:rsid w:val="006C291B"/>
    <w:rsid w:val="006C29EC"/>
    <w:rsid w:val="006C4AF2"/>
    <w:rsid w:val="006C5594"/>
    <w:rsid w:val="006D081E"/>
    <w:rsid w:val="006D2EF3"/>
    <w:rsid w:val="006D44B1"/>
    <w:rsid w:val="006D6C3B"/>
    <w:rsid w:val="006E26AF"/>
    <w:rsid w:val="006E4AFC"/>
    <w:rsid w:val="006E563A"/>
    <w:rsid w:val="006E734C"/>
    <w:rsid w:val="006E7DB7"/>
    <w:rsid w:val="006F1B01"/>
    <w:rsid w:val="006F2AF9"/>
    <w:rsid w:val="006F3D36"/>
    <w:rsid w:val="006F3E40"/>
    <w:rsid w:val="006F5310"/>
    <w:rsid w:val="006F626F"/>
    <w:rsid w:val="006F6796"/>
    <w:rsid w:val="006F7393"/>
    <w:rsid w:val="007013D0"/>
    <w:rsid w:val="0070224F"/>
    <w:rsid w:val="00703D0B"/>
    <w:rsid w:val="00703DE3"/>
    <w:rsid w:val="007041F0"/>
    <w:rsid w:val="00704950"/>
    <w:rsid w:val="007115F7"/>
    <w:rsid w:val="0071531D"/>
    <w:rsid w:val="00715580"/>
    <w:rsid w:val="0072387F"/>
    <w:rsid w:val="007238F2"/>
    <w:rsid w:val="00723A0D"/>
    <w:rsid w:val="00724639"/>
    <w:rsid w:val="00726250"/>
    <w:rsid w:val="007313A0"/>
    <w:rsid w:val="00733175"/>
    <w:rsid w:val="007344B3"/>
    <w:rsid w:val="007357B7"/>
    <w:rsid w:val="00737BA1"/>
    <w:rsid w:val="00740331"/>
    <w:rsid w:val="007406FA"/>
    <w:rsid w:val="00751528"/>
    <w:rsid w:val="00752E04"/>
    <w:rsid w:val="00752E5B"/>
    <w:rsid w:val="007532B2"/>
    <w:rsid w:val="00753FC1"/>
    <w:rsid w:val="007562D4"/>
    <w:rsid w:val="00756336"/>
    <w:rsid w:val="00756DC6"/>
    <w:rsid w:val="00756EB4"/>
    <w:rsid w:val="0075714D"/>
    <w:rsid w:val="00757FB2"/>
    <w:rsid w:val="00762823"/>
    <w:rsid w:val="0076343C"/>
    <w:rsid w:val="007644A9"/>
    <w:rsid w:val="00765B6D"/>
    <w:rsid w:val="00771439"/>
    <w:rsid w:val="007718B7"/>
    <w:rsid w:val="00774843"/>
    <w:rsid w:val="007751C7"/>
    <w:rsid w:val="007758EA"/>
    <w:rsid w:val="007766AC"/>
    <w:rsid w:val="007820DC"/>
    <w:rsid w:val="00784F27"/>
    <w:rsid w:val="00785689"/>
    <w:rsid w:val="00792B7D"/>
    <w:rsid w:val="00794BA1"/>
    <w:rsid w:val="00795322"/>
    <w:rsid w:val="00795A49"/>
    <w:rsid w:val="00795AF5"/>
    <w:rsid w:val="00796258"/>
    <w:rsid w:val="007965F5"/>
    <w:rsid w:val="0079685B"/>
    <w:rsid w:val="0079754B"/>
    <w:rsid w:val="00797CCB"/>
    <w:rsid w:val="007A0ADD"/>
    <w:rsid w:val="007A1E6D"/>
    <w:rsid w:val="007A4BFB"/>
    <w:rsid w:val="007A509C"/>
    <w:rsid w:val="007A6674"/>
    <w:rsid w:val="007B0FEF"/>
    <w:rsid w:val="007B33DE"/>
    <w:rsid w:val="007B3EF0"/>
    <w:rsid w:val="007B47A9"/>
    <w:rsid w:val="007B5825"/>
    <w:rsid w:val="007B5865"/>
    <w:rsid w:val="007B5A13"/>
    <w:rsid w:val="007B65D7"/>
    <w:rsid w:val="007C24B6"/>
    <w:rsid w:val="007C271F"/>
    <w:rsid w:val="007C2CC9"/>
    <w:rsid w:val="007C466F"/>
    <w:rsid w:val="007C5245"/>
    <w:rsid w:val="007C69E0"/>
    <w:rsid w:val="007D1059"/>
    <w:rsid w:val="007D1646"/>
    <w:rsid w:val="007D3498"/>
    <w:rsid w:val="007D5607"/>
    <w:rsid w:val="007E4DB9"/>
    <w:rsid w:val="007E54A4"/>
    <w:rsid w:val="007E54E4"/>
    <w:rsid w:val="007E5664"/>
    <w:rsid w:val="007E5B5E"/>
    <w:rsid w:val="007E7E18"/>
    <w:rsid w:val="007F0665"/>
    <w:rsid w:val="007F14D4"/>
    <w:rsid w:val="007F4D1D"/>
    <w:rsid w:val="007F68AD"/>
    <w:rsid w:val="00801198"/>
    <w:rsid w:val="00801F7A"/>
    <w:rsid w:val="008049FC"/>
    <w:rsid w:val="008055F3"/>
    <w:rsid w:val="00805701"/>
    <w:rsid w:val="00806537"/>
    <w:rsid w:val="0081093B"/>
    <w:rsid w:val="00812780"/>
    <w:rsid w:val="00812BFE"/>
    <w:rsid w:val="00816920"/>
    <w:rsid w:val="00820734"/>
    <w:rsid w:val="00822CE0"/>
    <w:rsid w:val="00825F70"/>
    <w:rsid w:val="00825FD3"/>
    <w:rsid w:val="0082674C"/>
    <w:rsid w:val="008308A8"/>
    <w:rsid w:val="00830EB0"/>
    <w:rsid w:val="00831CBE"/>
    <w:rsid w:val="00834C5C"/>
    <w:rsid w:val="00837C62"/>
    <w:rsid w:val="00837E7E"/>
    <w:rsid w:val="00840F11"/>
    <w:rsid w:val="00841534"/>
    <w:rsid w:val="00841AB1"/>
    <w:rsid w:val="008425B4"/>
    <w:rsid w:val="00843EF7"/>
    <w:rsid w:val="00843FA6"/>
    <w:rsid w:val="00844000"/>
    <w:rsid w:val="00845D15"/>
    <w:rsid w:val="008460F8"/>
    <w:rsid w:val="00850270"/>
    <w:rsid w:val="008529FE"/>
    <w:rsid w:val="00853AB9"/>
    <w:rsid w:val="00856711"/>
    <w:rsid w:val="00857E7B"/>
    <w:rsid w:val="0086029C"/>
    <w:rsid w:val="00862893"/>
    <w:rsid w:val="00863A0F"/>
    <w:rsid w:val="00866831"/>
    <w:rsid w:val="0087217E"/>
    <w:rsid w:val="008721E3"/>
    <w:rsid w:val="0087257D"/>
    <w:rsid w:val="008743CE"/>
    <w:rsid w:val="0087587A"/>
    <w:rsid w:val="00875DD8"/>
    <w:rsid w:val="008763A0"/>
    <w:rsid w:val="00881094"/>
    <w:rsid w:val="00882D31"/>
    <w:rsid w:val="00886F46"/>
    <w:rsid w:val="00887E43"/>
    <w:rsid w:val="008912F9"/>
    <w:rsid w:val="00892ED4"/>
    <w:rsid w:val="008966DE"/>
    <w:rsid w:val="008A1809"/>
    <w:rsid w:val="008A1F55"/>
    <w:rsid w:val="008A2752"/>
    <w:rsid w:val="008A332E"/>
    <w:rsid w:val="008A6432"/>
    <w:rsid w:val="008A799D"/>
    <w:rsid w:val="008B1CF3"/>
    <w:rsid w:val="008B72D8"/>
    <w:rsid w:val="008B7ABB"/>
    <w:rsid w:val="008B7CF9"/>
    <w:rsid w:val="008B7F87"/>
    <w:rsid w:val="008C0944"/>
    <w:rsid w:val="008C22FD"/>
    <w:rsid w:val="008C2C72"/>
    <w:rsid w:val="008C4392"/>
    <w:rsid w:val="008C4517"/>
    <w:rsid w:val="008C600C"/>
    <w:rsid w:val="008C6D14"/>
    <w:rsid w:val="008C737C"/>
    <w:rsid w:val="008C7D2D"/>
    <w:rsid w:val="008D0DFD"/>
    <w:rsid w:val="008D3EB4"/>
    <w:rsid w:val="008D43CD"/>
    <w:rsid w:val="008D53FE"/>
    <w:rsid w:val="008D5AD7"/>
    <w:rsid w:val="008E05E6"/>
    <w:rsid w:val="008E5EF7"/>
    <w:rsid w:val="008E6084"/>
    <w:rsid w:val="008F02FA"/>
    <w:rsid w:val="008F0480"/>
    <w:rsid w:val="008F0931"/>
    <w:rsid w:val="008F393B"/>
    <w:rsid w:val="008F754C"/>
    <w:rsid w:val="00901575"/>
    <w:rsid w:val="009015F6"/>
    <w:rsid w:val="009024BC"/>
    <w:rsid w:val="00902540"/>
    <w:rsid w:val="00902764"/>
    <w:rsid w:val="00903EC6"/>
    <w:rsid w:val="00905C7A"/>
    <w:rsid w:val="009069F2"/>
    <w:rsid w:val="00907875"/>
    <w:rsid w:val="00910F12"/>
    <w:rsid w:val="009112F1"/>
    <w:rsid w:val="00914F40"/>
    <w:rsid w:val="0091670C"/>
    <w:rsid w:val="00921733"/>
    <w:rsid w:val="0092589A"/>
    <w:rsid w:val="00926503"/>
    <w:rsid w:val="00930ECF"/>
    <w:rsid w:val="009332CF"/>
    <w:rsid w:val="00934ADE"/>
    <w:rsid w:val="00936413"/>
    <w:rsid w:val="0093679D"/>
    <w:rsid w:val="00936BBE"/>
    <w:rsid w:val="00936D40"/>
    <w:rsid w:val="00937A38"/>
    <w:rsid w:val="009417EA"/>
    <w:rsid w:val="00942540"/>
    <w:rsid w:val="00946D27"/>
    <w:rsid w:val="00946D42"/>
    <w:rsid w:val="00947BE8"/>
    <w:rsid w:val="00954174"/>
    <w:rsid w:val="009547FF"/>
    <w:rsid w:val="009573F9"/>
    <w:rsid w:val="009578D6"/>
    <w:rsid w:val="009604C3"/>
    <w:rsid w:val="009614B4"/>
    <w:rsid w:val="009632A5"/>
    <w:rsid w:val="00964307"/>
    <w:rsid w:val="0096443C"/>
    <w:rsid w:val="00967757"/>
    <w:rsid w:val="00970876"/>
    <w:rsid w:val="009748A2"/>
    <w:rsid w:val="00975988"/>
    <w:rsid w:val="0097620E"/>
    <w:rsid w:val="00980B33"/>
    <w:rsid w:val="009838BC"/>
    <w:rsid w:val="00983E6A"/>
    <w:rsid w:val="00987069"/>
    <w:rsid w:val="00987CD0"/>
    <w:rsid w:val="0099106C"/>
    <w:rsid w:val="00993A11"/>
    <w:rsid w:val="0099509F"/>
    <w:rsid w:val="009954AA"/>
    <w:rsid w:val="00996E72"/>
    <w:rsid w:val="00997CB6"/>
    <w:rsid w:val="009A1DD0"/>
    <w:rsid w:val="009A2867"/>
    <w:rsid w:val="009A4D9C"/>
    <w:rsid w:val="009A6CCD"/>
    <w:rsid w:val="009A7236"/>
    <w:rsid w:val="009A739C"/>
    <w:rsid w:val="009A77CA"/>
    <w:rsid w:val="009B11BA"/>
    <w:rsid w:val="009B1383"/>
    <w:rsid w:val="009B168C"/>
    <w:rsid w:val="009B2B49"/>
    <w:rsid w:val="009B3ED2"/>
    <w:rsid w:val="009B40DC"/>
    <w:rsid w:val="009B438D"/>
    <w:rsid w:val="009B4A6D"/>
    <w:rsid w:val="009B53FA"/>
    <w:rsid w:val="009B5DB2"/>
    <w:rsid w:val="009C01AB"/>
    <w:rsid w:val="009C14D7"/>
    <w:rsid w:val="009C20F3"/>
    <w:rsid w:val="009C6A3E"/>
    <w:rsid w:val="009C7413"/>
    <w:rsid w:val="009D222F"/>
    <w:rsid w:val="009D329C"/>
    <w:rsid w:val="009D3BB9"/>
    <w:rsid w:val="009D7BE0"/>
    <w:rsid w:val="009D7CFD"/>
    <w:rsid w:val="009E0C7D"/>
    <w:rsid w:val="009E121F"/>
    <w:rsid w:val="009E3C67"/>
    <w:rsid w:val="009E4B9C"/>
    <w:rsid w:val="009E51BE"/>
    <w:rsid w:val="009E6573"/>
    <w:rsid w:val="009F1DF8"/>
    <w:rsid w:val="009F3B9B"/>
    <w:rsid w:val="009F4E4F"/>
    <w:rsid w:val="00A012A7"/>
    <w:rsid w:val="00A10F64"/>
    <w:rsid w:val="00A1565B"/>
    <w:rsid w:val="00A16940"/>
    <w:rsid w:val="00A20439"/>
    <w:rsid w:val="00A20C3C"/>
    <w:rsid w:val="00A21EA8"/>
    <w:rsid w:val="00A2406F"/>
    <w:rsid w:val="00A25279"/>
    <w:rsid w:val="00A26A95"/>
    <w:rsid w:val="00A278D5"/>
    <w:rsid w:val="00A32207"/>
    <w:rsid w:val="00A33FB6"/>
    <w:rsid w:val="00A35426"/>
    <w:rsid w:val="00A41F0E"/>
    <w:rsid w:val="00A420AD"/>
    <w:rsid w:val="00A4287B"/>
    <w:rsid w:val="00A45A6C"/>
    <w:rsid w:val="00A45F4F"/>
    <w:rsid w:val="00A46229"/>
    <w:rsid w:val="00A47E26"/>
    <w:rsid w:val="00A52A17"/>
    <w:rsid w:val="00A52ACE"/>
    <w:rsid w:val="00A537DE"/>
    <w:rsid w:val="00A54520"/>
    <w:rsid w:val="00A551A2"/>
    <w:rsid w:val="00A600A9"/>
    <w:rsid w:val="00A61526"/>
    <w:rsid w:val="00A61688"/>
    <w:rsid w:val="00A62C79"/>
    <w:rsid w:val="00A62E4B"/>
    <w:rsid w:val="00A63659"/>
    <w:rsid w:val="00A66936"/>
    <w:rsid w:val="00A66E5D"/>
    <w:rsid w:val="00A67CF7"/>
    <w:rsid w:val="00A73166"/>
    <w:rsid w:val="00A73420"/>
    <w:rsid w:val="00A7536D"/>
    <w:rsid w:val="00A76D77"/>
    <w:rsid w:val="00A80A33"/>
    <w:rsid w:val="00A8116F"/>
    <w:rsid w:val="00A84738"/>
    <w:rsid w:val="00A859DD"/>
    <w:rsid w:val="00A866AC"/>
    <w:rsid w:val="00A8715F"/>
    <w:rsid w:val="00A91384"/>
    <w:rsid w:val="00A92760"/>
    <w:rsid w:val="00A9530D"/>
    <w:rsid w:val="00A9781E"/>
    <w:rsid w:val="00AA202E"/>
    <w:rsid w:val="00AA3050"/>
    <w:rsid w:val="00AA3B98"/>
    <w:rsid w:val="00AA55B7"/>
    <w:rsid w:val="00AA5B9E"/>
    <w:rsid w:val="00AA5E20"/>
    <w:rsid w:val="00AA793D"/>
    <w:rsid w:val="00AB0756"/>
    <w:rsid w:val="00AB2388"/>
    <w:rsid w:val="00AB2407"/>
    <w:rsid w:val="00AB3EC2"/>
    <w:rsid w:val="00AB53DF"/>
    <w:rsid w:val="00AC23EA"/>
    <w:rsid w:val="00AC2828"/>
    <w:rsid w:val="00AC2D64"/>
    <w:rsid w:val="00AC4D9B"/>
    <w:rsid w:val="00AD0C1D"/>
    <w:rsid w:val="00AD13E5"/>
    <w:rsid w:val="00AD2277"/>
    <w:rsid w:val="00AD25BA"/>
    <w:rsid w:val="00AD446E"/>
    <w:rsid w:val="00AD4978"/>
    <w:rsid w:val="00AD5D9C"/>
    <w:rsid w:val="00AD60BB"/>
    <w:rsid w:val="00AD7B0F"/>
    <w:rsid w:val="00AE1169"/>
    <w:rsid w:val="00AE3DDA"/>
    <w:rsid w:val="00AE6C22"/>
    <w:rsid w:val="00AE7102"/>
    <w:rsid w:val="00AF1CB0"/>
    <w:rsid w:val="00AF22F8"/>
    <w:rsid w:val="00AF3F42"/>
    <w:rsid w:val="00AF49A6"/>
    <w:rsid w:val="00B00043"/>
    <w:rsid w:val="00B01648"/>
    <w:rsid w:val="00B01BCE"/>
    <w:rsid w:val="00B02166"/>
    <w:rsid w:val="00B0240E"/>
    <w:rsid w:val="00B02D11"/>
    <w:rsid w:val="00B02D50"/>
    <w:rsid w:val="00B05137"/>
    <w:rsid w:val="00B06927"/>
    <w:rsid w:val="00B06F68"/>
    <w:rsid w:val="00B07E5C"/>
    <w:rsid w:val="00B102E1"/>
    <w:rsid w:val="00B104EF"/>
    <w:rsid w:val="00B11640"/>
    <w:rsid w:val="00B120F8"/>
    <w:rsid w:val="00B126C1"/>
    <w:rsid w:val="00B134EC"/>
    <w:rsid w:val="00B17BDE"/>
    <w:rsid w:val="00B20363"/>
    <w:rsid w:val="00B220C9"/>
    <w:rsid w:val="00B23BC6"/>
    <w:rsid w:val="00B24A78"/>
    <w:rsid w:val="00B264C4"/>
    <w:rsid w:val="00B26699"/>
    <w:rsid w:val="00B27E27"/>
    <w:rsid w:val="00B30AE0"/>
    <w:rsid w:val="00B30AF5"/>
    <w:rsid w:val="00B326E3"/>
    <w:rsid w:val="00B33E24"/>
    <w:rsid w:val="00B3508F"/>
    <w:rsid w:val="00B35BA7"/>
    <w:rsid w:val="00B36382"/>
    <w:rsid w:val="00B44CE4"/>
    <w:rsid w:val="00B451A0"/>
    <w:rsid w:val="00B45EDA"/>
    <w:rsid w:val="00B46067"/>
    <w:rsid w:val="00B528A0"/>
    <w:rsid w:val="00B54446"/>
    <w:rsid w:val="00B54809"/>
    <w:rsid w:val="00B6114A"/>
    <w:rsid w:val="00B61CC1"/>
    <w:rsid w:val="00B61DAB"/>
    <w:rsid w:val="00B64C19"/>
    <w:rsid w:val="00B65638"/>
    <w:rsid w:val="00B65AF6"/>
    <w:rsid w:val="00B6675B"/>
    <w:rsid w:val="00B67C3E"/>
    <w:rsid w:val="00B714DF"/>
    <w:rsid w:val="00B72286"/>
    <w:rsid w:val="00B74BF8"/>
    <w:rsid w:val="00B74EC3"/>
    <w:rsid w:val="00B75D2B"/>
    <w:rsid w:val="00B761E2"/>
    <w:rsid w:val="00B77D12"/>
    <w:rsid w:val="00B8071A"/>
    <w:rsid w:val="00B811F7"/>
    <w:rsid w:val="00B86E64"/>
    <w:rsid w:val="00B90644"/>
    <w:rsid w:val="00B94538"/>
    <w:rsid w:val="00B95F55"/>
    <w:rsid w:val="00B96485"/>
    <w:rsid w:val="00BA1E0E"/>
    <w:rsid w:val="00BA1E34"/>
    <w:rsid w:val="00BA36C2"/>
    <w:rsid w:val="00BA5DC6"/>
    <w:rsid w:val="00BA6010"/>
    <w:rsid w:val="00BA6196"/>
    <w:rsid w:val="00BA61A2"/>
    <w:rsid w:val="00BA62A7"/>
    <w:rsid w:val="00BA6B74"/>
    <w:rsid w:val="00BB1230"/>
    <w:rsid w:val="00BB61A5"/>
    <w:rsid w:val="00BB67D2"/>
    <w:rsid w:val="00BB6D65"/>
    <w:rsid w:val="00BC20CB"/>
    <w:rsid w:val="00BC5848"/>
    <w:rsid w:val="00BC6D8C"/>
    <w:rsid w:val="00BC6DE9"/>
    <w:rsid w:val="00BD074B"/>
    <w:rsid w:val="00BD0B9B"/>
    <w:rsid w:val="00BD2003"/>
    <w:rsid w:val="00BD383B"/>
    <w:rsid w:val="00BD49F2"/>
    <w:rsid w:val="00BD6F41"/>
    <w:rsid w:val="00BD72A1"/>
    <w:rsid w:val="00BD7A30"/>
    <w:rsid w:val="00BE151A"/>
    <w:rsid w:val="00BE3A7D"/>
    <w:rsid w:val="00BE7414"/>
    <w:rsid w:val="00BF0F02"/>
    <w:rsid w:val="00BF121A"/>
    <w:rsid w:val="00BF61E3"/>
    <w:rsid w:val="00BF75E3"/>
    <w:rsid w:val="00C02BAE"/>
    <w:rsid w:val="00C0419A"/>
    <w:rsid w:val="00C052A5"/>
    <w:rsid w:val="00C05E31"/>
    <w:rsid w:val="00C07B01"/>
    <w:rsid w:val="00C10A8E"/>
    <w:rsid w:val="00C11143"/>
    <w:rsid w:val="00C123EB"/>
    <w:rsid w:val="00C13149"/>
    <w:rsid w:val="00C13C3A"/>
    <w:rsid w:val="00C14BC1"/>
    <w:rsid w:val="00C15432"/>
    <w:rsid w:val="00C16AF2"/>
    <w:rsid w:val="00C16B57"/>
    <w:rsid w:val="00C21B4F"/>
    <w:rsid w:val="00C22F55"/>
    <w:rsid w:val="00C24F9D"/>
    <w:rsid w:val="00C2582A"/>
    <w:rsid w:val="00C27421"/>
    <w:rsid w:val="00C27A1D"/>
    <w:rsid w:val="00C30276"/>
    <w:rsid w:val="00C30631"/>
    <w:rsid w:val="00C30BF9"/>
    <w:rsid w:val="00C3306E"/>
    <w:rsid w:val="00C34006"/>
    <w:rsid w:val="00C34896"/>
    <w:rsid w:val="00C35A7D"/>
    <w:rsid w:val="00C35ECC"/>
    <w:rsid w:val="00C36716"/>
    <w:rsid w:val="00C426B1"/>
    <w:rsid w:val="00C463E1"/>
    <w:rsid w:val="00C4783E"/>
    <w:rsid w:val="00C50E4C"/>
    <w:rsid w:val="00C50E82"/>
    <w:rsid w:val="00C5188A"/>
    <w:rsid w:val="00C52D2E"/>
    <w:rsid w:val="00C540DD"/>
    <w:rsid w:val="00C5506D"/>
    <w:rsid w:val="00C55210"/>
    <w:rsid w:val="00C6125E"/>
    <w:rsid w:val="00C61A3E"/>
    <w:rsid w:val="00C648ED"/>
    <w:rsid w:val="00C65FC4"/>
    <w:rsid w:val="00C6683F"/>
    <w:rsid w:val="00C67672"/>
    <w:rsid w:val="00C70285"/>
    <w:rsid w:val="00C74762"/>
    <w:rsid w:val="00C7495A"/>
    <w:rsid w:val="00C75274"/>
    <w:rsid w:val="00C77C7B"/>
    <w:rsid w:val="00C81B30"/>
    <w:rsid w:val="00C82B6B"/>
    <w:rsid w:val="00C835AD"/>
    <w:rsid w:val="00C84DB3"/>
    <w:rsid w:val="00C84E93"/>
    <w:rsid w:val="00C87EE6"/>
    <w:rsid w:val="00C87F05"/>
    <w:rsid w:val="00C90D6A"/>
    <w:rsid w:val="00C92DD1"/>
    <w:rsid w:val="00C92E09"/>
    <w:rsid w:val="00C9457A"/>
    <w:rsid w:val="00C96425"/>
    <w:rsid w:val="00CA270A"/>
    <w:rsid w:val="00CA278F"/>
    <w:rsid w:val="00CA4B31"/>
    <w:rsid w:val="00CA7340"/>
    <w:rsid w:val="00CB73F0"/>
    <w:rsid w:val="00CB78FF"/>
    <w:rsid w:val="00CC0BEF"/>
    <w:rsid w:val="00CC3F9F"/>
    <w:rsid w:val="00CC5E8A"/>
    <w:rsid w:val="00CC72B6"/>
    <w:rsid w:val="00CC7D52"/>
    <w:rsid w:val="00CD0832"/>
    <w:rsid w:val="00CD2EA1"/>
    <w:rsid w:val="00CD50B4"/>
    <w:rsid w:val="00CD7A50"/>
    <w:rsid w:val="00CE1F34"/>
    <w:rsid w:val="00CE20A2"/>
    <w:rsid w:val="00CE458C"/>
    <w:rsid w:val="00CE4F1A"/>
    <w:rsid w:val="00CE6876"/>
    <w:rsid w:val="00CE7E85"/>
    <w:rsid w:val="00CF09A9"/>
    <w:rsid w:val="00CF22F5"/>
    <w:rsid w:val="00CF2983"/>
    <w:rsid w:val="00CF47B5"/>
    <w:rsid w:val="00CF6B04"/>
    <w:rsid w:val="00CF6C47"/>
    <w:rsid w:val="00CF78F1"/>
    <w:rsid w:val="00CF79A5"/>
    <w:rsid w:val="00D0218D"/>
    <w:rsid w:val="00D03548"/>
    <w:rsid w:val="00D03B8C"/>
    <w:rsid w:val="00D04BCF"/>
    <w:rsid w:val="00D069D8"/>
    <w:rsid w:val="00D07B4C"/>
    <w:rsid w:val="00D10533"/>
    <w:rsid w:val="00D1096B"/>
    <w:rsid w:val="00D11406"/>
    <w:rsid w:val="00D11BD2"/>
    <w:rsid w:val="00D12833"/>
    <w:rsid w:val="00D202CD"/>
    <w:rsid w:val="00D216CD"/>
    <w:rsid w:val="00D221C5"/>
    <w:rsid w:val="00D3052D"/>
    <w:rsid w:val="00D3167F"/>
    <w:rsid w:val="00D31D0F"/>
    <w:rsid w:val="00D33283"/>
    <w:rsid w:val="00D337FA"/>
    <w:rsid w:val="00D33EC6"/>
    <w:rsid w:val="00D34E76"/>
    <w:rsid w:val="00D35ABD"/>
    <w:rsid w:val="00D35F52"/>
    <w:rsid w:val="00D4111A"/>
    <w:rsid w:val="00D43106"/>
    <w:rsid w:val="00D43EAB"/>
    <w:rsid w:val="00D45A3A"/>
    <w:rsid w:val="00D45A63"/>
    <w:rsid w:val="00D46C1B"/>
    <w:rsid w:val="00D52189"/>
    <w:rsid w:val="00D549DD"/>
    <w:rsid w:val="00D55A04"/>
    <w:rsid w:val="00D55AF5"/>
    <w:rsid w:val="00D56AFD"/>
    <w:rsid w:val="00D612FE"/>
    <w:rsid w:val="00D61567"/>
    <w:rsid w:val="00D630CF"/>
    <w:rsid w:val="00D63F50"/>
    <w:rsid w:val="00D64BAB"/>
    <w:rsid w:val="00D65387"/>
    <w:rsid w:val="00D66738"/>
    <w:rsid w:val="00D67AD4"/>
    <w:rsid w:val="00D67D02"/>
    <w:rsid w:val="00D70827"/>
    <w:rsid w:val="00D74559"/>
    <w:rsid w:val="00D752FC"/>
    <w:rsid w:val="00D7561E"/>
    <w:rsid w:val="00D809C7"/>
    <w:rsid w:val="00D857BF"/>
    <w:rsid w:val="00D865CD"/>
    <w:rsid w:val="00D878C7"/>
    <w:rsid w:val="00D9017E"/>
    <w:rsid w:val="00D93691"/>
    <w:rsid w:val="00D93F92"/>
    <w:rsid w:val="00D94357"/>
    <w:rsid w:val="00D95953"/>
    <w:rsid w:val="00D975E3"/>
    <w:rsid w:val="00DA1462"/>
    <w:rsid w:val="00DA21D0"/>
    <w:rsid w:val="00DA2529"/>
    <w:rsid w:val="00DA2ED9"/>
    <w:rsid w:val="00DA3083"/>
    <w:rsid w:val="00DA3632"/>
    <w:rsid w:val="00DA3C3B"/>
    <w:rsid w:val="00DA5E15"/>
    <w:rsid w:val="00DA71FD"/>
    <w:rsid w:val="00DB027E"/>
    <w:rsid w:val="00DB130A"/>
    <w:rsid w:val="00DB1434"/>
    <w:rsid w:val="00DB1687"/>
    <w:rsid w:val="00DB3B20"/>
    <w:rsid w:val="00DB45F4"/>
    <w:rsid w:val="00DB491A"/>
    <w:rsid w:val="00DC100B"/>
    <w:rsid w:val="00DC10A1"/>
    <w:rsid w:val="00DC655F"/>
    <w:rsid w:val="00DD0D3A"/>
    <w:rsid w:val="00DD185C"/>
    <w:rsid w:val="00DD3513"/>
    <w:rsid w:val="00DD40E0"/>
    <w:rsid w:val="00DD4FEE"/>
    <w:rsid w:val="00DD69A9"/>
    <w:rsid w:val="00DD7433"/>
    <w:rsid w:val="00DD7EBD"/>
    <w:rsid w:val="00DE07BE"/>
    <w:rsid w:val="00DE207C"/>
    <w:rsid w:val="00DF3B47"/>
    <w:rsid w:val="00DF3D2B"/>
    <w:rsid w:val="00DF44A2"/>
    <w:rsid w:val="00DF4FEB"/>
    <w:rsid w:val="00DF55FE"/>
    <w:rsid w:val="00DF62B6"/>
    <w:rsid w:val="00E0573B"/>
    <w:rsid w:val="00E05E6C"/>
    <w:rsid w:val="00E06BF4"/>
    <w:rsid w:val="00E07225"/>
    <w:rsid w:val="00E07623"/>
    <w:rsid w:val="00E112BA"/>
    <w:rsid w:val="00E11E62"/>
    <w:rsid w:val="00E131B9"/>
    <w:rsid w:val="00E13B02"/>
    <w:rsid w:val="00E155B7"/>
    <w:rsid w:val="00E21375"/>
    <w:rsid w:val="00E241DB"/>
    <w:rsid w:val="00E26F28"/>
    <w:rsid w:val="00E270A2"/>
    <w:rsid w:val="00E27592"/>
    <w:rsid w:val="00E2794C"/>
    <w:rsid w:val="00E27C33"/>
    <w:rsid w:val="00E328A1"/>
    <w:rsid w:val="00E32D0E"/>
    <w:rsid w:val="00E32F01"/>
    <w:rsid w:val="00E331A9"/>
    <w:rsid w:val="00E33FAE"/>
    <w:rsid w:val="00E45C59"/>
    <w:rsid w:val="00E47B44"/>
    <w:rsid w:val="00E518C9"/>
    <w:rsid w:val="00E5409F"/>
    <w:rsid w:val="00E55D2D"/>
    <w:rsid w:val="00E56C30"/>
    <w:rsid w:val="00E60C32"/>
    <w:rsid w:val="00E638A6"/>
    <w:rsid w:val="00E63CA3"/>
    <w:rsid w:val="00E658F2"/>
    <w:rsid w:val="00E70A3D"/>
    <w:rsid w:val="00E7126F"/>
    <w:rsid w:val="00E75FBA"/>
    <w:rsid w:val="00E7629C"/>
    <w:rsid w:val="00E76C25"/>
    <w:rsid w:val="00E779B9"/>
    <w:rsid w:val="00E8030B"/>
    <w:rsid w:val="00E80F59"/>
    <w:rsid w:val="00E81BCF"/>
    <w:rsid w:val="00E8477C"/>
    <w:rsid w:val="00E929D2"/>
    <w:rsid w:val="00E92C34"/>
    <w:rsid w:val="00E943C5"/>
    <w:rsid w:val="00E96BFC"/>
    <w:rsid w:val="00E96C39"/>
    <w:rsid w:val="00EA089E"/>
    <w:rsid w:val="00EA1E0D"/>
    <w:rsid w:val="00EA2DD0"/>
    <w:rsid w:val="00EA5952"/>
    <w:rsid w:val="00EA6746"/>
    <w:rsid w:val="00EA7BCB"/>
    <w:rsid w:val="00EA7F1B"/>
    <w:rsid w:val="00EA7F55"/>
    <w:rsid w:val="00EB1FE8"/>
    <w:rsid w:val="00EB21FD"/>
    <w:rsid w:val="00EB3EAA"/>
    <w:rsid w:val="00EB546B"/>
    <w:rsid w:val="00EB5C46"/>
    <w:rsid w:val="00EB6DC4"/>
    <w:rsid w:val="00EB6E93"/>
    <w:rsid w:val="00EC0185"/>
    <w:rsid w:val="00EC0911"/>
    <w:rsid w:val="00EC1912"/>
    <w:rsid w:val="00EC4153"/>
    <w:rsid w:val="00EC7142"/>
    <w:rsid w:val="00ED161F"/>
    <w:rsid w:val="00ED286B"/>
    <w:rsid w:val="00ED4404"/>
    <w:rsid w:val="00ED4724"/>
    <w:rsid w:val="00ED62EE"/>
    <w:rsid w:val="00ED6B26"/>
    <w:rsid w:val="00ED6DAB"/>
    <w:rsid w:val="00EE2D52"/>
    <w:rsid w:val="00EE43D6"/>
    <w:rsid w:val="00EE517D"/>
    <w:rsid w:val="00EE51FE"/>
    <w:rsid w:val="00EE5CE9"/>
    <w:rsid w:val="00EE7D1B"/>
    <w:rsid w:val="00EF031D"/>
    <w:rsid w:val="00EF12CA"/>
    <w:rsid w:val="00EF152F"/>
    <w:rsid w:val="00EF4605"/>
    <w:rsid w:val="00EF4B32"/>
    <w:rsid w:val="00EF6990"/>
    <w:rsid w:val="00EF6A8C"/>
    <w:rsid w:val="00EF6D76"/>
    <w:rsid w:val="00EF7DCF"/>
    <w:rsid w:val="00F0064B"/>
    <w:rsid w:val="00F00687"/>
    <w:rsid w:val="00F021FA"/>
    <w:rsid w:val="00F038A1"/>
    <w:rsid w:val="00F0465F"/>
    <w:rsid w:val="00F052BF"/>
    <w:rsid w:val="00F06B7E"/>
    <w:rsid w:val="00F06EB3"/>
    <w:rsid w:val="00F103DE"/>
    <w:rsid w:val="00F106E0"/>
    <w:rsid w:val="00F1123A"/>
    <w:rsid w:val="00F12296"/>
    <w:rsid w:val="00F12520"/>
    <w:rsid w:val="00F135EC"/>
    <w:rsid w:val="00F13BE9"/>
    <w:rsid w:val="00F15528"/>
    <w:rsid w:val="00F20E28"/>
    <w:rsid w:val="00F22613"/>
    <w:rsid w:val="00F22B54"/>
    <w:rsid w:val="00F24855"/>
    <w:rsid w:val="00F26D2F"/>
    <w:rsid w:val="00F27D6E"/>
    <w:rsid w:val="00F32047"/>
    <w:rsid w:val="00F3307D"/>
    <w:rsid w:val="00F3383E"/>
    <w:rsid w:val="00F36AC1"/>
    <w:rsid w:val="00F3791E"/>
    <w:rsid w:val="00F44C85"/>
    <w:rsid w:val="00F50304"/>
    <w:rsid w:val="00F50CB7"/>
    <w:rsid w:val="00F51870"/>
    <w:rsid w:val="00F542F7"/>
    <w:rsid w:val="00F54982"/>
    <w:rsid w:val="00F57ACA"/>
    <w:rsid w:val="00F62A40"/>
    <w:rsid w:val="00F62E97"/>
    <w:rsid w:val="00F64209"/>
    <w:rsid w:val="00F64B32"/>
    <w:rsid w:val="00F6545E"/>
    <w:rsid w:val="00F65F89"/>
    <w:rsid w:val="00F666CB"/>
    <w:rsid w:val="00F66D47"/>
    <w:rsid w:val="00F6741A"/>
    <w:rsid w:val="00F703E5"/>
    <w:rsid w:val="00F706C5"/>
    <w:rsid w:val="00F70A7C"/>
    <w:rsid w:val="00F72CEC"/>
    <w:rsid w:val="00F72F7C"/>
    <w:rsid w:val="00F73E91"/>
    <w:rsid w:val="00F7649F"/>
    <w:rsid w:val="00F76A06"/>
    <w:rsid w:val="00F76EAD"/>
    <w:rsid w:val="00F8043D"/>
    <w:rsid w:val="00F821F2"/>
    <w:rsid w:val="00F82809"/>
    <w:rsid w:val="00F82F4F"/>
    <w:rsid w:val="00F83629"/>
    <w:rsid w:val="00F83691"/>
    <w:rsid w:val="00F8639A"/>
    <w:rsid w:val="00F86A8C"/>
    <w:rsid w:val="00F86DD5"/>
    <w:rsid w:val="00F871B8"/>
    <w:rsid w:val="00F87D52"/>
    <w:rsid w:val="00F90815"/>
    <w:rsid w:val="00F918AF"/>
    <w:rsid w:val="00F92CD3"/>
    <w:rsid w:val="00F9381D"/>
    <w:rsid w:val="00F93BF5"/>
    <w:rsid w:val="00F950EA"/>
    <w:rsid w:val="00F95675"/>
    <w:rsid w:val="00F957E4"/>
    <w:rsid w:val="00F96F63"/>
    <w:rsid w:val="00F97CE3"/>
    <w:rsid w:val="00FA0894"/>
    <w:rsid w:val="00FA1530"/>
    <w:rsid w:val="00FA1CF6"/>
    <w:rsid w:val="00FA1E56"/>
    <w:rsid w:val="00FA2CF2"/>
    <w:rsid w:val="00FA5C87"/>
    <w:rsid w:val="00FA7D12"/>
    <w:rsid w:val="00FB133A"/>
    <w:rsid w:val="00FB1AAE"/>
    <w:rsid w:val="00FB26DD"/>
    <w:rsid w:val="00FB2C98"/>
    <w:rsid w:val="00FB3ACD"/>
    <w:rsid w:val="00FB7130"/>
    <w:rsid w:val="00FC2EF5"/>
    <w:rsid w:val="00FC375F"/>
    <w:rsid w:val="00FC78A6"/>
    <w:rsid w:val="00FD2A96"/>
    <w:rsid w:val="00FD30D3"/>
    <w:rsid w:val="00FD310F"/>
    <w:rsid w:val="00FD3178"/>
    <w:rsid w:val="00FD4C90"/>
    <w:rsid w:val="00FD51EF"/>
    <w:rsid w:val="00FD635B"/>
    <w:rsid w:val="00FE1F03"/>
    <w:rsid w:val="00FE2996"/>
    <w:rsid w:val="00FE308E"/>
    <w:rsid w:val="00FE756D"/>
    <w:rsid w:val="00FF29ED"/>
    <w:rsid w:val="00FF2D95"/>
    <w:rsid w:val="00FF2E25"/>
    <w:rsid w:val="00FF4CE3"/>
    <w:rsid w:val="00FF4F63"/>
    <w:rsid w:val="00FF76ED"/>
    <w:rsid w:val="0A6F7E0B"/>
    <w:rsid w:val="0D96AD44"/>
    <w:rsid w:val="33C4ACE2"/>
    <w:rsid w:val="366804DD"/>
    <w:rsid w:val="3849E221"/>
    <w:rsid w:val="418ADD4E"/>
    <w:rsid w:val="47602DE6"/>
    <w:rsid w:val="49B9BD00"/>
    <w:rsid w:val="51E08CD4"/>
    <w:rsid w:val="56057AEF"/>
    <w:rsid w:val="5C6242FC"/>
    <w:rsid w:val="663DE79B"/>
    <w:rsid w:val="666D0B05"/>
    <w:rsid w:val="74C75C5C"/>
    <w:rsid w:val="762E4BB5"/>
    <w:rsid w:val="7C7A9D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33283"/>
    <w:rPr>
      <w:rFonts w:ascii="Segoe UI" w:hAnsi="Segoe UI" w:cs="Segoe UI"/>
      <w:sz w:val="18"/>
      <w:szCs w:val="18"/>
    </w:rPr>
  </w:style>
  <w:style w:type="character" w:customStyle="1" w:styleId="BalloonTextChar">
    <w:name w:val="Balloon Text Char"/>
    <w:link w:val="BalloonText"/>
    <w:uiPriority w:val="99"/>
    <w:semiHidden/>
    <w:rsid w:val="00D33283"/>
    <w:rPr>
      <w:rFonts w:ascii="Segoe UI" w:hAnsi="Segoe UI" w:cs="Segoe UI"/>
      <w:snapToGrid w:val="0"/>
      <w:kern w:val="28"/>
      <w:sz w:val="18"/>
      <w:szCs w:val="18"/>
    </w:rPr>
  </w:style>
  <w:style w:type="character" w:styleId="CommentReference">
    <w:name w:val="annotation reference"/>
    <w:uiPriority w:val="99"/>
    <w:semiHidden/>
    <w:unhideWhenUsed/>
    <w:rsid w:val="00D33283"/>
    <w:rPr>
      <w:sz w:val="16"/>
      <w:szCs w:val="16"/>
    </w:rPr>
  </w:style>
  <w:style w:type="paragraph" w:styleId="CommentText">
    <w:name w:val="annotation text"/>
    <w:basedOn w:val="Normal"/>
    <w:link w:val="CommentTextChar"/>
    <w:uiPriority w:val="99"/>
    <w:semiHidden/>
    <w:unhideWhenUsed/>
    <w:rsid w:val="00D33283"/>
    <w:rPr>
      <w:sz w:val="20"/>
    </w:rPr>
  </w:style>
  <w:style w:type="character" w:customStyle="1" w:styleId="CommentTextChar">
    <w:name w:val="Comment Text Char"/>
    <w:link w:val="CommentText"/>
    <w:uiPriority w:val="99"/>
    <w:semiHidden/>
    <w:rsid w:val="00D33283"/>
    <w:rPr>
      <w:snapToGrid w:val="0"/>
      <w:kern w:val="28"/>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link w:val="FootnoteText"/>
    <w:uiPriority w:val="99"/>
    <w:locked/>
    <w:rsid w:val="00D33283"/>
  </w:style>
  <w:style w:type="paragraph" w:customStyle="1" w:styleId="Paranum0">
    <w:name w:val="Paranum"/>
    <w:basedOn w:val="Normal"/>
    <w:uiPriority w:val="99"/>
    <w:rsid w:val="00D33283"/>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8C4517"/>
    <w:rPr>
      <w:b/>
      <w:bCs/>
    </w:rPr>
  </w:style>
  <w:style w:type="character" w:customStyle="1" w:styleId="CommentSubjectChar">
    <w:name w:val="Comment Subject Char"/>
    <w:link w:val="CommentSubject"/>
    <w:uiPriority w:val="99"/>
    <w:semiHidden/>
    <w:rsid w:val="008C4517"/>
    <w:rPr>
      <w:b/>
      <w:bCs/>
      <w:snapToGrid w:val="0"/>
      <w:kern w:val="28"/>
    </w:rPr>
  </w:style>
  <w:style w:type="character" w:customStyle="1" w:styleId="UnresolvedMention">
    <w:name w:val="Unresolved Mention"/>
    <w:uiPriority w:val="99"/>
    <w:semiHidden/>
    <w:unhideWhenUsed/>
    <w:rsid w:val="004A1438"/>
    <w:rPr>
      <w:color w:val="605E5C"/>
      <w:shd w:val="clear" w:color="auto" w:fill="E1DFDD"/>
    </w:rPr>
  </w:style>
  <w:style w:type="paragraph" w:styleId="ListParagraph">
    <w:name w:val="List Paragraph"/>
    <w:basedOn w:val="Normal"/>
    <w:uiPriority w:val="34"/>
    <w:qFormat/>
    <w:rsid w:val="00C50E4C"/>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EB21FD"/>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D95953"/>
    <w:rPr>
      <w:snapToGrid w:val="0"/>
      <w:kern w:val="28"/>
      <w:sz w:val="22"/>
    </w:rPr>
  </w:style>
  <w:style w:type="character" w:styleId="FollowedHyperlink">
    <w:name w:val="FollowedHyperlink"/>
    <w:uiPriority w:val="99"/>
    <w:semiHidden/>
    <w:unhideWhenUsed/>
    <w:rsid w:val="00183C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