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671937" w:rsidP="00013A8B" w14:paraId="1E32FBDE" w14:textId="7B91DA8F">
      <w:pPr>
        <w:jc w:val="right"/>
        <w:rPr>
          <w:b/>
          <w:sz w:val="24"/>
          <w:szCs w:val="24"/>
        </w:rPr>
      </w:pPr>
      <w:r w:rsidRPr="00671937">
        <w:rPr>
          <w:b/>
          <w:sz w:val="24"/>
          <w:szCs w:val="24"/>
        </w:rPr>
        <w:t xml:space="preserve">DA </w:t>
      </w:r>
      <w:r w:rsidRPr="00671937" w:rsidR="00C31185">
        <w:rPr>
          <w:b/>
          <w:sz w:val="24"/>
          <w:szCs w:val="24"/>
        </w:rPr>
        <w:t>20</w:t>
      </w:r>
      <w:r w:rsidRPr="00671937" w:rsidR="00DB2D9A">
        <w:rPr>
          <w:b/>
          <w:sz w:val="24"/>
          <w:szCs w:val="24"/>
        </w:rPr>
        <w:t>-</w:t>
      </w:r>
      <w:r w:rsidR="00520D2C">
        <w:rPr>
          <w:b/>
          <w:sz w:val="24"/>
          <w:szCs w:val="24"/>
        </w:rPr>
        <w:t>705</w:t>
      </w:r>
    </w:p>
    <w:p w:rsidR="00013A8B" w:rsidRPr="00671937" w:rsidP="00013A8B" w14:paraId="24F525C7" w14:textId="57CB1FA8">
      <w:pPr>
        <w:spacing w:before="60"/>
        <w:jc w:val="right"/>
        <w:rPr>
          <w:b/>
          <w:sz w:val="24"/>
          <w:szCs w:val="24"/>
        </w:rPr>
      </w:pPr>
      <w:r w:rsidRPr="00671937">
        <w:rPr>
          <w:b/>
          <w:sz w:val="24"/>
          <w:szCs w:val="24"/>
        </w:rPr>
        <w:t xml:space="preserve">Released:  </w:t>
      </w:r>
      <w:r w:rsidRPr="00671937" w:rsidR="003E6172">
        <w:rPr>
          <w:b/>
          <w:sz w:val="24"/>
          <w:szCs w:val="24"/>
        </w:rPr>
        <w:t xml:space="preserve">July </w:t>
      </w:r>
      <w:r w:rsidR="00671937">
        <w:rPr>
          <w:b/>
          <w:sz w:val="24"/>
          <w:szCs w:val="24"/>
        </w:rPr>
        <w:t>2</w:t>
      </w:r>
      <w:r w:rsidRPr="00671937" w:rsidR="003E6172">
        <w:rPr>
          <w:b/>
          <w:sz w:val="24"/>
          <w:szCs w:val="24"/>
        </w:rPr>
        <w:t>, 2020</w:t>
      </w:r>
    </w:p>
    <w:p w:rsidR="00013A8B" w:rsidRPr="00671937" w:rsidP="00013A8B" w14:paraId="6BB70A9F" w14:textId="77777777">
      <w:pPr>
        <w:jc w:val="right"/>
        <w:rPr>
          <w:sz w:val="24"/>
          <w:szCs w:val="24"/>
        </w:rPr>
      </w:pPr>
    </w:p>
    <w:p w:rsidR="007B3733" w:rsidRPr="00671937" w:rsidP="00C31185" w14:paraId="681F72F7" w14:textId="67916336">
      <w:pPr>
        <w:jc w:val="center"/>
        <w:rPr>
          <w:b/>
          <w:bCs/>
          <w:caps/>
          <w:sz w:val="24"/>
          <w:szCs w:val="24"/>
        </w:rPr>
      </w:pPr>
      <w:bookmarkStart w:id="0" w:name="_Hlk36473603"/>
      <w:r w:rsidRPr="00671937">
        <w:rPr>
          <w:b/>
          <w:bCs/>
          <w:caps/>
          <w:sz w:val="24"/>
          <w:szCs w:val="24"/>
        </w:rPr>
        <w:t>WIRELINE COMPETITION</w:t>
      </w:r>
      <w:r w:rsidRPr="00671937" w:rsidR="00312DE0">
        <w:rPr>
          <w:b/>
          <w:bCs/>
          <w:caps/>
          <w:sz w:val="24"/>
          <w:szCs w:val="24"/>
        </w:rPr>
        <w:t xml:space="preserve"> BUREAU SEEKS COMMENT ON</w:t>
      </w:r>
      <w:r w:rsidRPr="00671937">
        <w:rPr>
          <w:b/>
          <w:bCs/>
          <w:caps/>
          <w:sz w:val="24"/>
          <w:szCs w:val="24"/>
        </w:rPr>
        <w:t xml:space="preserve"> </w:t>
      </w:r>
      <w:r w:rsidRPr="00671937" w:rsidR="00302E54">
        <w:rPr>
          <w:b/>
          <w:bCs/>
          <w:sz w:val="24"/>
          <w:szCs w:val="24"/>
        </w:rPr>
        <w:t xml:space="preserve">BLACKBURN TECHNOLOGIES II, LLC </w:t>
      </w:r>
      <w:r w:rsidRPr="00671937" w:rsidR="003E6172">
        <w:rPr>
          <w:b/>
          <w:bCs/>
          <w:caps/>
          <w:sz w:val="24"/>
          <w:szCs w:val="24"/>
        </w:rPr>
        <w:t>Petition for Waiver of Section 54.</w:t>
      </w:r>
      <w:r w:rsidRPr="00671937" w:rsidR="00302E54">
        <w:rPr>
          <w:b/>
          <w:bCs/>
          <w:caps/>
          <w:sz w:val="24"/>
          <w:szCs w:val="24"/>
        </w:rPr>
        <w:t>1505(</w:t>
      </w:r>
      <w:r w:rsidRPr="00671937" w:rsidR="00D47A1A">
        <w:rPr>
          <w:b/>
          <w:bCs/>
          <w:sz w:val="24"/>
          <w:szCs w:val="24"/>
        </w:rPr>
        <w:t>a</w:t>
      </w:r>
      <w:r w:rsidRPr="00671937" w:rsidR="00302E54">
        <w:rPr>
          <w:b/>
          <w:bCs/>
          <w:caps/>
          <w:sz w:val="24"/>
          <w:szCs w:val="24"/>
        </w:rPr>
        <w:t>)</w:t>
      </w:r>
      <w:r w:rsidRPr="00671937" w:rsidR="003E6172">
        <w:rPr>
          <w:b/>
          <w:bCs/>
          <w:caps/>
          <w:sz w:val="24"/>
          <w:szCs w:val="24"/>
        </w:rPr>
        <w:t xml:space="preserve"> of the Commission’s Rules</w:t>
      </w:r>
    </w:p>
    <w:bookmarkEnd w:id="0"/>
    <w:p w:rsidR="007B3733" w:rsidRPr="00302E54" w:rsidP="00013A8B" w14:paraId="198A5BA7" w14:textId="77777777">
      <w:pPr>
        <w:jc w:val="center"/>
        <w:rPr>
          <w:b/>
          <w:szCs w:val="22"/>
        </w:rPr>
      </w:pPr>
    </w:p>
    <w:p w:rsidR="00013A8B" w:rsidRPr="00302E54" w:rsidP="00013A8B" w14:paraId="6BEADB0D" w14:textId="0E55C255">
      <w:pPr>
        <w:jc w:val="center"/>
        <w:rPr>
          <w:b/>
          <w:szCs w:val="22"/>
        </w:rPr>
      </w:pPr>
      <w:r w:rsidRPr="00302E54">
        <w:rPr>
          <w:b/>
          <w:szCs w:val="22"/>
        </w:rPr>
        <w:t>W</w:t>
      </w:r>
      <w:r w:rsidRPr="00302E54" w:rsidR="00C31185">
        <w:rPr>
          <w:b/>
          <w:szCs w:val="22"/>
        </w:rPr>
        <w:t>C</w:t>
      </w:r>
      <w:r w:rsidRPr="00302E54">
        <w:rPr>
          <w:b/>
          <w:szCs w:val="22"/>
        </w:rPr>
        <w:t xml:space="preserve"> Docket No</w:t>
      </w:r>
      <w:r w:rsidRPr="00302E54" w:rsidR="00C37D85">
        <w:rPr>
          <w:b/>
          <w:szCs w:val="22"/>
        </w:rPr>
        <w:t>s</w:t>
      </w:r>
      <w:r w:rsidRPr="00302E54" w:rsidR="00C31185">
        <w:rPr>
          <w:b/>
          <w:szCs w:val="22"/>
        </w:rPr>
        <w:t>.</w:t>
      </w:r>
      <w:r w:rsidRPr="00302E54">
        <w:rPr>
          <w:b/>
          <w:szCs w:val="22"/>
        </w:rPr>
        <w:t xml:space="preserve"> </w:t>
      </w:r>
      <w:r w:rsidRPr="00302E54" w:rsidR="00C31185">
        <w:rPr>
          <w:b/>
          <w:szCs w:val="22"/>
        </w:rPr>
        <w:t>1</w:t>
      </w:r>
      <w:r w:rsidRPr="00302E54" w:rsidR="00302E54">
        <w:rPr>
          <w:b/>
          <w:szCs w:val="22"/>
        </w:rPr>
        <w:t>8-143</w:t>
      </w:r>
    </w:p>
    <w:p w:rsidR="00F96F63" w:rsidRPr="00302E54" w:rsidP="00F96F63" w14:paraId="2BE26335" w14:textId="77777777">
      <w:pPr>
        <w:rPr>
          <w:szCs w:val="22"/>
        </w:rPr>
      </w:pPr>
    </w:p>
    <w:p w:rsidR="007B3733" w:rsidRPr="00302E54" w:rsidP="00520D2C" w14:paraId="2704A7DF" w14:textId="257AAAA5">
      <w:pPr>
        <w:widowControl/>
        <w:tabs>
          <w:tab w:val="left" w:pos="5970"/>
        </w:tabs>
        <w:spacing w:after="120" w:line="259" w:lineRule="auto"/>
        <w:rPr>
          <w:rFonts w:eastAsia="Calibri"/>
          <w:b/>
          <w:snapToGrid/>
          <w:kern w:val="0"/>
          <w:szCs w:val="22"/>
        </w:rPr>
      </w:pPr>
      <w:r w:rsidRPr="00302E54">
        <w:rPr>
          <w:rFonts w:eastAsia="Calibri"/>
          <w:b/>
          <w:snapToGrid/>
          <w:kern w:val="0"/>
          <w:szCs w:val="22"/>
        </w:rPr>
        <w:t>Comment</w:t>
      </w:r>
      <w:r w:rsidRPr="00302E54" w:rsidR="00E64D5E">
        <w:rPr>
          <w:rFonts w:eastAsia="Calibri"/>
          <w:b/>
          <w:snapToGrid/>
          <w:kern w:val="0"/>
          <w:szCs w:val="22"/>
        </w:rPr>
        <w:t xml:space="preserve"> Date</w:t>
      </w:r>
      <w:r w:rsidRPr="00302E54">
        <w:rPr>
          <w:rFonts w:eastAsia="Calibri"/>
          <w:b/>
          <w:snapToGrid/>
          <w:kern w:val="0"/>
          <w:szCs w:val="22"/>
        </w:rPr>
        <w:t xml:space="preserve">: </w:t>
      </w:r>
      <w:r w:rsidRPr="00302E54" w:rsidR="00CE064B">
        <w:rPr>
          <w:rFonts w:eastAsia="Calibri"/>
          <w:b/>
          <w:snapToGrid/>
          <w:kern w:val="0"/>
          <w:szCs w:val="22"/>
        </w:rPr>
        <w:t xml:space="preserve"> </w:t>
      </w:r>
      <w:r w:rsidR="00671937">
        <w:rPr>
          <w:rFonts w:eastAsia="Calibri"/>
          <w:b/>
          <w:snapToGrid/>
          <w:kern w:val="0"/>
          <w:szCs w:val="22"/>
        </w:rPr>
        <w:t>July 13, 2020</w:t>
      </w:r>
      <w:r w:rsidR="00520D2C">
        <w:rPr>
          <w:rFonts w:eastAsia="Calibri"/>
          <w:b/>
          <w:snapToGrid/>
          <w:kern w:val="0"/>
          <w:szCs w:val="22"/>
        </w:rPr>
        <w:tab/>
      </w:r>
      <w:bookmarkStart w:id="1" w:name="_GoBack"/>
      <w:bookmarkEnd w:id="1"/>
    </w:p>
    <w:p w:rsidR="003E6172" w:rsidP="00520D2C" w14:paraId="7F7FE3FB" w14:textId="45F13F66">
      <w:pPr>
        <w:widowControl/>
        <w:spacing w:after="120" w:line="259" w:lineRule="auto"/>
        <w:ind w:firstLine="720"/>
        <w:rPr>
          <w:rFonts w:eastAsia="Calibri"/>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 xml:space="preserve">Bureau </w:t>
      </w:r>
      <w:r>
        <w:rPr>
          <w:rFonts w:eastAsia="Calibri"/>
          <w:snapToGrid/>
          <w:kern w:val="0"/>
          <w:szCs w:val="22"/>
        </w:rPr>
        <w:t>(Bureau</w:t>
      </w:r>
      <w:bookmarkStart w:id="2" w:name="_Hlk44574065"/>
      <w:r>
        <w:rPr>
          <w:rFonts w:eastAsia="Calibri"/>
          <w:snapToGrid/>
          <w:kern w:val="0"/>
          <w:szCs w:val="22"/>
        </w:rPr>
        <w:t xml:space="preserve">) </w:t>
      </w:r>
      <w:r w:rsidRPr="00CF4E84">
        <w:rPr>
          <w:rFonts w:eastAsia="Calibri"/>
          <w:snapToGrid/>
          <w:kern w:val="0"/>
          <w:szCs w:val="22"/>
        </w:rPr>
        <w:t>seeks comment on a </w:t>
      </w:r>
      <w:r w:rsidR="00C37D85">
        <w:rPr>
          <w:rFonts w:eastAsia="Calibri"/>
          <w:snapToGrid/>
          <w:kern w:val="0"/>
          <w:szCs w:val="22"/>
        </w:rPr>
        <w:t>r</w:t>
      </w:r>
      <w:r w:rsidRPr="00CF4E84" w:rsidR="009C4663">
        <w:rPr>
          <w:rFonts w:eastAsia="Calibri"/>
          <w:snapToGrid/>
          <w:kern w:val="0"/>
          <w:szCs w:val="22"/>
        </w:rPr>
        <w:t xml:space="preserve">equest </w:t>
      </w:r>
      <w:r w:rsidRPr="00CF4E84">
        <w:rPr>
          <w:rFonts w:eastAsia="Calibri"/>
          <w:snapToGrid/>
          <w:kern w:val="0"/>
          <w:szCs w:val="22"/>
        </w:rPr>
        <w:t xml:space="preserve">filed </w:t>
      </w:r>
      <w:r w:rsidR="00D371AF">
        <w:rPr>
          <w:rFonts w:eastAsia="Calibri"/>
          <w:snapToGrid/>
          <w:kern w:val="0"/>
          <w:szCs w:val="22"/>
        </w:rPr>
        <w:t xml:space="preserve">by </w:t>
      </w:r>
      <w:r w:rsidR="00302E54">
        <w:t xml:space="preserve">Blackburn Technologies II, LLC seeking </w:t>
      </w:r>
      <w:r w:rsidRPr="005951F3" w:rsidR="00302E54">
        <w:t xml:space="preserve">waiver of Section 54.1505(a) of the </w:t>
      </w:r>
      <w:r w:rsidR="00257D52">
        <w:t xml:space="preserve">Commission’s </w:t>
      </w:r>
      <w:r w:rsidRPr="005951F3" w:rsidR="00302E54">
        <w:t>rules</w:t>
      </w:r>
      <w:r w:rsidR="00257D52">
        <w:t xml:space="preserve"> </w:t>
      </w:r>
      <w:r w:rsidRPr="005951F3" w:rsidR="00302E54">
        <w:t xml:space="preserve">to </w:t>
      </w:r>
      <w:bookmarkStart w:id="3" w:name="_Hlk44573174"/>
      <w:r w:rsidRPr="005951F3" w:rsidR="00302E54">
        <w:t xml:space="preserve">enable </w:t>
      </w:r>
      <w:r w:rsidR="00257D52">
        <w:t>Blackburn</w:t>
      </w:r>
      <w:r w:rsidRPr="005951F3" w:rsidR="00302E54">
        <w:t xml:space="preserve"> to establish eligibility </w:t>
      </w:r>
      <w:bookmarkEnd w:id="3"/>
      <w:r w:rsidRPr="005951F3" w:rsidR="00302E54">
        <w:t xml:space="preserve">to participate in the upcoming competitive proposal process for Stage 2 </w:t>
      </w:r>
      <w:r w:rsidR="00257D52">
        <w:t xml:space="preserve">fixed </w:t>
      </w:r>
      <w:r w:rsidRPr="005951F3" w:rsidR="00302E54">
        <w:t xml:space="preserve">support from the </w:t>
      </w:r>
      <w:r w:rsidRPr="005951F3" w:rsidR="00302E54">
        <w:t>Uniendo</w:t>
      </w:r>
      <w:r w:rsidRPr="005951F3" w:rsidR="00302E54">
        <w:t xml:space="preserve"> a Puerto Rico Fund</w:t>
      </w:r>
      <w:bookmarkEnd w:id="2"/>
      <w:r>
        <w:rPr>
          <w:rFonts w:eastAsia="Calibri"/>
          <w:snapToGrid/>
          <w:kern w:val="0"/>
          <w:szCs w:val="22"/>
        </w:rPr>
        <w:t>.</w:t>
      </w:r>
      <w:r>
        <w:rPr>
          <w:rStyle w:val="FootnoteReference"/>
          <w:rFonts w:eastAsia="Calibri"/>
          <w:snapToGrid/>
          <w:kern w:val="0"/>
          <w:szCs w:val="22"/>
        </w:rPr>
        <w:footnoteReference w:id="3"/>
      </w:r>
      <w:r>
        <w:rPr>
          <w:rFonts w:eastAsia="Calibri"/>
          <w:snapToGrid/>
          <w:kern w:val="0"/>
          <w:szCs w:val="22"/>
        </w:rPr>
        <w:t xml:space="preserve"> </w:t>
      </w:r>
    </w:p>
    <w:p w:rsidR="007772F8" w:rsidRPr="00D51422" w:rsidP="007772F8" w14:paraId="685A1F2C" w14:textId="3EA9DB59">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C37D85">
        <w:rPr>
          <w:b/>
          <w:bCs/>
          <w:iCs/>
        </w:rPr>
        <w:t>s</w:t>
      </w:r>
      <w:r w:rsidRPr="006B2F03">
        <w:rPr>
          <w:b/>
          <w:bCs/>
          <w:iCs/>
        </w:rPr>
        <w:t>. 1</w:t>
      </w:r>
      <w:r w:rsidR="00257D52">
        <w:rPr>
          <w:b/>
          <w:bCs/>
          <w:iCs/>
        </w:rPr>
        <w:t>8-143</w:t>
      </w:r>
      <w:r w:rsidRPr="00D51422">
        <w:rPr>
          <w:iCs/>
        </w:rPr>
        <w:t>.</w:t>
      </w:r>
      <w:r>
        <w:rPr>
          <w:rStyle w:val="FootnoteReference"/>
          <w:iCs/>
          <w:szCs w:val="22"/>
        </w:rPr>
        <w:footnoteReference w:id="5"/>
      </w:r>
      <w:r w:rsidR="00A84848">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7772F8" w:rsidRPr="00671937" w:rsidP="007772F8" w14:paraId="646AD916" w14:textId="5DD46A3C">
      <w:pPr>
        <w:numPr>
          <w:ilvl w:val="0"/>
          <w:numId w:val="7"/>
        </w:numPr>
        <w:spacing w:after="120"/>
        <w:rPr>
          <w:szCs w:val="22"/>
        </w:rPr>
      </w:pPr>
      <w:r w:rsidRPr="00671937">
        <w:rPr>
          <w:szCs w:val="22"/>
        </w:rPr>
        <w:t xml:space="preserve">Electronic Filers:  Comments may be filed electronically using the Commission’s online Electronic Comment Filing System (ECFS):  </w:t>
      </w:r>
      <w:r w:rsidRPr="00671937">
        <w:rPr>
          <w:color w:val="0000FF"/>
          <w:szCs w:val="22"/>
          <w:u w:val="single"/>
        </w:rPr>
        <w:t>https://www.fcc.gov/ecfs/</w:t>
      </w:r>
      <w:r w:rsidRPr="00671937">
        <w:rPr>
          <w:szCs w:val="22"/>
        </w:rPr>
        <w:t xml:space="preserve">.  </w:t>
      </w:r>
    </w:p>
    <w:p w:rsidR="00EF3AF2" w:rsidRPr="00671937" w:rsidP="007772F8" w14:paraId="38FC7489" w14:textId="7F0B9FEF">
      <w:pPr>
        <w:numPr>
          <w:ilvl w:val="0"/>
          <w:numId w:val="7"/>
        </w:numPr>
        <w:spacing w:after="120"/>
        <w:rPr>
          <w:szCs w:val="22"/>
        </w:rPr>
      </w:pPr>
      <w:r w:rsidRPr="0067193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F3AF2" w:rsidRPr="00671937" w:rsidP="007772F8" w14:paraId="7C0398E5" w14:textId="788C8C93">
      <w:pPr>
        <w:numPr>
          <w:ilvl w:val="0"/>
          <w:numId w:val="7"/>
        </w:numPr>
        <w:spacing w:after="120"/>
        <w:rPr>
          <w:szCs w:val="22"/>
        </w:rPr>
      </w:pPr>
      <w:r w:rsidRPr="00671937">
        <w:rPr>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EF3AF2" w:rsidRPr="00671937" w:rsidP="00EF3AF2" w14:paraId="7EAEAB38" w14:textId="77777777">
      <w:pPr>
        <w:pStyle w:val="ListParagraph"/>
        <w:numPr>
          <w:ilvl w:val="0"/>
          <w:numId w:val="7"/>
        </w:numPr>
        <w:rPr>
          <w:szCs w:val="22"/>
        </w:rPr>
      </w:pPr>
      <w:r w:rsidRPr="00671937">
        <w:rPr>
          <w:szCs w:val="22"/>
        </w:rPr>
        <w:t>Commercial overnight mail (other than U.S. Postal Service Express Mail and Priority Mail) must be sent to 9050 Junction Drive, Annapolis Junction, MD 20701.U.S. Postal Service first-class, Express, and Priority mail must be addressed to 445 12th Street, SW, Washington DC  20554</w:t>
      </w:r>
    </w:p>
    <w:p w:rsidR="00EF3AF2" w:rsidRPr="00671937" w:rsidP="00EF3AF2" w14:paraId="0DEB79F5" w14:textId="77777777">
      <w:pPr>
        <w:pStyle w:val="ListParagraph"/>
        <w:rPr>
          <w:szCs w:val="22"/>
        </w:rPr>
      </w:pPr>
    </w:p>
    <w:p w:rsidR="00EF3AF2" w:rsidRPr="00520D2C" w:rsidP="00520D2C" w14:paraId="3FE60440" w14:textId="5AAE8025">
      <w:pPr>
        <w:pStyle w:val="ListParagraph"/>
        <w:widowControl/>
        <w:numPr>
          <w:ilvl w:val="0"/>
          <w:numId w:val="7"/>
        </w:numPr>
        <w:spacing w:after="120"/>
        <w:contextualSpacing w:val="0"/>
        <w:rPr>
          <w:szCs w:val="22"/>
        </w:rPr>
      </w:pPr>
      <w:r w:rsidRPr="00671937">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671937">
        <w:rPr>
          <w:szCs w:val="22"/>
        </w:rPr>
        <w:t xml:space="preserve"> </w:t>
      </w:r>
      <w:r w:rsidRPr="00671937" w:rsidR="00520D2C">
        <w:rPr>
          <w:szCs w:val="22"/>
        </w:rPr>
        <w:t xml:space="preserve"> </w:t>
      </w:r>
    </w:p>
    <w:p w:rsidR="007772F8" w:rsidRPr="00D51422" w:rsidP="00520D2C" w14:paraId="7AFA18D2" w14:textId="16DD3925">
      <w:pPr>
        <w:pStyle w:val="ParaNum"/>
        <w:numPr>
          <w:ilvl w:val="0"/>
          <w:numId w:val="0"/>
        </w:numPr>
        <w:ind w:firstLine="720"/>
      </w:pPr>
      <w:r w:rsidRPr="00D51422">
        <w:rPr>
          <w:i/>
        </w:rPr>
        <w:t xml:space="preserve">Ex </w:t>
      </w:r>
      <w:r w:rsidRPr="00D51422">
        <w:rPr>
          <w:i/>
        </w:rPr>
        <w:t>Parte</w:t>
      </w:r>
      <w:r w:rsidRPr="00D51422">
        <w:rPr>
          <w:i/>
        </w:rPr>
        <w:t xml:space="preserve"> Rules</w:t>
      </w:r>
      <w:r w:rsidRPr="00D51422">
        <w:t>.  Th</w:t>
      </w:r>
      <w:r>
        <w:t>is</w:t>
      </w:r>
      <w:r w:rsidRPr="00D51422">
        <w:t xml:space="preserve"> proceeding shall be treated as a “permit-but-disclose” proceeding in accordance with the Commission’s </w:t>
      </w:r>
      <w:r w:rsidRPr="00D51422">
        <w:rPr>
          <w:i/>
          <w:iCs/>
        </w:rPr>
        <w:t xml:space="preserve">ex </w:t>
      </w:r>
      <w:r w:rsidRPr="00D51422">
        <w:rPr>
          <w:i/>
          <w:iCs/>
        </w:rPr>
        <w:t>parte</w:t>
      </w:r>
      <w:r w:rsidRPr="00D51422">
        <w:rPr>
          <w:i/>
          <w:iCs/>
        </w:rPr>
        <w:t xml:space="preserve"> </w:t>
      </w:r>
      <w:r w:rsidRPr="00D51422">
        <w:t>rules.</w:t>
      </w:r>
      <w:r>
        <w:rPr>
          <w:sz w:val="20"/>
          <w:vertAlign w:val="superscript"/>
        </w:rPr>
        <w:footnoteReference w:id="8"/>
      </w:r>
      <w:r w:rsidRPr="00D51422">
        <w:t xml:space="preserve">  Persons making </w:t>
      </w:r>
      <w:r w:rsidRPr="00D51422">
        <w:rPr>
          <w:i/>
        </w:rPr>
        <w:t xml:space="preserve">ex </w:t>
      </w:r>
      <w:r w:rsidRPr="00D51422">
        <w:rPr>
          <w:i/>
        </w:rPr>
        <w:t>parte</w:t>
      </w:r>
      <w:r w:rsidRPr="00D51422">
        <w:rPr>
          <w:i/>
        </w:rPr>
        <w:t xml:space="preserv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w:t>
      </w:r>
      <w:r w:rsidRPr="00D51422">
        <w:rPr>
          <w:i/>
          <w:iCs/>
        </w:rPr>
        <w:t>parte</w:t>
      </w:r>
      <w:r w:rsidRPr="00D51422">
        <w:rPr>
          <w:i/>
          <w:iCs/>
        </w:rPr>
        <w:t xml:space="preserve"> </w:t>
      </w:r>
      <w:r w:rsidRPr="00D51422">
        <w:t xml:space="preserve">presentations are reminded that memoranda summarizing the presentation must (1) list all persons attending or otherwise participating in the meeting at which the </w:t>
      </w:r>
      <w:r w:rsidRPr="00D51422">
        <w:rPr>
          <w:i/>
          <w:iCs/>
        </w:rPr>
        <w:t xml:space="preserve">ex </w:t>
      </w:r>
      <w:r w:rsidRPr="00D51422">
        <w:rPr>
          <w:i/>
          <w:iCs/>
        </w:rPr>
        <w:t>parte</w:t>
      </w:r>
      <w:r w:rsidRPr="00D51422">
        <w:rPr>
          <w:i/>
          <w:iCs/>
        </w:rPr>
        <w:t xml:space="preserv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w:t>
      </w:r>
      <w:r w:rsidRPr="00D51422">
        <w:rPr>
          <w:i/>
          <w:iCs/>
        </w:rPr>
        <w:t>parte</w:t>
      </w:r>
      <w:r w:rsidRPr="00D51422">
        <w:rPr>
          <w:i/>
          <w:iCs/>
        </w:rPr>
        <w:t xml:space="preserve"> </w:t>
      </w:r>
      <w:r w:rsidRPr="00D51422">
        <w:t xml:space="preserve">meetings are deemed to be written </w:t>
      </w:r>
      <w:r w:rsidRPr="00D51422">
        <w:rPr>
          <w:i/>
          <w:iCs/>
        </w:rPr>
        <w:t xml:space="preserve">ex </w:t>
      </w:r>
      <w:r w:rsidRPr="00D51422">
        <w:rPr>
          <w:i/>
          <w:iCs/>
        </w:rPr>
        <w:t>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w:t>
      </w:r>
      <w:r w:rsidRPr="00D51422">
        <w:rPr>
          <w:i/>
          <w:iCs/>
        </w:rPr>
        <w:t>parte</w:t>
      </w:r>
      <w:r w:rsidRPr="00D51422">
        <w:rPr>
          <w:i/>
          <w:iCs/>
        </w:rPr>
        <w:t xml:space="preserve"> </w:t>
      </w:r>
      <w:r w:rsidRPr="00D51422">
        <w:t xml:space="preserve">presentations and memoranda summarizing oral </w:t>
      </w:r>
      <w:r w:rsidRPr="00D51422">
        <w:rPr>
          <w:i/>
          <w:iCs/>
        </w:rPr>
        <w:t xml:space="preserve">ex </w:t>
      </w:r>
      <w:r w:rsidRPr="00D51422">
        <w:rPr>
          <w:i/>
          <w:iCs/>
        </w:rPr>
        <w:t>parte</w:t>
      </w:r>
      <w:r w:rsidRPr="00D51422">
        <w:rPr>
          <w:i/>
          <w:iCs/>
        </w:rPr>
        <w:t xml:space="preserv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w:t>
      </w:r>
      <w:r w:rsidRPr="00D51422">
        <w:rPr>
          <w:i/>
          <w:iCs/>
        </w:rPr>
        <w:t>parte</w:t>
      </w:r>
      <w:r w:rsidRPr="00D51422">
        <w:rPr>
          <w:i/>
          <w:iCs/>
        </w:rPr>
        <w:t xml:space="preserve"> </w:t>
      </w:r>
      <w:r w:rsidRPr="00D51422">
        <w:t>rules.</w:t>
      </w:r>
    </w:p>
    <w:p w:rsidR="007772F8" w:rsidRPr="00D51422" w:rsidP="007772F8" w14:paraId="679725B3"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7B3733" w:rsidP="007772F8" w14:paraId="2C8E3625" w14:textId="169C7C39">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257D52">
        <w:t>Khoa Nguyen</w:t>
      </w:r>
      <w:r>
        <w:rPr>
          <w:rFonts w:eastAsia="Calibri"/>
          <w:snapToGrid/>
          <w:kern w:val="0"/>
          <w:szCs w:val="22"/>
        </w:rPr>
        <w:t>,</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sidR="00B67C17">
        <w:rPr>
          <w:rFonts w:eastAsia="Calibri"/>
          <w:snapToGrid/>
          <w:kern w:val="0"/>
          <w:szCs w:val="22"/>
        </w:rPr>
        <w:t>7</w:t>
      </w:r>
      <w:r w:rsidR="00257D52">
        <w:rPr>
          <w:rFonts w:eastAsia="Calibri"/>
          <w:snapToGrid/>
          <w:kern w:val="0"/>
          <w:szCs w:val="22"/>
        </w:rPr>
        <w:t>400</w:t>
      </w:r>
      <w:r w:rsidRPr="007B3733" w:rsidR="00312DE0">
        <w:rPr>
          <w:rFonts w:eastAsia="Calibri"/>
          <w:snapToGrid/>
          <w:kern w:val="0"/>
          <w:szCs w:val="22"/>
        </w:rPr>
        <w:t xml:space="preserve"> or </w:t>
      </w:r>
      <w:hyperlink r:id="rId5" w:history="1">
        <w:r w:rsidRPr="005A3E54" w:rsidR="00257D52">
          <w:rPr>
            <w:rStyle w:val="Hyperlink"/>
            <w:rFonts w:eastAsia="Calibri"/>
            <w:snapToGrid/>
            <w:kern w:val="0"/>
            <w:szCs w:val="22"/>
          </w:rPr>
          <w:t>Dangkhoa.Nguyen@fcc.gov</w:t>
        </w:r>
      </w:hyperlink>
      <w:r w:rsidRPr="007B3733" w:rsidR="00312DE0">
        <w:rPr>
          <w:rFonts w:eastAsia="Calibri"/>
          <w:snapToGrid/>
          <w:kern w:val="0"/>
          <w:szCs w:val="22"/>
        </w:rPr>
        <w:t>.</w:t>
      </w:r>
    </w:p>
    <w:p w:rsidR="007B3733" w:rsidRPr="007B3733" w:rsidP="007B3733" w14:paraId="66BFF56B"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6D36EAC0"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A71FE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2368E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556025"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B84C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45CA" w14:paraId="2568B868" w14:textId="77777777">
      <w:r>
        <w:separator/>
      </w:r>
    </w:p>
  </w:footnote>
  <w:footnote w:type="continuationSeparator" w:id="1">
    <w:p w:rsidR="002445CA" w:rsidRPr="009B3AB0" w:rsidP="009B3AB0" w14:paraId="22F25CB9" w14:textId="77777777">
      <w:pPr>
        <w:pStyle w:val="Footer"/>
      </w:pPr>
    </w:p>
  </w:footnote>
  <w:footnote w:type="continuationNotice" w:id="2">
    <w:p w:rsidR="002445CA" w:rsidRPr="007B3733" w:rsidP="007B3733" w14:paraId="7C311670" w14:textId="77777777">
      <w:pPr>
        <w:pStyle w:val="Footer"/>
      </w:pPr>
    </w:p>
  </w:footnote>
  <w:footnote w:id="3">
    <w:p w:rsidR="003E6172" w14:paraId="6F8E8FF7" w14:textId="3C437C2B">
      <w:pPr>
        <w:pStyle w:val="FootnoteText"/>
      </w:pPr>
      <w:r>
        <w:rPr>
          <w:rStyle w:val="FootnoteReference"/>
        </w:rPr>
        <w:footnoteRef/>
      </w:r>
      <w:r>
        <w:t xml:space="preserve"> </w:t>
      </w:r>
      <w:r w:rsidR="00302E54">
        <w:t>Blackburn Technologies II, LLC Request for Waiver</w:t>
      </w:r>
      <w:r>
        <w:t>, WC Docket No. 1</w:t>
      </w:r>
      <w:r w:rsidR="00302E54">
        <w:t>8-143</w:t>
      </w:r>
      <w:r>
        <w:t xml:space="preserve"> (June 2</w:t>
      </w:r>
      <w:r w:rsidR="00302E54">
        <w:t>9</w:t>
      </w:r>
      <w:r>
        <w:t xml:space="preserve">, 2020), </w:t>
      </w:r>
      <w:hyperlink r:id="rId1" w:history="1">
        <w:r w:rsidR="00302E54">
          <w:rPr>
            <w:rStyle w:val="Hyperlink"/>
          </w:rPr>
          <w:t>https://ecfsapi.fcc.gov/file/10630097515494/Blackburn%20Technologies%20II%20LLC%20-%20Request%20for%20Waiver%20of%20477%20Eligibility%20Requirement%20(Final).pdf</w:t>
        </w:r>
      </w:hyperlink>
      <w:r>
        <w:t>.</w:t>
      </w:r>
    </w:p>
  </w:footnote>
  <w:footnote w:id="4">
    <w:p w:rsidR="007772F8" w:rsidRPr="0087057A" w:rsidP="007772F8" w14:paraId="4B35FB0E" w14:textId="20B6CAD8">
      <w:pPr>
        <w:pStyle w:val="FootnoteText"/>
      </w:pPr>
      <w:r w:rsidRPr="0087057A">
        <w:rPr>
          <w:rStyle w:val="FootnoteReference"/>
          <w:sz w:val="20"/>
        </w:rPr>
        <w:footnoteRef/>
      </w:r>
      <w:r w:rsidRPr="0087057A">
        <w:t xml:space="preserve"> </w:t>
      </w:r>
      <w:r>
        <w:rPr>
          <w:i/>
          <w:iCs/>
        </w:rPr>
        <w:t xml:space="preserve">See </w:t>
      </w:r>
      <w:r w:rsidRPr="0087057A">
        <w:t>47 CFR §§ 1.</w:t>
      </w:r>
      <w:r w:rsidR="00A85181">
        <w:t xml:space="preserve">3 and </w:t>
      </w:r>
      <w:r w:rsidRPr="0087057A">
        <w:t>1.405.</w:t>
      </w:r>
    </w:p>
  </w:footnote>
  <w:footnote w:id="5">
    <w:p w:rsidR="007772F8" w:rsidP="007772F8" w14:paraId="70ED1988"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6">
    <w:p w:rsidR="007772F8" w:rsidRPr="0087057A" w:rsidP="007772F8" w14:paraId="52F96141"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671937" w14:paraId="7EE5C338" w14:textId="39F00195">
      <w:pPr>
        <w:pStyle w:val="FootnoteText"/>
      </w:pPr>
      <w:r w:rsidRPr="00671937">
        <w:rPr>
          <w:rStyle w:val="FootnoteReference"/>
          <w:sz w:val="20"/>
          <w:szCs w:val="18"/>
        </w:rPr>
        <w:footnoteRef/>
      </w:r>
      <w:r w:rsidRPr="00671937">
        <w:rPr>
          <w:sz w:val="18"/>
          <w:szCs w:val="18"/>
        </w:rPr>
        <w:t xml:space="preserve"> </w:t>
      </w:r>
      <w:r w:rsidRPr="00671937">
        <w:rPr>
          <w:i/>
          <w:iCs/>
        </w:rPr>
        <w:t>See</w:t>
      </w:r>
      <w:r w:rsidRPr="00671937">
        <w:t xml:space="preserve"> </w:t>
      </w:r>
      <w:r w:rsidRPr="00671937">
        <w:rPr>
          <w:i/>
          <w:iCs/>
        </w:rPr>
        <w:t>FCC Announces Closure of FCC Headquarters Open Window and Change in Hand-Delivery Policy</w:t>
      </w:r>
      <w:r w:rsidRPr="00671937">
        <w:t>, Public Notice,</w:t>
      </w:r>
      <w:r>
        <w:t xml:space="preserve"> </w:t>
      </w:r>
      <w:r w:rsidRPr="00671937">
        <w:t>35 FCC Rcd 2788 (</w:t>
      </w:r>
      <w:r>
        <w:t>OMD</w:t>
      </w:r>
      <w:r w:rsidRPr="00671937">
        <w:t xml:space="preserve"> 2020).</w:t>
      </w:r>
    </w:p>
  </w:footnote>
  <w:footnote w:id="8">
    <w:p w:rsidR="007772F8" w:rsidRPr="0087057A" w:rsidP="007772F8" w14:paraId="6E49B642"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A5707A" w14:textId="1E3D9C7B">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520D2C">
      <w:rPr>
        <w:b/>
      </w:rPr>
      <w:t>705</w:t>
    </w:r>
  </w:p>
  <w:p w:rsidR="009838BC" w:rsidRPr="00B62DE9" w:rsidP="00B62DE9" w14:paraId="37D8EBE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5392F7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3BFC460" w14:textId="77777777">
                    <w:pPr>
                      <w:rPr>
                        <w:rFonts w:ascii="Arial" w:hAnsi="Arial"/>
                        <w:b/>
                      </w:rPr>
                    </w:pPr>
                    <w:r>
                      <w:rPr>
                        <w:rFonts w:ascii="Arial" w:hAnsi="Arial"/>
                        <w:b/>
                      </w:rPr>
                      <w:t>Federal Communications Commission</w:t>
                    </w:r>
                  </w:p>
                  <w:p w:rsidR="009838BC" w:rsidP="009838BC" w14:paraId="0EDD65B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E93612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DDEFF9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692595E" w14:textId="77777777">
                    <w:pPr>
                      <w:spacing w:before="40"/>
                      <w:jc w:val="right"/>
                      <w:rPr>
                        <w:rFonts w:ascii="Arial" w:hAnsi="Arial"/>
                        <w:b/>
                        <w:sz w:val="16"/>
                      </w:rPr>
                    </w:pPr>
                    <w:r>
                      <w:rPr>
                        <w:rFonts w:ascii="Arial" w:hAnsi="Arial"/>
                        <w:b/>
                        <w:sz w:val="16"/>
                      </w:rPr>
                      <w:t>News Media Information 202 / 418-0500</w:t>
                    </w:r>
                  </w:p>
                  <w:p w:rsidR="009838BC" w:rsidP="009838BC" w14:paraId="277B49D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FCD472D" w14:textId="77777777">
                    <w:pPr>
                      <w:jc w:val="right"/>
                    </w:pPr>
                    <w:r>
                      <w:rPr>
                        <w:rFonts w:ascii="Arial" w:hAnsi="Arial"/>
                        <w:b/>
                        <w:sz w:val="16"/>
                      </w:rPr>
                      <w:t>TTY: 1-888-835-5322</w:t>
                    </w:r>
                  </w:p>
                </w:txbxContent>
              </v:textbox>
            </v:shape>
          </w:pict>
        </mc:Fallback>
      </mc:AlternateContent>
    </w:r>
  </w:p>
  <w:p w:rsidR="006F7393" w:rsidRPr="009838BC" w:rsidP="009838BC" w14:paraId="3EFFF40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230B"/>
    <w:rsid w:val="00013A8B"/>
    <w:rsid w:val="00021445"/>
    <w:rsid w:val="00036039"/>
    <w:rsid w:val="00037F90"/>
    <w:rsid w:val="00080FFF"/>
    <w:rsid w:val="00084656"/>
    <w:rsid w:val="000875BF"/>
    <w:rsid w:val="00096D8C"/>
    <w:rsid w:val="00097A13"/>
    <w:rsid w:val="000A7CCA"/>
    <w:rsid w:val="000C0B65"/>
    <w:rsid w:val="000E3D42"/>
    <w:rsid w:val="000E5884"/>
    <w:rsid w:val="00122BD5"/>
    <w:rsid w:val="00142E4F"/>
    <w:rsid w:val="001979D9"/>
    <w:rsid w:val="001A13E2"/>
    <w:rsid w:val="001C3758"/>
    <w:rsid w:val="001D6BCF"/>
    <w:rsid w:val="001E01CA"/>
    <w:rsid w:val="002060D9"/>
    <w:rsid w:val="00226822"/>
    <w:rsid w:val="00233E21"/>
    <w:rsid w:val="002445CA"/>
    <w:rsid w:val="00257D52"/>
    <w:rsid w:val="00260594"/>
    <w:rsid w:val="00285017"/>
    <w:rsid w:val="002A2D2E"/>
    <w:rsid w:val="00302E54"/>
    <w:rsid w:val="00312DE0"/>
    <w:rsid w:val="00343749"/>
    <w:rsid w:val="00357D50"/>
    <w:rsid w:val="00362197"/>
    <w:rsid w:val="003925DC"/>
    <w:rsid w:val="003B0550"/>
    <w:rsid w:val="003B694F"/>
    <w:rsid w:val="003C1A2E"/>
    <w:rsid w:val="003D3AE8"/>
    <w:rsid w:val="003E6172"/>
    <w:rsid w:val="003F171C"/>
    <w:rsid w:val="004006B0"/>
    <w:rsid w:val="00412FC5"/>
    <w:rsid w:val="00415229"/>
    <w:rsid w:val="00422276"/>
    <w:rsid w:val="004242F1"/>
    <w:rsid w:val="00435308"/>
    <w:rsid w:val="00445A00"/>
    <w:rsid w:val="00450A87"/>
    <w:rsid w:val="00451B0F"/>
    <w:rsid w:val="0046125F"/>
    <w:rsid w:val="00487524"/>
    <w:rsid w:val="00496106"/>
    <w:rsid w:val="004C12D0"/>
    <w:rsid w:val="004C2EE3"/>
    <w:rsid w:val="004E2504"/>
    <w:rsid w:val="004E4A22"/>
    <w:rsid w:val="00511968"/>
    <w:rsid w:val="00517461"/>
    <w:rsid w:val="00520D2C"/>
    <w:rsid w:val="00521B31"/>
    <w:rsid w:val="0055614C"/>
    <w:rsid w:val="005951F3"/>
    <w:rsid w:val="005A3E54"/>
    <w:rsid w:val="00601D1F"/>
    <w:rsid w:val="00607BA5"/>
    <w:rsid w:val="00626EB6"/>
    <w:rsid w:val="006353A3"/>
    <w:rsid w:val="00655D03"/>
    <w:rsid w:val="00671937"/>
    <w:rsid w:val="00682D4C"/>
    <w:rsid w:val="00683F84"/>
    <w:rsid w:val="00695DEE"/>
    <w:rsid w:val="006A6A81"/>
    <w:rsid w:val="006B13F3"/>
    <w:rsid w:val="006B2F03"/>
    <w:rsid w:val="006E26AF"/>
    <w:rsid w:val="006F7393"/>
    <w:rsid w:val="0070224F"/>
    <w:rsid w:val="007041A3"/>
    <w:rsid w:val="007115F7"/>
    <w:rsid w:val="00733AD3"/>
    <w:rsid w:val="007772F8"/>
    <w:rsid w:val="00785689"/>
    <w:rsid w:val="0079754B"/>
    <w:rsid w:val="007A1E6D"/>
    <w:rsid w:val="007B3733"/>
    <w:rsid w:val="007D5325"/>
    <w:rsid w:val="00822CE0"/>
    <w:rsid w:val="00837C62"/>
    <w:rsid w:val="00841AB1"/>
    <w:rsid w:val="0087057A"/>
    <w:rsid w:val="0087369A"/>
    <w:rsid w:val="00874F2B"/>
    <w:rsid w:val="008C22FD"/>
    <w:rsid w:val="00910F12"/>
    <w:rsid w:val="00926503"/>
    <w:rsid w:val="00930ECF"/>
    <w:rsid w:val="00982939"/>
    <w:rsid w:val="009838BC"/>
    <w:rsid w:val="009B3AB0"/>
    <w:rsid w:val="009C4663"/>
    <w:rsid w:val="00A36E1E"/>
    <w:rsid w:val="00A45F4F"/>
    <w:rsid w:val="00A600A9"/>
    <w:rsid w:val="00A84848"/>
    <w:rsid w:val="00A85181"/>
    <w:rsid w:val="00A866AC"/>
    <w:rsid w:val="00AA55B7"/>
    <w:rsid w:val="00AA5B9E"/>
    <w:rsid w:val="00AB2407"/>
    <w:rsid w:val="00AB2AB2"/>
    <w:rsid w:val="00AB53DF"/>
    <w:rsid w:val="00AE2784"/>
    <w:rsid w:val="00B07E5C"/>
    <w:rsid w:val="00B20363"/>
    <w:rsid w:val="00B27FA8"/>
    <w:rsid w:val="00B326E3"/>
    <w:rsid w:val="00B375AB"/>
    <w:rsid w:val="00B62DE9"/>
    <w:rsid w:val="00B67C17"/>
    <w:rsid w:val="00B811F7"/>
    <w:rsid w:val="00BA5DC6"/>
    <w:rsid w:val="00BA6196"/>
    <w:rsid w:val="00BA7A44"/>
    <w:rsid w:val="00BC6D8C"/>
    <w:rsid w:val="00BD5BD2"/>
    <w:rsid w:val="00C04889"/>
    <w:rsid w:val="00C16AF2"/>
    <w:rsid w:val="00C31185"/>
    <w:rsid w:val="00C34006"/>
    <w:rsid w:val="00C37D85"/>
    <w:rsid w:val="00C426B1"/>
    <w:rsid w:val="00C7023C"/>
    <w:rsid w:val="00C821BB"/>
    <w:rsid w:val="00C82B6B"/>
    <w:rsid w:val="00C90D6A"/>
    <w:rsid w:val="00CC32FF"/>
    <w:rsid w:val="00CC487C"/>
    <w:rsid w:val="00CC72B6"/>
    <w:rsid w:val="00CE064B"/>
    <w:rsid w:val="00CF4E84"/>
    <w:rsid w:val="00D0218D"/>
    <w:rsid w:val="00D216CD"/>
    <w:rsid w:val="00D371AF"/>
    <w:rsid w:val="00D47A1A"/>
    <w:rsid w:val="00D51422"/>
    <w:rsid w:val="00DA2529"/>
    <w:rsid w:val="00DB130A"/>
    <w:rsid w:val="00DB2D9A"/>
    <w:rsid w:val="00DC10A1"/>
    <w:rsid w:val="00DC655F"/>
    <w:rsid w:val="00DD7EBD"/>
    <w:rsid w:val="00DE158A"/>
    <w:rsid w:val="00DF62B6"/>
    <w:rsid w:val="00E07225"/>
    <w:rsid w:val="00E155B7"/>
    <w:rsid w:val="00E23F7F"/>
    <w:rsid w:val="00E475F2"/>
    <w:rsid w:val="00E5409F"/>
    <w:rsid w:val="00E64D5E"/>
    <w:rsid w:val="00EC0185"/>
    <w:rsid w:val="00EF3AF2"/>
    <w:rsid w:val="00F021FA"/>
    <w:rsid w:val="00F57ACA"/>
    <w:rsid w:val="00F62E97"/>
    <w:rsid w:val="00F64209"/>
    <w:rsid w:val="00F70A3B"/>
    <w:rsid w:val="00F93BF5"/>
    <w:rsid w:val="00F96F63"/>
    <w:rsid w:val="00FF39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37"/>
    <w:pPr>
      <w:widowControl w:val="0"/>
    </w:pPr>
    <w:rPr>
      <w:snapToGrid w:val="0"/>
      <w:kern w:val="28"/>
      <w:sz w:val="22"/>
    </w:rPr>
  </w:style>
  <w:style w:type="paragraph" w:styleId="Heading1">
    <w:name w:val="heading 1"/>
    <w:basedOn w:val="Normal"/>
    <w:next w:val="ParaNum"/>
    <w:qFormat/>
    <w:rsid w:val="006719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71937"/>
    <w:pPr>
      <w:keepNext/>
      <w:numPr>
        <w:ilvl w:val="1"/>
        <w:numId w:val="3"/>
      </w:numPr>
      <w:spacing w:after="120"/>
      <w:outlineLvl w:val="1"/>
    </w:pPr>
    <w:rPr>
      <w:b/>
    </w:rPr>
  </w:style>
  <w:style w:type="paragraph" w:styleId="Heading3">
    <w:name w:val="heading 3"/>
    <w:basedOn w:val="Normal"/>
    <w:next w:val="ParaNum"/>
    <w:qFormat/>
    <w:rsid w:val="00671937"/>
    <w:pPr>
      <w:keepNext/>
      <w:numPr>
        <w:ilvl w:val="2"/>
        <w:numId w:val="3"/>
      </w:numPr>
      <w:tabs>
        <w:tab w:val="left" w:pos="2160"/>
      </w:tabs>
      <w:spacing w:after="120"/>
      <w:outlineLvl w:val="2"/>
    </w:pPr>
    <w:rPr>
      <w:b/>
    </w:rPr>
  </w:style>
  <w:style w:type="paragraph" w:styleId="Heading4">
    <w:name w:val="heading 4"/>
    <w:basedOn w:val="Normal"/>
    <w:next w:val="ParaNum"/>
    <w:qFormat/>
    <w:rsid w:val="00671937"/>
    <w:pPr>
      <w:keepNext/>
      <w:numPr>
        <w:ilvl w:val="3"/>
        <w:numId w:val="3"/>
      </w:numPr>
      <w:tabs>
        <w:tab w:val="left" w:pos="2880"/>
      </w:tabs>
      <w:spacing w:after="120"/>
      <w:outlineLvl w:val="3"/>
    </w:pPr>
    <w:rPr>
      <w:b/>
    </w:rPr>
  </w:style>
  <w:style w:type="paragraph" w:styleId="Heading5">
    <w:name w:val="heading 5"/>
    <w:basedOn w:val="Normal"/>
    <w:next w:val="ParaNum"/>
    <w:qFormat/>
    <w:rsid w:val="006719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71937"/>
    <w:pPr>
      <w:numPr>
        <w:ilvl w:val="5"/>
        <w:numId w:val="3"/>
      </w:numPr>
      <w:tabs>
        <w:tab w:val="left" w:pos="4320"/>
      </w:tabs>
      <w:spacing w:after="120"/>
      <w:outlineLvl w:val="5"/>
    </w:pPr>
    <w:rPr>
      <w:b/>
    </w:rPr>
  </w:style>
  <w:style w:type="paragraph" w:styleId="Heading7">
    <w:name w:val="heading 7"/>
    <w:basedOn w:val="Normal"/>
    <w:next w:val="ParaNum"/>
    <w:qFormat/>
    <w:rsid w:val="006719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719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719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719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71937"/>
  </w:style>
  <w:style w:type="paragraph" w:customStyle="1" w:styleId="ParaNum">
    <w:name w:val="ParaNum"/>
    <w:basedOn w:val="Normal"/>
    <w:rsid w:val="00671937"/>
    <w:pPr>
      <w:numPr>
        <w:numId w:val="2"/>
      </w:numPr>
      <w:tabs>
        <w:tab w:val="clear" w:pos="1080"/>
        <w:tab w:val="num" w:pos="1440"/>
      </w:tabs>
      <w:spacing w:after="120"/>
    </w:pPr>
  </w:style>
  <w:style w:type="paragraph" w:styleId="EndnoteText">
    <w:name w:val="endnote text"/>
    <w:basedOn w:val="Normal"/>
    <w:semiHidden/>
    <w:rsid w:val="00671937"/>
    <w:rPr>
      <w:sz w:val="20"/>
    </w:rPr>
  </w:style>
  <w:style w:type="character" w:styleId="EndnoteReference">
    <w:name w:val="endnote reference"/>
    <w:semiHidden/>
    <w:rsid w:val="00671937"/>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671937"/>
    <w:pPr>
      <w:spacing w:after="120"/>
    </w:pPr>
  </w:style>
  <w:style w:type="character" w:styleId="FootnoteReference">
    <w:name w:val="footnote reference"/>
    <w:rsid w:val="00671937"/>
    <w:rPr>
      <w:rFonts w:ascii="Times New Roman" w:hAnsi="Times New Roman"/>
      <w:dstrike w:val="0"/>
      <w:color w:val="auto"/>
      <w:sz w:val="22"/>
      <w:vertAlign w:val="superscript"/>
    </w:rPr>
  </w:style>
  <w:style w:type="paragraph" w:styleId="TOC1">
    <w:name w:val="toc 1"/>
    <w:basedOn w:val="Normal"/>
    <w:next w:val="Normal"/>
    <w:uiPriority w:val="39"/>
    <w:rsid w:val="006719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71937"/>
    <w:pPr>
      <w:tabs>
        <w:tab w:val="left" w:pos="720"/>
        <w:tab w:val="right" w:leader="dot" w:pos="9360"/>
      </w:tabs>
      <w:suppressAutoHyphens/>
      <w:ind w:left="720" w:right="720" w:hanging="360"/>
    </w:pPr>
    <w:rPr>
      <w:noProof/>
    </w:rPr>
  </w:style>
  <w:style w:type="paragraph" w:styleId="TOC3">
    <w:name w:val="toc 3"/>
    <w:basedOn w:val="Normal"/>
    <w:next w:val="Normal"/>
    <w:semiHidden/>
    <w:rsid w:val="006719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19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19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19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19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19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19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1937"/>
    <w:pPr>
      <w:tabs>
        <w:tab w:val="right" w:pos="9360"/>
      </w:tabs>
      <w:suppressAutoHyphens/>
    </w:pPr>
  </w:style>
  <w:style w:type="character" w:customStyle="1" w:styleId="EquationCaption">
    <w:name w:val="_Equation Caption"/>
    <w:rsid w:val="00671937"/>
  </w:style>
  <w:style w:type="paragraph" w:styleId="Header">
    <w:name w:val="header"/>
    <w:basedOn w:val="Normal"/>
    <w:autoRedefine/>
    <w:rsid w:val="0067193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71937"/>
    <w:pPr>
      <w:tabs>
        <w:tab w:val="center" w:pos="4320"/>
        <w:tab w:val="right" w:pos="8640"/>
      </w:tabs>
    </w:pPr>
  </w:style>
  <w:style w:type="character" w:styleId="PageNumber">
    <w:name w:val="page number"/>
    <w:basedOn w:val="DefaultParagraphFont"/>
    <w:rsid w:val="00671937"/>
  </w:style>
  <w:style w:type="paragraph" w:styleId="BlockText">
    <w:name w:val="Block Text"/>
    <w:basedOn w:val="Normal"/>
    <w:rsid w:val="00671937"/>
    <w:pPr>
      <w:spacing w:after="240"/>
      <w:ind w:left="1440" w:right="1440"/>
    </w:pPr>
  </w:style>
  <w:style w:type="paragraph" w:customStyle="1" w:styleId="Paratitle">
    <w:name w:val="Para title"/>
    <w:basedOn w:val="Normal"/>
    <w:rsid w:val="00671937"/>
    <w:pPr>
      <w:tabs>
        <w:tab w:val="center" w:pos="9270"/>
      </w:tabs>
      <w:spacing w:after="240"/>
    </w:pPr>
    <w:rPr>
      <w:spacing w:val="-2"/>
    </w:rPr>
  </w:style>
  <w:style w:type="paragraph" w:customStyle="1" w:styleId="Bullet">
    <w:name w:val="Bullet"/>
    <w:basedOn w:val="Normal"/>
    <w:rsid w:val="00671937"/>
    <w:pPr>
      <w:numPr>
        <w:numId w:val="1"/>
      </w:numPr>
      <w:tabs>
        <w:tab w:val="clear" w:pos="360"/>
        <w:tab w:val="left" w:pos="2160"/>
      </w:tabs>
      <w:spacing w:after="220"/>
      <w:ind w:left="2160" w:hanging="720"/>
    </w:pPr>
  </w:style>
  <w:style w:type="paragraph" w:customStyle="1" w:styleId="TableFormat">
    <w:name w:val="TableFormat"/>
    <w:basedOn w:val="Bullet"/>
    <w:rsid w:val="00671937"/>
    <w:pPr>
      <w:numPr>
        <w:numId w:val="0"/>
      </w:numPr>
      <w:tabs>
        <w:tab w:val="clear" w:pos="2160"/>
        <w:tab w:val="left" w:pos="5040"/>
      </w:tabs>
      <w:ind w:left="5040" w:hanging="3600"/>
    </w:pPr>
  </w:style>
  <w:style w:type="paragraph" w:customStyle="1" w:styleId="TOCTitle">
    <w:name w:val="TOC Title"/>
    <w:basedOn w:val="Normal"/>
    <w:rsid w:val="006719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1937"/>
    <w:pPr>
      <w:jc w:val="center"/>
    </w:pPr>
    <w:rPr>
      <w:rFonts w:ascii="Times New Roman Bold" w:hAnsi="Times New Roman Bold"/>
      <w:b/>
      <w:bCs/>
      <w:caps/>
      <w:szCs w:val="22"/>
    </w:rPr>
  </w:style>
  <w:style w:type="character" w:styleId="Hyperlink">
    <w:name w:val="Hyperlink"/>
    <w:rsid w:val="00671937"/>
    <w:rPr>
      <w:color w:val="0000FF"/>
      <w:u w:val="single"/>
    </w:rPr>
  </w:style>
  <w:style w:type="character" w:customStyle="1" w:styleId="FooterChar">
    <w:name w:val="Footer Char"/>
    <w:link w:val="Footer"/>
    <w:uiPriority w:val="99"/>
    <w:rsid w:val="00671937"/>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character" w:customStyle="1" w:styleId="UnresolvedMention3">
    <w:name w:val="Unresolved Mention3"/>
    <w:basedOn w:val="DefaultParagraphFont"/>
    <w:uiPriority w:val="99"/>
    <w:rsid w:val="00874F2B"/>
    <w:rPr>
      <w:color w:val="605E5C"/>
      <w:shd w:val="clear" w:color="auto" w:fill="E1DFDD"/>
    </w:rPr>
  </w:style>
  <w:style w:type="character" w:styleId="CommentReference">
    <w:name w:val="annotation reference"/>
    <w:basedOn w:val="DefaultParagraphFont"/>
    <w:uiPriority w:val="99"/>
    <w:semiHidden/>
    <w:unhideWhenUsed/>
    <w:rsid w:val="00B67C17"/>
    <w:rPr>
      <w:sz w:val="16"/>
      <w:szCs w:val="16"/>
    </w:rPr>
  </w:style>
  <w:style w:type="paragraph" w:styleId="CommentText">
    <w:name w:val="annotation text"/>
    <w:basedOn w:val="Normal"/>
    <w:link w:val="CommentTextChar"/>
    <w:uiPriority w:val="99"/>
    <w:semiHidden/>
    <w:unhideWhenUsed/>
    <w:rsid w:val="00B67C17"/>
    <w:rPr>
      <w:sz w:val="20"/>
    </w:rPr>
  </w:style>
  <w:style w:type="character" w:customStyle="1" w:styleId="CommentTextChar">
    <w:name w:val="Comment Text Char"/>
    <w:basedOn w:val="DefaultParagraphFont"/>
    <w:link w:val="CommentText"/>
    <w:uiPriority w:val="99"/>
    <w:semiHidden/>
    <w:rsid w:val="00B67C17"/>
    <w:rPr>
      <w:snapToGrid w:val="0"/>
      <w:kern w:val="28"/>
    </w:rPr>
  </w:style>
  <w:style w:type="paragraph" w:styleId="CommentSubject">
    <w:name w:val="annotation subject"/>
    <w:basedOn w:val="CommentText"/>
    <w:next w:val="CommentText"/>
    <w:link w:val="CommentSubjectChar"/>
    <w:uiPriority w:val="99"/>
    <w:semiHidden/>
    <w:unhideWhenUsed/>
    <w:rsid w:val="00B67C17"/>
    <w:rPr>
      <w:b/>
      <w:bCs/>
    </w:rPr>
  </w:style>
  <w:style w:type="character" w:customStyle="1" w:styleId="CommentSubjectChar">
    <w:name w:val="Comment Subject Char"/>
    <w:basedOn w:val="CommentTextChar"/>
    <w:link w:val="CommentSubject"/>
    <w:uiPriority w:val="99"/>
    <w:semiHidden/>
    <w:rsid w:val="00B67C17"/>
    <w:rPr>
      <w:b/>
      <w:bCs/>
      <w:snapToGrid w:val="0"/>
      <w:kern w:val="28"/>
    </w:rPr>
  </w:style>
  <w:style w:type="character" w:customStyle="1" w:styleId="UnresolvedMention">
    <w:name w:val="Unresolved Mention"/>
    <w:basedOn w:val="DefaultParagraphFont"/>
    <w:uiPriority w:val="99"/>
    <w:rsid w:val="003E6172"/>
    <w:rPr>
      <w:color w:val="605E5C"/>
      <w:shd w:val="clear" w:color="auto" w:fill="E1DFDD"/>
    </w:rPr>
  </w:style>
  <w:style w:type="paragraph" w:styleId="ListParagraph">
    <w:name w:val="List Paragraph"/>
    <w:basedOn w:val="Normal"/>
    <w:uiPriority w:val="34"/>
    <w:qFormat/>
    <w:rsid w:val="00EF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30097515494/Blackburn%20Technologies%20II%20LLC%20-%20Request%20for%20Waiver%20of%20477%20Eligibility%20Requirement%20(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