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AB696E" w14:paraId="785685FE" w14:textId="47042271">
      <w:pPr>
        <w:jc w:val="right"/>
        <w:rPr>
          <w:b/>
          <w:sz w:val="24"/>
        </w:rPr>
      </w:pPr>
      <w:r>
        <w:rPr>
          <w:b/>
          <w:sz w:val="24"/>
        </w:rPr>
        <w:t>DA 20-712</w:t>
      </w:r>
      <w:bookmarkStart w:id="0" w:name="_GoBack"/>
      <w:bookmarkEnd w:id="0"/>
    </w:p>
    <w:p w:rsidR="00013A8B" w:rsidRPr="00B20363" w:rsidP="00013A8B" w14:paraId="2A5F495A" w14:textId="489B46BE">
      <w:pPr>
        <w:spacing w:before="60"/>
        <w:jc w:val="right"/>
        <w:rPr>
          <w:b/>
          <w:sz w:val="24"/>
        </w:rPr>
      </w:pPr>
      <w:r>
        <w:rPr>
          <w:b/>
          <w:sz w:val="24"/>
        </w:rPr>
        <w:t xml:space="preserve">Released:  </w:t>
      </w:r>
      <w:r w:rsidR="00AB696E">
        <w:rPr>
          <w:b/>
          <w:sz w:val="24"/>
        </w:rPr>
        <w:t>July 6, 2020</w:t>
      </w:r>
    </w:p>
    <w:p w:rsidR="00013A8B" w:rsidP="00013A8B" w14:paraId="248DC0B6" w14:textId="77777777">
      <w:pPr>
        <w:jc w:val="right"/>
        <w:rPr>
          <w:sz w:val="24"/>
        </w:rPr>
      </w:pPr>
    </w:p>
    <w:p w:rsidR="00AB696E" w:rsidRPr="00C74DB3" w:rsidP="00AB696E" w14:paraId="3102C7B2" w14:textId="77777777">
      <w:pPr>
        <w:spacing w:after="120"/>
        <w:jc w:val="center"/>
        <w:rPr>
          <w:b/>
          <w:sz w:val="24"/>
          <w:szCs w:val="22"/>
        </w:rPr>
      </w:pPr>
      <w:bookmarkStart w:id="1" w:name="TOChere"/>
      <w:r w:rsidRPr="00C74DB3">
        <w:rPr>
          <w:b/>
          <w:sz w:val="24"/>
          <w:szCs w:val="22"/>
        </w:rPr>
        <w:t>WIRELINE COMPETITION BUREAU DIRECTS USAC TO FULLY FUND ELIGIBLE CATEGORY ONE AND CATEGORY TWO E-RATE REQUESTS</w:t>
      </w:r>
    </w:p>
    <w:p w:rsidR="00AB696E" w:rsidRPr="00AB696E" w:rsidP="00AB696E" w14:paraId="52B3D459" w14:textId="77777777">
      <w:pPr>
        <w:spacing w:after="120"/>
        <w:jc w:val="center"/>
        <w:rPr>
          <w:b/>
        </w:rPr>
      </w:pPr>
      <w:r w:rsidRPr="00AB696E">
        <w:rPr>
          <w:b/>
        </w:rPr>
        <w:t>CC Docket No. 02-6</w:t>
      </w:r>
    </w:p>
    <w:p w:rsidR="00AB696E" w:rsidP="00AB696E" w14:paraId="57E64E9F" w14:textId="77777777">
      <w:pPr>
        <w:spacing w:after="120"/>
        <w:ind w:firstLine="720"/>
        <w:rPr>
          <w:szCs w:val="22"/>
        </w:rPr>
      </w:pPr>
      <w:r w:rsidRPr="00143F15">
        <w:rPr>
          <w:szCs w:val="22"/>
        </w:rPr>
        <w:t xml:space="preserve">In this </w:t>
      </w:r>
      <w:r>
        <w:rPr>
          <w:szCs w:val="22"/>
        </w:rPr>
        <w:t>N</w:t>
      </w:r>
      <w:r w:rsidRPr="00143F15">
        <w:rPr>
          <w:szCs w:val="22"/>
        </w:rPr>
        <w:t xml:space="preserve">otice, the Wireline Competition Bureau </w:t>
      </w:r>
      <w:r>
        <w:rPr>
          <w:szCs w:val="22"/>
        </w:rPr>
        <w:t xml:space="preserve">(Bureau) </w:t>
      </w:r>
      <w:r w:rsidRPr="00143F15">
        <w:rPr>
          <w:szCs w:val="22"/>
        </w:rPr>
        <w:t xml:space="preserve">announces that there is </w:t>
      </w:r>
      <w:r w:rsidRPr="00143F15">
        <w:rPr>
          <w:szCs w:val="22"/>
        </w:rPr>
        <w:t>sufficient</w:t>
      </w:r>
      <w:r w:rsidRPr="00143F15">
        <w:rPr>
          <w:szCs w:val="22"/>
        </w:rPr>
        <w:t xml:space="preserve"> funding available to fully meet the Universal Service </w:t>
      </w:r>
      <w:r>
        <w:rPr>
          <w:szCs w:val="22"/>
        </w:rPr>
        <w:t xml:space="preserve">Administrative </w:t>
      </w:r>
      <w:r w:rsidRPr="00143F15">
        <w:rPr>
          <w:szCs w:val="22"/>
        </w:rPr>
        <w:t>Company’s (USAC) estimated demand for category</w:t>
      </w:r>
      <w:r>
        <w:rPr>
          <w:szCs w:val="22"/>
        </w:rPr>
        <w:t xml:space="preserve"> one and category two requests for E-Rate supported services for funding year 2020.</w:t>
      </w:r>
      <w:r>
        <w:rPr>
          <w:rStyle w:val="FootnoteReference"/>
          <w:szCs w:val="22"/>
        </w:rPr>
        <w:footnoteReference w:id="3"/>
      </w:r>
    </w:p>
    <w:p w:rsidR="00AB696E" w:rsidP="00AB696E" w14:paraId="39630001" w14:textId="77777777">
      <w:pPr>
        <w:autoSpaceDE w:val="0"/>
        <w:autoSpaceDN w:val="0"/>
        <w:adjustRightInd w:val="0"/>
        <w:spacing w:after="120"/>
        <w:ind w:firstLine="720"/>
        <w:rPr>
          <w:szCs w:val="22"/>
        </w:rPr>
      </w:pPr>
      <w:r>
        <w:rPr>
          <w:szCs w:val="22"/>
        </w:rPr>
        <w:t>On May 1, 2020, USAC submitted a demand estimate for the E-Rate program for funding year 2020.</w:t>
      </w:r>
      <w:r>
        <w:rPr>
          <w:rStyle w:val="FootnoteReference"/>
          <w:szCs w:val="22"/>
        </w:rPr>
        <w:footnoteReference w:id="4"/>
      </w:r>
      <w:r>
        <w:rPr>
          <w:szCs w:val="22"/>
        </w:rPr>
        <w:t xml:space="preserve">  It estimates the total demand for funding year 2020 will be $2.91</w:t>
      </w:r>
      <w:r>
        <w:t xml:space="preserve"> billion</w:t>
      </w:r>
      <w:r>
        <w:rPr>
          <w:szCs w:val="22"/>
        </w:rPr>
        <w:t xml:space="preserve">, which includes estimated demand for category one services of </w:t>
      </w:r>
      <w:r w:rsidRPr="00C21F94">
        <w:rPr>
          <w:szCs w:val="22"/>
        </w:rPr>
        <w:t>$</w:t>
      </w:r>
      <w:r>
        <w:rPr>
          <w:szCs w:val="22"/>
        </w:rPr>
        <w:t>1</w:t>
      </w:r>
      <w:r w:rsidRPr="00C21F94">
        <w:rPr>
          <w:szCs w:val="22"/>
        </w:rPr>
        <w:t>.</w:t>
      </w:r>
      <w:r>
        <w:rPr>
          <w:szCs w:val="22"/>
        </w:rPr>
        <w:t>74</w:t>
      </w:r>
      <w:r w:rsidRPr="00C21F94">
        <w:rPr>
          <w:szCs w:val="22"/>
        </w:rPr>
        <w:t xml:space="preserve"> </w:t>
      </w:r>
      <w:r>
        <w:rPr>
          <w:szCs w:val="22"/>
        </w:rPr>
        <w:t xml:space="preserve">billion and of </w:t>
      </w:r>
      <w:r w:rsidRPr="00F57746">
        <w:rPr>
          <w:szCs w:val="22"/>
        </w:rPr>
        <w:t>$</w:t>
      </w:r>
      <w:r>
        <w:rPr>
          <w:szCs w:val="22"/>
        </w:rPr>
        <w:t>1.17 billion for category two services.</w:t>
      </w:r>
      <w:r>
        <w:rPr>
          <w:rStyle w:val="FootnoteReference"/>
          <w:szCs w:val="22"/>
        </w:rPr>
        <w:footnoteReference w:id="5"/>
      </w:r>
      <w:r>
        <w:rPr>
          <w:szCs w:val="22"/>
        </w:rPr>
        <w:t xml:space="preserve"> </w:t>
      </w:r>
    </w:p>
    <w:p w:rsidR="00AB696E" w:rsidP="00AB696E" w14:paraId="260402D4" w14:textId="77777777">
      <w:pPr>
        <w:spacing w:after="120"/>
        <w:ind w:firstLine="720"/>
        <w:rPr>
          <w:szCs w:val="22"/>
        </w:rPr>
      </w:pPr>
      <w:r>
        <w:rPr>
          <w:szCs w:val="22"/>
        </w:rPr>
        <w:t>T</w:t>
      </w:r>
      <w:r w:rsidRPr="00081AD9">
        <w:rPr>
          <w:color w:val="010101"/>
          <w:szCs w:val="22"/>
        </w:rPr>
        <w:t>he Bureau announced that the E-</w:t>
      </w:r>
      <w:r>
        <w:rPr>
          <w:color w:val="010101"/>
          <w:szCs w:val="22"/>
        </w:rPr>
        <w:t>R</w:t>
      </w:r>
      <w:r w:rsidRPr="00081AD9">
        <w:rPr>
          <w:color w:val="010101"/>
          <w:szCs w:val="22"/>
        </w:rPr>
        <w:t xml:space="preserve">ate program funding cap for </w:t>
      </w:r>
      <w:r>
        <w:rPr>
          <w:color w:val="010101"/>
          <w:szCs w:val="22"/>
        </w:rPr>
        <w:t>f</w:t>
      </w:r>
      <w:r w:rsidRPr="00081AD9">
        <w:rPr>
          <w:color w:val="010101"/>
          <w:szCs w:val="22"/>
        </w:rPr>
        <w:t xml:space="preserve">unding </w:t>
      </w:r>
      <w:r>
        <w:rPr>
          <w:color w:val="010101"/>
          <w:szCs w:val="22"/>
        </w:rPr>
        <w:t>y</w:t>
      </w:r>
      <w:r w:rsidRPr="00081AD9">
        <w:rPr>
          <w:color w:val="010101"/>
          <w:szCs w:val="22"/>
        </w:rPr>
        <w:t xml:space="preserve">ear </w:t>
      </w:r>
      <w:r>
        <w:rPr>
          <w:color w:val="010101"/>
          <w:szCs w:val="22"/>
        </w:rPr>
        <w:t xml:space="preserve">2020 </w:t>
      </w:r>
      <w:r w:rsidRPr="00081AD9">
        <w:rPr>
          <w:color w:val="010101"/>
          <w:szCs w:val="22"/>
        </w:rPr>
        <w:t xml:space="preserve">is </w:t>
      </w:r>
      <w:r w:rsidRPr="009A52B6">
        <w:rPr>
          <w:szCs w:val="22"/>
        </w:rPr>
        <w:t>$</w:t>
      </w:r>
      <w:r w:rsidRPr="006C2DA2">
        <w:rPr>
          <w:szCs w:val="22"/>
        </w:rPr>
        <w:t>4</w:t>
      </w:r>
      <w:r>
        <w:rPr>
          <w:szCs w:val="22"/>
        </w:rPr>
        <w:t xml:space="preserve">.23 </w:t>
      </w:r>
      <w:r>
        <w:rPr>
          <w:color w:val="010101"/>
          <w:szCs w:val="22"/>
        </w:rPr>
        <w:t>billion.</w:t>
      </w:r>
      <w:r>
        <w:rPr>
          <w:rStyle w:val="FootnoteReference"/>
          <w:color w:val="010101"/>
          <w:szCs w:val="22"/>
        </w:rPr>
        <w:footnoteReference w:id="6"/>
      </w:r>
      <w:r>
        <w:rPr>
          <w:color w:val="010101"/>
          <w:szCs w:val="22"/>
        </w:rPr>
        <w:t xml:space="preserve">  Additionally, a</w:t>
      </w:r>
      <w:r>
        <w:rPr>
          <w:szCs w:val="22"/>
        </w:rPr>
        <w:t xml:space="preserve">ccording to USAC projections, $500 million in unused funds from previous years is </w:t>
      </w:r>
      <w:r w:rsidRPr="00CC09D9">
        <w:rPr>
          <w:szCs w:val="22"/>
        </w:rPr>
        <w:t xml:space="preserve">available for use in </w:t>
      </w:r>
      <w:r>
        <w:rPr>
          <w:szCs w:val="22"/>
        </w:rPr>
        <w:t>E-Rate funding year 2020</w:t>
      </w:r>
      <w:r w:rsidRPr="00CC09D9">
        <w:rPr>
          <w:szCs w:val="22"/>
        </w:rPr>
        <w:t>.</w:t>
      </w:r>
      <w:r>
        <w:rPr>
          <w:szCs w:val="22"/>
          <w:vertAlign w:val="superscript"/>
        </w:rPr>
        <w:footnoteReference w:id="7"/>
      </w:r>
      <w:r>
        <w:rPr>
          <w:szCs w:val="22"/>
        </w:rPr>
        <w:t xml:space="preserve">  </w:t>
      </w:r>
    </w:p>
    <w:p w:rsidR="00AB696E" w:rsidP="00AB696E" w14:paraId="02ED380A" w14:textId="77777777">
      <w:pPr>
        <w:widowControl/>
        <w:spacing w:after="120"/>
        <w:ind w:firstLine="720"/>
        <w:rPr>
          <w:szCs w:val="22"/>
        </w:rPr>
      </w:pPr>
      <w:r>
        <w:t xml:space="preserve">The </w:t>
      </w:r>
      <w:r>
        <w:rPr>
          <w:szCs w:val="22"/>
        </w:rPr>
        <w:t>Chief of the Bureau is delegated authority to determine the proportion of unused funds needed to meet category one demand and to direct USAC to use any remaining funds to provide category two support.</w:t>
      </w:r>
      <w:r>
        <w:rPr>
          <w:rStyle w:val="FootnoteReference"/>
          <w:szCs w:val="22"/>
        </w:rPr>
        <w:footnoteReference w:id="8"/>
      </w:r>
      <w:r>
        <w:rPr>
          <w:szCs w:val="22"/>
        </w:rPr>
        <w:t xml:space="preserve">  In light of the current funding cap of $4.23 billion and available carry forward funding of $500 million, there is sufficient funding to fully fund all category one and category two funding requests.  We therefore direct USAC to fully fund eligible category one and category two requests, using the $500 million in E-Rate funds unused from previous years, and any additional funds needed under the current cap to fully meet demand for such services.</w:t>
      </w:r>
    </w:p>
    <w:p w:rsidR="00AB696E" w:rsidP="00AB696E" w14:paraId="618B93E0" w14:textId="77777777">
      <w:pPr>
        <w:keepNext/>
        <w:keepLines/>
        <w:widowControl/>
        <w:ind w:firstLine="720"/>
      </w:pPr>
      <w:r>
        <w:t>For further information, please contact James Bachtell, Wireline Competition Bureau at (202) 418-7400 or TTY (202) 418-0484.</w:t>
      </w:r>
    </w:p>
    <w:p w:rsidR="00AB696E" w:rsidP="00AB696E" w14:paraId="42B4D3B7" w14:textId="77777777">
      <w:pPr>
        <w:pStyle w:val="Paranum0"/>
        <w:keepNext/>
        <w:keepLines/>
        <w:widowControl/>
        <w:numPr>
          <w:ilvl w:val="0"/>
          <w:numId w:val="0"/>
        </w:numPr>
        <w:spacing w:after="0"/>
        <w:jc w:val="center"/>
        <w:rPr>
          <w:sz w:val="24"/>
        </w:rPr>
      </w:pPr>
      <w:r>
        <w:rPr>
          <w:b/>
        </w:rPr>
        <w:t>- FCC -</w:t>
      </w:r>
    </w:p>
    <w:p w:rsidR="00F96F63" w:rsidRPr="00930ECF" w:rsidP="00F96F63" w14:paraId="542E5A51" w14:textId="77777777">
      <w:pPr>
        <w:rPr>
          <w:sz w:val="24"/>
        </w:rPr>
      </w:pPr>
    </w:p>
    <w:bookmarkEnd w:id="1"/>
    <w:p w:rsidR="00F96F63" w:rsidP="00F96F63" w14:paraId="114BA83A" w14:textId="77777777">
      <w:pPr>
        <w:rPr>
          <w:sz w:val="24"/>
        </w:rPr>
      </w:pPr>
    </w:p>
    <w:p w:rsidR="00930ECF" w:rsidRPr="00930ECF" w:rsidP="00F96F63" w14:paraId="1E816189"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FFB2A3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19067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D1E06E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016C54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696E" w14:paraId="2E13AC87" w14:textId="77777777">
      <w:r>
        <w:separator/>
      </w:r>
    </w:p>
  </w:footnote>
  <w:footnote w:type="continuationSeparator" w:id="1">
    <w:p w:rsidR="00AB696E" w14:paraId="6753D75D" w14:textId="77777777">
      <w:pPr>
        <w:rPr>
          <w:sz w:val="20"/>
        </w:rPr>
      </w:pPr>
      <w:r>
        <w:rPr>
          <w:sz w:val="20"/>
        </w:rPr>
        <w:t xml:space="preserve">(Continued from previous page)  </w:t>
      </w:r>
      <w:r>
        <w:rPr>
          <w:sz w:val="20"/>
        </w:rPr>
        <w:separator/>
      </w:r>
    </w:p>
  </w:footnote>
  <w:footnote w:type="continuationNotice" w:id="2">
    <w:p w:rsidR="00AB696E" w:rsidP="00910F12" w14:paraId="630CFD31" w14:textId="77777777">
      <w:pPr>
        <w:jc w:val="right"/>
        <w:rPr>
          <w:sz w:val="20"/>
        </w:rPr>
      </w:pPr>
      <w:r>
        <w:rPr>
          <w:sz w:val="20"/>
        </w:rPr>
        <w:t>(continued….)</w:t>
      </w:r>
    </w:p>
  </w:footnote>
  <w:footnote w:id="3">
    <w:p w:rsidR="00AB696E" w:rsidP="00AB696E" w14:paraId="59FD103A" w14:textId="77777777">
      <w:pPr>
        <w:pStyle w:val="FootnoteText"/>
      </w:pPr>
      <w:r>
        <w:rPr>
          <w:rStyle w:val="FootnoteReference"/>
        </w:rPr>
        <w:footnoteRef/>
      </w:r>
      <w:r>
        <w:t xml:space="preserve"> </w:t>
      </w:r>
      <w:r w:rsidRPr="008A7035">
        <w:t>The 20</w:t>
      </w:r>
      <w:r>
        <w:t>20</w:t>
      </w:r>
      <w:r w:rsidRPr="008A7035">
        <w:t xml:space="preserve"> funding year runs from July 1, 20</w:t>
      </w:r>
      <w:r>
        <w:t>20</w:t>
      </w:r>
      <w:r w:rsidRPr="008A7035">
        <w:t xml:space="preserve"> to June 30, 20</w:t>
      </w:r>
      <w:r>
        <w:t>21</w:t>
      </w:r>
      <w:r w:rsidRPr="008A7035">
        <w:t>.</w:t>
      </w:r>
      <w:r>
        <w:t xml:space="preserve">  </w:t>
      </w:r>
      <w:r w:rsidRPr="00F979BD">
        <w:t>The E-</w:t>
      </w:r>
      <w:r>
        <w:t>R</w:t>
      </w:r>
      <w:r w:rsidRPr="00F979BD">
        <w:t>ate program</w:t>
      </w:r>
      <w:r>
        <w:t xml:space="preserve"> is more formally known as the schools and l</w:t>
      </w:r>
      <w:r w:rsidRPr="00F979BD">
        <w:t>ibraries universal service support program.</w:t>
      </w:r>
      <w:r>
        <w:t xml:space="preserve">  </w:t>
      </w:r>
      <w:r w:rsidRPr="008A7035">
        <w:t>Category one services include telecommunications, telecommunications s</w:t>
      </w:r>
      <w:r>
        <w:t>ervices and Internet access.</w:t>
      </w:r>
      <w:r w:rsidRPr="008A7035">
        <w:t xml:space="preserve"> </w:t>
      </w:r>
      <w:r>
        <w:t xml:space="preserve"> C</w:t>
      </w:r>
      <w:r w:rsidRPr="008A7035">
        <w:t>ategory two services include internal connections, basic maintenance of internal connections and managed internal broadband services.</w:t>
      </w:r>
    </w:p>
  </w:footnote>
  <w:footnote w:id="4">
    <w:p w:rsidR="00AB696E" w:rsidRPr="008A7035" w:rsidP="00AB696E" w14:paraId="5C647655" w14:textId="77777777">
      <w:pPr>
        <w:pStyle w:val="FootnoteText"/>
      </w:pPr>
      <w:r w:rsidRPr="008A7035">
        <w:rPr>
          <w:rStyle w:val="FootnoteReference"/>
        </w:rPr>
        <w:footnoteRef/>
      </w:r>
      <w:r w:rsidRPr="008A7035">
        <w:t xml:space="preserve"> </w:t>
      </w:r>
      <w:r w:rsidRPr="008A7035">
        <w:rPr>
          <w:i/>
        </w:rPr>
        <w:t xml:space="preserve">See </w:t>
      </w:r>
      <w:r w:rsidRPr="008A7035">
        <w:t xml:space="preserve">Letter from </w:t>
      </w:r>
      <w:r>
        <w:t>Craig Davis, Vice President, Schools and Libraries Division</w:t>
      </w:r>
      <w:r w:rsidRPr="008A7035">
        <w:t xml:space="preserve">, USAC, to </w:t>
      </w:r>
      <w:r w:rsidRPr="00155BA6">
        <w:t>Kris Monteith</w:t>
      </w:r>
      <w:r w:rsidRPr="008A7035">
        <w:t>, Chief, Wireline Competition Bureau, FCC, CC Docket No. 02-6, at Attach. (</w:t>
      </w:r>
      <w:r>
        <w:t>May 1, 2020</w:t>
      </w:r>
      <w:r w:rsidRPr="008A7035">
        <w:t>).</w:t>
      </w:r>
    </w:p>
  </w:footnote>
  <w:footnote w:id="5">
    <w:p w:rsidR="00AB696E" w:rsidRPr="00B66C3D" w:rsidP="00AB696E" w14:paraId="151C7EFC" w14:textId="77777777">
      <w:pPr>
        <w:pStyle w:val="FootnoteText"/>
      </w:pPr>
      <w:r w:rsidRPr="008A7035">
        <w:rPr>
          <w:rStyle w:val="FootnoteReference"/>
        </w:rPr>
        <w:footnoteRef/>
      </w:r>
      <w:r>
        <w:t xml:space="preserve"> </w:t>
      </w:r>
      <w:r w:rsidRPr="00406B81">
        <w:rPr>
          <w:i/>
        </w:rPr>
        <w:t>Id</w:t>
      </w:r>
      <w:r w:rsidRPr="008A7035">
        <w:t>.</w:t>
      </w:r>
      <w:r>
        <w:t xml:space="preserve">  The demand </w:t>
      </w:r>
      <w:r>
        <w:t>estimate</w:t>
      </w:r>
      <w:r>
        <w:t xml:space="preserve"> for funding year 2020 was reflected as $2.636 billion in the Third Quarter USF Size Projections. </w:t>
      </w:r>
      <w:r>
        <w:rPr>
          <w:i/>
        </w:rPr>
        <w:t>See</w:t>
      </w:r>
      <w:r>
        <w:t xml:space="preserve"> </w:t>
      </w:r>
      <w:r w:rsidRPr="00597A16">
        <w:t xml:space="preserve">USAC, Federal Universal Service Support Mechanisms Fund Size Projections for </w:t>
      </w:r>
      <w:r>
        <w:t xml:space="preserve">Third </w:t>
      </w:r>
      <w:r w:rsidRPr="00597A16">
        <w:t>Quarter 20</w:t>
      </w:r>
      <w:r>
        <w:t>20</w:t>
      </w:r>
      <w:r w:rsidRPr="00597A16">
        <w:t xml:space="preserve"> (</w:t>
      </w:r>
      <w:r>
        <w:t>May 1</w:t>
      </w:r>
      <w:r w:rsidRPr="00597A16">
        <w:t>, 20</w:t>
      </w:r>
      <w:r>
        <w:t>20</w:t>
      </w:r>
      <w:r w:rsidRPr="00597A16">
        <w:t xml:space="preserve">), </w:t>
      </w:r>
      <w:hyperlink r:id="rId1" w:history="1">
        <w:r>
          <w:rPr>
            <w:rStyle w:val="Hyperlink"/>
          </w:rPr>
          <w:t>https://www.usac.org/wp-content/uploads/about/documents/fcc-filings/2020/third-quarter/financials/USAC-3Q2020-Federal-Universal-Service-Mechanism-Quarterly-Demand-Filing_Final.pdf</w:t>
        </w:r>
      </w:hyperlink>
      <w:r w:rsidRPr="00597A16">
        <w:t xml:space="preserve"> at </w:t>
      </w:r>
      <w:r>
        <w:t>59 (Third Quarter USF Size Projections).</w:t>
      </w:r>
    </w:p>
  </w:footnote>
  <w:footnote w:id="6">
    <w:p w:rsidR="00AB696E" w:rsidRPr="008A7035" w:rsidP="00AB696E" w14:paraId="014056CD" w14:textId="77777777">
      <w:pPr>
        <w:autoSpaceDE w:val="0"/>
        <w:autoSpaceDN w:val="0"/>
        <w:adjustRightInd w:val="0"/>
        <w:spacing w:after="120"/>
        <w:rPr>
          <w:sz w:val="20"/>
        </w:rPr>
      </w:pPr>
      <w:r w:rsidRPr="008A7035">
        <w:rPr>
          <w:rStyle w:val="FootnoteReference"/>
        </w:rPr>
        <w:footnoteRef/>
      </w:r>
      <w:r w:rsidRPr="008A7035">
        <w:rPr>
          <w:sz w:val="20"/>
        </w:rPr>
        <w:t xml:space="preserve"> </w:t>
      </w:r>
      <w:r w:rsidRPr="008A7035">
        <w:rPr>
          <w:i/>
          <w:sz w:val="20"/>
        </w:rPr>
        <w:t>See Wireline Competition Bureau Announces E-</w:t>
      </w:r>
      <w:r>
        <w:rPr>
          <w:i/>
          <w:sz w:val="20"/>
        </w:rPr>
        <w:t>R</w:t>
      </w:r>
      <w:r w:rsidRPr="008A7035">
        <w:rPr>
          <w:i/>
          <w:sz w:val="20"/>
        </w:rPr>
        <w:t xml:space="preserve">ate </w:t>
      </w:r>
      <w:r>
        <w:rPr>
          <w:i/>
          <w:sz w:val="20"/>
        </w:rPr>
        <w:t xml:space="preserve">and </w:t>
      </w:r>
      <w:r>
        <w:rPr>
          <w:i/>
          <w:sz w:val="20"/>
        </w:rPr>
        <w:t>RHC</w:t>
      </w:r>
      <w:r>
        <w:rPr>
          <w:i/>
          <w:sz w:val="20"/>
        </w:rPr>
        <w:t xml:space="preserve"> Programs’ </w:t>
      </w:r>
      <w:r w:rsidRPr="008A7035">
        <w:rPr>
          <w:i/>
          <w:sz w:val="20"/>
        </w:rPr>
        <w:t>Inflation-Based Cap</w:t>
      </w:r>
      <w:r>
        <w:rPr>
          <w:i/>
          <w:sz w:val="20"/>
        </w:rPr>
        <w:t>s</w:t>
      </w:r>
      <w:r w:rsidRPr="008A7035">
        <w:rPr>
          <w:i/>
          <w:sz w:val="20"/>
        </w:rPr>
        <w:t xml:space="preserve"> for Funding Year 20</w:t>
      </w:r>
      <w:r>
        <w:rPr>
          <w:i/>
          <w:sz w:val="20"/>
        </w:rPr>
        <w:t>20</w:t>
      </w:r>
      <w:r w:rsidRPr="008A7035">
        <w:rPr>
          <w:i/>
          <w:sz w:val="20"/>
        </w:rPr>
        <w:t xml:space="preserve">, </w:t>
      </w:r>
      <w:r w:rsidRPr="008A7035">
        <w:rPr>
          <w:sz w:val="20"/>
        </w:rPr>
        <w:t xml:space="preserve">CC Docket No. 02-6, Public Notice, </w:t>
      </w:r>
      <w:r w:rsidRPr="002D036C">
        <w:rPr>
          <w:sz w:val="20"/>
        </w:rPr>
        <w:t xml:space="preserve">35 FCC Rcd 2062 </w:t>
      </w:r>
      <w:r w:rsidRPr="008A7035">
        <w:rPr>
          <w:sz w:val="20"/>
        </w:rPr>
        <w:t>(</w:t>
      </w:r>
      <w:r>
        <w:rPr>
          <w:sz w:val="20"/>
        </w:rPr>
        <w:t>WCB</w:t>
      </w:r>
      <w:r w:rsidRPr="008A7035">
        <w:rPr>
          <w:sz w:val="20"/>
        </w:rPr>
        <w:t xml:space="preserve"> </w:t>
      </w:r>
      <w:r>
        <w:rPr>
          <w:sz w:val="20"/>
        </w:rPr>
        <w:t>2020</w:t>
      </w:r>
      <w:r w:rsidRPr="008A7035">
        <w:rPr>
          <w:sz w:val="20"/>
        </w:rPr>
        <w:t>); 47 CFR § 54.507(a)(3).</w:t>
      </w:r>
    </w:p>
  </w:footnote>
  <w:footnote w:id="7">
    <w:p w:rsidR="00AB696E" w:rsidRPr="005E68B2" w:rsidP="00AB696E" w14:paraId="1C4EB45E" w14:textId="77777777">
      <w:pPr>
        <w:pStyle w:val="FootnoteText"/>
        <w:rPr>
          <w:i/>
        </w:rPr>
      </w:pPr>
      <w:r w:rsidRPr="005E68B2">
        <w:rPr>
          <w:rStyle w:val="FootnoteReference"/>
        </w:rPr>
        <w:footnoteRef/>
      </w:r>
      <w:r w:rsidRPr="005E68B2">
        <w:t xml:space="preserve"> </w:t>
      </w:r>
      <w:r w:rsidRPr="00E27145">
        <w:rPr>
          <w:i/>
        </w:rPr>
        <w:t>See</w:t>
      </w:r>
      <w:r>
        <w:t xml:space="preserve"> Third Quarter USF Size Projections</w:t>
      </w:r>
      <w:r w:rsidRPr="00597A16">
        <w:t xml:space="preserve"> at </w:t>
      </w:r>
      <w:r>
        <w:t>59.</w:t>
      </w:r>
    </w:p>
  </w:footnote>
  <w:footnote w:id="8">
    <w:p w:rsidR="00AB696E" w:rsidRPr="008A7035" w:rsidP="00AB696E" w14:paraId="126A2EFA" w14:textId="77777777">
      <w:pPr>
        <w:pStyle w:val="FootnoteText"/>
      </w:pPr>
      <w:r w:rsidRPr="008A7035">
        <w:rPr>
          <w:rStyle w:val="FootnoteReference"/>
        </w:rPr>
        <w:footnoteRef/>
      </w:r>
      <w:r w:rsidRPr="008A7035">
        <w:t xml:space="preserve"> 47 CFR § 54.507(a)(5).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56E4FA4" w14:textId="3991DA1C">
    <w:pPr>
      <w:tabs>
        <w:tab w:val="center" w:pos="4680"/>
        <w:tab w:val="right" w:pos="9360"/>
      </w:tabs>
    </w:pPr>
    <w:r w:rsidRPr="009838BC">
      <w:rPr>
        <w:b/>
      </w:rPr>
      <w:tab/>
      <w:t>Federal Communications Commission</w:t>
    </w:r>
    <w:r w:rsidRPr="009838BC">
      <w:rPr>
        <w:b/>
      </w:rPr>
      <w:tab/>
    </w:r>
    <w:r w:rsidR="00C717E8">
      <w:rPr>
        <w:b/>
      </w:rPr>
      <w:t>DA 20-712</w:t>
    </w:r>
  </w:p>
  <w:p w:rsidR="009838BC" w:rsidRPr="009838BC" w:rsidP="009838BC" w14:paraId="43F1FEA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35C214D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9D67044"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1F20E6AF" w14:textId="77777777">
                <w:pPr>
                  <w:rPr>
                    <w:rFonts w:ascii="Arial" w:hAnsi="Arial"/>
                    <w:b/>
                  </w:rPr>
                </w:pPr>
                <w:r>
                  <w:rPr>
                    <w:rFonts w:ascii="Arial" w:hAnsi="Arial"/>
                    <w:b/>
                  </w:rPr>
                  <w:t>Federal Communications Commission</w:t>
                </w:r>
              </w:p>
              <w:p w:rsidR="009838BC" w:rsidP="009838BC" w14:paraId="4C3E8CC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6ACB4BF"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429DB96B"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38E50AE9" w14:textId="77777777">
                <w:pPr>
                  <w:spacing w:before="40"/>
                  <w:jc w:val="right"/>
                  <w:rPr>
                    <w:rFonts w:ascii="Arial" w:hAnsi="Arial"/>
                    <w:b/>
                    <w:sz w:val="16"/>
                  </w:rPr>
                </w:pPr>
                <w:r>
                  <w:rPr>
                    <w:rFonts w:ascii="Arial" w:hAnsi="Arial"/>
                    <w:b/>
                    <w:sz w:val="16"/>
                  </w:rPr>
                  <w:t>News Media Information 202 / 418-0500</w:t>
                </w:r>
              </w:p>
              <w:p w:rsidR="009838BC" w:rsidP="009838BC" w14:paraId="45E061D7"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C163CBD" w14:textId="77777777">
                <w:pPr>
                  <w:jc w:val="right"/>
                </w:pPr>
                <w:r>
                  <w:rPr>
                    <w:rFonts w:ascii="Arial" w:hAnsi="Arial"/>
                    <w:b/>
                    <w:sz w:val="16"/>
                  </w:rPr>
                  <w:t>TTY: 1-888-835-5322</w:t>
                </w:r>
              </w:p>
            </w:txbxContent>
          </v:textbox>
        </v:shape>
      </w:pict>
    </w:r>
  </w:p>
  <w:p w:rsidR="006F7393" w:rsidRPr="009838BC" w:rsidP="009838BC" w14:paraId="37DF1A1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6E"/>
    <w:rsid w:val="000072CE"/>
    <w:rsid w:val="00013A8B"/>
    <w:rsid w:val="00021445"/>
    <w:rsid w:val="00036039"/>
    <w:rsid w:val="00037F90"/>
    <w:rsid w:val="00081AD9"/>
    <w:rsid w:val="000875BF"/>
    <w:rsid w:val="00096D8C"/>
    <w:rsid w:val="000C0B65"/>
    <w:rsid w:val="000E3D42"/>
    <w:rsid w:val="000E5884"/>
    <w:rsid w:val="00122BD5"/>
    <w:rsid w:val="00143F15"/>
    <w:rsid w:val="00155BA6"/>
    <w:rsid w:val="001979D9"/>
    <w:rsid w:val="001D6BCF"/>
    <w:rsid w:val="001E01CA"/>
    <w:rsid w:val="002060D9"/>
    <w:rsid w:val="00226822"/>
    <w:rsid w:val="00260594"/>
    <w:rsid w:val="00285017"/>
    <w:rsid w:val="002A2D2E"/>
    <w:rsid w:val="002D036C"/>
    <w:rsid w:val="00343749"/>
    <w:rsid w:val="00357D50"/>
    <w:rsid w:val="003925DC"/>
    <w:rsid w:val="003B0550"/>
    <w:rsid w:val="003B694F"/>
    <w:rsid w:val="003F171C"/>
    <w:rsid w:val="00406B81"/>
    <w:rsid w:val="00412FC5"/>
    <w:rsid w:val="00422276"/>
    <w:rsid w:val="004242F1"/>
    <w:rsid w:val="00445A00"/>
    <w:rsid w:val="00451B0F"/>
    <w:rsid w:val="0046125F"/>
    <w:rsid w:val="00487524"/>
    <w:rsid w:val="00496106"/>
    <w:rsid w:val="004C12D0"/>
    <w:rsid w:val="004C2EE3"/>
    <w:rsid w:val="004E4A22"/>
    <w:rsid w:val="00511968"/>
    <w:rsid w:val="0055614C"/>
    <w:rsid w:val="00597A16"/>
    <w:rsid w:val="005E68B2"/>
    <w:rsid w:val="00607BA5"/>
    <w:rsid w:val="00626EB6"/>
    <w:rsid w:val="006353A3"/>
    <w:rsid w:val="00655D03"/>
    <w:rsid w:val="00683F84"/>
    <w:rsid w:val="006A6A81"/>
    <w:rsid w:val="006C2DA2"/>
    <w:rsid w:val="006E034D"/>
    <w:rsid w:val="006E26AF"/>
    <w:rsid w:val="006F7393"/>
    <w:rsid w:val="0070224F"/>
    <w:rsid w:val="007115F7"/>
    <w:rsid w:val="00785689"/>
    <w:rsid w:val="0079754B"/>
    <w:rsid w:val="007A1E6D"/>
    <w:rsid w:val="00822CE0"/>
    <w:rsid w:val="00837C62"/>
    <w:rsid w:val="00841AB1"/>
    <w:rsid w:val="008A7035"/>
    <w:rsid w:val="008C22FD"/>
    <w:rsid w:val="00910F12"/>
    <w:rsid w:val="00926503"/>
    <w:rsid w:val="00930ECF"/>
    <w:rsid w:val="009838BC"/>
    <w:rsid w:val="009A52B6"/>
    <w:rsid w:val="00A45F4F"/>
    <w:rsid w:val="00A600A9"/>
    <w:rsid w:val="00A866AC"/>
    <w:rsid w:val="00AA55B7"/>
    <w:rsid w:val="00AA5B9E"/>
    <w:rsid w:val="00AB2407"/>
    <w:rsid w:val="00AB53DF"/>
    <w:rsid w:val="00AB696E"/>
    <w:rsid w:val="00B07E5C"/>
    <w:rsid w:val="00B20363"/>
    <w:rsid w:val="00B326E3"/>
    <w:rsid w:val="00B66C3D"/>
    <w:rsid w:val="00B811F7"/>
    <w:rsid w:val="00BA5DC6"/>
    <w:rsid w:val="00BA6196"/>
    <w:rsid w:val="00BC6D8C"/>
    <w:rsid w:val="00C16AF2"/>
    <w:rsid w:val="00C21F94"/>
    <w:rsid w:val="00C34006"/>
    <w:rsid w:val="00C426B1"/>
    <w:rsid w:val="00C717E8"/>
    <w:rsid w:val="00C74DB3"/>
    <w:rsid w:val="00C82B6B"/>
    <w:rsid w:val="00C90D6A"/>
    <w:rsid w:val="00CC09D9"/>
    <w:rsid w:val="00CC72B6"/>
    <w:rsid w:val="00D0218D"/>
    <w:rsid w:val="00D216CD"/>
    <w:rsid w:val="00DA2529"/>
    <w:rsid w:val="00DB130A"/>
    <w:rsid w:val="00DC10A1"/>
    <w:rsid w:val="00DC655F"/>
    <w:rsid w:val="00DD7EBD"/>
    <w:rsid w:val="00DF62B6"/>
    <w:rsid w:val="00E07225"/>
    <w:rsid w:val="00E155B7"/>
    <w:rsid w:val="00E27145"/>
    <w:rsid w:val="00E5409F"/>
    <w:rsid w:val="00EC0185"/>
    <w:rsid w:val="00F021FA"/>
    <w:rsid w:val="00F57746"/>
    <w:rsid w:val="00F57ACA"/>
    <w:rsid w:val="00F62E97"/>
    <w:rsid w:val="00F64209"/>
    <w:rsid w:val="00F93BF5"/>
    <w:rsid w:val="00F96F63"/>
    <w:rsid w:val="00F979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7D8C7D9-E609-4B84-A720-C3891168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34D"/>
    <w:pPr>
      <w:widowControl w:val="0"/>
    </w:pPr>
    <w:rPr>
      <w:snapToGrid w:val="0"/>
      <w:kern w:val="28"/>
      <w:sz w:val="22"/>
    </w:rPr>
  </w:style>
  <w:style w:type="paragraph" w:styleId="Heading1">
    <w:name w:val="heading 1"/>
    <w:basedOn w:val="Normal"/>
    <w:next w:val="ParaNum"/>
    <w:qFormat/>
    <w:rsid w:val="006E034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E034D"/>
    <w:pPr>
      <w:keepNext/>
      <w:numPr>
        <w:ilvl w:val="1"/>
        <w:numId w:val="3"/>
      </w:numPr>
      <w:spacing w:after="120"/>
      <w:outlineLvl w:val="1"/>
    </w:pPr>
    <w:rPr>
      <w:b/>
    </w:rPr>
  </w:style>
  <w:style w:type="paragraph" w:styleId="Heading3">
    <w:name w:val="heading 3"/>
    <w:basedOn w:val="Normal"/>
    <w:next w:val="ParaNum"/>
    <w:qFormat/>
    <w:rsid w:val="006E034D"/>
    <w:pPr>
      <w:keepNext/>
      <w:numPr>
        <w:ilvl w:val="2"/>
        <w:numId w:val="3"/>
      </w:numPr>
      <w:tabs>
        <w:tab w:val="left" w:pos="2160"/>
      </w:tabs>
      <w:spacing w:after="120"/>
      <w:outlineLvl w:val="2"/>
    </w:pPr>
    <w:rPr>
      <w:b/>
    </w:rPr>
  </w:style>
  <w:style w:type="paragraph" w:styleId="Heading4">
    <w:name w:val="heading 4"/>
    <w:basedOn w:val="Normal"/>
    <w:next w:val="ParaNum"/>
    <w:qFormat/>
    <w:rsid w:val="006E034D"/>
    <w:pPr>
      <w:keepNext/>
      <w:numPr>
        <w:ilvl w:val="3"/>
        <w:numId w:val="3"/>
      </w:numPr>
      <w:tabs>
        <w:tab w:val="left" w:pos="2880"/>
      </w:tabs>
      <w:spacing w:after="120"/>
      <w:outlineLvl w:val="3"/>
    </w:pPr>
    <w:rPr>
      <w:b/>
    </w:rPr>
  </w:style>
  <w:style w:type="paragraph" w:styleId="Heading5">
    <w:name w:val="heading 5"/>
    <w:basedOn w:val="Normal"/>
    <w:next w:val="ParaNum"/>
    <w:qFormat/>
    <w:rsid w:val="006E034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E034D"/>
    <w:pPr>
      <w:numPr>
        <w:ilvl w:val="5"/>
        <w:numId w:val="3"/>
      </w:numPr>
      <w:tabs>
        <w:tab w:val="left" w:pos="4320"/>
      </w:tabs>
      <w:spacing w:after="120"/>
      <w:outlineLvl w:val="5"/>
    </w:pPr>
    <w:rPr>
      <w:b/>
    </w:rPr>
  </w:style>
  <w:style w:type="paragraph" w:styleId="Heading7">
    <w:name w:val="heading 7"/>
    <w:basedOn w:val="Normal"/>
    <w:next w:val="ParaNum"/>
    <w:qFormat/>
    <w:rsid w:val="006E034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E034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E034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6E034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E034D"/>
  </w:style>
  <w:style w:type="paragraph" w:customStyle="1" w:styleId="ParaNum">
    <w:name w:val="ParaNum"/>
    <w:basedOn w:val="Normal"/>
    <w:rsid w:val="006E034D"/>
    <w:pPr>
      <w:numPr>
        <w:numId w:val="2"/>
      </w:numPr>
      <w:tabs>
        <w:tab w:val="clear" w:pos="1080"/>
        <w:tab w:val="num" w:pos="1440"/>
      </w:tabs>
      <w:spacing w:after="120"/>
    </w:pPr>
  </w:style>
  <w:style w:type="paragraph" w:styleId="EndnoteText">
    <w:name w:val="endnote text"/>
    <w:basedOn w:val="Normal"/>
    <w:semiHidden/>
    <w:rsid w:val="006E034D"/>
    <w:rPr>
      <w:sz w:val="20"/>
    </w:rPr>
  </w:style>
  <w:style w:type="character" w:styleId="EndnoteReference">
    <w:name w:val="endnote reference"/>
    <w:semiHidden/>
    <w:rsid w:val="006E034D"/>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n,fn Char"/>
    <w:rsid w:val="006E034D"/>
    <w:pPr>
      <w:spacing w:after="120"/>
    </w:pPr>
  </w:style>
  <w:style w:type="character" w:styleId="FootnoteReference">
    <w:name w:val="footnote reference"/>
    <w:rsid w:val="006E034D"/>
    <w:rPr>
      <w:rFonts w:ascii="Times New Roman" w:hAnsi="Times New Roman"/>
      <w:dstrike w:val="0"/>
      <w:color w:val="auto"/>
      <w:sz w:val="22"/>
      <w:vertAlign w:val="superscript"/>
    </w:rPr>
  </w:style>
  <w:style w:type="paragraph" w:styleId="TOC1">
    <w:name w:val="toc 1"/>
    <w:basedOn w:val="Normal"/>
    <w:next w:val="Normal"/>
    <w:uiPriority w:val="39"/>
    <w:rsid w:val="006E034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E034D"/>
    <w:pPr>
      <w:tabs>
        <w:tab w:val="left" w:pos="720"/>
        <w:tab w:val="right" w:leader="dot" w:pos="9360"/>
      </w:tabs>
      <w:suppressAutoHyphens/>
      <w:ind w:left="720" w:right="720" w:hanging="360"/>
    </w:pPr>
    <w:rPr>
      <w:noProof/>
    </w:rPr>
  </w:style>
  <w:style w:type="paragraph" w:styleId="TOC3">
    <w:name w:val="toc 3"/>
    <w:basedOn w:val="Normal"/>
    <w:next w:val="Normal"/>
    <w:semiHidden/>
    <w:rsid w:val="006E034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E034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E034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E034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E034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E034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E034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E034D"/>
    <w:pPr>
      <w:tabs>
        <w:tab w:val="right" w:pos="9360"/>
      </w:tabs>
      <w:suppressAutoHyphens/>
    </w:pPr>
  </w:style>
  <w:style w:type="character" w:customStyle="1" w:styleId="EquationCaption">
    <w:name w:val="_Equation Caption"/>
    <w:rsid w:val="006E034D"/>
  </w:style>
  <w:style w:type="paragraph" w:styleId="Header">
    <w:name w:val="header"/>
    <w:basedOn w:val="Normal"/>
    <w:autoRedefine/>
    <w:rsid w:val="006E034D"/>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6E034D"/>
    <w:pPr>
      <w:tabs>
        <w:tab w:val="center" w:pos="4320"/>
        <w:tab w:val="right" w:pos="8640"/>
      </w:tabs>
    </w:pPr>
  </w:style>
  <w:style w:type="character" w:styleId="PageNumber">
    <w:name w:val="page number"/>
    <w:basedOn w:val="DefaultParagraphFont"/>
    <w:rsid w:val="006E034D"/>
  </w:style>
  <w:style w:type="paragraph" w:styleId="BlockText">
    <w:name w:val="Block Text"/>
    <w:basedOn w:val="Normal"/>
    <w:rsid w:val="006E034D"/>
    <w:pPr>
      <w:spacing w:after="240"/>
      <w:ind w:left="1440" w:right="1440"/>
    </w:pPr>
  </w:style>
  <w:style w:type="paragraph" w:customStyle="1" w:styleId="Paratitle">
    <w:name w:val="Para title"/>
    <w:basedOn w:val="Normal"/>
    <w:rsid w:val="006E034D"/>
    <w:pPr>
      <w:tabs>
        <w:tab w:val="center" w:pos="9270"/>
      </w:tabs>
      <w:spacing w:after="240"/>
    </w:pPr>
    <w:rPr>
      <w:spacing w:val="-2"/>
    </w:rPr>
  </w:style>
  <w:style w:type="paragraph" w:customStyle="1" w:styleId="Bullet">
    <w:name w:val="Bullet"/>
    <w:basedOn w:val="Normal"/>
    <w:rsid w:val="006E034D"/>
    <w:pPr>
      <w:numPr>
        <w:numId w:val="1"/>
      </w:numPr>
      <w:tabs>
        <w:tab w:val="clear" w:pos="360"/>
        <w:tab w:val="left" w:pos="2160"/>
      </w:tabs>
      <w:spacing w:after="220"/>
      <w:ind w:left="2160" w:hanging="720"/>
    </w:pPr>
  </w:style>
  <w:style w:type="paragraph" w:customStyle="1" w:styleId="TableFormat">
    <w:name w:val="TableFormat"/>
    <w:basedOn w:val="Bullet"/>
    <w:rsid w:val="006E034D"/>
    <w:pPr>
      <w:numPr>
        <w:numId w:val="0"/>
      </w:numPr>
      <w:tabs>
        <w:tab w:val="clear" w:pos="2160"/>
        <w:tab w:val="left" w:pos="5040"/>
      </w:tabs>
      <w:ind w:left="5040" w:hanging="3600"/>
    </w:pPr>
  </w:style>
  <w:style w:type="paragraph" w:customStyle="1" w:styleId="TOCTitle">
    <w:name w:val="TOC Title"/>
    <w:basedOn w:val="Normal"/>
    <w:rsid w:val="006E034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E034D"/>
    <w:pPr>
      <w:jc w:val="center"/>
    </w:pPr>
    <w:rPr>
      <w:rFonts w:ascii="Times New Roman Bold" w:hAnsi="Times New Roman Bold"/>
      <w:b/>
      <w:bCs/>
      <w:caps/>
      <w:szCs w:val="22"/>
    </w:rPr>
  </w:style>
  <w:style w:type="character" w:styleId="Hyperlink">
    <w:name w:val="Hyperlink"/>
    <w:rsid w:val="006E034D"/>
    <w:rPr>
      <w:color w:val="0000FF"/>
      <w:u w:val="single"/>
    </w:rPr>
  </w:style>
  <w:style w:type="character" w:customStyle="1" w:styleId="FooterChar">
    <w:name w:val="Footer Char"/>
    <w:link w:val="Footer"/>
    <w:uiPriority w:val="99"/>
    <w:rsid w:val="006E034D"/>
    <w:rPr>
      <w:snapToGrid w:val="0"/>
      <w:kern w:val="28"/>
      <w:sz w:val="22"/>
    </w:rPr>
  </w:style>
  <w:style w:type="paragraph" w:customStyle="1" w:styleId="Paranum0">
    <w:name w:val="Paranum"/>
    <w:basedOn w:val="Normal"/>
    <w:rsid w:val="00AB696E"/>
    <w:pPr>
      <w:numPr>
        <w:numId w:val="7"/>
      </w:numPr>
      <w:tabs>
        <w:tab w:val="clear" w:pos="1080"/>
      </w:tabs>
      <w:spacing w:after="220"/>
      <w:jc w:val="both"/>
    </w:pPr>
    <w:rPr>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wp-content/uploads/about/documents/fcc-filings/2020/third-quarter/financials/USAC-3Q2020-Federal-Universal-Service-Mechanism-Quarterly-Demand-Filing_Final.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