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D964DD" w14:paraId="66F325AB" w14:textId="77777777">
      <w:pPr>
        <w:jc w:val="center"/>
        <w:rPr>
          <w:b/>
        </w:rPr>
      </w:pPr>
      <w:bookmarkStart w:id="0" w:name="_GoBack"/>
      <w:bookmarkEnd w:id="0"/>
      <w:r w:rsidRPr="00D964DD">
        <w:rPr>
          <w:rFonts w:ascii="Times New Roman Bold" w:hAnsi="Times New Roman Bold"/>
          <w:b/>
          <w:kern w:val="0"/>
          <w:szCs w:val="22"/>
        </w:rPr>
        <w:t>Before</w:t>
      </w:r>
      <w:r w:rsidRPr="00D964DD">
        <w:rPr>
          <w:b/>
        </w:rPr>
        <w:t xml:space="preserve"> the</w:t>
      </w:r>
    </w:p>
    <w:p w:rsidR="00921803" w:rsidRPr="00D964DD" w:rsidP="00921803" w14:paraId="18F90F74" w14:textId="77777777">
      <w:pPr>
        <w:pStyle w:val="StyleBoldCentered"/>
      </w:pPr>
      <w:r w:rsidRPr="00D964DD">
        <w:t>F</w:t>
      </w:r>
      <w:r w:rsidRPr="00D964DD">
        <w:rPr>
          <w:caps w:val="0"/>
        </w:rPr>
        <w:t>ederal Communications Commission</w:t>
      </w:r>
    </w:p>
    <w:p w:rsidR="004C2EE3" w:rsidRPr="00D964DD" w:rsidP="00096D8C" w14:paraId="25D2920F" w14:textId="77777777">
      <w:pPr>
        <w:pStyle w:val="StyleBoldCentered"/>
      </w:pPr>
      <w:r w:rsidRPr="00D964DD">
        <w:rPr>
          <w:caps w:val="0"/>
        </w:rPr>
        <w:t>Washington, D.C. 20554</w:t>
      </w:r>
    </w:p>
    <w:p w:rsidR="004C2EE3" w:rsidRPr="00D964DD" w:rsidP="0070224F" w14:paraId="1A3A16C7" w14:textId="77777777"/>
    <w:p w:rsidR="004C2EE3" w:rsidRPr="00D964DD" w:rsidP="0070224F" w14:paraId="41889527" w14:textId="77777777"/>
    <w:tbl>
      <w:tblPr>
        <w:tblW w:w="0" w:type="auto"/>
        <w:tblLayout w:type="fixed"/>
        <w:tblLook w:val="0000"/>
      </w:tblPr>
      <w:tblGrid>
        <w:gridCol w:w="4698"/>
        <w:gridCol w:w="630"/>
        <w:gridCol w:w="4248"/>
      </w:tblGrid>
      <w:tr w14:paraId="7B3BE2E7" w14:textId="77777777">
        <w:tblPrEx>
          <w:tblW w:w="0" w:type="auto"/>
          <w:tblLayout w:type="fixed"/>
          <w:tblLook w:val="0000"/>
        </w:tblPrEx>
        <w:tc>
          <w:tcPr>
            <w:tcW w:w="4698" w:type="dxa"/>
          </w:tcPr>
          <w:p w:rsidR="00CF0468" w:rsidRPr="00D964DD" w:rsidP="00CF0468" w14:paraId="62FE9E72" w14:textId="77777777">
            <w:pPr>
              <w:tabs>
                <w:tab w:val="center" w:pos="4680"/>
              </w:tabs>
              <w:suppressAutoHyphens/>
              <w:rPr>
                <w:spacing w:val="-2"/>
              </w:rPr>
            </w:pPr>
            <w:r w:rsidRPr="00D964DD">
              <w:rPr>
                <w:spacing w:val="-2"/>
              </w:rPr>
              <w:t>In the Matter of</w:t>
            </w:r>
          </w:p>
          <w:p w:rsidR="00CF0468" w:rsidRPr="00D964DD" w:rsidP="00CF0468" w14:paraId="5D116596" w14:textId="77777777">
            <w:pPr>
              <w:tabs>
                <w:tab w:val="center" w:pos="4680"/>
              </w:tabs>
              <w:suppressAutoHyphens/>
              <w:rPr>
                <w:spacing w:val="-2"/>
              </w:rPr>
            </w:pPr>
          </w:p>
          <w:p w:rsidR="00CF0468" w:rsidRPr="00D964DD" w:rsidP="00CF0468" w14:paraId="7F731417" w14:textId="77777777">
            <w:pPr>
              <w:tabs>
                <w:tab w:val="center" w:pos="4680"/>
              </w:tabs>
              <w:suppressAutoHyphens/>
              <w:rPr>
                <w:spacing w:val="-2"/>
              </w:rPr>
            </w:pPr>
            <w:r w:rsidRPr="00D964DD">
              <w:rPr>
                <w:spacing w:val="-2"/>
              </w:rPr>
              <w:t>Improving Wireless Emergency Alerts and Community-Initiated Alerting</w:t>
            </w:r>
          </w:p>
          <w:p w:rsidR="00CF0468" w:rsidRPr="00D964DD" w:rsidP="00CF0468" w14:paraId="7CD6A612" w14:textId="77777777">
            <w:pPr>
              <w:tabs>
                <w:tab w:val="center" w:pos="4680"/>
              </w:tabs>
              <w:suppressAutoHyphens/>
              <w:rPr>
                <w:spacing w:val="-2"/>
              </w:rPr>
            </w:pPr>
          </w:p>
          <w:p w:rsidR="00CF0468" w:rsidRPr="00D964DD" w:rsidP="00CF0468" w14:paraId="1951657E" w14:textId="51ADFA26">
            <w:pPr>
              <w:tabs>
                <w:tab w:val="center" w:pos="4680"/>
              </w:tabs>
              <w:suppressAutoHyphens/>
              <w:rPr>
                <w:spacing w:val="-2"/>
              </w:rPr>
            </w:pPr>
            <w:r w:rsidRPr="00D964DD">
              <w:rPr>
                <w:spacing w:val="-2"/>
              </w:rPr>
              <w:t>Amendments to Part 11 of the Commission’s Rules Regarding the Emergency Alert System</w:t>
            </w:r>
          </w:p>
        </w:tc>
        <w:tc>
          <w:tcPr>
            <w:tcW w:w="630" w:type="dxa"/>
          </w:tcPr>
          <w:p w:rsidR="00CF0468" w:rsidRPr="00D964DD" w:rsidP="00CF0468" w14:paraId="498FE18C" w14:textId="77777777">
            <w:pPr>
              <w:tabs>
                <w:tab w:val="center" w:pos="4680"/>
              </w:tabs>
              <w:suppressAutoHyphens/>
              <w:rPr>
                <w:b/>
                <w:spacing w:val="-2"/>
              </w:rPr>
            </w:pPr>
            <w:r w:rsidRPr="00D964DD">
              <w:rPr>
                <w:b/>
                <w:spacing w:val="-2"/>
              </w:rPr>
              <w:t>)</w:t>
            </w:r>
          </w:p>
          <w:p w:rsidR="00CF0468" w:rsidRPr="00D964DD" w:rsidP="00CF0468" w14:paraId="2FCC875C" w14:textId="77777777">
            <w:pPr>
              <w:tabs>
                <w:tab w:val="center" w:pos="4680"/>
              </w:tabs>
              <w:suppressAutoHyphens/>
              <w:rPr>
                <w:b/>
                <w:spacing w:val="-2"/>
              </w:rPr>
            </w:pPr>
            <w:r w:rsidRPr="00D964DD">
              <w:rPr>
                <w:b/>
                <w:spacing w:val="-2"/>
              </w:rPr>
              <w:t>)</w:t>
            </w:r>
          </w:p>
          <w:p w:rsidR="00CF0468" w:rsidRPr="00D964DD" w:rsidP="00CF0468" w14:paraId="5471A38C" w14:textId="77777777">
            <w:pPr>
              <w:tabs>
                <w:tab w:val="center" w:pos="4680"/>
              </w:tabs>
              <w:suppressAutoHyphens/>
              <w:rPr>
                <w:b/>
                <w:spacing w:val="-2"/>
              </w:rPr>
            </w:pPr>
            <w:r w:rsidRPr="00D964DD">
              <w:rPr>
                <w:b/>
                <w:spacing w:val="-2"/>
              </w:rPr>
              <w:t>)</w:t>
            </w:r>
          </w:p>
          <w:p w:rsidR="00CF0468" w:rsidRPr="00D964DD" w:rsidP="00CF0468" w14:paraId="269C0482" w14:textId="77777777">
            <w:pPr>
              <w:tabs>
                <w:tab w:val="center" w:pos="4680"/>
              </w:tabs>
              <w:suppressAutoHyphens/>
              <w:rPr>
                <w:b/>
                <w:spacing w:val="-2"/>
              </w:rPr>
            </w:pPr>
            <w:r w:rsidRPr="00D964DD">
              <w:rPr>
                <w:b/>
                <w:spacing w:val="-2"/>
              </w:rPr>
              <w:t>)</w:t>
            </w:r>
          </w:p>
          <w:p w:rsidR="00CF0468" w:rsidRPr="00D964DD" w:rsidP="00CF0468" w14:paraId="4A65B01D" w14:textId="77777777">
            <w:pPr>
              <w:tabs>
                <w:tab w:val="center" w:pos="4680"/>
              </w:tabs>
              <w:suppressAutoHyphens/>
              <w:rPr>
                <w:b/>
                <w:spacing w:val="-2"/>
              </w:rPr>
            </w:pPr>
            <w:r w:rsidRPr="00D964DD">
              <w:rPr>
                <w:b/>
                <w:spacing w:val="-2"/>
              </w:rPr>
              <w:t>)</w:t>
            </w:r>
          </w:p>
          <w:p w:rsidR="00CF0468" w:rsidRPr="00D964DD" w:rsidP="00CF0468" w14:paraId="3A222DEA" w14:textId="77777777">
            <w:pPr>
              <w:tabs>
                <w:tab w:val="center" w:pos="4680"/>
              </w:tabs>
              <w:suppressAutoHyphens/>
              <w:rPr>
                <w:b/>
                <w:spacing w:val="-2"/>
              </w:rPr>
            </w:pPr>
            <w:r w:rsidRPr="00D964DD">
              <w:rPr>
                <w:b/>
                <w:spacing w:val="-2"/>
              </w:rPr>
              <w:t>)</w:t>
            </w:r>
          </w:p>
          <w:p w:rsidR="00CF0468" w:rsidRPr="00D964DD" w:rsidP="00CF0468" w14:paraId="4C483AA1" w14:textId="77777777">
            <w:pPr>
              <w:tabs>
                <w:tab w:val="center" w:pos="4680"/>
              </w:tabs>
              <w:suppressAutoHyphens/>
              <w:rPr>
                <w:b/>
                <w:spacing w:val="-2"/>
              </w:rPr>
            </w:pPr>
            <w:r w:rsidRPr="00D964DD">
              <w:rPr>
                <w:b/>
                <w:spacing w:val="-2"/>
              </w:rPr>
              <w:t>)</w:t>
            </w:r>
          </w:p>
          <w:p w:rsidR="00CF0468" w:rsidRPr="00D964DD" w:rsidP="00CF0468" w14:paraId="09FE1D6A" w14:textId="5823D3F3">
            <w:pPr>
              <w:tabs>
                <w:tab w:val="center" w:pos="4680"/>
              </w:tabs>
              <w:suppressAutoHyphens/>
              <w:rPr>
                <w:b/>
                <w:spacing w:val="-2"/>
              </w:rPr>
            </w:pPr>
          </w:p>
          <w:p w:rsidR="00CF0468" w:rsidRPr="00D964DD" w:rsidP="00CF0468" w14:paraId="3B3D722D" w14:textId="7186F6CD">
            <w:pPr>
              <w:tabs>
                <w:tab w:val="center" w:pos="4680"/>
              </w:tabs>
              <w:suppressAutoHyphens/>
              <w:rPr>
                <w:spacing w:val="-2"/>
              </w:rPr>
            </w:pPr>
          </w:p>
        </w:tc>
        <w:tc>
          <w:tcPr>
            <w:tcW w:w="4248" w:type="dxa"/>
          </w:tcPr>
          <w:p w:rsidR="00CF0468" w:rsidRPr="00D964DD" w:rsidP="00CF0468" w14:paraId="0AF8878D" w14:textId="77777777">
            <w:pPr>
              <w:tabs>
                <w:tab w:val="center" w:pos="4680"/>
              </w:tabs>
              <w:suppressAutoHyphens/>
              <w:rPr>
                <w:spacing w:val="-2"/>
              </w:rPr>
            </w:pPr>
          </w:p>
          <w:p w:rsidR="00CF0468" w:rsidRPr="00D964DD" w:rsidP="00CF0468" w14:paraId="7B74DB46" w14:textId="77777777">
            <w:pPr>
              <w:pStyle w:val="TOAHeading"/>
              <w:tabs>
                <w:tab w:val="center" w:pos="4680"/>
                <w:tab w:val="clear" w:pos="9360"/>
              </w:tabs>
              <w:rPr>
                <w:spacing w:val="-2"/>
              </w:rPr>
            </w:pPr>
          </w:p>
          <w:p w:rsidR="00CF0468" w:rsidRPr="00D964DD" w:rsidP="00CF0468" w14:paraId="4D0D0F54" w14:textId="77777777">
            <w:pPr>
              <w:tabs>
                <w:tab w:val="center" w:pos="4680"/>
              </w:tabs>
              <w:suppressAutoHyphens/>
              <w:rPr>
                <w:spacing w:val="-2"/>
              </w:rPr>
            </w:pPr>
            <w:r w:rsidRPr="00D964DD">
              <w:rPr>
                <w:spacing w:val="-2"/>
              </w:rPr>
              <w:t>PS Docket No. 15-91</w:t>
            </w:r>
          </w:p>
          <w:p w:rsidR="00CF0468" w:rsidRPr="00D964DD" w:rsidP="00CF0468" w14:paraId="0911EFF2" w14:textId="77777777">
            <w:pPr>
              <w:tabs>
                <w:tab w:val="center" w:pos="4680"/>
              </w:tabs>
              <w:suppressAutoHyphens/>
              <w:rPr>
                <w:spacing w:val="-2"/>
              </w:rPr>
            </w:pPr>
          </w:p>
          <w:p w:rsidR="00CF0468" w:rsidRPr="00D964DD" w:rsidP="00CF0468" w14:paraId="102ED602" w14:textId="77777777">
            <w:pPr>
              <w:tabs>
                <w:tab w:val="center" w:pos="4680"/>
              </w:tabs>
              <w:suppressAutoHyphens/>
              <w:rPr>
                <w:spacing w:val="-2"/>
              </w:rPr>
            </w:pPr>
          </w:p>
          <w:p w:rsidR="00CF0468" w:rsidRPr="00D964DD" w:rsidP="00CF0468" w14:paraId="716CEFE4" w14:textId="6FD4BBF4">
            <w:pPr>
              <w:tabs>
                <w:tab w:val="center" w:pos="4680"/>
              </w:tabs>
              <w:suppressAutoHyphens/>
              <w:rPr>
                <w:spacing w:val="-2"/>
              </w:rPr>
            </w:pPr>
            <w:r w:rsidRPr="00D964DD">
              <w:rPr>
                <w:spacing w:val="-2"/>
              </w:rPr>
              <w:t>PS Docket No. 15-94</w:t>
            </w:r>
          </w:p>
        </w:tc>
      </w:tr>
    </w:tbl>
    <w:p w:rsidR="004C2EE3" w:rsidRPr="00D964DD" w:rsidP="0070224F" w14:paraId="437CB978" w14:textId="77777777"/>
    <w:p w:rsidR="00841AB1" w:rsidRPr="00D964DD" w:rsidP="00F021FA" w14:paraId="22E40CAF" w14:textId="75BE97FF">
      <w:pPr>
        <w:pStyle w:val="StyleBoldCentered"/>
      </w:pPr>
      <w:r w:rsidRPr="00D964DD">
        <w:t>Order</w:t>
      </w:r>
    </w:p>
    <w:p w:rsidR="004C2EE3" w:rsidRPr="00D964DD" w14:paraId="21C7521E" w14:textId="77777777">
      <w:pPr>
        <w:tabs>
          <w:tab w:val="left" w:pos="-720"/>
        </w:tabs>
        <w:suppressAutoHyphens/>
        <w:spacing w:line="227" w:lineRule="auto"/>
        <w:rPr>
          <w:spacing w:val="-2"/>
        </w:rPr>
      </w:pPr>
    </w:p>
    <w:p w:rsidR="004C2EE3" w:rsidRPr="00D964DD" w:rsidP="00133F79" w14:paraId="76A619BE" w14:textId="57993579">
      <w:pPr>
        <w:tabs>
          <w:tab w:val="left" w:pos="720"/>
          <w:tab w:val="right" w:pos="9360"/>
        </w:tabs>
        <w:suppressAutoHyphens/>
        <w:spacing w:line="227" w:lineRule="auto"/>
        <w:rPr>
          <w:spacing w:val="-2"/>
        </w:rPr>
      </w:pPr>
      <w:r w:rsidRPr="00D964DD">
        <w:rPr>
          <w:b/>
          <w:spacing w:val="-2"/>
        </w:rPr>
        <w:t xml:space="preserve">Adopted:  </w:t>
      </w:r>
      <w:r w:rsidR="003D7933">
        <w:rPr>
          <w:b/>
          <w:spacing w:val="-2"/>
        </w:rPr>
        <w:t>July 8</w:t>
      </w:r>
      <w:r w:rsidRPr="00D964DD" w:rsidR="00532A7A">
        <w:rPr>
          <w:b/>
          <w:spacing w:val="-2"/>
        </w:rPr>
        <w:t>, 2020</w:t>
      </w:r>
      <w:r w:rsidRPr="00D964DD">
        <w:rPr>
          <w:b/>
          <w:spacing w:val="-2"/>
        </w:rPr>
        <w:tab/>
      </w:r>
      <w:r w:rsidRPr="00D964DD" w:rsidR="00822CE0">
        <w:rPr>
          <w:b/>
          <w:spacing w:val="-2"/>
        </w:rPr>
        <w:t>Released</w:t>
      </w:r>
      <w:r w:rsidRPr="00D964DD">
        <w:rPr>
          <w:b/>
          <w:spacing w:val="-2"/>
        </w:rPr>
        <w:t>:</w:t>
      </w:r>
      <w:r w:rsidRPr="00D964DD" w:rsidR="00CF0468">
        <w:rPr>
          <w:b/>
          <w:spacing w:val="-2"/>
        </w:rPr>
        <w:t xml:space="preserve"> </w:t>
      </w:r>
      <w:r w:rsidR="003D7933">
        <w:rPr>
          <w:b/>
          <w:spacing w:val="-2"/>
        </w:rPr>
        <w:t>July 8</w:t>
      </w:r>
      <w:r w:rsidRPr="00D964DD" w:rsidR="00532A7A">
        <w:rPr>
          <w:b/>
          <w:spacing w:val="-2"/>
        </w:rPr>
        <w:t>, 2020</w:t>
      </w:r>
    </w:p>
    <w:p w:rsidR="00822CE0" w:rsidRPr="00D964DD" w14:paraId="5D368DDA" w14:textId="77777777"/>
    <w:p w:rsidR="004C2EE3" w:rsidRPr="00D964DD" w14:paraId="10ECB98B" w14:textId="3FDF4516">
      <w:pPr>
        <w:rPr>
          <w:spacing w:val="-2"/>
        </w:rPr>
      </w:pPr>
      <w:r w:rsidRPr="00D964DD">
        <w:t xml:space="preserve">By </w:t>
      </w:r>
      <w:r w:rsidRPr="00D964DD" w:rsidR="004E4A22">
        <w:t>the</w:t>
      </w:r>
      <w:r w:rsidRPr="00D964DD" w:rsidR="002A2D2E">
        <w:t xml:space="preserve"> </w:t>
      </w:r>
      <w:r w:rsidRPr="00D964DD" w:rsidR="00782E88">
        <w:rPr>
          <w:spacing w:val="-2"/>
        </w:rPr>
        <w:t xml:space="preserve">Chief, </w:t>
      </w:r>
      <w:r w:rsidRPr="00D964DD" w:rsidR="00CF0468">
        <w:rPr>
          <w:spacing w:val="-2"/>
        </w:rPr>
        <w:t>Public Safety and Homeland Security</w:t>
      </w:r>
      <w:r w:rsidRPr="00D964DD" w:rsidR="00782E88">
        <w:rPr>
          <w:spacing w:val="-2"/>
        </w:rPr>
        <w:t xml:space="preserve"> Bureau:</w:t>
      </w:r>
    </w:p>
    <w:p w:rsidR="00224534" w:rsidRPr="00D964DD" w:rsidP="00224534" w14:paraId="45063033" w14:textId="77777777">
      <w:pPr>
        <w:pStyle w:val="Heading1"/>
        <w:numPr>
          <w:ilvl w:val="0"/>
          <w:numId w:val="0"/>
        </w:numPr>
        <w:ind w:left="720"/>
      </w:pPr>
    </w:p>
    <w:p w:rsidR="00224534" w:rsidRPr="00D964DD" w:rsidP="00224534" w14:paraId="7C4988F7" w14:textId="2B75107C">
      <w:pPr>
        <w:pStyle w:val="Heading1"/>
      </w:pPr>
      <w:bookmarkStart w:id="1" w:name="_Hlk44058119"/>
      <w:r w:rsidRPr="00D964DD">
        <w:t>Introduction</w:t>
      </w:r>
      <w:bookmarkEnd w:id="1"/>
    </w:p>
    <w:p w:rsidR="00CF0468" w:rsidRPr="00D964DD" w:rsidP="001F0C96" w14:paraId="13F824F3" w14:textId="513327B8">
      <w:pPr>
        <w:pStyle w:val="ParaNum"/>
        <w:tabs>
          <w:tab w:val="clear" w:pos="1080"/>
          <w:tab w:val="num" w:pos="1440"/>
        </w:tabs>
      </w:pPr>
      <w:r>
        <w:t xml:space="preserve">In past years, the Federal Communications Commission, in coordination with the Federal Emergency Management Agency (FEMA), has conducted nationwide tests of the Emergency Alert System (EAS) to assess the reliability and effectiveness of the nation’s alert and warning infrastructure.  </w:t>
      </w:r>
      <w:r w:rsidR="00696B14">
        <w:t>EAS Participants provide the Commission with information about their performance in the nationwide test through the EAS Test Reporting System (ETRS), an</w:t>
      </w:r>
      <w:r>
        <w:t xml:space="preserve"> online system used by the Commission to collect and analyze the results of nationwide EAS tests</w:t>
      </w:r>
      <w:r w:rsidR="00696B14">
        <w:t>.</w:t>
      </w:r>
      <w:r>
        <w:rPr>
          <w:rStyle w:val="FootnoteReference"/>
        </w:rPr>
        <w:footnoteReference w:id="3"/>
      </w:r>
      <w:r w:rsidRPr="00D964DD" w:rsidR="00696B14">
        <w:rPr>
          <w:rStyle w:val="FootnoteReference"/>
        </w:rPr>
        <w:t xml:space="preserve"> </w:t>
      </w:r>
      <w:r w:rsidR="00696B14">
        <w:t xml:space="preserve">  </w:t>
      </w:r>
      <w:r w:rsidR="00744A89">
        <w:t xml:space="preserve">Under the Commission’s rules, </w:t>
      </w:r>
      <w:r w:rsidR="00EB5632">
        <w:t xml:space="preserve">EAS Participants </w:t>
      </w:r>
      <w:r w:rsidR="00744A89">
        <w:t>must</w:t>
      </w:r>
      <w:r w:rsidR="00EB5632">
        <w:t xml:space="preserve"> renew their identifying information yearly in ETRS.</w:t>
      </w:r>
      <w:r>
        <w:rPr>
          <w:rStyle w:val="FootnoteReference"/>
        </w:rPr>
        <w:footnoteReference w:id="4"/>
      </w:r>
      <w:r w:rsidR="00EB5632">
        <w:t xml:space="preserve">  </w:t>
      </w:r>
      <w:r w:rsidR="00744A89">
        <w:t>This year, however, i</w:t>
      </w:r>
      <w:r w:rsidRPr="00D964DD" w:rsidR="00724B5E">
        <w:t xml:space="preserve">n consideration of the </w:t>
      </w:r>
      <w:r w:rsidRPr="00D964DD" w:rsidR="00151108">
        <w:t>ongoing coronavirus</w:t>
      </w:r>
      <w:r w:rsidRPr="00D964DD" w:rsidR="00CE410D">
        <w:t xml:space="preserve"> (COVID-19</w:t>
      </w:r>
      <w:r w:rsidRPr="00D964DD" w:rsidR="00151108">
        <w:t>) national emergency</w:t>
      </w:r>
      <w:r>
        <w:rPr>
          <w:rStyle w:val="FootnoteReference"/>
        </w:rPr>
        <w:footnoteReference w:id="5"/>
      </w:r>
      <w:r w:rsidRPr="00D964DD" w:rsidR="00151108">
        <w:t xml:space="preserve"> </w:t>
      </w:r>
      <w:r w:rsidRPr="00D964DD" w:rsidR="00724B5E">
        <w:t xml:space="preserve">and </w:t>
      </w:r>
      <w:r w:rsidR="003D7933">
        <w:t>FEMA</w:t>
      </w:r>
      <w:r w:rsidRPr="00D964DD" w:rsidR="00A1092D">
        <w:t>’s</w:t>
      </w:r>
      <w:r w:rsidRPr="00D964DD" w:rsidR="00724B5E">
        <w:t xml:space="preserve"> </w:t>
      </w:r>
      <w:r w:rsidR="00311D82">
        <w:t>decision</w:t>
      </w:r>
      <w:r w:rsidRPr="00D964DD" w:rsidR="00724B5E">
        <w:t xml:space="preserve"> not </w:t>
      </w:r>
      <w:r w:rsidR="00311D82">
        <w:t xml:space="preserve">to </w:t>
      </w:r>
      <w:r w:rsidRPr="00D964DD" w:rsidR="00724B5E">
        <w:t>conduct a nationwide test of the E</w:t>
      </w:r>
      <w:r w:rsidR="003D7933">
        <w:t>AS</w:t>
      </w:r>
      <w:r w:rsidRPr="00D964DD" w:rsidR="00724B5E">
        <w:t xml:space="preserve"> in 2020,</w:t>
      </w:r>
      <w:r>
        <w:rPr>
          <w:rStyle w:val="FootnoteReference"/>
        </w:rPr>
        <w:footnoteReference w:id="6"/>
      </w:r>
      <w:r w:rsidR="00311D82">
        <w:t xml:space="preserve"> </w:t>
      </w:r>
      <w:r w:rsidRPr="00D964DD" w:rsidR="00151108">
        <w:rPr>
          <w:rStyle w:val="FootnoteReference"/>
        </w:rPr>
        <w:t xml:space="preserve"> </w:t>
      </w:r>
      <w:r w:rsidRPr="00D964DD" w:rsidR="00151108">
        <w:t xml:space="preserve">the Public Safety and Homeland Security Bureau (Bureau) finds good cause to </w:t>
      </w:r>
      <w:r w:rsidR="00311D82">
        <w:t>waive</w:t>
      </w:r>
      <w:r w:rsidRPr="00D964DD" w:rsidR="00151108">
        <w:t xml:space="preserve">, on </w:t>
      </w:r>
      <w:r w:rsidRPr="00D964DD" w:rsidR="003752D9">
        <w:t>its</w:t>
      </w:r>
      <w:r w:rsidRPr="00D964DD" w:rsidR="00151108">
        <w:t xml:space="preserve"> own motion,</w:t>
      </w:r>
      <w:r>
        <w:rPr>
          <w:rStyle w:val="FootnoteReference"/>
          <w:sz w:val="22"/>
          <w:szCs w:val="22"/>
        </w:rPr>
        <w:footnoteReference w:id="7"/>
      </w:r>
      <w:r w:rsidRPr="00D964DD" w:rsidR="00151108">
        <w:t xml:space="preserve"> </w:t>
      </w:r>
      <w:r w:rsidR="00311D82">
        <w:t>the</w:t>
      </w:r>
      <w:r w:rsidR="005622E0">
        <w:t xml:space="preserve"> requirement </w:t>
      </w:r>
      <w:r w:rsidR="00311D82">
        <w:t>that EAS Participants</w:t>
      </w:r>
      <w:r w:rsidR="00744A89">
        <w:t xml:space="preserve"> </w:t>
      </w:r>
      <w:r w:rsidR="00311D82">
        <w:t xml:space="preserve">must file identifying information </w:t>
      </w:r>
      <w:r w:rsidR="005622E0">
        <w:t>i</w:t>
      </w:r>
      <w:r w:rsidR="00311D82">
        <w:t xml:space="preserve">n the </w:t>
      </w:r>
      <w:r w:rsidR="00744A89">
        <w:t>ETRS</w:t>
      </w:r>
      <w:r w:rsidR="00311D82">
        <w:t>.</w:t>
      </w:r>
      <w:r w:rsidRPr="00D964DD">
        <w:rPr>
          <w:rStyle w:val="FootnoteReference"/>
        </w:rPr>
        <w:t xml:space="preserve"> </w:t>
      </w:r>
      <w:r w:rsidRPr="00D964DD" w:rsidR="002F5533">
        <w:t xml:space="preserve"> </w:t>
      </w:r>
      <w:r w:rsidRPr="00D964DD" w:rsidR="008360DE">
        <w:t xml:space="preserve"> </w:t>
      </w:r>
    </w:p>
    <w:p w:rsidR="004A0CE8" w:rsidRPr="00D964DD" w:rsidP="004A0CE8" w14:paraId="0E4FFA42" w14:textId="40DE41B1">
      <w:pPr>
        <w:pStyle w:val="Heading1"/>
      </w:pPr>
      <w:r w:rsidRPr="00D964DD">
        <w:t>DISCUSSION</w:t>
      </w:r>
    </w:p>
    <w:p w:rsidR="00755836" w:rsidRPr="00D964DD" w:rsidP="005622E0" w14:paraId="1D5E35F8" w14:textId="3931DA90">
      <w:pPr>
        <w:pStyle w:val="ParaNum"/>
        <w:tabs>
          <w:tab w:val="clear" w:pos="1080"/>
          <w:tab w:val="num" w:pos="1440"/>
        </w:tabs>
      </w:pPr>
      <w:r w:rsidRPr="00D964DD">
        <w:t>Under Section 1.3, t</w:t>
      </w:r>
      <w:r w:rsidRPr="00D964DD" w:rsidR="00151108">
        <w:t>he Commission may waive its rules for “good cause.”</w:t>
      </w:r>
      <w:r>
        <w:rPr>
          <w:rStyle w:val="FootnoteReference"/>
        </w:rPr>
        <w:footnoteReference w:id="8"/>
      </w:r>
      <w:r w:rsidRPr="00D964DD" w:rsidR="00151108">
        <w:t xml:space="preserve">  Good cause exists where special circumstances warrant a deviation from the general rule, and if </w:t>
      </w:r>
      <w:r w:rsidRPr="00D964DD">
        <w:t xml:space="preserve">the </w:t>
      </w:r>
      <w:r w:rsidRPr="00D964DD" w:rsidR="00151108">
        <w:t>deviation will serve the public interest.</w:t>
      </w:r>
      <w:r>
        <w:rPr>
          <w:rStyle w:val="FootnoteReference"/>
        </w:rPr>
        <w:footnoteReference w:id="9"/>
      </w:r>
      <w:r w:rsidR="005622E0">
        <w:t xml:space="preserve">  We find that the COVID-19 pandemic presents good cause for waiving our yearly ETRS Form One filing requirement.  </w:t>
      </w:r>
      <w:r w:rsidRPr="00D964DD" w:rsidR="009751D6">
        <w:t xml:space="preserve">COVID-19 is a respiratory illness that has spread throughout the </w:t>
      </w:r>
      <w:r w:rsidRPr="00D964DD" w:rsidR="00427F8E">
        <w:t>world</w:t>
      </w:r>
      <w:r w:rsidRPr="00D964DD" w:rsidR="003C007A">
        <w:t>, reaching pandemic proportions</w:t>
      </w:r>
      <w:r w:rsidRPr="00D964DD" w:rsidR="009751D6">
        <w:t>.</w:t>
      </w:r>
      <w:r>
        <w:rPr>
          <w:rStyle w:val="FootnoteReference"/>
        </w:rPr>
        <w:footnoteReference w:id="10"/>
      </w:r>
      <w:r w:rsidRPr="00D964DD" w:rsidR="009751D6">
        <w:rPr>
          <w:rStyle w:val="FootnoteReference"/>
        </w:rPr>
        <w:t xml:space="preserve"> </w:t>
      </w:r>
      <w:r w:rsidRPr="00D964DD" w:rsidR="009751D6">
        <w:t xml:space="preserve"> </w:t>
      </w:r>
      <w:r w:rsidRPr="00D964DD">
        <w:t>T</w:t>
      </w:r>
      <w:r w:rsidRPr="00D964DD" w:rsidR="00151108">
        <w:t>he United States is experiencing a national emergency due to th</w:t>
      </w:r>
      <w:r w:rsidRPr="00D964DD" w:rsidR="004D0A1D">
        <w:t>is</w:t>
      </w:r>
      <w:r w:rsidRPr="00D964DD" w:rsidR="00151108">
        <w:t xml:space="preserve"> ongoing pandemic.</w:t>
      </w:r>
      <w:r>
        <w:rPr>
          <w:rStyle w:val="FootnoteReference"/>
        </w:rPr>
        <w:footnoteReference w:id="11"/>
      </w:r>
      <w:r w:rsidRPr="00D964DD" w:rsidR="00151108">
        <w:t xml:space="preserve"> </w:t>
      </w:r>
      <w:r w:rsidRPr="00D964DD">
        <w:t xml:space="preserve"> </w:t>
      </w:r>
      <w:r w:rsidRPr="00D964DD" w:rsidR="009751D6">
        <w:t xml:space="preserve">In addition to the extremely serious and potentially life-threatening health consequences, the rapid and extensive spread of COVID-19 has disrupted many aspects of everyday life and lead many states and local jurisdictions to </w:t>
      </w:r>
      <w:r w:rsidRPr="00D964DD" w:rsidR="00496E33">
        <w:t>issue</w:t>
      </w:r>
      <w:r w:rsidRPr="00D964DD" w:rsidR="009751D6">
        <w:t xml:space="preserve"> “stay at home” orders to limit the spread of the disease.  </w:t>
      </w:r>
      <w:r w:rsidRPr="00D964DD">
        <w:t>Although</w:t>
      </w:r>
      <w:r w:rsidRPr="00D964DD" w:rsidR="009751D6">
        <w:t xml:space="preserve"> </w:t>
      </w:r>
      <w:r w:rsidRPr="00D964DD">
        <w:t xml:space="preserve">many states </w:t>
      </w:r>
      <w:r w:rsidRPr="00D964DD" w:rsidR="00954E3B">
        <w:t xml:space="preserve">and localities </w:t>
      </w:r>
      <w:r w:rsidRPr="00D964DD">
        <w:t xml:space="preserve">have begun lifting some of the COVID-19-related “stay-at-home” orders through various phased reopening approaches, many restrictions, including “social distancing” measures, remain in effect with </w:t>
      </w:r>
      <w:r w:rsidRPr="00D964DD" w:rsidR="009751D6">
        <w:t xml:space="preserve">no definitive dates in place </w:t>
      </w:r>
      <w:r w:rsidRPr="00D964DD">
        <w:t>for their removal.</w:t>
      </w:r>
      <w:r>
        <w:rPr>
          <w:rStyle w:val="FootnoteReference"/>
        </w:rPr>
        <w:footnoteReference w:id="12"/>
      </w:r>
      <w:r w:rsidRPr="00D964DD">
        <w:rPr>
          <w:rStyle w:val="FootnoteReference"/>
        </w:rPr>
        <w:t xml:space="preserve"> </w:t>
      </w:r>
      <w:r w:rsidRPr="00D964DD">
        <w:t xml:space="preserve"> Federal, state, and local governments </w:t>
      </w:r>
      <w:r w:rsidRPr="00D964DD" w:rsidR="00B11CEB">
        <w:t>are</w:t>
      </w:r>
      <w:r w:rsidRPr="00D964DD">
        <w:t xml:space="preserve"> planning how they will allow schools, businesses, and local</w:t>
      </w:r>
      <w:r w:rsidRPr="00D964DD" w:rsidR="009751D6">
        <w:t xml:space="preserve"> governments</w:t>
      </w:r>
      <w:r w:rsidRPr="00D964DD">
        <w:t xml:space="preserve"> to reopen.</w:t>
      </w:r>
      <w:r>
        <w:rPr>
          <w:rStyle w:val="FootnoteReference"/>
        </w:rPr>
        <w:footnoteReference w:id="13"/>
      </w:r>
      <w:r w:rsidRPr="00D964DD">
        <w:rPr>
          <w:rStyle w:val="FootnoteReference"/>
        </w:rPr>
        <w:t xml:space="preserve"> </w:t>
      </w:r>
      <w:r w:rsidRPr="00D964DD">
        <w:t xml:space="preserve"> And, even with the loosening of </w:t>
      </w:r>
      <w:r w:rsidRPr="00D964DD" w:rsidR="00954E3B">
        <w:t xml:space="preserve">some </w:t>
      </w:r>
      <w:r w:rsidRPr="00D964DD">
        <w:t>restrictions, many employers continue to maintain much of their workforce working remotely</w:t>
      </w:r>
      <w:r w:rsidRPr="00D964DD" w:rsidR="009751D6">
        <w:t xml:space="preserve"> for the immediate future</w:t>
      </w:r>
      <w:r w:rsidRPr="00D964DD">
        <w:t>.</w:t>
      </w:r>
      <w:r>
        <w:rPr>
          <w:rStyle w:val="FootnoteReference"/>
        </w:rPr>
        <w:footnoteReference w:id="14"/>
      </w:r>
      <w:r w:rsidRPr="00D964DD">
        <w:t xml:space="preserve">  </w:t>
      </w:r>
      <w:r w:rsidRPr="00D964DD" w:rsidR="00796F40">
        <w:t>O</w:t>
      </w:r>
      <w:r w:rsidRPr="00D964DD" w:rsidR="007C134E">
        <w:t xml:space="preserve">n </w:t>
      </w:r>
      <w:r w:rsidRPr="00D964DD" w:rsidR="00796F40">
        <w:t>June 19, 2020</w:t>
      </w:r>
      <w:r w:rsidRPr="00D964DD" w:rsidR="007C134E">
        <w:t xml:space="preserve">, </w:t>
      </w:r>
      <w:r w:rsidRPr="00D964DD" w:rsidR="00796F40">
        <w:t xml:space="preserve">due to the ongoing coronavirus public health emergency response, </w:t>
      </w:r>
      <w:r w:rsidRPr="00D964DD" w:rsidR="007C134E">
        <w:t xml:space="preserve">FEMA announced that it will not conduct a nationwide test of the </w:t>
      </w:r>
      <w:r w:rsidRPr="00D964DD" w:rsidR="00796F40">
        <w:t xml:space="preserve">Integrated Public Alert and Warning System (IPAWS) </w:t>
      </w:r>
      <w:r w:rsidRPr="00D964DD" w:rsidR="007C134E">
        <w:t>in 2020.</w:t>
      </w:r>
      <w:r>
        <w:rPr>
          <w:vertAlign w:val="superscript"/>
        </w:rPr>
        <w:footnoteReference w:id="15"/>
      </w:r>
    </w:p>
    <w:p w:rsidR="00151108" w:rsidRPr="00D964DD" w:rsidP="00B91E90" w14:paraId="7063C094" w14:textId="075B9BB7">
      <w:pPr>
        <w:pStyle w:val="ParaNum"/>
        <w:widowControl/>
        <w:tabs>
          <w:tab w:val="clear" w:pos="1080"/>
          <w:tab w:val="num" w:pos="1440"/>
        </w:tabs>
      </w:pPr>
      <w:r w:rsidRPr="00D964DD">
        <w:t>Although EAS Participants vastly differ in business type, size</w:t>
      </w:r>
      <w:r w:rsidR="005622E0">
        <w:t>,</w:t>
      </w:r>
      <w:r w:rsidRPr="00D964DD">
        <w:t xml:space="preserve"> and location, </w:t>
      </w:r>
      <w:r w:rsidRPr="00D964DD" w:rsidR="00C456AA">
        <w:t xml:space="preserve">we </w:t>
      </w:r>
      <w:r w:rsidR="005622E0">
        <w:t>recognize that</w:t>
      </w:r>
      <w:r w:rsidRPr="00D964DD" w:rsidR="00C456AA">
        <w:t xml:space="preserve"> </w:t>
      </w:r>
      <w:r w:rsidR="005622E0">
        <w:t xml:space="preserve">all </w:t>
      </w:r>
      <w:r w:rsidRPr="00D964DD" w:rsidR="00C456AA">
        <w:t>EAS Participants</w:t>
      </w:r>
      <w:r w:rsidRPr="00D964DD" w:rsidR="009751D6">
        <w:t xml:space="preserve"> have </w:t>
      </w:r>
      <w:r w:rsidR="005622E0">
        <w:t>faced challenging burdens</w:t>
      </w:r>
      <w:r w:rsidRPr="00D964DD" w:rsidR="007334BF">
        <w:t xml:space="preserve"> </w:t>
      </w:r>
      <w:r w:rsidRPr="00D964DD" w:rsidR="007A7E7C">
        <w:t>due to</w:t>
      </w:r>
      <w:r w:rsidRPr="00D964DD" w:rsidR="00D2735C">
        <w:t xml:space="preserve"> the extraordinary circumstances presented by the </w:t>
      </w:r>
      <w:r w:rsidRPr="00D964DD" w:rsidR="009751D6">
        <w:t>COVID-19 pandemic</w:t>
      </w:r>
      <w:r w:rsidRPr="00D964DD" w:rsidR="007334BF">
        <w:t>.</w:t>
      </w:r>
      <w:r w:rsidRPr="00D964DD" w:rsidR="00C456AA">
        <w:t xml:space="preserve"> </w:t>
      </w:r>
      <w:r w:rsidRPr="00D964DD" w:rsidR="003B527A">
        <w:t xml:space="preserve"> </w:t>
      </w:r>
      <w:r w:rsidRPr="00D964DD" w:rsidR="00755836">
        <w:t xml:space="preserve">Given the </w:t>
      </w:r>
      <w:r w:rsidR="005622E0">
        <w:t>ongoing</w:t>
      </w:r>
      <w:r w:rsidRPr="00D964DD" w:rsidR="00754720">
        <w:t xml:space="preserve"> pandemic</w:t>
      </w:r>
      <w:r w:rsidR="005622E0">
        <w:t xml:space="preserve">, as well as FEMA’s </w:t>
      </w:r>
      <w:r w:rsidRPr="00D964DD" w:rsidR="007C134E">
        <w:t>announcement that there will be no nationwide EAS test in 2020</w:t>
      </w:r>
      <w:r w:rsidRPr="00D964DD" w:rsidR="00954E3B">
        <w:t>, w</w:t>
      </w:r>
      <w:r w:rsidRPr="00D964DD" w:rsidR="008B0D36">
        <w:t xml:space="preserve">e believe that EAS Participants </w:t>
      </w:r>
      <w:r w:rsidRPr="00D964DD" w:rsidR="00755836">
        <w:t xml:space="preserve">would benefit from being relieved of the yearly </w:t>
      </w:r>
      <w:r w:rsidR="009E595F">
        <w:t xml:space="preserve">ETRS </w:t>
      </w:r>
      <w:r w:rsidRPr="00D964DD" w:rsidR="00755836">
        <w:t xml:space="preserve">Form One filing requirement </w:t>
      </w:r>
      <w:r w:rsidR="00A447BA">
        <w:t>this year</w:t>
      </w:r>
      <w:r w:rsidRPr="00D964DD" w:rsidR="00755836">
        <w:t xml:space="preserve">. </w:t>
      </w:r>
      <w:r w:rsidRPr="00D964DD" w:rsidR="004A49C2">
        <w:t xml:space="preserve"> </w:t>
      </w:r>
      <w:r w:rsidRPr="00D964DD" w:rsidR="004D0A1D">
        <w:t xml:space="preserve">We find that the benefit of not </w:t>
      </w:r>
      <w:r w:rsidRPr="00D964DD" w:rsidR="004D0A1D">
        <w:t xml:space="preserve">filing this form in the midst of </w:t>
      </w:r>
      <w:r w:rsidR="005622E0">
        <w:t xml:space="preserve">EAS Participants’ need to </w:t>
      </w:r>
      <w:r w:rsidRPr="00D964DD" w:rsidR="004D0A1D">
        <w:t xml:space="preserve">respond to the COVID-19 pandemic outweighs the cost to the Bureau of not receiving the updated information from EAS Participants’ </w:t>
      </w:r>
      <w:r w:rsidRPr="00D964DD" w:rsidR="00E34CD0">
        <w:t xml:space="preserve">Form One </w:t>
      </w:r>
      <w:r w:rsidRPr="00D964DD" w:rsidR="004D0A1D">
        <w:t>filings</w:t>
      </w:r>
      <w:r w:rsidR="009E595F">
        <w:t>, particularly in a year when there will be no nationwide EAS test</w:t>
      </w:r>
      <w:r w:rsidRPr="00D964DD" w:rsidR="004D0A1D">
        <w:t xml:space="preserve">.  </w:t>
      </w:r>
      <w:r w:rsidRPr="00D964DD" w:rsidR="00C456AA">
        <w:t>Accordingly, w</w:t>
      </w:r>
      <w:r w:rsidRPr="00D964DD">
        <w:t xml:space="preserve">e </w:t>
      </w:r>
      <w:r w:rsidRPr="00D964DD" w:rsidR="008B0D36">
        <w:t>find</w:t>
      </w:r>
      <w:r w:rsidRPr="00D964DD">
        <w:t xml:space="preserve"> it is in the public interest to </w:t>
      </w:r>
      <w:r w:rsidRPr="00D964DD" w:rsidR="007B3FA3">
        <w:t>waive this</w:t>
      </w:r>
      <w:r w:rsidRPr="00D964DD" w:rsidR="00BA4C18">
        <w:t xml:space="preserve"> filing </w:t>
      </w:r>
      <w:r w:rsidRPr="00D964DD" w:rsidR="007B3FA3">
        <w:t>requirement</w:t>
      </w:r>
      <w:r w:rsidRPr="00D964DD" w:rsidR="00BA4C18">
        <w:t xml:space="preserve"> </w:t>
      </w:r>
      <w:r w:rsidRPr="00D964DD" w:rsidR="007B3FA3">
        <w:t xml:space="preserve">for </w:t>
      </w:r>
      <w:r w:rsidRPr="00D964DD" w:rsidR="00BA4C18">
        <w:t xml:space="preserve">EAS Participants to </w:t>
      </w:r>
      <w:r w:rsidRPr="00D964DD" w:rsidR="007B3FA3">
        <w:t>allow them to allocate their a</w:t>
      </w:r>
      <w:r w:rsidRPr="00D964DD" w:rsidR="00D2735C">
        <w:t>vailable</w:t>
      </w:r>
      <w:r w:rsidRPr="00D964DD" w:rsidR="007B3FA3">
        <w:t xml:space="preserve"> resources to </w:t>
      </w:r>
      <w:r w:rsidRPr="00D964DD" w:rsidR="00D2735C">
        <w:t xml:space="preserve">respond to </w:t>
      </w:r>
      <w:r w:rsidRPr="00D964DD" w:rsidR="007B3FA3">
        <w:t xml:space="preserve">the pandemic and other critical aspects as needed. </w:t>
      </w:r>
    </w:p>
    <w:p w:rsidR="007B3FA3" w:rsidRPr="00D964DD" w:rsidP="007B3FA3" w14:paraId="028E90A4" w14:textId="33673B0E">
      <w:pPr>
        <w:pStyle w:val="Heading1"/>
      </w:pPr>
      <w:r w:rsidRPr="00D964DD">
        <w:t>ORDERING CLAUSES</w:t>
      </w:r>
    </w:p>
    <w:p w:rsidR="008B3D7E" w:rsidRPr="00D964DD" w:rsidP="003867E8" w14:paraId="442C3951" w14:textId="248E5218">
      <w:pPr>
        <w:pStyle w:val="ParaNum"/>
        <w:tabs>
          <w:tab w:val="clear" w:pos="1080"/>
          <w:tab w:val="num" w:pos="1440"/>
        </w:tabs>
      </w:pPr>
      <w:r w:rsidRPr="00D964DD">
        <w:t xml:space="preserve">Accordingly, IT IS ORDERED that, pursuant to Section 4(i) of the Communications Act of 1934, as amended, 47 U.S.C. § 154(i), and Section 1.3 of the Commission’s rules, 47 CFR § 1.3, of the Commission’s rules, </w:t>
      </w:r>
      <w:r w:rsidRPr="00D964DD" w:rsidR="009763C5">
        <w:t>Section 11.61(a)(3)(iv)(A) of the Commission’s rules</w:t>
      </w:r>
      <w:r w:rsidRPr="00D964DD" w:rsidR="00D864B0">
        <w:t>,</w:t>
      </w:r>
      <w:r w:rsidRPr="00D964DD" w:rsidR="009763C5">
        <w:t xml:space="preserve"> </w:t>
      </w:r>
      <w:r w:rsidRPr="00D964DD" w:rsidR="00D864B0">
        <w:t xml:space="preserve">47 CFR § 11.61(a)(3)(iv)(A), </w:t>
      </w:r>
      <w:r w:rsidRPr="00D964DD" w:rsidR="00DD3FAB">
        <w:t>is</w:t>
      </w:r>
      <w:r w:rsidRPr="00D964DD" w:rsidR="009763C5">
        <w:t xml:space="preserve"> waived to the extent provided herein.</w:t>
      </w:r>
      <w:r w:rsidRPr="00D964DD">
        <w:t xml:space="preserve">  This action is taken under delegated authority pursuant to Sections 0.191 and 0.392 of the Commission’s rules, 47 CFR §§ 0.191 and 0.392.</w:t>
      </w:r>
      <w:r w:rsidRPr="00D964DD" w:rsidR="009763C5">
        <w:t xml:space="preserve">  </w:t>
      </w:r>
    </w:p>
    <w:p w:rsidR="009763C5" w:rsidRPr="00D964DD" w:rsidP="003867E8" w14:paraId="2C2002E8" w14:textId="57BB86CC">
      <w:pPr>
        <w:pStyle w:val="ParaNum"/>
        <w:tabs>
          <w:tab w:val="clear" w:pos="1080"/>
          <w:tab w:val="num" w:pos="1440"/>
        </w:tabs>
      </w:pPr>
      <w:r w:rsidRPr="00D964DD">
        <w:t>IT IS FURTHER ORDERED that, pursuant to section 1.102(b)(1) of the Commission rules, 47 CFR § 1.102(b)(1), this Order SHALL BE EFFECTIVE upon release.</w:t>
      </w:r>
    </w:p>
    <w:p w:rsidR="00D81419" w:rsidRPr="00D964DD" w:rsidP="00451949" w14:paraId="245162DE" w14:textId="1D78BF8F">
      <w:pPr>
        <w:pStyle w:val="ParaNum"/>
        <w:numPr>
          <w:ilvl w:val="0"/>
          <w:numId w:val="0"/>
        </w:numPr>
        <w:rPr>
          <w:snapToGrid/>
        </w:rPr>
      </w:pPr>
    </w:p>
    <w:p w:rsidR="00D81419" w:rsidRPr="00D964DD" w:rsidP="00B23BCA" w14:paraId="614A9CC3" w14:textId="09849C7E">
      <w:pPr>
        <w:widowControl/>
        <w:autoSpaceDE w:val="0"/>
        <w:autoSpaceDN w:val="0"/>
        <w:adjustRightInd w:val="0"/>
        <w:ind w:left="4320"/>
        <w:rPr>
          <w:rFonts w:ascii="TimesNewRomanPSMT" w:hAnsi="TimesNewRomanPSMT" w:cs="TimesNewRomanPSMT"/>
          <w:snapToGrid/>
          <w:color w:val="000000"/>
          <w:kern w:val="0"/>
          <w:szCs w:val="22"/>
        </w:rPr>
      </w:pPr>
      <w:r w:rsidRPr="00D964DD">
        <w:rPr>
          <w:rFonts w:ascii="TimesNewRomanPSMT" w:hAnsi="TimesNewRomanPSMT" w:cs="TimesNewRomanPSMT"/>
          <w:snapToGrid/>
          <w:color w:val="000000"/>
          <w:kern w:val="0"/>
          <w:szCs w:val="22"/>
        </w:rPr>
        <w:t>FEDERAL COMMUNICATIONS COMMISSION</w:t>
      </w:r>
    </w:p>
    <w:p w:rsidR="00B23BCA" w:rsidRPr="00D964DD" w:rsidP="00D81419" w14:paraId="2D05B950" w14:textId="77777777">
      <w:pPr>
        <w:widowControl/>
        <w:autoSpaceDE w:val="0"/>
        <w:autoSpaceDN w:val="0"/>
        <w:adjustRightInd w:val="0"/>
        <w:rPr>
          <w:rFonts w:ascii="TimesNewRomanPSMT" w:hAnsi="TimesNewRomanPSMT" w:cs="TimesNewRomanPSMT"/>
          <w:snapToGrid/>
          <w:color w:val="000000"/>
          <w:kern w:val="0"/>
          <w:szCs w:val="22"/>
        </w:rPr>
      </w:pPr>
    </w:p>
    <w:p w:rsidR="00B23BCA" w:rsidRPr="00D964DD" w:rsidP="00D81419" w14:paraId="38DF1EB3" w14:textId="06B7D707">
      <w:pPr>
        <w:widowControl/>
        <w:autoSpaceDE w:val="0"/>
        <w:autoSpaceDN w:val="0"/>
        <w:adjustRightInd w:val="0"/>
        <w:rPr>
          <w:rFonts w:ascii="TimesNewRomanPSMT" w:hAnsi="TimesNewRomanPSMT" w:cs="TimesNewRomanPSMT"/>
          <w:snapToGrid/>
          <w:color w:val="000000"/>
          <w:kern w:val="0"/>
          <w:szCs w:val="22"/>
        </w:rPr>
      </w:pPr>
    </w:p>
    <w:p w:rsidR="00983D68" w:rsidRPr="00D964DD" w:rsidP="00D81419" w14:paraId="55C0EAFA" w14:textId="77777777">
      <w:pPr>
        <w:widowControl/>
        <w:autoSpaceDE w:val="0"/>
        <w:autoSpaceDN w:val="0"/>
        <w:adjustRightInd w:val="0"/>
        <w:rPr>
          <w:rFonts w:ascii="TimesNewRomanPSMT" w:hAnsi="TimesNewRomanPSMT" w:cs="TimesNewRomanPSMT"/>
          <w:snapToGrid/>
          <w:color w:val="000000"/>
          <w:kern w:val="0"/>
          <w:szCs w:val="22"/>
        </w:rPr>
      </w:pPr>
    </w:p>
    <w:p w:rsidR="00B23BCA" w:rsidRPr="00D964DD" w:rsidP="00D81419" w14:paraId="1E2963AF" w14:textId="77777777">
      <w:pPr>
        <w:widowControl/>
        <w:autoSpaceDE w:val="0"/>
        <w:autoSpaceDN w:val="0"/>
        <w:adjustRightInd w:val="0"/>
        <w:rPr>
          <w:rFonts w:ascii="TimesNewRomanPSMT" w:hAnsi="TimesNewRomanPSMT" w:cs="TimesNewRomanPSMT"/>
          <w:snapToGrid/>
          <w:color w:val="000000"/>
          <w:kern w:val="0"/>
          <w:szCs w:val="22"/>
        </w:rPr>
      </w:pPr>
    </w:p>
    <w:p w:rsidR="00D81419" w:rsidRPr="00D964DD" w:rsidP="00B23BCA" w14:paraId="066CD4F0" w14:textId="50876252">
      <w:pPr>
        <w:widowControl/>
        <w:autoSpaceDE w:val="0"/>
        <w:autoSpaceDN w:val="0"/>
        <w:adjustRightInd w:val="0"/>
        <w:ind w:left="3600" w:firstLine="720"/>
        <w:rPr>
          <w:rFonts w:ascii="TimesNewRomanPSMT" w:hAnsi="TimesNewRomanPSMT" w:cs="TimesNewRomanPSMT"/>
          <w:snapToGrid/>
          <w:color w:val="000000"/>
          <w:kern w:val="0"/>
          <w:szCs w:val="22"/>
        </w:rPr>
      </w:pPr>
      <w:r w:rsidRPr="00D964DD">
        <w:rPr>
          <w:rFonts w:ascii="TimesNewRomanPSMT" w:hAnsi="TimesNewRomanPSMT" w:cs="TimesNewRomanPSMT"/>
          <w:snapToGrid/>
          <w:color w:val="000000"/>
          <w:kern w:val="0"/>
          <w:szCs w:val="22"/>
        </w:rPr>
        <w:t>Lisa M. Fowlkes</w:t>
      </w:r>
      <w:r w:rsidRPr="00D964DD" w:rsidR="00653BD1">
        <w:rPr>
          <w:rFonts w:ascii="TimesNewRomanPSMT" w:hAnsi="TimesNewRomanPSMT" w:cs="TimesNewRomanPSMT"/>
          <w:snapToGrid/>
          <w:color w:val="000000"/>
          <w:kern w:val="0"/>
          <w:szCs w:val="22"/>
        </w:rPr>
        <w:t>, Chief</w:t>
      </w:r>
    </w:p>
    <w:p w:rsidR="00412FC5" w:rsidRPr="00D964DD" w:rsidP="00843BEB" w14:paraId="05389581" w14:textId="1963D1C7">
      <w:pPr>
        <w:pStyle w:val="ParaNum"/>
        <w:numPr>
          <w:ilvl w:val="0"/>
          <w:numId w:val="0"/>
        </w:numPr>
        <w:ind w:left="3600" w:firstLine="720"/>
      </w:pPr>
      <w:r w:rsidRPr="00D964DD">
        <w:rPr>
          <w:rFonts w:ascii="TimesNewRomanPSMT" w:hAnsi="TimesNewRomanPSMT" w:cs="TimesNewRomanPSMT"/>
          <w:snapToGrid/>
          <w:color w:val="000000"/>
          <w:kern w:val="0"/>
          <w:szCs w:val="22"/>
        </w:rPr>
        <w:t xml:space="preserve">Public Safety and Homeland Security </w:t>
      </w:r>
      <w:r w:rsidRPr="00D964DD" w:rsidR="00653BD1">
        <w:rPr>
          <w:rFonts w:ascii="TimesNewRomanPSMT" w:hAnsi="TimesNewRomanPSMT" w:cs="TimesNewRomanPSMT"/>
          <w:snapToGrid/>
          <w:color w:val="000000"/>
          <w:kern w:val="0"/>
          <w:szCs w:val="22"/>
        </w:rPr>
        <w:t>Bureau</w:t>
      </w:r>
      <w:r w:rsidRPr="00D964DD" w:rsidR="00653BD1">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B6D8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9529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ADBD0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C848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E858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107B" w14:paraId="04761465" w14:textId="77777777">
      <w:r>
        <w:separator/>
      </w:r>
    </w:p>
  </w:footnote>
  <w:footnote w:type="continuationSeparator" w:id="1">
    <w:p w:rsidR="0091107B" w:rsidP="00C721AC" w14:paraId="2CFDF15C" w14:textId="77777777">
      <w:pPr>
        <w:spacing w:before="120"/>
        <w:rPr>
          <w:sz w:val="20"/>
        </w:rPr>
      </w:pPr>
      <w:r>
        <w:rPr>
          <w:sz w:val="20"/>
        </w:rPr>
        <w:t xml:space="preserve">(Continued from previous page)  </w:t>
      </w:r>
      <w:r>
        <w:rPr>
          <w:sz w:val="20"/>
        </w:rPr>
        <w:separator/>
      </w:r>
    </w:p>
  </w:footnote>
  <w:footnote w:type="continuationNotice" w:id="2">
    <w:p w:rsidR="0091107B" w:rsidP="00C721AC" w14:paraId="013D5A72" w14:textId="77777777">
      <w:pPr>
        <w:jc w:val="right"/>
        <w:rPr>
          <w:sz w:val="20"/>
        </w:rPr>
      </w:pPr>
      <w:r>
        <w:rPr>
          <w:sz w:val="20"/>
        </w:rPr>
        <w:t>(continued….)</w:t>
      </w:r>
    </w:p>
  </w:footnote>
  <w:footnote w:id="3">
    <w:p w:rsidR="00696B14" w:rsidP="00696B14" w14:paraId="6746991B" w14:textId="77777777">
      <w:pPr>
        <w:pStyle w:val="FootnoteText"/>
      </w:pPr>
      <w:r>
        <w:rPr>
          <w:rStyle w:val="FootnoteReference"/>
        </w:rPr>
        <w:footnoteRef/>
      </w:r>
      <w:r>
        <w:t xml:space="preserve"> </w:t>
      </w:r>
      <w:r w:rsidRPr="00CF0468">
        <w:t>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 video systems.  47 CFR §§ 11.2(b), 11.11(a).</w:t>
      </w:r>
    </w:p>
  </w:footnote>
  <w:footnote w:id="4">
    <w:p w:rsidR="00744A89" w14:paraId="5931B648" w14:textId="4AE2AAF1">
      <w:pPr>
        <w:pStyle w:val="FootnoteText"/>
      </w:pPr>
      <w:r>
        <w:rPr>
          <w:rStyle w:val="FootnoteReference"/>
        </w:rPr>
        <w:footnoteRef/>
      </w:r>
      <w:r>
        <w:t xml:space="preserve"> 47 C.F.R §11.61(a)(3)(iv)(A).  EAS Participants file this identifying information in ETRS Form One. </w:t>
      </w:r>
    </w:p>
  </w:footnote>
  <w:footnote w:id="5">
    <w:p w:rsidR="00151108" w:rsidRPr="00A1257F" w:rsidP="00151108" w14:paraId="45BD7B83" w14:textId="6C012323">
      <w:pPr>
        <w:widowControl/>
        <w:autoSpaceDE w:val="0"/>
        <w:autoSpaceDN w:val="0"/>
        <w:adjustRightInd w:val="0"/>
        <w:spacing w:after="120"/>
        <w:rPr>
          <w:rFonts w:ascii="TimesNewRomanPSMT" w:hAnsi="TimesNewRomanPSMT" w:cs="TimesNewRomanPSMT"/>
          <w:snapToGrid/>
          <w:color w:val="000000"/>
          <w:kern w:val="0"/>
          <w:sz w:val="20"/>
        </w:rPr>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w:t>
      </w:r>
      <w:r>
        <w:rPr>
          <w:rFonts w:ascii="TimesNewRomanPSMT" w:hAnsi="TimesNewRomanPSMT" w:cs="TimesNewRomanPSMT"/>
          <w:snapToGrid/>
          <w:color w:val="000000"/>
          <w:kern w:val="0"/>
          <w:sz w:val="20"/>
        </w:rPr>
        <w:t xml:space="preserve">Executive Office of the President, </w:t>
      </w:r>
      <w:r w:rsidRPr="00DC19ED">
        <w:rPr>
          <w:rFonts w:ascii="TimesNewRomanPSMT" w:hAnsi="TimesNewRomanPSMT" w:cs="TimesNewRomanPSMT"/>
          <w:i/>
          <w:iCs/>
          <w:snapToGrid/>
          <w:color w:val="000000"/>
          <w:kern w:val="0"/>
          <w:sz w:val="20"/>
        </w:rPr>
        <w:t xml:space="preserve">Proclamation on Declaring a National Emergency Concerning the Novel Coronavirus </w:t>
      </w:r>
      <w:r w:rsidRPr="00DC19ED">
        <w:rPr>
          <w:i/>
          <w:iCs/>
          <w:snapToGrid/>
          <w:color w:val="000000"/>
          <w:kern w:val="0"/>
          <w:sz w:val="20"/>
        </w:rPr>
        <w:t>Disease (COVID-19) Outbreak</w:t>
      </w:r>
      <w:r w:rsidRPr="00A67E6E">
        <w:rPr>
          <w:snapToGrid/>
          <w:color w:val="000000"/>
          <w:kern w:val="0"/>
          <w:sz w:val="20"/>
        </w:rPr>
        <w:t xml:space="preserve"> (Mar. 13, 2020), </w:t>
      </w:r>
      <w:hyperlink r:id="rId1" w:history="1">
        <w:r w:rsidRPr="008B36CC" w:rsidR="00697A42">
          <w:rPr>
            <w:rStyle w:val="Hyperlink"/>
            <w:sz w:val="20"/>
          </w:rPr>
          <w:t>https://www.whitehouse.gov/presidential-actions/proclamation-declaring-national-emergency-concerning-novel-coronavirus-disease-covid-19-outbreak/</w:t>
        </w:r>
      </w:hyperlink>
      <w:r w:rsidR="00697A42">
        <w:rPr>
          <w:sz w:val="20"/>
        </w:rPr>
        <w:t xml:space="preserve"> (National Emergency Declaration)</w:t>
      </w:r>
      <w:r w:rsidRPr="00A67E6E" w:rsidR="00B7213E">
        <w:rPr>
          <w:sz w:val="20"/>
        </w:rPr>
        <w:t>.</w:t>
      </w:r>
    </w:p>
  </w:footnote>
  <w:footnote w:id="6">
    <w:p w:rsidR="00427F8E" w14:paraId="26092CC9" w14:textId="515EE9E7">
      <w:pPr>
        <w:pStyle w:val="FootnoteText"/>
      </w:pPr>
      <w:r>
        <w:rPr>
          <w:rStyle w:val="FootnoteReference"/>
        </w:rPr>
        <w:footnoteRef/>
      </w:r>
      <w:r>
        <w:t xml:space="preserve"> Press Release, </w:t>
      </w:r>
      <w:r w:rsidRPr="00427F8E">
        <w:t>FEMA Cancels 2020 Integrated Public Alert &amp; Warning System National Test Due to COVID-19 Response</w:t>
      </w:r>
      <w:r>
        <w:t xml:space="preserve"> (Jun. 19, 2020)</w:t>
      </w:r>
      <w:r w:rsidR="00DD6C73">
        <w:t xml:space="preserve"> (</w:t>
      </w:r>
      <w:bookmarkStart w:id="2" w:name="_Hlk44396332"/>
      <w:r w:rsidRPr="00DC19ED" w:rsidR="00DD6C73">
        <w:rPr>
          <w:i/>
          <w:iCs/>
        </w:rPr>
        <w:t>FEMA Press Release</w:t>
      </w:r>
      <w:bookmarkEnd w:id="2"/>
      <w:r w:rsidR="00DD6C73">
        <w:t>)</w:t>
      </w:r>
      <w:r>
        <w:t>.</w:t>
      </w:r>
    </w:p>
  </w:footnote>
  <w:footnote w:id="7">
    <w:p w:rsidR="003F4E71" w:rsidP="003F4E71" w14:paraId="10C6E96F"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1.3 (providing for suspension, amendment, or waiver of Commission rules, in whole or in part, on the Commission’s own motion or pursuant to a petition, for good cause shown). Good cause may be found if special circumstances warrant a deviation from the general rule and such deviation will serve the public interest.  </w:t>
      </w:r>
      <w:r>
        <w:rPr>
          <w:rFonts w:ascii="TimesNewRomanPS-ItalicMT" w:hAnsi="TimesNewRomanPS-ItalicMT" w:cs="TimesNewRomanPS-ItalicMT"/>
          <w:i/>
          <w:iCs/>
        </w:rPr>
        <w:t>Northeast</w:t>
      </w:r>
      <w:r>
        <w:rPr>
          <w:rFonts w:ascii="TimesNewRomanPSMT" w:hAnsi="TimesNewRomanPSMT" w:cs="TimesNewRomanPSMT"/>
        </w:rPr>
        <w:t xml:space="preserve"> </w:t>
      </w:r>
      <w:r>
        <w:rPr>
          <w:rFonts w:ascii="TimesNewRomanPS-ItalicMT" w:hAnsi="TimesNewRomanPS-ItalicMT" w:cs="TimesNewRomanPS-ItalicMT"/>
          <w:i/>
          <w:iCs/>
        </w:rPr>
        <w:t>Cellular Tel. Co. v. FCC</w:t>
      </w:r>
      <w:r>
        <w:rPr>
          <w:rFonts w:ascii="TimesNewRomanPSMT" w:hAnsi="TimesNewRomanPSMT" w:cs="TimesNewRomanPSMT"/>
        </w:rPr>
        <w:t xml:space="preserve">, 897 F.2d 1164, 1166 (D.C. Cir. 1990); </w:t>
      </w:r>
      <w:r>
        <w:rPr>
          <w:rFonts w:ascii="TimesNewRomanPS-ItalicMT" w:hAnsi="TimesNewRomanPS-ItalicMT" w:cs="TimesNewRomanPS-ItalicMT"/>
          <w:i/>
          <w:iCs/>
        </w:rPr>
        <w:t>see also WAIT Radio v. FCC</w:t>
      </w:r>
      <w:r>
        <w:rPr>
          <w:rFonts w:ascii="TimesNewRomanPSMT" w:hAnsi="TimesNewRomanPSMT" w:cs="TimesNewRomanPSMT"/>
        </w:rPr>
        <w:t xml:space="preserve">, 418 F.2d 1153, 1159 (D.C. Cir. 1969), </w:t>
      </w:r>
      <w:r>
        <w:rPr>
          <w:rFonts w:ascii="TimesNewRomanPS-ItalicMT" w:hAnsi="TimesNewRomanPS-ItalicMT" w:cs="TimesNewRomanPS-ItalicMT"/>
          <w:i/>
          <w:iCs/>
        </w:rPr>
        <w:t>cert. denied</w:t>
      </w:r>
      <w:r>
        <w:rPr>
          <w:rFonts w:ascii="TimesNewRomanPSMT" w:hAnsi="TimesNewRomanPSMT" w:cs="TimesNewRomanPSMT"/>
        </w:rPr>
        <w:t>, 409 U.S. 1027 (1972).</w:t>
      </w:r>
    </w:p>
  </w:footnote>
  <w:footnote w:id="8">
    <w:p w:rsidR="00151108" w:rsidRPr="00C87B82" w:rsidP="00151108" w14:paraId="505D7000" w14:textId="77777777">
      <w:pPr>
        <w:pStyle w:val="FootnoteText"/>
        <w:rPr>
          <w:rFonts w:ascii="Times" w:hAnsi="Times" w:cs="Times New Roman (Body CS)"/>
        </w:rPr>
      </w:pPr>
      <w:r w:rsidRPr="00C87B82">
        <w:rPr>
          <w:rStyle w:val="FootnoteReference"/>
          <w:rFonts w:ascii="Times" w:hAnsi="Times" w:cs="Times New Roman (Body CS)"/>
        </w:rPr>
        <w:footnoteRef/>
      </w:r>
      <w:r w:rsidRPr="00C87B82">
        <w:rPr>
          <w:rFonts w:ascii="Times" w:hAnsi="Times" w:cs="Times New Roman (Body CS)"/>
        </w:rPr>
        <w:t xml:space="preserve"> </w:t>
      </w:r>
      <w:r w:rsidRPr="00FF7B74">
        <w:rPr>
          <w:rFonts w:ascii="Times" w:hAnsi="Times" w:cs="Times New Roman (Body CS)"/>
          <w:i/>
          <w:iCs/>
        </w:rPr>
        <w:t>See</w:t>
      </w:r>
      <w:r w:rsidRPr="00C87B82">
        <w:rPr>
          <w:rFonts w:ascii="Times" w:hAnsi="Times" w:cs="Times New Roman (Body CS)"/>
        </w:rPr>
        <w:t xml:space="preserve"> 47 CFR § 1.3.</w:t>
      </w:r>
    </w:p>
  </w:footnote>
  <w:footnote w:id="9">
    <w:p w:rsidR="00151108" w:rsidRPr="00C87B82" w:rsidP="00151108" w14:paraId="2B9E7F6D" w14:textId="508E95DF">
      <w:pPr>
        <w:pStyle w:val="FootnoteText"/>
        <w:rPr>
          <w:rFonts w:ascii="Times" w:hAnsi="Times" w:cs="Times New Roman (Body CS)"/>
        </w:rPr>
      </w:pPr>
      <w:r w:rsidRPr="00C87B82">
        <w:rPr>
          <w:rStyle w:val="FootnoteReference"/>
          <w:rFonts w:ascii="Times" w:hAnsi="Times" w:cs="Times New Roman (Body CS)"/>
        </w:rPr>
        <w:footnoteRef/>
      </w:r>
      <w:r w:rsidRPr="00C87B82">
        <w:rPr>
          <w:rFonts w:ascii="Times" w:hAnsi="Times" w:cs="Times New Roman (Body CS)"/>
        </w:rPr>
        <w:t xml:space="preserve"> </w:t>
      </w:r>
      <w:r w:rsidRPr="00FF7B74">
        <w:rPr>
          <w:rFonts w:ascii="Times" w:hAnsi="Times" w:cs="Times New Roman (Body CS)"/>
          <w:i/>
          <w:iCs/>
        </w:rPr>
        <w:t>See</w:t>
      </w:r>
      <w:r w:rsidRPr="00C87B82">
        <w:rPr>
          <w:rFonts w:ascii="Times" w:hAnsi="Times" w:cs="Times New Roman (Body CS)"/>
        </w:rPr>
        <w:t xml:space="preserve"> </w:t>
      </w:r>
      <w:r w:rsidRPr="001C36B8">
        <w:rPr>
          <w:rFonts w:ascii="Times" w:hAnsi="Times" w:cs="Times New Roman (Body CS)"/>
          <w:i/>
          <w:iCs/>
        </w:rPr>
        <w:t>Northeast Cellular Telephone Co. v. FCC</w:t>
      </w:r>
      <w:r w:rsidRPr="00C87B82">
        <w:rPr>
          <w:rFonts w:ascii="Times" w:hAnsi="Times" w:cs="Times New Roman (Body CS)"/>
        </w:rPr>
        <w:t>, 897 F.2d 1164, 1166 (D.C. Cir. 1990) (</w:t>
      </w:r>
      <w:r w:rsidRPr="001C36B8">
        <w:rPr>
          <w:rFonts w:ascii="Times" w:hAnsi="Times" w:cs="Times New Roman (Body CS)"/>
          <w:i/>
          <w:iCs/>
        </w:rPr>
        <w:t>citing WAIT Radio v. FCC</w:t>
      </w:r>
      <w:r w:rsidRPr="00C87B82">
        <w:rPr>
          <w:rFonts w:ascii="Times" w:hAnsi="Times" w:cs="Times New Roman (Body CS)"/>
        </w:rPr>
        <w:t>,</w:t>
      </w:r>
      <w:r>
        <w:rPr>
          <w:rFonts w:ascii="Times" w:hAnsi="Times" w:cs="Times New Roman (Body CS)"/>
        </w:rPr>
        <w:t xml:space="preserve"> </w:t>
      </w:r>
      <w:r w:rsidRPr="00C87B82">
        <w:rPr>
          <w:rFonts w:ascii="Times" w:hAnsi="Times" w:cs="Times New Roman (Body CS)"/>
        </w:rPr>
        <w:t xml:space="preserve">418 F.2d 1153, 1159 (D.C. Cir. 1969), </w:t>
      </w:r>
      <w:r w:rsidRPr="001C36B8">
        <w:rPr>
          <w:rFonts w:ascii="Times" w:hAnsi="Times" w:cs="Times New Roman (Body CS)"/>
          <w:i/>
          <w:iCs/>
        </w:rPr>
        <w:t>aff’d</w:t>
      </w:r>
      <w:r w:rsidRPr="00C87B82">
        <w:rPr>
          <w:rFonts w:ascii="Times" w:hAnsi="Times" w:cs="Times New Roman (Body CS)"/>
        </w:rPr>
        <w:t xml:space="preserve">, 459 F.2d 1203 (1973), </w:t>
      </w:r>
      <w:r w:rsidRPr="001C36B8">
        <w:rPr>
          <w:rFonts w:ascii="Times" w:hAnsi="Times" w:cs="Times New Roman (Body CS)"/>
          <w:i/>
          <w:iCs/>
        </w:rPr>
        <w:t>cert. denied</w:t>
      </w:r>
      <w:r w:rsidRPr="00C87B82">
        <w:rPr>
          <w:rFonts w:ascii="Times" w:hAnsi="Times" w:cs="Times New Roman (Body CS)"/>
        </w:rPr>
        <w:t>, 409 U.S. 1027 (1972)).</w:t>
      </w:r>
    </w:p>
  </w:footnote>
  <w:footnote w:id="10">
    <w:p w:rsidR="009751D6" w:rsidRPr="00E57930" w:rsidP="009751D6" w14:paraId="473D40D6" w14:textId="50BD4470">
      <w:pPr>
        <w:pStyle w:val="FootnoteText"/>
      </w:pPr>
      <w:r w:rsidRPr="00427B4A">
        <w:rPr>
          <w:rStyle w:val="FootnoteReference"/>
        </w:rPr>
        <w:footnoteRef/>
      </w:r>
      <w:r w:rsidRPr="00427B4A">
        <w:t xml:space="preserve"> </w:t>
      </w:r>
      <w:r w:rsidR="00331037">
        <w:t xml:space="preserve">World Health Organization, </w:t>
      </w:r>
      <w:r w:rsidRPr="00DC19ED" w:rsidR="00331037">
        <w:rPr>
          <w:i/>
          <w:iCs/>
        </w:rPr>
        <w:t>Coronavirus Disease (COVID-19) Dashboard</w:t>
      </w:r>
      <w:r w:rsidR="00331037">
        <w:t xml:space="preserve">, </w:t>
      </w:r>
      <w:hyperlink r:id="rId2" w:history="1">
        <w:r w:rsidRPr="00A80DF9" w:rsidR="00B11CEB">
          <w:rPr>
            <w:rStyle w:val="Hyperlink"/>
          </w:rPr>
          <w:t>https://www.who.int/</w:t>
        </w:r>
      </w:hyperlink>
      <w:r w:rsidR="00B11CEB">
        <w:t xml:space="preserve"> </w:t>
      </w:r>
      <w:r w:rsidR="00331037">
        <w:t xml:space="preserve">(Jun. 30, 2020); </w:t>
      </w:r>
      <w:r w:rsidRPr="00427B4A">
        <w:t xml:space="preserve">Centers for Disease Control and Prevention, </w:t>
      </w:r>
      <w:r w:rsidRPr="00E70E3B">
        <w:rPr>
          <w:i/>
          <w:iCs/>
        </w:rPr>
        <w:t xml:space="preserve">Coronavirus Disease 2019 (COVID-19) </w:t>
      </w:r>
      <w:r>
        <w:rPr>
          <w:i/>
          <w:iCs/>
        </w:rPr>
        <w:t xml:space="preserve">Cases </w:t>
      </w:r>
      <w:r w:rsidRPr="00E70E3B">
        <w:rPr>
          <w:i/>
          <w:iCs/>
        </w:rPr>
        <w:t>in U.S.</w:t>
      </w:r>
      <w:r w:rsidRPr="00E57930">
        <w:t xml:space="preserve">, </w:t>
      </w:r>
      <w:hyperlink r:id="rId3" w:history="1">
        <w:r w:rsidRPr="00E70E3B">
          <w:rPr>
            <w:rStyle w:val="Hyperlink"/>
          </w:rPr>
          <w:t>https://www.cdc.gov/coronavirus/2019-ncov/cases-in-us.html</w:t>
        </w:r>
      </w:hyperlink>
      <w:r w:rsidRPr="00427B4A">
        <w:t xml:space="preserve"> (</w:t>
      </w:r>
      <w:r w:rsidR="00331037">
        <w:t>Jun</w:t>
      </w:r>
      <w:r w:rsidRPr="00427B4A">
        <w:t xml:space="preserve">. </w:t>
      </w:r>
      <w:r w:rsidR="00331037">
        <w:t>29</w:t>
      </w:r>
      <w:r w:rsidRPr="00427B4A">
        <w:t>, 2020)</w:t>
      </w:r>
      <w:r w:rsidRPr="00E70E3B">
        <w:t xml:space="preserve">. </w:t>
      </w:r>
    </w:p>
  </w:footnote>
  <w:footnote w:id="11">
    <w:p w:rsidR="00B104FA" w:rsidRPr="00A1257F" w:rsidP="00B104FA" w14:paraId="020B00FB" w14:textId="77777777">
      <w:pPr>
        <w:widowControl/>
        <w:autoSpaceDE w:val="0"/>
        <w:autoSpaceDN w:val="0"/>
        <w:adjustRightInd w:val="0"/>
        <w:spacing w:after="120"/>
        <w:rPr>
          <w:rFonts w:ascii="TimesNewRomanPSMT" w:hAnsi="TimesNewRomanPSMT" w:cs="TimesNewRomanPSMT"/>
          <w:snapToGrid/>
          <w:color w:val="000000"/>
          <w:kern w:val="0"/>
          <w:sz w:val="20"/>
        </w:rPr>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w:t>
      </w:r>
      <w:r>
        <w:rPr>
          <w:sz w:val="20"/>
        </w:rPr>
        <w:t>National Emergency Declaration</w:t>
      </w:r>
      <w:r w:rsidRPr="00A67E6E">
        <w:rPr>
          <w:sz w:val="20"/>
        </w:rPr>
        <w:t>.</w:t>
      </w:r>
    </w:p>
  </w:footnote>
  <w:footnote w:id="12">
    <w:p w:rsidR="00755836" w:rsidRPr="00C9347C" w:rsidP="00755836" w14:paraId="42493CD7" w14:textId="642F828F">
      <w:pPr>
        <w:widowControl/>
        <w:autoSpaceDE w:val="0"/>
        <w:autoSpaceDN w:val="0"/>
        <w:adjustRightInd w:val="0"/>
        <w:spacing w:after="120"/>
        <w:rPr>
          <w:rFonts w:ascii="TimesNewRomanPSMT" w:hAnsi="TimesNewRomanPSMT" w:cs="TimesNewRomanPSMT"/>
          <w:snapToGrid/>
          <w:color w:val="000000"/>
          <w:kern w:val="0"/>
          <w:sz w:val="20"/>
        </w:rPr>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e.g., </w:t>
      </w:r>
      <w:r>
        <w:rPr>
          <w:rFonts w:ascii="TimesNewRomanPSMT" w:hAnsi="TimesNewRomanPSMT" w:cs="TimesNewRomanPSMT"/>
          <w:snapToGrid/>
          <w:color w:val="000000"/>
          <w:kern w:val="0"/>
          <w:sz w:val="20"/>
        </w:rPr>
        <w:t xml:space="preserve">White House Briefings, </w:t>
      </w:r>
      <w:r w:rsidRPr="00DC19ED">
        <w:rPr>
          <w:rFonts w:ascii="TimesNewRomanPSMT" w:hAnsi="TimesNewRomanPSMT" w:cs="TimesNewRomanPSMT"/>
          <w:i/>
          <w:iCs/>
          <w:snapToGrid/>
          <w:color w:val="000000"/>
          <w:kern w:val="0"/>
          <w:sz w:val="20"/>
        </w:rPr>
        <w:t xml:space="preserve">Guidelines for Opening Up America Again </w:t>
      </w:r>
      <w:r>
        <w:rPr>
          <w:rFonts w:ascii="TimesNewRomanPSMT" w:hAnsi="TimesNewRomanPSMT" w:cs="TimesNewRomanPSMT"/>
          <w:snapToGrid/>
          <w:color w:val="000000"/>
          <w:kern w:val="0"/>
          <w:sz w:val="20"/>
        </w:rPr>
        <w:t xml:space="preserve">(Apr. 16, 2020), </w:t>
      </w:r>
      <w:hyperlink r:id="rId4" w:history="1">
        <w:r w:rsidRPr="00405CF1">
          <w:rPr>
            <w:rStyle w:val="Hyperlink"/>
            <w:rFonts w:ascii="TimesNewRomanPSMT" w:hAnsi="TimesNewRomanPSMT" w:cs="TimesNewRomanPSMT"/>
            <w:snapToGrid/>
            <w:kern w:val="0"/>
            <w:sz w:val="20"/>
          </w:rPr>
          <w:t>https://www.whitehouse.gov/openingamerica</w:t>
        </w:r>
      </w:hyperlink>
      <w:r>
        <w:rPr>
          <w:rFonts w:ascii="TimesNewRomanPSMT" w:hAnsi="TimesNewRomanPSMT" w:cs="TimesNewRomanPSMT"/>
          <w:snapToGrid/>
          <w:color w:val="0000FF"/>
          <w:kern w:val="0"/>
          <w:sz w:val="20"/>
        </w:rPr>
        <w:t xml:space="preserve"> </w:t>
      </w:r>
      <w:r>
        <w:rPr>
          <w:rFonts w:ascii="TimesNewRomanPSMT" w:hAnsi="TimesNewRomanPSMT" w:cs="TimesNewRomanPSMT"/>
          <w:snapToGrid/>
          <w:color w:val="000000"/>
          <w:kern w:val="0"/>
          <w:sz w:val="20"/>
        </w:rPr>
        <w:t>(proposing a three phased approach to recovery from the COVID-19 pandemic) (</w:t>
      </w:r>
      <w:r w:rsidRPr="00A67E6E">
        <w:rPr>
          <w:rFonts w:ascii="TimesNewRomanPSMT" w:hAnsi="TimesNewRomanPSMT" w:cs="TimesNewRomanPSMT"/>
          <w:i/>
          <w:iCs/>
          <w:snapToGrid/>
          <w:color w:val="000000"/>
          <w:kern w:val="0"/>
          <w:sz w:val="20"/>
        </w:rPr>
        <w:t>Opening Up American Again</w:t>
      </w:r>
      <w:r>
        <w:rPr>
          <w:rFonts w:ascii="TimesNewRomanPSMT" w:hAnsi="TimesNewRomanPSMT" w:cs="TimesNewRomanPSMT"/>
          <w:snapToGrid/>
          <w:color w:val="000000"/>
          <w:kern w:val="0"/>
          <w:sz w:val="20"/>
        </w:rPr>
        <w:t xml:space="preserve">).  Many states have begun lifting restrictions but some restrictions still remain in place even in those states.  </w:t>
      </w:r>
      <w:r>
        <w:rPr>
          <w:rFonts w:ascii="TimesNewRomanPSMT" w:hAnsi="TimesNewRomanPSMT" w:cs="TimesNewRomanPSMT"/>
          <w:i/>
          <w:iCs/>
          <w:snapToGrid/>
          <w:color w:val="000000"/>
          <w:kern w:val="0"/>
          <w:sz w:val="20"/>
        </w:rPr>
        <w:t xml:space="preserve">See also </w:t>
      </w:r>
      <w:r>
        <w:rPr>
          <w:rFonts w:ascii="TimesNewRomanPSMT" w:hAnsi="TimesNewRomanPSMT" w:cs="TimesNewRomanPSMT"/>
          <w:snapToGrid/>
          <w:color w:val="000000"/>
          <w:kern w:val="0"/>
          <w:sz w:val="20"/>
        </w:rPr>
        <w:t xml:space="preserve">Safe Start Washington, </w:t>
      </w:r>
      <w:r w:rsidRPr="00DC19ED">
        <w:rPr>
          <w:rFonts w:ascii="TimesNewRomanPSMT" w:hAnsi="TimesNewRomanPSMT" w:cs="TimesNewRomanPSMT"/>
          <w:i/>
          <w:iCs/>
          <w:snapToGrid/>
          <w:color w:val="000000"/>
          <w:kern w:val="0"/>
          <w:sz w:val="20"/>
        </w:rPr>
        <w:t>A Phased Approach to Recovery</w:t>
      </w:r>
      <w:r>
        <w:rPr>
          <w:rFonts w:ascii="TimesNewRomanPSMT" w:hAnsi="TimesNewRomanPSMT" w:cs="TimesNewRomanPSMT"/>
          <w:snapToGrid/>
          <w:color w:val="000000"/>
          <w:kern w:val="0"/>
          <w:sz w:val="20"/>
        </w:rPr>
        <w:t xml:space="preserve"> (May 4, 2020) </w:t>
      </w:r>
      <w:hyperlink r:id="rId5" w:history="1">
        <w:r w:rsidRPr="00405CF1">
          <w:rPr>
            <w:rStyle w:val="Hyperlink"/>
            <w:rFonts w:ascii="TimesNewRomanPSMT" w:hAnsi="TimesNewRomanPSMT" w:cs="TimesNewRomanPSMT"/>
            <w:snapToGrid/>
            <w:kern w:val="0"/>
            <w:sz w:val="20"/>
          </w:rPr>
          <w:t>https://www.governor.wa.gov/sites/default/files/SafeStartWA_4May20_1pm.pdf</w:t>
        </w:r>
      </w:hyperlink>
      <w:r>
        <w:rPr>
          <w:rStyle w:val="Hyperlink"/>
          <w:rFonts w:ascii="TimesNewRomanPSMT" w:hAnsi="TimesNewRomanPSMT" w:cs="TimesNewRomanPSMT"/>
          <w:snapToGrid/>
          <w:kern w:val="0"/>
          <w:sz w:val="20"/>
        </w:rPr>
        <w:t xml:space="preserve"> </w:t>
      </w:r>
      <w:r>
        <w:rPr>
          <w:rFonts w:ascii="TimesNewRomanPSMT" w:hAnsi="TimesNewRomanPSMT" w:cs="TimesNewRomanPSMT"/>
          <w:snapToGrid/>
          <w:color w:val="000000"/>
          <w:kern w:val="0"/>
          <w:sz w:val="20"/>
        </w:rPr>
        <w:t>(establishing a four</w:t>
      </w:r>
      <w:r w:rsidR="00475C14">
        <w:rPr>
          <w:rFonts w:ascii="TimesNewRomanPSMT" w:hAnsi="TimesNewRomanPSMT" w:cs="TimesNewRomanPSMT"/>
          <w:snapToGrid/>
          <w:color w:val="000000"/>
          <w:kern w:val="0"/>
          <w:sz w:val="20"/>
        </w:rPr>
        <w:t>-</w:t>
      </w:r>
      <w:r>
        <w:rPr>
          <w:rFonts w:ascii="TimesNewRomanPSMT" w:hAnsi="TimesNewRomanPSMT" w:cs="TimesNewRomanPSMT"/>
          <w:snapToGrid/>
          <w:color w:val="000000"/>
          <w:kern w:val="0"/>
          <w:sz w:val="20"/>
        </w:rPr>
        <w:t>phased approach to recovery);</w:t>
      </w:r>
      <w:r>
        <w:rPr>
          <w:rFonts w:ascii="TimesNewRomanPSMT" w:hAnsi="TimesNewRomanPSMT" w:cs="TimesNewRomanPSMT"/>
          <w:i/>
          <w:iCs/>
          <w:snapToGrid/>
          <w:color w:val="000000"/>
          <w:kern w:val="0"/>
          <w:sz w:val="20"/>
        </w:rPr>
        <w:t xml:space="preserve"> </w:t>
      </w:r>
      <w:r w:rsidRPr="009343B5">
        <w:rPr>
          <w:sz w:val="20"/>
          <w:lang w:bidi="he-IL"/>
        </w:rPr>
        <w:t xml:space="preserve">Ethan May, </w:t>
      </w:r>
      <w:r w:rsidRPr="009343B5">
        <w:rPr>
          <w:i/>
          <w:iCs/>
          <w:sz w:val="20"/>
          <w:lang w:bidi="he-IL"/>
        </w:rPr>
        <w:t>Indianapolis Will Move to its Next Reopening Phase on June 19. Here's What to Know</w:t>
      </w:r>
      <w:r w:rsidRPr="009343B5">
        <w:rPr>
          <w:sz w:val="20"/>
          <w:lang w:bidi="he-IL"/>
        </w:rPr>
        <w:t xml:space="preserve"> (June 11, 2020) </w:t>
      </w:r>
      <w:hyperlink r:id="rId6" w:history="1">
        <w:r w:rsidRPr="009343B5">
          <w:rPr>
            <w:color w:val="0000FF"/>
            <w:sz w:val="20"/>
            <w:u w:val="single"/>
            <w:lang w:bidi="he-IL"/>
          </w:rPr>
          <w:t>https://www.indystar.com/story/news/local/indianapolis/2020/06/11/coronavirus-indiana-indianapolis-reopening-stage-4/5341726002/</w:t>
        </w:r>
      </w:hyperlink>
      <w:r w:rsidRPr="009343B5">
        <w:rPr>
          <w:sz w:val="20"/>
          <w:lang w:bidi="he-IL"/>
        </w:rPr>
        <w:t xml:space="preserve"> ( “While professional office buildings may reopen with precautions, [the Director of the Marion County Public Health Department] encouraged workers, especially those at the highest risk, to continue working from home.”).</w:t>
      </w:r>
    </w:p>
  </w:footnote>
  <w:footnote w:id="13">
    <w:p w:rsidR="00755836" w:rsidRPr="00895833" w:rsidP="00755836" w14:paraId="0EAFE477" w14:textId="77777777">
      <w:pPr>
        <w:pStyle w:val="FootnoteText"/>
        <w:rPr>
          <w:i/>
          <w:iCs/>
        </w:rPr>
      </w:pPr>
      <w:r>
        <w:rPr>
          <w:rStyle w:val="FootnoteReference"/>
        </w:rPr>
        <w:footnoteRef/>
      </w:r>
      <w:r>
        <w:t xml:space="preserve"> </w:t>
      </w:r>
      <w:r>
        <w:rPr>
          <w:i/>
          <w:iCs/>
        </w:rPr>
        <w:t>See, e.g.,</w:t>
      </w:r>
      <w:r w:rsidRPr="00895833">
        <w:t xml:space="preserve"> </w:t>
      </w:r>
      <w:r>
        <w:t xml:space="preserve">Josie Fischels, </w:t>
      </w:r>
      <w:r w:rsidRPr="00754B1F">
        <w:rPr>
          <w:i/>
          <w:iCs/>
        </w:rPr>
        <w:t xml:space="preserve">University of Iowa to </w:t>
      </w:r>
      <w:r>
        <w:rPr>
          <w:i/>
          <w:iCs/>
        </w:rPr>
        <w:t>B</w:t>
      </w:r>
      <w:r w:rsidRPr="00754B1F">
        <w:rPr>
          <w:i/>
          <w:iCs/>
        </w:rPr>
        <w:t xml:space="preserve">egin </w:t>
      </w:r>
      <w:r>
        <w:rPr>
          <w:i/>
          <w:iCs/>
        </w:rPr>
        <w:t>P</w:t>
      </w:r>
      <w:r w:rsidRPr="00754B1F">
        <w:rPr>
          <w:i/>
          <w:iCs/>
        </w:rPr>
        <w:t xml:space="preserve">hased </w:t>
      </w:r>
      <w:r>
        <w:rPr>
          <w:i/>
          <w:iCs/>
        </w:rPr>
        <w:t>R</w:t>
      </w:r>
      <w:r w:rsidRPr="00754B1F">
        <w:rPr>
          <w:i/>
          <w:iCs/>
        </w:rPr>
        <w:t xml:space="preserve">eopening of </w:t>
      </w:r>
      <w:r>
        <w:rPr>
          <w:i/>
          <w:iCs/>
        </w:rPr>
        <w:t>S</w:t>
      </w:r>
      <w:r w:rsidRPr="00754B1F">
        <w:rPr>
          <w:i/>
          <w:iCs/>
        </w:rPr>
        <w:t xml:space="preserve">elect </w:t>
      </w:r>
      <w:r>
        <w:rPr>
          <w:i/>
          <w:iCs/>
        </w:rPr>
        <w:t>C</w:t>
      </w:r>
      <w:r w:rsidRPr="00754B1F">
        <w:rPr>
          <w:i/>
          <w:iCs/>
        </w:rPr>
        <w:t xml:space="preserve">ampus </w:t>
      </w:r>
      <w:r>
        <w:rPr>
          <w:i/>
          <w:iCs/>
        </w:rPr>
        <w:t>O</w:t>
      </w:r>
      <w:r w:rsidRPr="00754B1F">
        <w:rPr>
          <w:i/>
          <w:iCs/>
        </w:rPr>
        <w:t>perations</w:t>
      </w:r>
      <w:r>
        <w:rPr>
          <w:i/>
          <w:iCs/>
        </w:rPr>
        <w:t xml:space="preserve">, </w:t>
      </w:r>
      <w:r w:rsidRPr="00A02A5C">
        <w:t>Daily Iowan</w:t>
      </w:r>
      <w:r>
        <w:rPr>
          <w:i/>
          <w:iCs/>
        </w:rPr>
        <w:t xml:space="preserve"> </w:t>
      </w:r>
      <w:r>
        <w:t xml:space="preserve">(May 26, 2020) </w:t>
      </w:r>
      <w:hyperlink r:id="rId7" w:history="1">
        <w:r w:rsidRPr="005D5FCC">
          <w:rPr>
            <w:rStyle w:val="Hyperlink"/>
          </w:rPr>
          <w:t>https://dailyiowan.com/2020/05/22/university-of-iowa-to-begin-phased-reopening-of-select-campus-operations</w:t>
        </w:r>
      </w:hyperlink>
      <w:r>
        <w:t xml:space="preserve"> (announcing the University of Iowa’s pilot program for a phased reopening which “is being instituted in smaller settings in order to gauge how to implement recommended health and safety guidelines on a larger scale.”)</w:t>
      </w:r>
      <w:r>
        <w:rPr>
          <w:lang w:bidi="he-IL"/>
        </w:rPr>
        <w:t xml:space="preserve">; </w:t>
      </w:r>
      <w:r w:rsidRPr="00A67E6E">
        <w:rPr>
          <w:i/>
          <w:iCs/>
          <w:lang w:bidi="he-IL"/>
        </w:rPr>
        <w:t>see also</w:t>
      </w:r>
      <w:r>
        <w:rPr>
          <w:lang w:bidi="he-IL"/>
        </w:rPr>
        <w:t>, Opening Up America Again</w:t>
      </w:r>
      <w:r>
        <w:t>.</w:t>
      </w:r>
    </w:p>
  </w:footnote>
  <w:footnote w:id="14">
    <w:p w:rsidR="00755836" w:rsidRPr="00771AA0" w:rsidP="00755836" w14:paraId="0CDC7357" w14:textId="77777777">
      <w:pPr>
        <w:pStyle w:val="FootnoteText"/>
      </w:pPr>
      <w:r>
        <w:rPr>
          <w:rStyle w:val="FootnoteReference"/>
        </w:rPr>
        <w:footnoteRef/>
      </w:r>
      <w:r>
        <w:t xml:space="preserve"> </w:t>
      </w:r>
      <w:r>
        <w:rPr>
          <w:i/>
          <w:iCs/>
        </w:rPr>
        <w:t>See, e.g.</w:t>
      </w:r>
      <w:r>
        <w:t>,</w:t>
      </w:r>
      <w:r w:rsidRPr="005B3998">
        <w:t xml:space="preserve"> </w:t>
      </w:r>
      <w:r>
        <w:t xml:space="preserve">Shannon Murray, </w:t>
      </w:r>
      <w:r>
        <w:rPr>
          <w:i/>
          <w:iCs/>
        </w:rPr>
        <w:t xml:space="preserve">Many Large Companies Plan to Keep Employees Working from Home for Now </w:t>
      </w:r>
      <w:r>
        <w:t xml:space="preserve">(June 4, 2020) </w:t>
      </w:r>
      <w:hyperlink r:id="rId8" w:history="1">
        <w:r w:rsidRPr="005D5FCC">
          <w:rPr>
            <w:rStyle w:val="Hyperlink"/>
          </w:rPr>
          <w:t>https://www.fox4news.com/news/many-large-companies-plan-to-keep-employees-working-from-home-for-now</w:t>
        </w:r>
      </w:hyperlink>
      <w:r>
        <w:t xml:space="preserve">. </w:t>
      </w:r>
    </w:p>
  </w:footnote>
  <w:footnote w:id="15">
    <w:p w:rsidR="007C134E" w14:paraId="4176FF64" w14:textId="7ADA0F2C">
      <w:pPr>
        <w:pStyle w:val="FootnoteText"/>
      </w:pPr>
      <w:r>
        <w:rPr>
          <w:rStyle w:val="FootnoteReference"/>
        </w:rPr>
        <w:footnoteRef/>
      </w:r>
      <w:r>
        <w:t xml:space="preserve"> </w:t>
      </w:r>
      <w:r w:rsidR="00930E01">
        <w:rPr>
          <w:i/>
          <w:iCs/>
        </w:rPr>
        <w:t xml:space="preserve">See </w:t>
      </w:r>
      <w:r w:rsidRPr="00DD6C73" w:rsidR="00DD6C73">
        <w:t>FEMA Press Release</w:t>
      </w:r>
      <w:r w:rsidR="00DD6C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9DF7F1" w14:textId="35709B2E">
    <w:pPr>
      <w:pStyle w:val="Header"/>
      <w:rPr>
        <w:b w:val="0"/>
      </w:rPr>
    </w:pPr>
    <w:r>
      <w:tab/>
      <w:t>Federal Communications Commission</w:t>
    </w:r>
    <w:r>
      <w:tab/>
    </w:r>
    <w:r w:rsidR="00270BD5">
      <w:rPr>
        <w:spacing w:val="-2"/>
      </w:rPr>
      <w:t>DA 20-</w:t>
    </w:r>
    <w:r w:rsidR="00887080">
      <w:rPr>
        <w:spacing w:val="-2"/>
      </w:rPr>
      <w:t>717</w:t>
    </w:r>
  </w:p>
  <w:p w:rsidR="00D25FB5" w14:paraId="203DA0EF" w14:textId="29352A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7753B62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68B4E3" w14:textId="40D068D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653BD1">
      <w:tab/>
      <w:t>Federal Communications Commission</w:t>
    </w:r>
    <w:r w:rsidR="00653BD1">
      <w:tab/>
    </w:r>
    <w:bookmarkStart w:id="3" w:name="_Hlk43372865"/>
    <w:r w:rsidR="00270BD5">
      <w:rPr>
        <w:spacing w:val="-2"/>
      </w:rPr>
      <w:t>DA 20-</w:t>
    </w:r>
    <w:bookmarkEnd w:id="3"/>
    <w:r w:rsidR="00887080">
      <w:rPr>
        <w:spacing w:val="-2"/>
      </w:rPr>
      <w:t>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E30C70"/>
    <w:multiLevelType w:val="hybridMultilevel"/>
    <w:tmpl w:val="6C3CD406"/>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5526B0"/>
    <w:multiLevelType w:val="hybridMultilevel"/>
    <w:tmpl w:val="923C6E02"/>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962447C6"/>
    <w:lvl w:ilvl="0">
      <w:start w:val="1"/>
      <w:numFmt w:val="decimal"/>
      <w:pStyle w:val="ParaNum"/>
      <w:lvlText w:val="%1."/>
      <w:lvlJc w:val="left"/>
      <w:pPr>
        <w:tabs>
          <w:tab w:val="num" w:pos="1080"/>
        </w:tabs>
        <w:ind w:left="0" w:firstLine="720"/>
      </w:pPr>
      <w:rPr>
        <w:b w:val="0"/>
        <w:bCs w:val="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 w:numId="9">
    <w:abstractNumId w:val="7"/>
    <w:lvlOverride w:ilvl="0">
      <w:startOverride w:val="1"/>
    </w:lvlOverride>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74"/>
    <w:rsid w:val="0002244B"/>
    <w:rsid w:val="0002596E"/>
    <w:rsid w:val="00032150"/>
    <w:rsid w:val="00036039"/>
    <w:rsid w:val="00037F90"/>
    <w:rsid w:val="00077607"/>
    <w:rsid w:val="000875BF"/>
    <w:rsid w:val="00091C79"/>
    <w:rsid w:val="00096256"/>
    <w:rsid w:val="00096D8C"/>
    <w:rsid w:val="000A5C44"/>
    <w:rsid w:val="000B5A22"/>
    <w:rsid w:val="000B6A2E"/>
    <w:rsid w:val="000C0B65"/>
    <w:rsid w:val="000C3EB3"/>
    <w:rsid w:val="000C5F9F"/>
    <w:rsid w:val="000D0131"/>
    <w:rsid w:val="000E05FE"/>
    <w:rsid w:val="000E185E"/>
    <w:rsid w:val="000E3D42"/>
    <w:rsid w:val="00115436"/>
    <w:rsid w:val="00122BD5"/>
    <w:rsid w:val="0012365B"/>
    <w:rsid w:val="00127F4E"/>
    <w:rsid w:val="00132D02"/>
    <w:rsid w:val="00133F79"/>
    <w:rsid w:val="00137408"/>
    <w:rsid w:val="00151108"/>
    <w:rsid w:val="001772F4"/>
    <w:rsid w:val="00181655"/>
    <w:rsid w:val="00187F84"/>
    <w:rsid w:val="00194A66"/>
    <w:rsid w:val="001A1EEA"/>
    <w:rsid w:val="001A36B5"/>
    <w:rsid w:val="001A759C"/>
    <w:rsid w:val="001C28C8"/>
    <w:rsid w:val="001C36B8"/>
    <w:rsid w:val="001D25FC"/>
    <w:rsid w:val="001D6BCF"/>
    <w:rsid w:val="001E01CA"/>
    <w:rsid w:val="001F0C96"/>
    <w:rsid w:val="0020037F"/>
    <w:rsid w:val="00204B70"/>
    <w:rsid w:val="00224534"/>
    <w:rsid w:val="00225360"/>
    <w:rsid w:val="00253560"/>
    <w:rsid w:val="00262B19"/>
    <w:rsid w:val="00270BD5"/>
    <w:rsid w:val="00275CF5"/>
    <w:rsid w:val="0028301F"/>
    <w:rsid w:val="00285017"/>
    <w:rsid w:val="002933DF"/>
    <w:rsid w:val="002A2D2E"/>
    <w:rsid w:val="002B1A2C"/>
    <w:rsid w:val="002C00E8"/>
    <w:rsid w:val="002C1F23"/>
    <w:rsid w:val="002D38E8"/>
    <w:rsid w:val="002E1412"/>
    <w:rsid w:val="002E338D"/>
    <w:rsid w:val="002F4131"/>
    <w:rsid w:val="002F5533"/>
    <w:rsid w:val="00301D45"/>
    <w:rsid w:val="00311D82"/>
    <w:rsid w:val="003155F2"/>
    <w:rsid w:val="00331037"/>
    <w:rsid w:val="00334C1C"/>
    <w:rsid w:val="00343749"/>
    <w:rsid w:val="0034739C"/>
    <w:rsid w:val="003660ED"/>
    <w:rsid w:val="00373CA3"/>
    <w:rsid w:val="003752D9"/>
    <w:rsid w:val="00376D49"/>
    <w:rsid w:val="003867E8"/>
    <w:rsid w:val="003940DD"/>
    <w:rsid w:val="003B0550"/>
    <w:rsid w:val="003B0618"/>
    <w:rsid w:val="003B22F7"/>
    <w:rsid w:val="003B527A"/>
    <w:rsid w:val="003B694F"/>
    <w:rsid w:val="003B6EF4"/>
    <w:rsid w:val="003C007A"/>
    <w:rsid w:val="003D7933"/>
    <w:rsid w:val="003E0E62"/>
    <w:rsid w:val="003E62B9"/>
    <w:rsid w:val="003E6E9E"/>
    <w:rsid w:val="003F1427"/>
    <w:rsid w:val="003F171C"/>
    <w:rsid w:val="003F1CCB"/>
    <w:rsid w:val="003F3C63"/>
    <w:rsid w:val="003F4E71"/>
    <w:rsid w:val="003F79E9"/>
    <w:rsid w:val="00405CF1"/>
    <w:rsid w:val="00412FC5"/>
    <w:rsid w:val="00421ED5"/>
    <w:rsid w:val="00422276"/>
    <w:rsid w:val="004242F1"/>
    <w:rsid w:val="00427B4A"/>
    <w:rsid w:val="00427F8E"/>
    <w:rsid w:val="00445A00"/>
    <w:rsid w:val="00447286"/>
    <w:rsid w:val="004512B5"/>
    <w:rsid w:val="00451949"/>
    <w:rsid w:val="00451B0F"/>
    <w:rsid w:val="00462693"/>
    <w:rsid w:val="0046461B"/>
    <w:rsid w:val="00470427"/>
    <w:rsid w:val="00475C14"/>
    <w:rsid w:val="00486745"/>
    <w:rsid w:val="004868F4"/>
    <w:rsid w:val="00496E33"/>
    <w:rsid w:val="004A0CE8"/>
    <w:rsid w:val="004A49C2"/>
    <w:rsid w:val="004C1795"/>
    <w:rsid w:val="004C2EE3"/>
    <w:rsid w:val="004D0A1D"/>
    <w:rsid w:val="004D2847"/>
    <w:rsid w:val="004E4A22"/>
    <w:rsid w:val="0050393C"/>
    <w:rsid w:val="00511968"/>
    <w:rsid w:val="0052007A"/>
    <w:rsid w:val="00522C9F"/>
    <w:rsid w:val="0053287A"/>
    <w:rsid w:val="00532A7A"/>
    <w:rsid w:val="00547018"/>
    <w:rsid w:val="0055614C"/>
    <w:rsid w:val="00561245"/>
    <w:rsid w:val="0056229D"/>
    <w:rsid w:val="005622E0"/>
    <w:rsid w:val="00566D06"/>
    <w:rsid w:val="00581FF2"/>
    <w:rsid w:val="00584B9F"/>
    <w:rsid w:val="00596C01"/>
    <w:rsid w:val="005B3998"/>
    <w:rsid w:val="005B6A88"/>
    <w:rsid w:val="005C16DE"/>
    <w:rsid w:val="005D5FCC"/>
    <w:rsid w:val="005E14C2"/>
    <w:rsid w:val="005E7719"/>
    <w:rsid w:val="005F15A8"/>
    <w:rsid w:val="005F3BAC"/>
    <w:rsid w:val="005F4AA0"/>
    <w:rsid w:val="00603AA1"/>
    <w:rsid w:val="006042A0"/>
    <w:rsid w:val="006075BD"/>
    <w:rsid w:val="00607BA5"/>
    <w:rsid w:val="00607CFA"/>
    <w:rsid w:val="0061180A"/>
    <w:rsid w:val="0062380A"/>
    <w:rsid w:val="00626C83"/>
    <w:rsid w:val="00626EB6"/>
    <w:rsid w:val="006372CF"/>
    <w:rsid w:val="006444AB"/>
    <w:rsid w:val="00653BD1"/>
    <w:rsid w:val="00655D03"/>
    <w:rsid w:val="00683388"/>
    <w:rsid w:val="00683F84"/>
    <w:rsid w:val="00696B14"/>
    <w:rsid w:val="00697A42"/>
    <w:rsid w:val="006A4B78"/>
    <w:rsid w:val="006A6A81"/>
    <w:rsid w:val="006B5F0C"/>
    <w:rsid w:val="006C7A65"/>
    <w:rsid w:val="006C7E4E"/>
    <w:rsid w:val="006D18FD"/>
    <w:rsid w:val="006D2936"/>
    <w:rsid w:val="006E2DAA"/>
    <w:rsid w:val="006F7393"/>
    <w:rsid w:val="0070224F"/>
    <w:rsid w:val="00704FBB"/>
    <w:rsid w:val="007106A5"/>
    <w:rsid w:val="007115F7"/>
    <w:rsid w:val="00715DBC"/>
    <w:rsid w:val="007200EF"/>
    <w:rsid w:val="00724B5E"/>
    <w:rsid w:val="007334BF"/>
    <w:rsid w:val="00734F74"/>
    <w:rsid w:val="00744A89"/>
    <w:rsid w:val="007459EE"/>
    <w:rsid w:val="00746B50"/>
    <w:rsid w:val="00752A1B"/>
    <w:rsid w:val="00754720"/>
    <w:rsid w:val="00754B1F"/>
    <w:rsid w:val="00755836"/>
    <w:rsid w:val="00756CB4"/>
    <w:rsid w:val="007637BD"/>
    <w:rsid w:val="0076766A"/>
    <w:rsid w:val="00771AA0"/>
    <w:rsid w:val="0077467C"/>
    <w:rsid w:val="00782E88"/>
    <w:rsid w:val="00785689"/>
    <w:rsid w:val="007915BE"/>
    <w:rsid w:val="00793253"/>
    <w:rsid w:val="00796F40"/>
    <w:rsid w:val="0079754B"/>
    <w:rsid w:val="007A1E6D"/>
    <w:rsid w:val="007A7E7C"/>
    <w:rsid w:val="007B0EB2"/>
    <w:rsid w:val="007B35DD"/>
    <w:rsid w:val="007B3FA3"/>
    <w:rsid w:val="007B4D0F"/>
    <w:rsid w:val="007C134E"/>
    <w:rsid w:val="007C5C78"/>
    <w:rsid w:val="007D47DC"/>
    <w:rsid w:val="007F1744"/>
    <w:rsid w:val="007F40A1"/>
    <w:rsid w:val="00802A1D"/>
    <w:rsid w:val="008052D0"/>
    <w:rsid w:val="00810B6F"/>
    <w:rsid w:val="008130D5"/>
    <w:rsid w:val="008163D8"/>
    <w:rsid w:val="00822CE0"/>
    <w:rsid w:val="008360DE"/>
    <w:rsid w:val="00837B1A"/>
    <w:rsid w:val="00841AB1"/>
    <w:rsid w:val="00843BEB"/>
    <w:rsid w:val="0086430C"/>
    <w:rsid w:val="00887080"/>
    <w:rsid w:val="00895833"/>
    <w:rsid w:val="00897BEB"/>
    <w:rsid w:val="008A5A5D"/>
    <w:rsid w:val="008B0D36"/>
    <w:rsid w:val="008B36CC"/>
    <w:rsid w:val="008B3D7E"/>
    <w:rsid w:val="008C2F61"/>
    <w:rsid w:val="008C68F1"/>
    <w:rsid w:val="008D1BF0"/>
    <w:rsid w:val="008D30CB"/>
    <w:rsid w:val="008E38B6"/>
    <w:rsid w:val="00904468"/>
    <w:rsid w:val="0091107B"/>
    <w:rsid w:val="009125E5"/>
    <w:rsid w:val="00921803"/>
    <w:rsid w:val="00926503"/>
    <w:rsid w:val="00930E01"/>
    <w:rsid w:val="009343B5"/>
    <w:rsid w:val="0095462F"/>
    <w:rsid w:val="00954E3B"/>
    <w:rsid w:val="0096090D"/>
    <w:rsid w:val="009618AB"/>
    <w:rsid w:val="0096344A"/>
    <w:rsid w:val="00967635"/>
    <w:rsid w:val="009726D8"/>
    <w:rsid w:val="009751D6"/>
    <w:rsid w:val="009763C5"/>
    <w:rsid w:val="00983D68"/>
    <w:rsid w:val="00984047"/>
    <w:rsid w:val="00985788"/>
    <w:rsid w:val="0099198A"/>
    <w:rsid w:val="009959C6"/>
    <w:rsid w:val="009A6FEB"/>
    <w:rsid w:val="009D7308"/>
    <w:rsid w:val="009E595F"/>
    <w:rsid w:val="009F76DB"/>
    <w:rsid w:val="00A02A5C"/>
    <w:rsid w:val="00A1092D"/>
    <w:rsid w:val="00A1257F"/>
    <w:rsid w:val="00A13A91"/>
    <w:rsid w:val="00A24838"/>
    <w:rsid w:val="00A24934"/>
    <w:rsid w:val="00A32C3B"/>
    <w:rsid w:val="00A447BA"/>
    <w:rsid w:val="00A45F4F"/>
    <w:rsid w:val="00A52F8E"/>
    <w:rsid w:val="00A5570A"/>
    <w:rsid w:val="00A600A9"/>
    <w:rsid w:val="00A67E6E"/>
    <w:rsid w:val="00A76C33"/>
    <w:rsid w:val="00A80DF9"/>
    <w:rsid w:val="00A81289"/>
    <w:rsid w:val="00A91D4A"/>
    <w:rsid w:val="00AA2A25"/>
    <w:rsid w:val="00AA55B7"/>
    <w:rsid w:val="00AA5B9E"/>
    <w:rsid w:val="00AB2407"/>
    <w:rsid w:val="00AB53DF"/>
    <w:rsid w:val="00AC3DE6"/>
    <w:rsid w:val="00AF5A7D"/>
    <w:rsid w:val="00B046D9"/>
    <w:rsid w:val="00B07E5C"/>
    <w:rsid w:val="00B104FA"/>
    <w:rsid w:val="00B11CEB"/>
    <w:rsid w:val="00B23BCA"/>
    <w:rsid w:val="00B3624B"/>
    <w:rsid w:val="00B4385E"/>
    <w:rsid w:val="00B67E2C"/>
    <w:rsid w:val="00B7213E"/>
    <w:rsid w:val="00B806A6"/>
    <w:rsid w:val="00B811F7"/>
    <w:rsid w:val="00B91245"/>
    <w:rsid w:val="00B91E90"/>
    <w:rsid w:val="00BA3695"/>
    <w:rsid w:val="00BA4C18"/>
    <w:rsid w:val="00BA5DC6"/>
    <w:rsid w:val="00BA6196"/>
    <w:rsid w:val="00BB22FA"/>
    <w:rsid w:val="00BC4F3C"/>
    <w:rsid w:val="00BC554A"/>
    <w:rsid w:val="00BC6D8C"/>
    <w:rsid w:val="00BC7D0A"/>
    <w:rsid w:val="00BF6AE0"/>
    <w:rsid w:val="00C14228"/>
    <w:rsid w:val="00C17511"/>
    <w:rsid w:val="00C34006"/>
    <w:rsid w:val="00C36B4C"/>
    <w:rsid w:val="00C415A6"/>
    <w:rsid w:val="00C426B1"/>
    <w:rsid w:val="00C44D8C"/>
    <w:rsid w:val="00C456AA"/>
    <w:rsid w:val="00C55B5A"/>
    <w:rsid w:val="00C66160"/>
    <w:rsid w:val="00C718DE"/>
    <w:rsid w:val="00C721AC"/>
    <w:rsid w:val="00C87B82"/>
    <w:rsid w:val="00C90D6A"/>
    <w:rsid w:val="00C90E4F"/>
    <w:rsid w:val="00C9347C"/>
    <w:rsid w:val="00CA1365"/>
    <w:rsid w:val="00CA247E"/>
    <w:rsid w:val="00CA6D21"/>
    <w:rsid w:val="00CB4B0C"/>
    <w:rsid w:val="00CC72B6"/>
    <w:rsid w:val="00CD3FE8"/>
    <w:rsid w:val="00CD5413"/>
    <w:rsid w:val="00CD6AE7"/>
    <w:rsid w:val="00CE410D"/>
    <w:rsid w:val="00CE5FB4"/>
    <w:rsid w:val="00CF0468"/>
    <w:rsid w:val="00CF08A8"/>
    <w:rsid w:val="00D0218D"/>
    <w:rsid w:val="00D025E8"/>
    <w:rsid w:val="00D060BC"/>
    <w:rsid w:val="00D25FB5"/>
    <w:rsid w:val="00D2735C"/>
    <w:rsid w:val="00D3007D"/>
    <w:rsid w:val="00D34AA9"/>
    <w:rsid w:val="00D44223"/>
    <w:rsid w:val="00D5397C"/>
    <w:rsid w:val="00D554A6"/>
    <w:rsid w:val="00D7128D"/>
    <w:rsid w:val="00D71885"/>
    <w:rsid w:val="00D81419"/>
    <w:rsid w:val="00D864B0"/>
    <w:rsid w:val="00D87E20"/>
    <w:rsid w:val="00D93259"/>
    <w:rsid w:val="00D95C14"/>
    <w:rsid w:val="00D964DD"/>
    <w:rsid w:val="00DA2529"/>
    <w:rsid w:val="00DB130A"/>
    <w:rsid w:val="00DB2EBB"/>
    <w:rsid w:val="00DB2F4C"/>
    <w:rsid w:val="00DB3669"/>
    <w:rsid w:val="00DB6122"/>
    <w:rsid w:val="00DC10A1"/>
    <w:rsid w:val="00DC19ED"/>
    <w:rsid w:val="00DC655F"/>
    <w:rsid w:val="00DD0B59"/>
    <w:rsid w:val="00DD3FAB"/>
    <w:rsid w:val="00DD543A"/>
    <w:rsid w:val="00DD6C73"/>
    <w:rsid w:val="00DD71A0"/>
    <w:rsid w:val="00DD7EBD"/>
    <w:rsid w:val="00DE37F7"/>
    <w:rsid w:val="00DF1497"/>
    <w:rsid w:val="00DF5118"/>
    <w:rsid w:val="00DF62B6"/>
    <w:rsid w:val="00E07225"/>
    <w:rsid w:val="00E13138"/>
    <w:rsid w:val="00E245EB"/>
    <w:rsid w:val="00E270DC"/>
    <w:rsid w:val="00E34CD0"/>
    <w:rsid w:val="00E52802"/>
    <w:rsid w:val="00E5409F"/>
    <w:rsid w:val="00E57930"/>
    <w:rsid w:val="00E57A68"/>
    <w:rsid w:val="00E60CE0"/>
    <w:rsid w:val="00E67D5A"/>
    <w:rsid w:val="00E70E3B"/>
    <w:rsid w:val="00E81449"/>
    <w:rsid w:val="00E8309C"/>
    <w:rsid w:val="00E84164"/>
    <w:rsid w:val="00E846B7"/>
    <w:rsid w:val="00E92E08"/>
    <w:rsid w:val="00E97CE6"/>
    <w:rsid w:val="00EA3794"/>
    <w:rsid w:val="00EA54B7"/>
    <w:rsid w:val="00EB5632"/>
    <w:rsid w:val="00ED7456"/>
    <w:rsid w:val="00EE6488"/>
    <w:rsid w:val="00F021FA"/>
    <w:rsid w:val="00F0421E"/>
    <w:rsid w:val="00F24E88"/>
    <w:rsid w:val="00F4137F"/>
    <w:rsid w:val="00F62E97"/>
    <w:rsid w:val="00F64209"/>
    <w:rsid w:val="00F7692A"/>
    <w:rsid w:val="00F7769B"/>
    <w:rsid w:val="00F93BF5"/>
    <w:rsid w:val="00FD2B70"/>
    <w:rsid w:val="00FE5913"/>
    <w:rsid w:val="00FE6C9E"/>
    <w:rsid w:val="00FF4BB0"/>
    <w:rsid w:val="00FF7B7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5F1032-1DB2-4501-BFAD-5A9E7C1C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F15A8"/>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1">
    <w:name w:val="Unresolved Mention1"/>
    <w:uiPriority w:val="99"/>
    <w:semiHidden/>
    <w:unhideWhenUsed/>
    <w:rsid w:val="00CE5FB4"/>
    <w:rPr>
      <w:color w:val="605E5C"/>
      <w:shd w:val="clear" w:color="auto" w:fill="E1DFDD"/>
    </w:rPr>
  </w:style>
  <w:style w:type="paragraph" w:styleId="ListParagraph">
    <w:name w:val="List Paragraph"/>
    <w:basedOn w:val="Normal"/>
    <w:uiPriority w:val="34"/>
    <w:qFormat/>
    <w:rsid w:val="00D81419"/>
    <w:pPr>
      <w:ind w:left="720"/>
    </w:pPr>
  </w:style>
  <w:style w:type="paragraph" w:styleId="BalloonText">
    <w:name w:val="Balloon Text"/>
    <w:basedOn w:val="Normal"/>
    <w:link w:val="BalloonTextChar"/>
    <w:semiHidden/>
    <w:unhideWhenUsed/>
    <w:rsid w:val="00181655"/>
    <w:rPr>
      <w:rFonts w:ascii="Segoe UI" w:hAnsi="Segoe UI" w:cs="Segoe UI"/>
      <w:sz w:val="18"/>
      <w:szCs w:val="18"/>
    </w:rPr>
  </w:style>
  <w:style w:type="character" w:customStyle="1" w:styleId="BalloonTextChar">
    <w:name w:val="Balloon Text Char"/>
    <w:link w:val="BalloonText"/>
    <w:semiHidden/>
    <w:rsid w:val="00181655"/>
    <w:rPr>
      <w:rFonts w:ascii="Segoe UI" w:hAnsi="Segoe UI" w:cs="Segoe UI"/>
      <w:snapToGrid w:val="0"/>
      <w:kern w:val="28"/>
      <w:sz w:val="18"/>
      <w:szCs w:val="18"/>
      <w:lang w:bidi="ar-SA"/>
    </w:rPr>
  </w:style>
  <w:style w:type="character" w:styleId="CommentReference">
    <w:name w:val="annotation reference"/>
    <w:rsid w:val="0012365B"/>
    <w:rPr>
      <w:sz w:val="16"/>
      <w:szCs w:val="16"/>
    </w:rPr>
  </w:style>
  <w:style w:type="paragraph" w:styleId="CommentText">
    <w:name w:val="annotation text"/>
    <w:basedOn w:val="Normal"/>
    <w:link w:val="CommentTextChar"/>
    <w:rsid w:val="0012365B"/>
    <w:rPr>
      <w:sz w:val="20"/>
    </w:rPr>
  </w:style>
  <w:style w:type="character" w:customStyle="1" w:styleId="CommentTextChar">
    <w:name w:val="Comment Text Char"/>
    <w:link w:val="CommentText"/>
    <w:rsid w:val="0012365B"/>
    <w:rPr>
      <w:snapToGrid w:val="0"/>
      <w:kern w:val="28"/>
      <w:lang w:bidi="ar-SA"/>
    </w:rPr>
  </w:style>
  <w:style w:type="paragraph" w:styleId="CommentSubject">
    <w:name w:val="annotation subject"/>
    <w:basedOn w:val="CommentText"/>
    <w:next w:val="CommentText"/>
    <w:link w:val="CommentSubjectChar"/>
    <w:rsid w:val="0012365B"/>
    <w:rPr>
      <w:b/>
      <w:bCs/>
    </w:rPr>
  </w:style>
  <w:style w:type="character" w:customStyle="1" w:styleId="CommentSubjectChar">
    <w:name w:val="Comment Subject Char"/>
    <w:link w:val="CommentSubject"/>
    <w:rsid w:val="0012365B"/>
    <w:rPr>
      <w:b/>
      <w:bCs/>
      <w:snapToGrid w:val="0"/>
      <w:kern w:val="28"/>
      <w:lang w:bidi="ar-SA"/>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 Char,fn Char"/>
    <w:link w:val="FootnoteText"/>
    <w:locked/>
    <w:rsid w:val="00CF0468"/>
  </w:style>
  <w:style w:type="character" w:styleId="FollowedHyperlink">
    <w:name w:val="FollowedHyperlink"/>
    <w:rsid w:val="00B7213E"/>
    <w:rPr>
      <w:color w:val="954F72"/>
      <w:u w:val="single"/>
    </w:rPr>
  </w:style>
  <w:style w:type="character" w:customStyle="1" w:styleId="ParaNumChar">
    <w:name w:val="ParaNum Char"/>
    <w:link w:val="ParaNum"/>
    <w:locked/>
    <w:rsid w:val="008B3D7E"/>
    <w:rPr>
      <w:snapToGrid w:val="0"/>
      <w:kern w:val="28"/>
      <w:sz w:val="22"/>
    </w:rPr>
  </w:style>
  <w:style w:type="character" w:customStyle="1" w:styleId="ParaNumChar1">
    <w:name w:val="ParaNum Char1"/>
    <w:locked/>
    <w:rsid w:val="009763C5"/>
    <w:rPr>
      <w:snapToGrid w:val="0"/>
      <w:kern w:val="28"/>
      <w:sz w:val="22"/>
    </w:rPr>
  </w:style>
  <w:style w:type="character" w:customStyle="1" w:styleId="UnresolvedMention">
    <w:name w:val="Unresolved Mention"/>
    <w:rsid w:val="00B3624B"/>
    <w:rPr>
      <w:color w:val="605E5C"/>
      <w:shd w:val="clear" w:color="auto" w:fill="E1DFDD"/>
    </w:rPr>
  </w:style>
  <w:style w:type="paragraph" w:styleId="Revision">
    <w:name w:val="Revision"/>
    <w:hidden/>
    <w:uiPriority w:val="99"/>
    <w:semiHidden/>
    <w:rsid w:val="005622E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who.int/" TargetMode="External" /><Relationship Id="rId3" Type="http://schemas.openxmlformats.org/officeDocument/2006/relationships/hyperlink" Target="https://www.cdc.gov/coronavirus/2019-ncov/cases-in-us.html" TargetMode="External" /><Relationship Id="rId4" Type="http://schemas.openxmlformats.org/officeDocument/2006/relationships/hyperlink" Target="https://www.whitehouse.gov/openingamerica/" TargetMode="External" /><Relationship Id="rId5" Type="http://schemas.openxmlformats.org/officeDocument/2006/relationships/hyperlink" Target="https://www.governor.wa.gov/sites/default/files/SafeStartWA_4May20_1pm.pdf" TargetMode="External" /><Relationship Id="rId6" Type="http://schemas.openxmlformats.org/officeDocument/2006/relationships/hyperlink" Target="https://www.indystar.com/story/news/local/indianapolis/2020/06/11/coronavirus-indiana-indianapolis-reopening-stage-4/5341726002/" TargetMode="External" /><Relationship Id="rId7" Type="http://schemas.openxmlformats.org/officeDocument/2006/relationships/hyperlink" Target="https://dailyiowan.com/2020/05/22/university-of-iowa-to-begin-phased-reopening-of-select-campus-operations/" TargetMode="External" /><Relationship Id="rId8" Type="http://schemas.openxmlformats.org/officeDocument/2006/relationships/hyperlink" Target="https://www.fox4news.com/news/many-large-companies-plan-to-keep-employees-working-from-home-for-no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