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A510C" w:rsidRPr="00D10F01">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p>
    <w:p w:rsidR="00DA510C" w:rsidRPr="00D10F01" w:rsidP="00DA510C">
      <w:pPr>
        <w:jc w:val="right"/>
        <w:rPr>
          <w:b/>
          <w:szCs w:val="22"/>
        </w:rPr>
      </w:pPr>
      <w:r w:rsidRPr="00D10F01">
        <w:rPr>
          <w:b/>
          <w:szCs w:val="22"/>
        </w:rPr>
        <w:t xml:space="preserve">DA </w:t>
      </w:r>
      <w:r w:rsidRPr="00D10F01" w:rsidR="001E5C3E">
        <w:rPr>
          <w:b/>
          <w:szCs w:val="22"/>
        </w:rPr>
        <w:t>20</w:t>
      </w:r>
      <w:r w:rsidRPr="00D10F01">
        <w:rPr>
          <w:b/>
          <w:szCs w:val="22"/>
        </w:rPr>
        <w:t>-</w:t>
      </w:r>
      <w:r w:rsidR="008005FF">
        <w:rPr>
          <w:b/>
          <w:szCs w:val="22"/>
        </w:rPr>
        <w:t>729</w:t>
      </w:r>
    </w:p>
    <w:p w:rsidR="00DA510C" w:rsidRPr="00D10F01" w:rsidP="00DA510C">
      <w:pPr>
        <w:spacing w:before="60"/>
        <w:jc w:val="right"/>
        <w:rPr>
          <w:b/>
          <w:szCs w:val="22"/>
        </w:rPr>
      </w:pPr>
      <w:r w:rsidRPr="00D10F01">
        <w:rPr>
          <w:b/>
          <w:szCs w:val="22"/>
        </w:rPr>
        <w:t>Ju</w:t>
      </w:r>
      <w:r w:rsidR="0069385A">
        <w:rPr>
          <w:b/>
          <w:szCs w:val="22"/>
        </w:rPr>
        <w:t>ly</w:t>
      </w:r>
      <w:r w:rsidRPr="00D10F01" w:rsidR="001E5C3E">
        <w:rPr>
          <w:b/>
          <w:szCs w:val="22"/>
        </w:rPr>
        <w:t xml:space="preserve"> </w:t>
      </w:r>
      <w:r w:rsidR="00FE775A">
        <w:rPr>
          <w:b/>
          <w:szCs w:val="22"/>
        </w:rPr>
        <w:t>13</w:t>
      </w:r>
      <w:r w:rsidRPr="00D10F01">
        <w:rPr>
          <w:b/>
          <w:szCs w:val="22"/>
        </w:rPr>
        <w:t>, 20</w:t>
      </w:r>
      <w:r w:rsidRPr="00D10F01" w:rsidR="001E5C3E">
        <w:rPr>
          <w:b/>
          <w:szCs w:val="22"/>
        </w:rPr>
        <w:t>20</w:t>
      </w:r>
    </w:p>
    <w:p w:rsidR="00DA510C" w:rsidRPr="00D10F01" w:rsidP="00DA510C">
      <w:pPr>
        <w:tabs>
          <w:tab w:val="left" w:pos="5900"/>
        </w:tabs>
        <w:rPr>
          <w:szCs w:val="22"/>
        </w:rPr>
      </w:pPr>
      <w:r w:rsidRPr="00D10F01">
        <w:rPr>
          <w:szCs w:val="22"/>
        </w:rPr>
        <w:tab/>
      </w:r>
    </w:p>
    <w:p w:rsidR="00596492" w:rsidP="00A427FC">
      <w:pPr>
        <w:jc w:val="center"/>
        <w:rPr>
          <w:b/>
          <w:bCs/>
          <w:szCs w:val="22"/>
        </w:rPr>
      </w:pPr>
      <w:bookmarkStart w:id="1" w:name="_Hlk502044717"/>
      <w:bookmarkStart w:id="2" w:name="_Hlk516578398"/>
      <w:r>
        <w:rPr>
          <w:b/>
          <w:bCs/>
          <w:szCs w:val="22"/>
        </w:rPr>
        <w:t>DOMESTIC</w:t>
      </w:r>
      <w:r w:rsidRPr="00D10F01" w:rsidR="00DA510C">
        <w:rPr>
          <w:b/>
          <w:bCs/>
          <w:szCs w:val="22"/>
        </w:rPr>
        <w:t xml:space="preserve"> </w:t>
      </w:r>
      <w:r>
        <w:rPr>
          <w:b/>
          <w:bCs/>
          <w:szCs w:val="22"/>
        </w:rPr>
        <w:t xml:space="preserve">SECTION 214 </w:t>
      </w:r>
      <w:r>
        <w:rPr>
          <w:b/>
          <w:bCs/>
          <w:szCs w:val="22"/>
        </w:rPr>
        <w:t xml:space="preserve">APPLICATION </w:t>
      </w:r>
      <w:r w:rsidRPr="00D10F01" w:rsidR="00DA510C">
        <w:rPr>
          <w:b/>
          <w:bCs/>
          <w:szCs w:val="22"/>
        </w:rPr>
        <w:t xml:space="preserve">FILED FOR THE </w:t>
      </w:r>
      <w:r w:rsidRPr="00D10F01" w:rsidR="00E030A3">
        <w:rPr>
          <w:b/>
          <w:bCs/>
          <w:szCs w:val="22"/>
        </w:rPr>
        <w:t>A</w:t>
      </w:r>
      <w:r w:rsidR="00A427FC">
        <w:rPr>
          <w:b/>
          <w:bCs/>
          <w:szCs w:val="22"/>
        </w:rPr>
        <w:t>QUIS</w:t>
      </w:r>
      <w:r>
        <w:rPr>
          <w:b/>
          <w:bCs/>
          <w:szCs w:val="22"/>
        </w:rPr>
        <w:t>I</w:t>
      </w:r>
      <w:r w:rsidR="00A427FC">
        <w:rPr>
          <w:b/>
          <w:bCs/>
          <w:szCs w:val="22"/>
        </w:rPr>
        <w:t xml:space="preserve">TION </w:t>
      </w:r>
    </w:p>
    <w:p w:rsidR="002B3095" w:rsidP="00596492">
      <w:pPr>
        <w:jc w:val="center"/>
        <w:rPr>
          <w:b/>
          <w:bCs/>
          <w:szCs w:val="22"/>
        </w:rPr>
      </w:pPr>
      <w:r>
        <w:rPr>
          <w:b/>
          <w:bCs/>
          <w:szCs w:val="22"/>
        </w:rPr>
        <w:t xml:space="preserve">OF CERTAIN ASSETS </w:t>
      </w:r>
      <w:bookmarkEnd w:id="1"/>
      <w:r>
        <w:rPr>
          <w:b/>
          <w:bCs/>
          <w:szCs w:val="22"/>
        </w:rPr>
        <w:t xml:space="preserve">OF </w:t>
      </w:r>
      <w:r w:rsidR="0069385A">
        <w:rPr>
          <w:b/>
          <w:bCs/>
          <w:szCs w:val="22"/>
        </w:rPr>
        <w:t xml:space="preserve">WINDSTREAM </w:t>
      </w:r>
      <w:bookmarkStart w:id="3" w:name="_GoBack"/>
      <w:bookmarkEnd w:id="3"/>
      <w:r w:rsidR="0069385A">
        <w:rPr>
          <w:b/>
          <w:bCs/>
          <w:szCs w:val="22"/>
        </w:rPr>
        <w:t xml:space="preserve">HOLDINGS, INC. </w:t>
      </w:r>
      <w:r w:rsidRPr="00D10F01" w:rsidR="00E030A3">
        <w:rPr>
          <w:b/>
          <w:bCs/>
          <w:szCs w:val="22"/>
        </w:rPr>
        <w:t xml:space="preserve"> </w:t>
      </w:r>
      <w:r>
        <w:rPr>
          <w:b/>
          <w:bCs/>
          <w:szCs w:val="22"/>
        </w:rPr>
        <w:t>BY</w:t>
      </w:r>
    </w:p>
    <w:p w:rsidR="00DA510C" w:rsidRPr="00D10F01" w:rsidP="00DA510C">
      <w:pPr>
        <w:jc w:val="center"/>
        <w:rPr>
          <w:b/>
          <w:bCs/>
          <w:szCs w:val="22"/>
        </w:rPr>
      </w:pPr>
      <w:r w:rsidRPr="00D10F01">
        <w:rPr>
          <w:b/>
          <w:bCs/>
          <w:szCs w:val="22"/>
        </w:rPr>
        <w:t>UNITI</w:t>
      </w:r>
      <w:r w:rsidRPr="00D10F01" w:rsidR="00406D38">
        <w:rPr>
          <w:b/>
          <w:bCs/>
          <w:szCs w:val="22"/>
        </w:rPr>
        <w:t xml:space="preserve"> </w:t>
      </w:r>
      <w:r w:rsidR="002B3095">
        <w:rPr>
          <w:b/>
          <w:bCs/>
          <w:szCs w:val="22"/>
        </w:rPr>
        <w:t>GROUP FINANCE INC. AND UNITI NATIONAL LLC</w:t>
      </w:r>
    </w:p>
    <w:bookmarkEnd w:id="2"/>
    <w:p w:rsidR="00DA510C" w:rsidRPr="00D10F01" w:rsidP="00DA510C">
      <w:pPr>
        <w:jc w:val="center"/>
        <w:rPr>
          <w:b/>
          <w:bCs/>
          <w:szCs w:val="22"/>
        </w:rPr>
      </w:pPr>
    </w:p>
    <w:p w:rsidR="00DA510C" w:rsidRPr="00D10F01" w:rsidP="00DA510C">
      <w:pPr>
        <w:jc w:val="center"/>
        <w:rPr>
          <w:b/>
          <w:szCs w:val="22"/>
        </w:rPr>
      </w:pPr>
      <w:r>
        <w:rPr>
          <w:b/>
          <w:szCs w:val="22"/>
        </w:rPr>
        <w:t xml:space="preserve">NON-STREAMLINED </w:t>
      </w:r>
      <w:r w:rsidRPr="00D10F01">
        <w:rPr>
          <w:b/>
          <w:szCs w:val="22"/>
        </w:rPr>
        <w:t>PLEADING CYCLE ESTABLISHED</w:t>
      </w:r>
    </w:p>
    <w:p w:rsidR="00DA510C" w:rsidRPr="00D10F01" w:rsidP="00DA510C">
      <w:pPr>
        <w:jc w:val="center"/>
        <w:rPr>
          <w:b/>
          <w:szCs w:val="22"/>
        </w:rPr>
      </w:pPr>
    </w:p>
    <w:p w:rsidR="00DA510C" w:rsidRPr="00D10F01" w:rsidP="00DA510C">
      <w:pPr>
        <w:jc w:val="center"/>
        <w:rPr>
          <w:b/>
          <w:szCs w:val="22"/>
        </w:rPr>
      </w:pPr>
      <w:r w:rsidRPr="00D10F01">
        <w:rPr>
          <w:b/>
          <w:szCs w:val="22"/>
        </w:rPr>
        <w:t xml:space="preserve"> WC Docket No. </w:t>
      </w:r>
      <w:r w:rsidRPr="00D10F01" w:rsidR="001E5C3E">
        <w:rPr>
          <w:b/>
          <w:szCs w:val="22"/>
        </w:rPr>
        <w:t>20</w:t>
      </w:r>
      <w:r w:rsidRPr="00D10F01">
        <w:rPr>
          <w:b/>
          <w:szCs w:val="22"/>
        </w:rPr>
        <w:t>-</w:t>
      </w:r>
      <w:r w:rsidR="00EF62E7">
        <w:rPr>
          <w:b/>
          <w:szCs w:val="22"/>
        </w:rPr>
        <w:t>161</w:t>
      </w:r>
    </w:p>
    <w:p w:rsidR="00DA510C" w:rsidRPr="00D10F01" w:rsidP="00DA510C">
      <w:pPr>
        <w:jc w:val="center"/>
        <w:rPr>
          <w:szCs w:val="22"/>
        </w:rPr>
      </w:pPr>
    </w:p>
    <w:p w:rsidR="00DA510C" w:rsidRPr="00D10F01" w:rsidP="00DA510C">
      <w:pPr>
        <w:pStyle w:val="NoSpacing"/>
        <w:rPr>
          <w:b/>
          <w:szCs w:val="22"/>
        </w:rPr>
      </w:pPr>
      <w:r w:rsidRPr="00D10F01">
        <w:rPr>
          <w:b/>
          <w:szCs w:val="22"/>
        </w:rPr>
        <w:t xml:space="preserve">Comments Due:  </w:t>
      </w:r>
      <w:r w:rsidR="008352D4">
        <w:rPr>
          <w:b/>
          <w:szCs w:val="22"/>
        </w:rPr>
        <w:t>July 27</w:t>
      </w:r>
      <w:r w:rsidRPr="00D10F01" w:rsidR="00406D38">
        <w:rPr>
          <w:b/>
          <w:szCs w:val="22"/>
        </w:rPr>
        <w:t>, 2020</w:t>
      </w:r>
    </w:p>
    <w:p w:rsidR="00DA510C" w:rsidRPr="00D10F01" w:rsidP="00DA510C">
      <w:pPr>
        <w:pStyle w:val="NoSpacing"/>
        <w:rPr>
          <w:b/>
          <w:szCs w:val="22"/>
        </w:rPr>
      </w:pPr>
      <w:r w:rsidRPr="00D10F01">
        <w:rPr>
          <w:b/>
          <w:szCs w:val="22"/>
        </w:rPr>
        <w:t xml:space="preserve">Reply Comments Due:  </w:t>
      </w:r>
      <w:r w:rsidR="00D02257">
        <w:rPr>
          <w:b/>
          <w:szCs w:val="22"/>
        </w:rPr>
        <w:t>August</w:t>
      </w:r>
      <w:r w:rsidRPr="00D10F01" w:rsidR="00406D38">
        <w:rPr>
          <w:b/>
          <w:szCs w:val="22"/>
        </w:rPr>
        <w:t xml:space="preserve"> </w:t>
      </w:r>
      <w:r w:rsidR="008352D4">
        <w:rPr>
          <w:b/>
          <w:szCs w:val="22"/>
        </w:rPr>
        <w:t>3</w:t>
      </w:r>
      <w:r w:rsidRPr="00D10F01" w:rsidR="00406D38">
        <w:rPr>
          <w:b/>
          <w:szCs w:val="22"/>
        </w:rPr>
        <w:t>, 2020</w:t>
      </w:r>
    </w:p>
    <w:p w:rsidR="00DA510C" w:rsidRPr="00D10F01" w:rsidP="00DA510C">
      <w:pPr>
        <w:autoSpaceDE w:val="0"/>
        <w:autoSpaceDN w:val="0"/>
        <w:adjustRightInd w:val="0"/>
        <w:rPr>
          <w:szCs w:val="22"/>
        </w:rPr>
      </w:pPr>
    </w:p>
    <w:p w:rsidR="001F72C5" w:rsidRPr="00D10F01" w:rsidP="00910E1F">
      <w:pPr>
        <w:autoSpaceDE w:val="0"/>
        <w:autoSpaceDN w:val="0"/>
        <w:adjustRightInd w:val="0"/>
        <w:spacing w:after="120"/>
        <w:ind w:firstLine="720"/>
        <w:rPr>
          <w:szCs w:val="22"/>
        </w:rPr>
      </w:pPr>
      <w:r w:rsidRPr="00D10F01">
        <w:rPr>
          <w:szCs w:val="22"/>
        </w:rPr>
        <w:t>By this Public Notice, the Wireline Competition Bureau</w:t>
      </w:r>
      <w:r w:rsidRPr="00D10F01" w:rsidR="001E5C3E">
        <w:rPr>
          <w:szCs w:val="22"/>
        </w:rPr>
        <w:t xml:space="preserve"> </w:t>
      </w:r>
      <w:r w:rsidR="0069385A">
        <w:rPr>
          <w:szCs w:val="22"/>
        </w:rPr>
        <w:t xml:space="preserve">(Bureau) </w:t>
      </w:r>
      <w:r w:rsidRPr="00D10F01">
        <w:rPr>
          <w:szCs w:val="22"/>
        </w:rPr>
        <w:t>seek</w:t>
      </w:r>
      <w:r w:rsidRPr="00D10F01" w:rsidR="00E030A3">
        <w:rPr>
          <w:szCs w:val="22"/>
        </w:rPr>
        <w:t>s</w:t>
      </w:r>
      <w:r w:rsidRPr="00D10F01">
        <w:rPr>
          <w:szCs w:val="22"/>
        </w:rPr>
        <w:t xml:space="preserve"> comment from interested parties on </w:t>
      </w:r>
      <w:r w:rsidRPr="00D10F01" w:rsidR="00E030A3">
        <w:rPr>
          <w:szCs w:val="22"/>
        </w:rPr>
        <w:t xml:space="preserve">an </w:t>
      </w:r>
      <w:r w:rsidRPr="00D10F01" w:rsidR="00406D38">
        <w:rPr>
          <w:szCs w:val="22"/>
        </w:rPr>
        <w:t>application</w:t>
      </w:r>
      <w:r w:rsidRPr="00D10F01" w:rsidR="00C8083F">
        <w:rPr>
          <w:szCs w:val="22"/>
        </w:rPr>
        <w:t xml:space="preserve"> filed</w:t>
      </w:r>
      <w:r w:rsidRPr="00D10F01" w:rsidR="00BA12EB">
        <w:rPr>
          <w:szCs w:val="22"/>
        </w:rPr>
        <w:t xml:space="preserve"> </w:t>
      </w:r>
      <w:r w:rsidRPr="00445585" w:rsidR="0069385A">
        <w:rPr>
          <w:szCs w:val="22"/>
        </w:rPr>
        <w:t xml:space="preserve">by </w:t>
      </w:r>
      <w:r w:rsidR="0069385A">
        <w:rPr>
          <w:szCs w:val="22"/>
        </w:rPr>
        <w:t>Business Telecom, LLC, Cavalier Telephone Mid-Atlantic, LLC, DeltaCom, LLC, Intellifiber Networks, LLC, McLeodUSA Telecommunications Services, L.L.C., Windstream FiberNet, LLC f/k/a EarthLink Business, LLC, Windstream NuVox, LLC (collectively, Windstream Licensees), Uniti Group Finance, Inc. (Uniti Group Finance), and Uniti National LLC (</w:t>
      </w:r>
      <w:r w:rsidR="00D74156">
        <w:rPr>
          <w:szCs w:val="22"/>
        </w:rPr>
        <w:t>Unity</w:t>
      </w:r>
      <w:r w:rsidR="0069385A">
        <w:rPr>
          <w:szCs w:val="22"/>
        </w:rPr>
        <w:t xml:space="preserve"> National</w:t>
      </w:r>
      <w:r w:rsidR="00D4246C">
        <w:rPr>
          <w:szCs w:val="22"/>
        </w:rPr>
        <w:t xml:space="preserve">, </w:t>
      </w:r>
      <w:r w:rsidR="0069385A">
        <w:rPr>
          <w:szCs w:val="22"/>
        </w:rPr>
        <w:t>and together with Uniti Group Finance, Purchasers; Purchasers together with Windstream Licensees, Applicants)</w:t>
      </w:r>
      <w:r w:rsidRPr="00445585" w:rsidR="0069385A">
        <w:rPr>
          <w:szCs w:val="22"/>
        </w:rPr>
        <w:t xml:space="preserve">, pursuant to section 214 of the Communications Act of 1934, as amended, and sections 63.03-04 of the Commission’s rules, requesting </w:t>
      </w:r>
      <w:r w:rsidR="0069385A">
        <w:rPr>
          <w:szCs w:val="22"/>
        </w:rPr>
        <w:t xml:space="preserve">approval for </w:t>
      </w:r>
      <w:r w:rsidR="00D4246C">
        <w:rPr>
          <w:szCs w:val="22"/>
        </w:rPr>
        <w:t xml:space="preserve">the Windstream Licensees to transfer certain fiber optic assets </w:t>
      </w:r>
      <w:r w:rsidR="006B513E">
        <w:rPr>
          <w:szCs w:val="22"/>
        </w:rPr>
        <w:t xml:space="preserve">to </w:t>
      </w:r>
      <w:r w:rsidR="0069385A">
        <w:rPr>
          <w:szCs w:val="22"/>
        </w:rPr>
        <w:t>Purchasers</w:t>
      </w:r>
      <w:r w:rsidR="006B513E">
        <w:rPr>
          <w:szCs w:val="22"/>
        </w:rPr>
        <w:t>.</w:t>
      </w:r>
      <w:r>
        <w:rPr>
          <w:rStyle w:val="FootnoteReference"/>
          <w:szCs w:val="22"/>
        </w:rPr>
        <w:footnoteReference w:id="3"/>
      </w:r>
    </w:p>
    <w:p w:rsidR="00BC3987" w:rsidRPr="00FB4FB2" w:rsidP="000E346A">
      <w:pPr>
        <w:autoSpaceDE w:val="0"/>
        <w:autoSpaceDN w:val="0"/>
        <w:adjustRightInd w:val="0"/>
        <w:ind w:firstLine="720"/>
        <w:rPr>
          <w:szCs w:val="22"/>
        </w:rPr>
      </w:pPr>
      <w:r w:rsidRPr="00FB4FB2">
        <w:rPr>
          <w:szCs w:val="22"/>
        </w:rPr>
        <w:t>The Windstream Licensees</w:t>
      </w:r>
      <w:r w:rsidRPr="00FB4FB2" w:rsidR="006B513E">
        <w:rPr>
          <w:szCs w:val="22"/>
        </w:rPr>
        <w:t>, all U.S-based,</w:t>
      </w:r>
      <w:r w:rsidRPr="00FB4FB2">
        <w:rPr>
          <w:szCs w:val="22"/>
        </w:rPr>
        <w:t xml:space="preserve"> </w:t>
      </w:r>
      <w:r w:rsidRPr="00FB4FB2" w:rsidR="00357B72">
        <w:rPr>
          <w:szCs w:val="22"/>
        </w:rPr>
        <w:t xml:space="preserve">provide competitive voice and data services in multiple states </w:t>
      </w:r>
      <w:r w:rsidR="00357B72">
        <w:rPr>
          <w:szCs w:val="22"/>
        </w:rPr>
        <w:t xml:space="preserve">and </w:t>
      </w:r>
      <w:r w:rsidRPr="00FB4FB2">
        <w:rPr>
          <w:szCs w:val="22"/>
        </w:rPr>
        <w:t>are wholly</w:t>
      </w:r>
      <w:r w:rsidR="00FE775A">
        <w:rPr>
          <w:szCs w:val="22"/>
        </w:rPr>
        <w:t>-</w:t>
      </w:r>
      <w:r w:rsidRPr="00FB4FB2">
        <w:rPr>
          <w:szCs w:val="22"/>
        </w:rPr>
        <w:t>owned</w:t>
      </w:r>
      <w:r w:rsidRPr="00FB4FB2" w:rsidR="003600B1">
        <w:rPr>
          <w:szCs w:val="22"/>
        </w:rPr>
        <w:t>,</w:t>
      </w:r>
      <w:r w:rsidRPr="00FB4FB2">
        <w:rPr>
          <w:szCs w:val="22"/>
        </w:rPr>
        <w:t xml:space="preserve"> </w:t>
      </w:r>
      <w:r w:rsidRPr="00FB4FB2" w:rsidR="003106AC">
        <w:rPr>
          <w:szCs w:val="22"/>
        </w:rPr>
        <w:t xml:space="preserve">indirect </w:t>
      </w:r>
      <w:r w:rsidRPr="00FB4FB2">
        <w:rPr>
          <w:szCs w:val="22"/>
        </w:rPr>
        <w:t xml:space="preserve">subsidiaries of </w:t>
      </w:r>
      <w:r w:rsidRPr="00FB4FB2" w:rsidR="00A459E8">
        <w:rPr>
          <w:szCs w:val="22"/>
        </w:rPr>
        <w:t>Windstream</w:t>
      </w:r>
      <w:r w:rsidRPr="00FB4FB2">
        <w:rPr>
          <w:szCs w:val="22"/>
        </w:rPr>
        <w:t xml:space="preserve"> Holdings</w:t>
      </w:r>
      <w:r w:rsidRPr="00FB4FB2" w:rsidR="00A459E8">
        <w:rPr>
          <w:szCs w:val="22"/>
        </w:rPr>
        <w:t xml:space="preserve">, </w:t>
      </w:r>
      <w:r w:rsidRPr="00FB4FB2">
        <w:rPr>
          <w:szCs w:val="22"/>
        </w:rPr>
        <w:t>Inc. (</w:t>
      </w:r>
      <w:r w:rsidR="00CC33D9">
        <w:rPr>
          <w:szCs w:val="22"/>
        </w:rPr>
        <w:t xml:space="preserve">Windstream </w:t>
      </w:r>
      <w:r w:rsidRPr="00FB4FB2">
        <w:rPr>
          <w:szCs w:val="22"/>
        </w:rPr>
        <w:t xml:space="preserve">Holdings), </w:t>
      </w:r>
      <w:r w:rsidRPr="00FB4FB2" w:rsidR="00A459E8">
        <w:rPr>
          <w:szCs w:val="22"/>
        </w:rPr>
        <w:t>a Delaware corporation</w:t>
      </w:r>
      <w:r w:rsidRPr="00FB4FB2" w:rsidR="001F72C5">
        <w:rPr>
          <w:szCs w:val="22"/>
        </w:rPr>
        <w:t>.</w:t>
      </w:r>
      <w:r>
        <w:rPr>
          <w:rStyle w:val="FootnoteReference"/>
          <w:szCs w:val="22"/>
        </w:rPr>
        <w:footnoteReference w:id="4"/>
      </w:r>
      <w:r w:rsidRPr="00FB4FB2">
        <w:rPr>
          <w:szCs w:val="22"/>
        </w:rPr>
        <w:t xml:space="preserve">  </w:t>
      </w:r>
      <w:r w:rsidRPr="00FB4FB2" w:rsidR="000E346A">
        <w:rPr>
          <w:szCs w:val="22"/>
        </w:rPr>
        <w:t xml:space="preserve">While </w:t>
      </w:r>
      <w:r w:rsidR="00CC33D9">
        <w:rPr>
          <w:szCs w:val="22"/>
        </w:rPr>
        <w:t xml:space="preserve">Windstream </w:t>
      </w:r>
      <w:r w:rsidRPr="00FB4FB2" w:rsidR="000E346A">
        <w:rPr>
          <w:szCs w:val="22"/>
        </w:rPr>
        <w:t>Holdings does not itself provide telecommunications services, it</w:t>
      </w:r>
      <w:r w:rsidRPr="00FB4FB2" w:rsidR="00FB4FB2">
        <w:rPr>
          <w:szCs w:val="22"/>
        </w:rPr>
        <w:t xml:space="preserve"> is the parent company of multiple </w:t>
      </w:r>
      <w:r w:rsidRPr="00FB4FB2" w:rsidR="000E346A">
        <w:rPr>
          <w:szCs w:val="22"/>
        </w:rPr>
        <w:t xml:space="preserve">operating subsidiaries </w:t>
      </w:r>
      <w:r w:rsidRPr="00FB4FB2" w:rsidR="00FB4FB2">
        <w:rPr>
          <w:szCs w:val="22"/>
        </w:rPr>
        <w:t xml:space="preserve">that </w:t>
      </w:r>
      <w:r w:rsidRPr="00FB4FB2" w:rsidR="000E346A">
        <w:rPr>
          <w:szCs w:val="22"/>
        </w:rPr>
        <w:t xml:space="preserve">provide incumbent and competitive local exchange carrier (LEC) services in the District of Columbia and all states.  The proposed transaction does not include any assets that are owned or controlled by </w:t>
      </w:r>
      <w:r w:rsidR="00CC33D9">
        <w:rPr>
          <w:szCs w:val="22"/>
        </w:rPr>
        <w:t xml:space="preserve">Windstream </w:t>
      </w:r>
      <w:r w:rsidRPr="00FB4FB2" w:rsidR="00FB4FB2">
        <w:rPr>
          <w:szCs w:val="22"/>
        </w:rPr>
        <w:t>Holding</w:t>
      </w:r>
      <w:r w:rsidR="00FE775A">
        <w:rPr>
          <w:szCs w:val="22"/>
        </w:rPr>
        <w:t>s</w:t>
      </w:r>
      <w:r w:rsidRPr="00FB4FB2" w:rsidR="00FB4FB2">
        <w:rPr>
          <w:szCs w:val="22"/>
        </w:rPr>
        <w:t>’</w:t>
      </w:r>
      <w:r w:rsidRPr="00FB4FB2" w:rsidR="000E346A">
        <w:rPr>
          <w:szCs w:val="22"/>
        </w:rPr>
        <w:t xml:space="preserve"> incumbent LEC operating subsidiaries.</w:t>
      </w:r>
    </w:p>
    <w:p w:rsidR="00BC3987" w:rsidRPr="00D10F01" w:rsidP="00910E1F">
      <w:pPr>
        <w:autoSpaceDE w:val="0"/>
        <w:autoSpaceDN w:val="0"/>
        <w:adjustRightInd w:val="0"/>
        <w:spacing w:after="120"/>
        <w:rPr>
          <w:szCs w:val="22"/>
        </w:rPr>
      </w:pPr>
      <w:r w:rsidRPr="00D10F01">
        <w:rPr>
          <w:szCs w:val="22"/>
        </w:rPr>
        <w:tab/>
      </w:r>
      <w:r w:rsidRPr="00D10F01" w:rsidR="0036582D">
        <w:rPr>
          <w:szCs w:val="22"/>
        </w:rPr>
        <w:t xml:space="preserve">Uniti </w:t>
      </w:r>
      <w:r w:rsidR="00357B72">
        <w:rPr>
          <w:szCs w:val="22"/>
        </w:rPr>
        <w:t xml:space="preserve">Group </w:t>
      </w:r>
      <w:r w:rsidRPr="00D10F01" w:rsidR="0036582D">
        <w:rPr>
          <w:szCs w:val="22"/>
        </w:rPr>
        <w:t xml:space="preserve">Finance and Uniti National </w:t>
      </w:r>
      <w:r w:rsidR="00FB4FB2">
        <w:rPr>
          <w:szCs w:val="22"/>
        </w:rPr>
        <w:t xml:space="preserve">are both Delaware entities and subsidiaries of </w:t>
      </w:r>
      <w:r w:rsidRPr="00D10F01" w:rsidR="0036582D">
        <w:rPr>
          <w:szCs w:val="22"/>
        </w:rPr>
        <w:t>Uniti Group Inc.</w:t>
      </w:r>
      <w:r w:rsidRPr="00D10F01" w:rsidR="00D10F01">
        <w:rPr>
          <w:szCs w:val="22"/>
        </w:rPr>
        <w:t xml:space="preserve"> (Uniti Group)</w:t>
      </w:r>
      <w:r w:rsidRPr="00D10F01" w:rsidR="0036582D">
        <w:rPr>
          <w:szCs w:val="22"/>
        </w:rPr>
        <w:t>, a Maryland corporation</w:t>
      </w:r>
      <w:r w:rsidRPr="00D10F01" w:rsidR="003C58D9">
        <w:rPr>
          <w:szCs w:val="22"/>
        </w:rPr>
        <w:t>.</w:t>
      </w:r>
      <w:r>
        <w:rPr>
          <w:rStyle w:val="FootnoteReference"/>
          <w:szCs w:val="22"/>
        </w:rPr>
        <w:footnoteReference w:id="5"/>
      </w:r>
      <w:r w:rsidRPr="00D10F01" w:rsidR="003C58D9">
        <w:rPr>
          <w:szCs w:val="22"/>
        </w:rPr>
        <w:t xml:space="preserve">  </w:t>
      </w:r>
      <w:r w:rsidRPr="00D10F01" w:rsidR="0036582D">
        <w:rPr>
          <w:szCs w:val="22"/>
        </w:rPr>
        <w:t>Uniti</w:t>
      </w:r>
      <w:r w:rsidRPr="00D10F01" w:rsidR="003C58D9">
        <w:rPr>
          <w:szCs w:val="22"/>
        </w:rPr>
        <w:t xml:space="preserve"> </w:t>
      </w:r>
      <w:r w:rsidRPr="00D10F01" w:rsidR="0036582D">
        <w:rPr>
          <w:szCs w:val="22"/>
        </w:rPr>
        <w:t>Group is a publicly</w:t>
      </w:r>
      <w:r w:rsidRPr="00D10F01" w:rsidR="003C54B2">
        <w:rPr>
          <w:szCs w:val="22"/>
        </w:rPr>
        <w:t>-</w:t>
      </w:r>
      <w:r w:rsidRPr="00D10F01" w:rsidR="0036582D">
        <w:rPr>
          <w:szCs w:val="22"/>
        </w:rPr>
        <w:t>traded</w:t>
      </w:r>
      <w:r w:rsidR="00D74156">
        <w:rPr>
          <w:szCs w:val="22"/>
        </w:rPr>
        <w:t>, widely-held</w:t>
      </w:r>
      <w:r w:rsidRPr="00D10F01" w:rsidR="0036582D">
        <w:rPr>
          <w:szCs w:val="22"/>
        </w:rPr>
        <w:t xml:space="preserve"> real estate investment trust that engages in the acquisition and</w:t>
      </w:r>
      <w:r w:rsidRPr="00D10F01" w:rsidR="003C58D9">
        <w:rPr>
          <w:szCs w:val="22"/>
        </w:rPr>
        <w:t xml:space="preserve"> c</w:t>
      </w:r>
      <w:r w:rsidRPr="00D10F01" w:rsidR="0036582D">
        <w:rPr>
          <w:szCs w:val="22"/>
        </w:rPr>
        <w:t>onstruction of infrastructure u</w:t>
      </w:r>
      <w:r w:rsidR="002B3095">
        <w:rPr>
          <w:szCs w:val="22"/>
        </w:rPr>
        <w:t>sed</w:t>
      </w:r>
      <w:r w:rsidRPr="00D10F01" w:rsidR="0036582D">
        <w:rPr>
          <w:szCs w:val="22"/>
        </w:rPr>
        <w:t xml:space="preserve"> by the communications industry.</w:t>
      </w:r>
      <w:r>
        <w:rPr>
          <w:rStyle w:val="FootnoteReference"/>
          <w:szCs w:val="22"/>
        </w:rPr>
        <w:footnoteReference w:id="6"/>
      </w:r>
      <w:r w:rsidRPr="00D10F01" w:rsidR="0036582D">
        <w:rPr>
          <w:szCs w:val="22"/>
        </w:rPr>
        <w:t xml:space="preserve"> </w:t>
      </w:r>
      <w:r w:rsidRPr="00D10F01" w:rsidR="003C58D9">
        <w:rPr>
          <w:szCs w:val="22"/>
        </w:rPr>
        <w:t xml:space="preserve"> </w:t>
      </w:r>
      <w:r w:rsidRPr="00D10F01" w:rsidR="0036582D">
        <w:rPr>
          <w:szCs w:val="22"/>
        </w:rPr>
        <w:t>Uniti Group does not</w:t>
      </w:r>
      <w:r w:rsidRPr="00D10F01" w:rsidR="003C58D9">
        <w:rPr>
          <w:szCs w:val="22"/>
        </w:rPr>
        <w:t xml:space="preserve"> </w:t>
      </w:r>
      <w:r w:rsidRPr="00D10F01" w:rsidR="0036582D">
        <w:rPr>
          <w:szCs w:val="22"/>
        </w:rPr>
        <w:t>provide telecommunications services</w:t>
      </w:r>
      <w:r w:rsidR="00FE775A">
        <w:rPr>
          <w:szCs w:val="22"/>
        </w:rPr>
        <w:t>,</w:t>
      </w:r>
      <w:r w:rsidRPr="00D10F01" w:rsidR="003C58D9">
        <w:rPr>
          <w:szCs w:val="22"/>
        </w:rPr>
        <w:t xml:space="preserve"> but </w:t>
      </w:r>
      <w:r w:rsidRPr="00D10F01" w:rsidR="0036582D">
        <w:rPr>
          <w:szCs w:val="22"/>
        </w:rPr>
        <w:t xml:space="preserve">owns and operates </w:t>
      </w:r>
      <w:r w:rsidR="008F4598">
        <w:rPr>
          <w:szCs w:val="22"/>
        </w:rPr>
        <w:t>competitive</w:t>
      </w:r>
      <w:r w:rsidR="00CC33D9">
        <w:rPr>
          <w:szCs w:val="22"/>
        </w:rPr>
        <w:t xml:space="preserve"> t</w:t>
      </w:r>
      <w:r w:rsidRPr="00D10F01" w:rsidR="0036582D">
        <w:rPr>
          <w:szCs w:val="22"/>
        </w:rPr>
        <w:t xml:space="preserve">elecommunications providers in </w:t>
      </w:r>
      <w:r w:rsidR="00CC33D9">
        <w:rPr>
          <w:szCs w:val="22"/>
        </w:rPr>
        <w:t>multiple</w:t>
      </w:r>
      <w:r w:rsidRPr="00D10F01" w:rsidR="0036582D">
        <w:rPr>
          <w:szCs w:val="22"/>
        </w:rPr>
        <w:t xml:space="preserve"> states</w:t>
      </w:r>
      <w:r w:rsidRPr="00D10F01" w:rsidR="003C58D9">
        <w:rPr>
          <w:szCs w:val="22"/>
        </w:rPr>
        <w:t xml:space="preserve"> and the District of Columbia.</w:t>
      </w:r>
      <w:r w:rsidR="008F4598">
        <w:rPr>
          <w:szCs w:val="22"/>
        </w:rPr>
        <w:t xml:space="preserve">  Applicants state that there are overlaps between the fiber assets being acquired by Purchasers and the existing fiber network of Purchasers’ affiliates.</w:t>
      </w:r>
      <w:r w:rsidR="00DB6E4D">
        <w:rPr>
          <w:szCs w:val="22"/>
        </w:rPr>
        <w:t xml:space="preserve">  </w:t>
      </w:r>
    </w:p>
    <w:p w:rsidR="002B3095" w:rsidRPr="00D10F01" w:rsidP="002B3095">
      <w:pPr>
        <w:autoSpaceDE w:val="0"/>
        <w:autoSpaceDN w:val="0"/>
        <w:adjustRightInd w:val="0"/>
        <w:spacing w:after="120"/>
        <w:rPr>
          <w:szCs w:val="22"/>
        </w:rPr>
      </w:pPr>
      <w:r w:rsidRPr="00D10F01">
        <w:rPr>
          <w:szCs w:val="22"/>
        </w:rPr>
        <w:tab/>
      </w:r>
      <w:r w:rsidRPr="00D10F01" w:rsidR="00D10F01">
        <w:rPr>
          <w:szCs w:val="22"/>
        </w:rPr>
        <w:t xml:space="preserve">The </w:t>
      </w:r>
      <w:r>
        <w:rPr>
          <w:szCs w:val="22"/>
        </w:rPr>
        <w:t xml:space="preserve">proposed transaction </w:t>
      </w:r>
      <w:r w:rsidRPr="00D10F01" w:rsidR="00D10F01">
        <w:rPr>
          <w:szCs w:val="22"/>
        </w:rPr>
        <w:t xml:space="preserve">is part of a larger settlement between </w:t>
      </w:r>
      <w:r w:rsidR="00D02257">
        <w:rPr>
          <w:szCs w:val="22"/>
        </w:rPr>
        <w:t xml:space="preserve">Windstream </w:t>
      </w:r>
      <w:r w:rsidRPr="00D10F01" w:rsidR="00D10F01">
        <w:rPr>
          <w:szCs w:val="22"/>
        </w:rPr>
        <w:t xml:space="preserve">Holdings and Uniti Group to resolve </w:t>
      </w:r>
      <w:r w:rsidRPr="00D10F01" w:rsidR="00D10F01">
        <w:rPr>
          <w:szCs w:val="22"/>
        </w:rPr>
        <w:t>a number of</w:t>
      </w:r>
      <w:r w:rsidRPr="00D10F01" w:rsidR="00D10F01">
        <w:rPr>
          <w:szCs w:val="22"/>
        </w:rPr>
        <w:t xml:space="preserve"> disputes between the two organizations.  </w:t>
      </w:r>
      <w:r w:rsidRPr="00D10F01" w:rsidR="00F04BC0">
        <w:rPr>
          <w:szCs w:val="22"/>
        </w:rPr>
        <w:t xml:space="preserve">On February 25, 2019, </w:t>
      </w:r>
      <w:r w:rsidR="00D02257">
        <w:rPr>
          <w:szCs w:val="22"/>
        </w:rPr>
        <w:t xml:space="preserve">Windstream </w:t>
      </w:r>
      <w:r w:rsidRPr="00D10F01" w:rsidR="00F04BC0">
        <w:rPr>
          <w:szCs w:val="22"/>
        </w:rPr>
        <w:t>Holdings filed voluntary petitions for relief for itself</w:t>
      </w:r>
      <w:r w:rsidRPr="00D10F01" w:rsidR="003C58D9">
        <w:rPr>
          <w:szCs w:val="22"/>
        </w:rPr>
        <w:t xml:space="preserve"> and its </w:t>
      </w:r>
      <w:r w:rsidRPr="00D10F01" w:rsidR="00F04BC0">
        <w:rPr>
          <w:szCs w:val="22"/>
        </w:rPr>
        <w:t>subsidiaries under Chapter 11 of the Bankruptcy Code.</w:t>
      </w:r>
      <w:r>
        <w:rPr>
          <w:rStyle w:val="FootnoteReference"/>
          <w:szCs w:val="22"/>
        </w:rPr>
        <w:footnoteReference w:id="7"/>
      </w:r>
      <w:r w:rsidRPr="00D10F01" w:rsidR="00F04BC0">
        <w:rPr>
          <w:szCs w:val="22"/>
        </w:rPr>
        <w:t xml:space="preserve">  </w:t>
      </w:r>
      <w:r w:rsidRPr="00D10F01" w:rsidR="00D10F01">
        <w:rPr>
          <w:szCs w:val="22"/>
        </w:rPr>
        <w:t>On April 20, 2020,</w:t>
      </w:r>
      <w:r>
        <w:rPr>
          <w:szCs w:val="22"/>
        </w:rPr>
        <w:t xml:space="preserve"> </w:t>
      </w:r>
      <w:r w:rsidR="00D02257">
        <w:rPr>
          <w:szCs w:val="22"/>
        </w:rPr>
        <w:t xml:space="preserve">Windstream </w:t>
      </w:r>
      <w:r w:rsidRPr="00D10F01" w:rsidR="00D10F01">
        <w:rPr>
          <w:szCs w:val="22"/>
        </w:rPr>
        <w:t>Holding</w:t>
      </w:r>
      <w:r w:rsidR="008544AC">
        <w:rPr>
          <w:szCs w:val="22"/>
        </w:rPr>
        <w:t>s</w:t>
      </w:r>
      <w:r w:rsidRPr="00D10F01" w:rsidR="00D10F01">
        <w:rPr>
          <w:szCs w:val="22"/>
        </w:rPr>
        <w:t xml:space="preserve"> </w:t>
      </w:r>
      <w:r w:rsidR="00357B72">
        <w:rPr>
          <w:szCs w:val="22"/>
        </w:rPr>
        <w:t xml:space="preserve">and its subsidiaries, including the Windstream Licensees, </w:t>
      </w:r>
      <w:r w:rsidRPr="00D10F01" w:rsidR="00D10F01">
        <w:rPr>
          <w:szCs w:val="22"/>
        </w:rPr>
        <w:t xml:space="preserve">and Uniti Group, along with </w:t>
      </w:r>
      <w:r w:rsidR="00FE775A">
        <w:rPr>
          <w:szCs w:val="22"/>
        </w:rPr>
        <w:t xml:space="preserve">its </w:t>
      </w:r>
      <w:r w:rsidRPr="00D10F01" w:rsidR="00D10F01">
        <w:rPr>
          <w:szCs w:val="22"/>
        </w:rPr>
        <w:t>relevant subsidiaries, agreed to enter into series of</w:t>
      </w:r>
      <w:r w:rsidR="00D10F01">
        <w:rPr>
          <w:szCs w:val="22"/>
        </w:rPr>
        <w:t xml:space="preserve"> </w:t>
      </w:r>
      <w:r w:rsidRPr="00D10F01" w:rsidR="00D10F01">
        <w:rPr>
          <w:szCs w:val="22"/>
        </w:rPr>
        <w:t xml:space="preserve">agreements intended to settle </w:t>
      </w:r>
      <w:r w:rsidR="008544AC">
        <w:rPr>
          <w:szCs w:val="22"/>
        </w:rPr>
        <w:t>the</w:t>
      </w:r>
      <w:r w:rsidRPr="00D10F01" w:rsidR="00D10F01">
        <w:rPr>
          <w:szCs w:val="22"/>
        </w:rPr>
        <w:t xml:space="preserve"> disputes between them, including an Asset Purchase Agreement (Agreement) pursuant to which Uniti Finance will acquire certain assets of </w:t>
      </w:r>
      <w:r w:rsidR="00357B72">
        <w:rPr>
          <w:szCs w:val="22"/>
        </w:rPr>
        <w:t xml:space="preserve">Windstream </w:t>
      </w:r>
      <w:r w:rsidRPr="00D10F01" w:rsidR="00D10F01">
        <w:rPr>
          <w:szCs w:val="22"/>
        </w:rPr>
        <w:t>Holdings’ competitive telecommunications subsidiaries.  Specifically, under the Agreement</w:t>
      </w:r>
      <w:r w:rsidR="00D02257">
        <w:rPr>
          <w:szCs w:val="22"/>
        </w:rPr>
        <w:t>,</w:t>
      </w:r>
      <w:r w:rsidRPr="00D10F01" w:rsidR="00D10F01">
        <w:rPr>
          <w:szCs w:val="22"/>
        </w:rPr>
        <w:t xml:space="preserve"> the Windstream Licensees will sell </w:t>
      </w:r>
      <w:r w:rsidR="00D3774E">
        <w:rPr>
          <w:szCs w:val="22"/>
        </w:rPr>
        <w:t>approximately</w:t>
      </w:r>
      <w:r w:rsidRPr="00D10F01" w:rsidR="00D10F01">
        <w:rPr>
          <w:szCs w:val="22"/>
        </w:rPr>
        <w:t xml:space="preserve"> 3,966 fiber route miles </w:t>
      </w:r>
      <w:r w:rsidR="007842C9">
        <w:rPr>
          <w:szCs w:val="22"/>
        </w:rPr>
        <w:t xml:space="preserve">(the APA Fiber) </w:t>
      </w:r>
      <w:r w:rsidRPr="00D10F01" w:rsidR="00D10F01">
        <w:rPr>
          <w:szCs w:val="22"/>
        </w:rPr>
        <w:t xml:space="preserve">to Uniti </w:t>
      </w:r>
      <w:r w:rsidR="00357B72">
        <w:rPr>
          <w:szCs w:val="22"/>
        </w:rPr>
        <w:t xml:space="preserve">Group </w:t>
      </w:r>
      <w:r w:rsidRPr="00D10F01" w:rsidR="00D10F01">
        <w:rPr>
          <w:szCs w:val="22"/>
        </w:rPr>
        <w:t xml:space="preserve">Finance and, pursuant to a partial assignment of the Agreement prior to consummation, to Uniti National.  Uniti </w:t>
      </w:r>
      <w:r w:rsidR="0025158A">
        <w:rPr>
          <w:szCs w:val="22"/>
        </w:rPr>
        <w:t xml:space="preserve">Group </w:t>
      </w:r>
      <w:r w:rsidRPr="00D10F01" w:rsidR="00D10F01">
        <w:rPr>
          <w:szCs w:val="22"/>
        </w:rPr>
        <w:t xml:space="preserve">will then grant to </w:t>
      </w:r>
      <w:r w:rsidR="00F94C36">
        <w:rPr>
          <w:szCs w:val="22"/>
        </w:rPr>
        <w:t xml:space="preserve">the </w:t>
      </w:r>
      <w:r w:rsidR="00D02257">
        <w:rPr>
          <w:szCs w:val="22"/>
        </w:rPr>
        <w:t xml:space="preserve">Windstream </w:t>
      </w:r>
      <w:r w:rsidRPr="00D10F01" w:rsidR="00D10F01">
        <w:rPr>
          <w:szCs w:val="22"/>
        </w:rPr>
        <w:t>Holdings</w:t>
      </w:r>
      <w:r w:rsidR="00F94C36">
        <w:rPr>
          <w:szCs w:val="22"/>
        </w:rPr>
        <w:t>’</w:t>
      </w:r>
      <w:r w:rsidRPr="00D10F01" w:rsidR="00D10F01">
        <w:rPr>
          <w:szCs w:val="22"/>
        </w:rPr>
        <w:t xml:space="preserve"> subsidiaries an indefeasible right of use with an initial term of 20 years for those fiber assets that the subsidiaries use to provide services, along with additional fiber to provide the subsidiaries with spare capacity.</w:t>
      </w:r>
      <w:r>
        <w:rPr>
          <w:rStyle w:val="FootnoteReference"/>
          <w:szCs w:val="22"/>
        </w:rPr>
        <w:footnoteReference w:id="8"/>
      </w:r>
      <w:r w:rsidRPr="00D10F01" w:rsidR="00D10F01">
        <w:rPr>
          <w:szCs w:val="22"/>
        </w:rPr>
        <w:t xml:space="preserve">  </w:t>
      </w:r>
    </w:p>
    <w:p w:rsidR="008374CE" w:rsidRPr="00D10F01" w:rsidP="00910E1F">
      <w:pPr>
        <w:autoSpaceDE w:val="0"/>
        <w:autoSpaceDN w:val="0"/>
        <w:adjustRightInd w:val="0"/>
        <w:spacing w:after="120"/>
        <w:ind w:firstLine="720"/>
        <w:rPr>
          <w:szCs w:val="22"/>
        </w:rPr>
      </w:pPr>
      <w:r>
        <w:rPr>
          <w:bCs/>
          <w:szCs w:val="22"/>
        </w:rPr>
        <w:t>Applicants assert that a grant of the application would serve the public interest, convenience, and necessity</w:t>
      </w:r>
      <w:r>
        <w:rPr>
          <w:szCs w:val="22"/>
        </w:rPr>
        <w:t>.  They state that</w:t>
      </w:r>
      <w:r w:rsidRPr="00D10F01" w:rsidR="00910E1F">
        <w:rPr>
          <w:szCs w:val="22"/>
        </w:rPr>
        <w:t xml:space="preserve"> </w:t>
      </w:r>
      <w:r>
        <w:rPr>
          <w:szCs w:val="22"/>
        </w:rPr>
        <w:t xml:space="preserve">the proposed transaction </w:t>
      </w:r>
      <w:r w:rsidRPr="00D10F01" w:rsidR="0025489A">
        <w:rPr>
          <w:szCs w:val="22"/>
        </w:rPr>
        <w:t xml:space="preserve">is part of the court-approved resolution of the disputes between </w:t>
      </w:r>
      <w:r w:rsidR="00654668">
        <w:rPr>
          <w:szCs w:val="22"/>
        </w:rPr>
        <w:t xml:space="preserve">Windstream </w:t>
      </w:r>
      <w:r w:rsidR="00CC33D9">
        <w:rPr>
          <w:szCs w:val="22"/>
        </w:rPr>
        <w:t>Holdings</w:t>
      </w:r>
      <w:r w:rsidRPr="00D10F01" w:rsidR="0025489A">
        <w:rPr>
          <w:szCs w:val="22"/>
        </w:rPr>
        <w:t xml:space="preserve"> and Uniti</w:t>
      </w:r>
      <w:r w:rsidRPr="00D10F01" w:rsidR="00910E1F">
        <w:rPr>
          <w:szCs w:val="22"/>
        </w:rPr>
        <w:t xml:space="preserve"> </w:t>
      </w:r>
      <w:r w:rsidRPr="00D10F01" w:rsidR="0025489A">
        <w:rPr>
          <w:szCs w:val="22"/>
        </w:rPr>
        <w:t xml:space="preserve">Group and </w:t>
      </w:r>
      <w:r>
        <w:rPr>
          <w:szCs w:val="22"/>
        </w:rPr>
        <w:t xml:space="preserve">is part of the process allowing Windstream </w:t>
      </w:r>
      <w:r w:rsidR="00C73C2C">
        <w:rPr>
          <w:szCs w:val="22"/>
        </w:rPr>
        <w:t>Holdings a</w:t>
      </w:r>
      <w:r w:rsidRPr="00D10F01" w:rsidR="0025489A">
        <w:rPr>
          <w:szCs w:val="22"/>
        </w:rPr>
        <w:t>nd its subsidiaries to emerge from</w:t>
      </w:r>
      <w:r w:rsidRPr="00D10F01" w:rsidR="00910E1F">
        <w:rPr>
          <w:szCs w:val="22"/>
        </w:rPr>
        <w:t xml:space="preserve"> </w:t>
      </w:r>
      <w:r w:rsidRPr="00D10F01" w:rsidR="0025489A">
        <w:rPr>
          <w:szCs w:val="22"/>
        </w:rPr>
        <w:t>Chapter 11</w:t>
      </w:r>
      <w:r w:rsidR="008544AC">
        <w:rPr>
          <w:szCs w:val="22"/>
        </w:rPr>
        <w:t xml:space="preserve"> bankruptcy</w:t>
      </w:r>
      <w:r>
        <w:rPr>
          <w:szCs w:val="22"/>
        </w:rPr>
        <w:t xml:space="preserve">.  Applicants submit that the proposed transaction allows the Windstream Licensees and other Windstream Holdings entities to </w:t>
      </w:r>
      <w:r w:rsidRPr="00D10F01" w:rsidR="0025489A">
        <w:rPr>
          <w:szCs w:val="22"/>
        </w:rPr>
        <w:t xml:space="preserve">maintain access to the </w:t>
      </w:r>
      <w:r w:rsidR="005D2446">
        <w:rPr>
          <w:szCs w:val="22"/>
        </w:rPr>
        <w:t>APA Fiber</w:t>
      </w:r>
      <w:r w:rsidRPr="00D10F01" w:rsidR="0025489A">
        <w:rPr>
          <w:szCs w:val="22"/>
        </w:rPr>
        <w:t xml:space="preserve"> assets. </w:t>
      </w:r>
      <w:r w:rsidR="00D3774E">
        <w:rPr>
          <w:szCs w:val="22"/>
        </w:rPr>
        <w:t xml:space="preserve"> </w:t>
      </w:r>
      <w:r w:rsidRPr="00D10F01" w:rsidR="0025489A">
        <w:rPr>
          <w:szCs w:val="22"/>
        </w:rPr>
        <w:t>In return,</w:t>
      </w:r>
      <w:r w:rsidRPr="00D10F01" w:rsidR="00910E1F">
        <w:rPr>
          <w:szCs w:val="22"/>
        </w:rPr>
        <w:t xml:space="preserve"> </w:t>
      </w:r>
      <w:r w:rsidR="00C73C2C">
        <w:rPr>
          <w:szCs w:val="22"/>
        </w:rPr>
        <w:t xml:space="preserve">the </w:t>
      </w:r>
      <w:r w:rsidRPr="00D10F01" w:rsidR="0025489A">
        <w:rPr>
          <w:szCs w:val="22"/>
        </w:rPr>
        <w:t xml:space="preserve">Uniti </w:t>
      </w:r>
      <w:r w:rsidR="00C73C2C">
        <w:rPr>
          <w:szCs w:val="22"/>
        </w:rPr>
        <w:t xml:space="preserve">entities </w:t>
      </w:r>
      <w:r w:rsidRPr="00D10F01" w:rsidR="0025489A">
        <w:rPr>
          <w:szCs w:val="22"/>
        </w:rPr>
        <w:t>will receive access to unused fiber assets that t</w:t>
      </w:r>
      <w:r w:rsidR="00C73C2C">
        <w:rPr>
          <w:szCs w:val="22"/>
        </w:rPr>
        <w:t>hey</w:t>
      </w:r>
      <w:r w:rsidRPr="00D10F01" w:rsidR="0025489A">
        <w:rPr>
          <w:szCs w:val="22"/>
        </w:rPr>
        <w:t xml:space="preserve"> can sell, lease, or otherwise u</w:t>
      </w:r>
      <w:r w:rsidR="00D3774E">
        <w:rPr>
          <w:szCs w:val="22"/>
        </w:rPr>
        <w:t>se</w:t>
      </w:r>
      <w:r w:rsidRPr="00D10F01" w:rsidR="0025489A">
        <w:rPr>
          <w:szCs w:val="22"/>
        </w:rPr>
        <w:t xml:space="preserve">. </w:t>
      </w:r>
      <w:r w:rsidR="00D3774E">
        <w:rPr>
          <w:szCs w:val="22"/>
        </w:rPr>
        <w:t xml:space="preserve"> </w:t>
      </w:r>
      <w:r w:rsidRPr="00D10F01" w:rsidR="0025489A">
        <w:rPr>
          <w:szCs w:val="22"/>
        </w:rPr>
        <w:t>A</w:t>
      </w:r>
      <w:r w:rsidR="00D3774E">
        <w:rPr>
          <w:szCs w:val="22"/>
        </w:rPr>
        <w:t>pplicants claim that t</w:t>
      </w:r>
      <w:r w:rsidRPr="00D10F01" w:rsidR="0025489A">
        <w:rPr>
          <w:szCs w:val="22"/>
        </w:rPr>
        <w:t xml:space="preserve">he proposed </w:t>
      </w:r>
      <w:r w:rsidR="00D02257">
        <w:rPr>
          <w:szCs w:val="22"/>
        </w:rPr>
        <w:t>t</w:t>
      </w:r>
      <w:r w:rsidRPr="00D10F01" w:rsidR="0025489A">
        <w:rPr>
          <w:szCs w:val="22"/>
        </w:rPr>
        <w:t xml:space="preserve">ransaction </w:t>
      </w:r>
      <w:r w:rsidR="001A470E">
        <w:rPr>
          <w:szCs w:val="22"/>
        </w:rPr>
        <w:t>would</w:t>
      </w:r>
      <w:r w:rsidRPr="00D10F01" w:rsidR="0025489A">
        <w:rPr>
          <w:szCs w:val="22"/>
        </w:rPr>
        <w:t xml:space="preserve"> have no adverse impact on the customers of </w:t>
      </w:r>
      <w:r w:rsidRPr="00D10F01" w:rsidR="0025489A">
        <w:rPr>
          <w:szCs w:val="22"/>
        </w:rPr>
        <w:t>the Windstream</w:t>
      </w:r>
      <w:r w:rsidRPr="00D10F01" w:rsidR="00910E1F">
        <w:rPr>
          <w:szCs w:val="22"/>
        </w:rPr>
        <w:t xml:space="preserve"> </w:t>
      </w:r>
      <w:r w:rsidRPr="00D10F01" w:rsidR="0025489A">
        <w:rPr>
          <w:szCs w:val="22"/>
        </w:rPr>
        <w:t>Licensees</w:t>
      </w:r>
      <w:r w:rsidR="00D3774E">
        <w:rPr>
          <w:szCs w:val="22"/>
        </w:rPr>
        <w:t xml:space="preserve">, </w:t>
      </w:r>
      <w:r w:rsidR="001A470E">
        <w:rPr>
          <w:szCs w:val="22"/>
        </w:rPr>
        <w:t>would</w:t>
      </w:r>
      <w:r w:rsidRPr="00D10F01" w:rsidR="0025489A">
        <w:rPr>
          <w:szCs w:val="22"/>
        </w:rPr>
        <w:t xml:space="preserve"> be transparent to customers</w:t>
      </w:r>
      <w:r w:rsidR="00D3774E">
        <w:rPr>
          <w:szCs w:val="22"/>
        </w:rPr>
        <w:t xml:space="preserve">, and </w:t>
      </w:r>
      <w:r w:rsidR="001A470E">
        <w:rPr>
          <w:szCs w:val="22"/>
        </w:rPr>
        <w:t>would</w:t>
      </w:r>
      <w:r w:rsidR="00D3774E">
        <w:rPr>
          <w:szCs w:val="22"/>
        </w:rPr>
        <w:t xml:space="preserve"> allow the </w:t>
      </w:r>
      <w:r w:rsidRPr="00D10F01" w:rsidR="0025489A">
        <w:rPr>
          <w:szCs w:val="22"/>
        </w:rPr>
        <w:t xml:space="preserve">Windstream Licensees </w:t>
      </w:r>
      <w:r w:rsidR="00D3774E">
        <w:rPr>
          <w:szCs w:val="22"/>
        </w:rPr>
        <w:t xml:space="preserve">to </w:t>
      </w:r>
      <w:r w:rsidRPr="00D10F01" w:rsidR="0025489A">
        <w:rPr>
          <w:szCs w:val="22"/>
        </w:rPr>
        <w:t>continue to provide service to existing customers at the same rates,</w:t>
      </w:r>
      <w:r w:rsidRPr="00D10F01" w:rsidR="00910E1F">
        <w:rPr>
          <w:szCs w:val="22"/>
        </w:rPr>
        <w:t xml:space="preserve"> </w:t>
      </w:r>
      <w:r w:rsidRPr="00D10F01" w:rsidR="0025489A">
        <w:rPr>
          <w:szCs w:val="22"/>
        </w:rPr>
        <w:t>terms, and conditions as governed by existing contracts.</w:t>
      </w:r>
    </w:p>
    <w:p w:rsidR="0025489A" w:rsidRPr="00D10F01" w:rsidP="00910E1F">
      <w:pPr>
        <w:autoSpaceDE w:val="0"/>
        <w:autoSpaceDN w:val="0"/>
        <w:adjustRightInd w:val="0"/>
        <w:spacing w:after="120"/>
        <w:rPr>
          <w:szCs w:val="22"/>
        </w:rPr>
      </w:pPr>
      <w:r w:rsidRPr="00D10F01">
        <w:rPr>
          <w:szCs w:val="22"/>
        </w:rPr>
        <w:tab/>
      </w:r>
      <w:r w:rsidRPr="00C240EA" w:rsidR="00C240EA">
        <w:rPr>
          <w:bCs/>
          <w:szCs w:val="22"/>
        </w:rPr>
        <w:t xml:space="preserve"> </w:t>
      </w:r>
      <w:r w:rsidR="00C240EA">
        <w:rPr>
          <w:bCs/>
          <w:szCs w:val="22"/>
        </w:rPr>
        <w:t xml:space="preserve">Because the </w:t>
      </w:r>
      <w:r w:rsidR="001A470E">
        <w:rPr>
          <w:bCs/>
          <w:szCs w:val="22"/>
        </w:rPr>
        <w:t xml:space="preserve">proposed </w:t>
      </w:r>
      <w:r w:rsidR="00C240EA">
        <w:rPr>
          <w:bCs/>
          <w:szCs w:val="22"/>
        </w:rPr>
        <w:t xml:space="preserve">transaction is more complex than usual, in order to analyze whether </w:t>
      </w:r>
      <w:r w:rsidR="001A470E">
        <w:rPr>
          <w:bCs/>
          <w:szCs w:val="22"/>
        </w:rPr>
        <w:t>it</w:t>
      </w:r>
      <w:r w:rsidR="00C240EA">
        <w:rPr>
          <w:bCs/>
          <w:szCs w:val="22"/>
        </w:rPr>
        <w:t xml:space="preserve"> would serve the public interest, this application will not be streamlined</w:t>
      </w:r>
      <w:r w:rsidRPr="0086589B" w:rsidR="00C240EA">
        <w:rPr>
          <w:bCs/>
          <w:szCs w:val="22"/>
        </w:rPr>
        <w:t>.</w:t>
      </w:r>
      <w:r>
        <w:rPr>
          <w:bCs/>
          <w:szCs w:val="22"/>
          <w:vertAlign w:val="superscript"/>
        </w:rPr>
        <w:footnoteReference w:id="9"/>
      </w:r>
    </w:p>
    <w:p w:rsidR="00DA510C" w:rsidRPr="00D02257" w:rsidP="00910E1F">
      <w:pPr>
        <w:autoSpaceDE w:val="0"/>
        <w:autoSpaceDN w:val="0"/>
        <w:adjustRightInd w:val="0"/>
        <w:spacing w:after="120"/>
        <w:rPr>
          <w:b/>
          <w:szCs w:val="22"/>
        </w:rPr>
      </w:pPr>
      <w:r w:rsidRPr="00D02257">
        <w:rPr>
          <w:b/>
          <w:szCs w:val="22"/>
          <w:u w:val="single"/>
        </w:rPr>
        <w:t>G</w:t>
      </w:r>
      <w:r w:rsidRPr="00D02257" w:rsidR="00EA5505">
        <w:rPr>
          <w:b/>
          <w:szCs w:val="22"/>
          <w:u w:val="single"/>
        </w:rPr>
        <w:t>eneral Information</w:t>
      </w:r>
    </w:p>
    <w:p w:rsidR="00DA510C" w:rsidRPr="00D10F01" w:rsidP="00910E1F">
      <w:pPr>
        <w:widowControl w:val="0"/>
        <w:autoSpaceDE w:val="0"/>
        <w:autoSpaceDN w:val="0"/>
        <w:adjustRightInd w:val="0"/>
        <w:spacing w:after="120"/>
        <w:ind w:firstLine="720"/>
        <w:rPr>
          <w:snapToGrid w:val="0"/>
          <w:kern w:val="28"/>
          <w:szCs w:val="22"/>
        </w:rPr>
      </w:pPr>
      <w:r w:rsidRPr="00D10F01">
        <w:rPr>
          <w:snapToGrid w:val="0"/>
          <w:kern w:val="28"/>
          <w:szCs w:val="22"/>
        </w:rPr>
        <w:t xml:space="preserve">The </w:t>
      </w:r>
      <w:r w:rsidR="00D02257">
        <w:rPr>
          <w:snapToGrid w:val="0"/>
          <w:kern w:val="28"/>
          <w:szCs w:val="22"/>
        </w:rPr>
        <w:t xml:space="preserve">application </w:t>
      </w:r>
      <w:r w:rsidRPr="00D10F01">
        <w:rPr>
          <w:snapToGrid w:val="0"/>
          <w:kern w:val="28"/>
          <w:szCs w:val="22"/>
        </w:rPr>
        <w:t>referenced herein ha</w:t>
      </w:r>
      <w:r w:rsidRPr="00D10F01" w:rsidR="003C58D9">
        <w:rPr>
          <w:snapToGrid w:val="0"/>
          <w:kern w:val="28"/>
          <w:szCs w:val="22"/>
        </w:rPr>
        <w:t>s</w:t>
      </w:r>
      <w:r w:rsidRPr="00D10F01">
        <w:rPr>
          <w:snapToGrid w:val="0"/>
          <w:kern w:val="28"/>
          <w:szCs w:val="22"/>
        </w:rPr>
        <w:t xml:space="preserve"> been found, upon initial review, to be acceptable for filing.  The Commission reserves the right to return </w:t>
      </w:r>
      <w:r w:rsidRPr="00D10F01" w:rsidR="003C58D9">
        <w:rPr>
          <w:snapToGrid w:val="0"/>
          <w:kern w:val="28"/>
          <w:szCs w:val="22"/>
        </w:rPr>
        <w:t>the</w:t>
      </w:r>
      <w:r w:rsidRPr="00D10F01">
        <w:rPr>
          <w:snapToGrid w:val="0"/>
          <w:kern w:val="28"/>
          <w:szCs w:val="22"/>
        </w:rPr>
        <w:t xml:space="preserve"> </w:t>
      </w:r>
      <w:r w:rsidR="00C73C2C">
        <w:rPr>
          <w:snapToGrid w:val="0"/>
          <w:kern w:val="28"/>
          <w:szCs w:val="22"/>
        </w:rPr>
        <w:t>Joint A</w:t>
      </w:r>
      <w:r w:rsidRPr="00D10F01">
        <w:rPr>
          <w:snapToGrid w:val="0"/>
          <w:kern w:val="28"/>
          <w:szCs w:val="22"/>
        </w:rPr>
        <w:t xml:space="preserve">pplication if, upon further examination, it is determined to be defective and not in conformance with the Commission’s rules and policies.  </w:t>
      </w:r>
    </w:p>
    <w:p w:rsidR="00DA510C" w:rsidRPr="00D10F01" w:rsidP="00910E1F">
      <w:pPr>
        <w:autoSpaceDE w:val="0"/>
        <w:autoSpaceDN w:val="0"/>
        <w:adjustRightInd w:val="0"/>
        <w:spacing w:after="120"/>
        <w:ind w:firstLine="720"/>
        <w:rPr>
          <w:snapToGrid w:val="0"/>
          <w:kern w:val="28"/>
          <w:szCs w:val="22"/>
        </w:rPr>
      </w:pPr>
      <w:r w:rsidRPr="00D10F01">
        <w:rPr>
          <w:snapToGrid w:val="0"/>
          <w:kern w:val="28"/>
          <w:szCs w:val="22"/>
        </w:rPr>
        <w:t xml:space="preserve">Interested parties may file comments and petitions </w:t>
      </w:r>
      <w:r w:rsidRPr="00D10F01">
        <w:rPr>
          <w:b/>
          <w:snapToGrid w:val="0"/>
          <w:kern w:val="28"/>
          <w:szCs w:val="22"/>
        </w:rPr>
        <w:t>on or</w:t>
      </w:r>
      <w:r w:rsidRPr="00D10F01">
        <w:rPr>
          <w:snapToGrid w:val="0"/>
          <w:kern w:val="28"/>
          <w:szCs w:val="22"/>
        </w:rPr>
        <w:t xml:space="preserve"> </w:t>
      </w:r>
      <w:r w:rsidRPr="00D10F01">
        <w:rPr>
          <w:b/>
          <w:snapToGrid w:val="0"/>
          <w:kern w:val="28"/>
          <w:szCs w:val="22"/>
        </w:rPr>
        <w:t xml:space="preserve">before </w:t>
      </w:r>
      <w:r w:rsidR="008352D4">
        <w:rPr>
          <w:b/>
          <w:snapToGrid w:val="0"/>
          <w:kern w:val="28"/>
          <w:szCs w:val="22"/>
        </w:rPr>
        <w:t>July 27</w:t>
      </w:r>
      <w:r w:rsidR="00FE775A">
        <w:rPr>
          <w:b/>
          <w:snapToGrid w:val="0"/>
          <w:kern w:val="28"/>
          <w:szCs w:val="22"/>
        </w:rPr>
        <w:t>,</w:t>
      </w:r>
      <w:r w:rsidRPr="00D10F01">
        <w:rPr>
          <w:b/>
          <w:snapToGrid w:val="0"/>
          <w:kern w:val="28"/>
          <w:szCs w:val="22"/>
        </w:rPr>
        <w:t xml:space="preserve"> 20</w:t>
      </w:r>
      <w:r w:rsidRPr="00D10F01" w:rsidR="000E55C9">
        <w:rPr>
          <w:b/>
          <w:snapToGrid w:val="0"/>
          <w:kern w:val="28"/>
          <w:szCs w:val="22"/>
        </w:rPr>
        <w:t>20</w:t>
      </w:r>
      <w:r w:rsidRPr="00D10F01">
        <w:rPr>
          <w:b/>
          <w:snapToGrid w:val="0"/>
          <w:kern w:val="28"/>
          <w:szCs w:val="22"/>
        </w:rPr>
        <w:t>,</w:t>
      </w:r>
      <w:r w:rsidRPr="00D10F01">
        <w:rPr>
          <w:snapToGrid w:val="0"/>
          <w:kern w:val="28"/>
          <w:szCs w:val="22"/>
        </w:rPr>
        <w:t xml:space="preserve"> and</w:t>
      </w:r>
      <w:r w:rsidRPr="00D10F01">
        <w:rPr>
          <w:snapToGrid w:val="0"/>
          <w:kern w:val="28"/>
          <w:szCs w:val="22"/>
        </w:rPr>
        <w:t xml:space="preserve"> reply comments or oppositions to petitions </w:t>
      </w:r>
      <w:r w:rsidRPr="00D10F01">
        <w:rPr>
          <w:b/>
          <w:snapToGrid w:val="0"/>
          <w:kern w:val="28"/>
          <w:szCs w:val="22"/>
        </w:rPr>
        <w:t xml:space="preserve">on or before </w:t>
      </w:r>
      <w:r w:rsidR="008F4598">
        <w:rPr>
          <w:b/>
          <w:snapToGrid w:val="0"/>
          <w:kern w:val="28"/>
          <w:szCs w:val="22"/>
        </w:rPr>
        <w:t>August</w:t>
      </w:r>
      <w:r w:rsidRPr="00D10F01">
        <w:rPr>
          <w:b/>
          <w:snapToGrid w:val="0"/>
          <w:kern w:val="28"/>
          <w:szCs w:val="22"/>
        </w:rPr>
        <w:t xml:space="preserve"> </w:t>
      </w:r>
      <w:r w:rsidR="008352D4">
        <w:rPr>
          <w:b/>
          <w:snapToGrid w:val="0"/>
          <w:kern w:val="28"/>
          <w:szCs w:val="22"/>
        </w:rPr>
        <w:t>3</w:t>
      </w:r>
      <w:r w:rsidRPr="00D10F01">
        <w:rPr>
          <w:b/>
          <w:snapToGrid w:val="0"/>
          <w:kern w:val="28"/>
          <w:szCs w:val="22"/>
        </w:rPr>
        <w:t>, 20</w:t>
      </w:r>
      <w:r w:rsidRPr="00D10F01" w:rsidR="000E55C9">
        <w:rPr>
          <w:b/>
          <w:snapToGrid w:val="0"/>
          <w:kern w:val="28"/>
          <w:szCs w:val="22"/>
        </w:rPr>
        <w:t>20</w:t>
      </w:r>
      <w:r w:rsidRPr="00D10F01">
        <w:rPr>
          <w:snapToGrid w:val="0"/>
          <w:kern w:val="28"/>
          <w:szCs w:val="22"/>
        </w:rPr>
        <w:t>.  Comments may be filed using the Commission’s Electronic Comment Filing System (ECFS) or by paper.  All filings must be addressed to the Commission’s Secretary, Office of the Secretary, Federal Communications Commission.</w:t>
      </w:r>
    </w:p>
    <w:p w:rsidR="00DA510C" w:rsidRPr="00D10F01" w:rsidP="00910E1F">
      <w:pPr>
        <w:widowControl w:val="0"/>
        <w:numPr>
          <w:ilvl w:val="0"/>
          <w:numId w:val="20"/>
        </w:numPr>
        <w:spacing w:after="120"/>
        <w:rPr>
          <w:snapToGrid w:val="0"/>
          <w:kern w:val="28"/>
          <w:szCs w:val="22"/>
        </w:rPr>
      </w:pPr>
      <w:r w:rsidRPr="00D10F01">
        <w:rPr>
          <w:snapToGrid w:val="0"/>
          <w:kern w:val="28"/>
          <w:szCs w:val="22"/>
        </w:rPr>
        <w:t>Electronic Filers:  Comments may be filed electronically by accessing ECFS at </w:t>
      </w:r>
      <w:hyperlink r:id="rId8" w:history="1">
        <w:r w:rsidRPr="00D10F01">
          <w:rPr>
            <w:snapToGrid w:val="0"/>
            <w:color w:val="0000FF"/>
            <w:kern w:val="28"/>
            <w:szCs w:val="22"/>
            <w:u w:val="single"/>
          </w:rPr>
          <w:t>http://apps.fcc.gov/ecfs/</w:t>
        </w:r>
      </w:hyperlink>
      <w:r w:rsidRPr="00D10F01">
        <w:rPr>
          <w:snapToGrid w:val="0"/>
          <w:kern w:val="28"/>
          <w:szCs w:val="22"/>
        </w:rPr>
        <w:t>.</w:t>
      </w:r>
    </w:p>
    <w:p w:rsidR="00DA510C" w:rsidRPr="00D10F01" w:rsidP="00910E1F">
      <w:pPr>
        <w:widowControl w:val="0"/>
        <w:numPr>
          <w:ilvl w:val="0"/>
          <w:numId w:val="21"/>
        </w:numPr>
        <w:spacing w:after="120"/>
        <w:rPr>
          <w:snapToGrid w:val="0"/>
          <w:kern w:val="28"/>
          <w:szCs w:val="22"/>
        </w:rPr>
      </w:pPr>
      <w:r w:rsidRPr="00D10F01">
        <w:rPr>
          <w:snapToGrid w:val="0"/>
          <w:kern w:val="28"/>
          <w:szCs w:val="22"/>
        </w:rPr>
        <w:t>Paper Filers:  Parties who choose to file by paper must file an original and one copy of each filing.  Paper filings can be sent by commercial overnight courier or by first-class or overnight U.S. Postal Service mail.</w:t>
      </w:r>
      <w:r>
        <w:rPr>
          <w:rStyle w:val="FootnoteReference"/>
          <w:snapToGrid w:val="0"/>
          <w:kern w:val="28"/>
          <w:szCs w:val="22"/>
        </w:rPr>
        <w:footnoteReference w:id="10"/>
      </w:r>
      <w:r w:rsidRPr="00D10F01">
        <w:rPr>
          <w:snapToGrid w:val="0"/>
          <w:kern w:val="28"/>
          <w:szCs w:val="22"/>
        </w:rPr>
        <w:t xml:space="preserve">  </w:t>
      </w:r>
    </w:p>
    <w:p w:rsidR="00DA510C" w:rsidRPr="00D10F01" w:rsidP="00910E1F">
      <w:pPr>
        <w:widowControl w:val="0"/>
        <w:numPr>
          <w:ilvl w:val="1"/>
          <w:numId w:val="21"/>
        </w:numPr>
        <w:spacing w:after="120"/>
        <w:rPr>
          <w:snapToGrid w:val="0"/>
          <w:kern w:val="28"/>
          <w:szCs w:val="22"/>
        </w:rPr>
      </w:pPr>
      <w:r w:rsidRPr="00D10F01">
        <w:rPr>
          <w:snapToGrid w:val="0"/>
          <w:kern w:val="28"/>
          <w:szCs w:val="22"/>
        </w:rPr>
        <w:t xml:space="preserve">Commercial overnight mail (other than U.S. Postal Service Express Mail and Priority Mail) must be sent to </w:t>
      </w:r>
      <w:r w:rsidRPr="00D10F01" w:rsidR="004D3695">
        <w:rPr>
          <w:szCs w:val="22"/>
        </w:rPr>
        <w:t>9050 Junction Drive, Annapolis Junction, MD 20701</w:t>
      </w:r>
      <w:r w:rsidRPr="00D10F01">
        <w:rPr>
          <w:snapToGrid w:val="0"/>
          <w:kern w:val="28"/>
          <w:szCs w:val="22"/>
        </w:rPr>
        <w:t>.</w:t>
      </w:r>
    </w:p>
    <w:p w:rsidR="00DA510C" w:rsidRPr="00D10F01" w:rsidP="00910E1F">
      <w:pPr>
        <w:widowControl w:val="0"/>
        <w:numPr>
          <w:ilvl w:val="1"/>
          <w:numId w:val="21"/>
        </w:numPr>
        <w:spacing w:after="120"/>
        <w:rPr>
          <w:snapToGrid w:val="0"/>
          <w:kern w:val="28"/>
          <w:szCs w:val="22"/>
        </w:rPr>
      </w:pPr>
      <w:r w:rsidRPr="00D10F01">
        <w:rPr>
          <w:snapToGrid w:val="0"/>
          <w:kern w:val="28"/>
          <w:szCs w:val="22"/>
        </w:rPr>
        <w:t>U.S. Postal Service first-class, Express, and Priority mail must be addressed to 445 12</w:t>
      </w:r>
      <w:r w:rsidRPr="00D10F01">
        <w:rPr>
          <w:snapToGrid w:val="0"/>
          <w:kern w:val="28"/>
          <w:szCs w:val="22"/>
          <w:vertAlign w:val="superscript"/>
        </w:rPr>
        <w:t>th</w:t>
      </w:r>
      <w:r w:rsidRPr="00D10F01">
        <w:rPr>
          <w:snapToGrid w:val="0"/>
          <w:kern w:val="28"/>
          <w:szCs w:val="22"/>
        </w:rPr>
        <w:t> Street, SW, Washington DC  20554.</w:t>
      </w:r>
    </w:p>
    <w:p w:rsidR="00910E1F" w:rsidRPr="00D10F01" w:rsidP="00C73C2C">
      <w:pPr>
        <w:widowControl w:val="0"/>
        <w:spacing w:after="120"/>
        <w:ind w:firstLine="720"/>
        <w:rPr>
          <w:snapToGrid w:val="0"/>
          <w:kern w:val="28"/>
          <w:szCs w:val="22"/>
        </w:rPr>
      </w:pPr>
      <w:r w:rsidRPr="00D10F01">
        <w:rPr>
          <w:snapToGrid w:val="0"/>
          <w:kern w:val="28"/>
          <w:szCs w:val="22"/>
        </w:rPr>
        <w:t xml:space="preserve">People with Disabilities:  To request materials in accessible formats for people with disabilities (braille, large print, electronic files, audio format), send an e-mail to </w:t>
      </w:r>
      <w:r w:rsidRPr="00D10F01">
        <w:rPr>
          <w:snapToGrid w:val="0"/>
          <w:color w:val="000000"/>
          <w:kern w:val="28"/>
          <w:szCs w:val="22"/>
        </w:rPr>
        <w:t>fcc504@fcc.gov</w:t>
      </w:r>
      <w:r w:rsidRPr="00D10F01">
        <w:rPr>
          <w:snapToGrid w:val="0"/>
          <w:kern w:val="28"/>
          <w:szCs w:val="22"/>
        </w:rPr>
        <w:t xml:space="preserve"> or call the Consumer and Governmental Affairs Bureau at 202-418-0530 (voice), 1-888-835-5322 (tty).</w:t>
      </w:r>
      <w:r w:rsidRPr="00D10F01">
        <w:rPr>
          <w:snapToGrid w:val="0"/>
          <w:kern w:val="28"/>
          <w:szCs w:val="22"/>
        </w:rPr>
        <w:t xml:space="preserve">  </w:t>
      </w:r>
    </w:p>
    <w:p w:rsidR="008F4598" w:rsidRPr="00993C29" w:rsidP="008F4598">
      <w:pPr>
        <w:keepNext/>
        <w:rPr>
          <w:snapToGrid w:val="0"/>
          <w:kern w:val="28"/>
          <w:szCs w:val="22"/>
        </w:rPr>
      </w:pPr>
      <w:r w:rsidRPr="00993C29">
        <w:rPr>
          <w:b/>
          <w:snapToGrid w:val="0"/>
          <w:kern w:val="28"/>
          <w:szCs w:val="22"/>
        </w:rPr>
        <w:t>In addition, please provide one copy of each pleading to each of the following</w:t>
      </w:r>
      <w:r w:rsidRPr="00993C29">
        <w:rPr>
          <w:snapToGrid w:val="0"/>
          <w:kern w:val="28"/>
          <w:szCs w:val="22"/>
        </w:rPr>
        <w:t>:</w:t>
      </w:r>
    </w:p>
    <w:p w:rsidR="008F4598" w:rsidRPr="00993C29" w:rsidP="008F4598">
      <w:pPr>
        <w:keepNext/>
        <w:rPr>
          <w:snapToGrid w:val="0"/>
          <w:kern w:val="28"/>
          <w:szCs w:val="22"/>
        </w:rPr>
      </w:pPr>
    </w:p>
    <w:p w:rsidR="008F4598" w:rsidRPr="00993C29" w:rsidP="008F4598">
      <w:pPr>
        <w:keepNext/>
        <w:numPr>
          <w:ilvl w:val="0"/>
          <w:numId w:val="14"/>
        </w:numPr>
        <w:spacing w:after="120"/>
        <w:rPr>
          <w:snapToGrid w:val="0"/>
          <w:color w:val="000000"/>
          <w:kern w:val="28"/>
          <w:szCs w:val="22"/>
        </w:rPr>
      </w:pPr>
      <w:r w:rsidRPr="00993C29">
        <w:rPr>
          <w:snapToGrid w:val="0"/>
          <w:color w:val="000000"/>
          <w:kern w:val="28"/>
          <w:szCs w:val="22"/>
        </w:rPr>
        <w:t xml:space="preserve">Mike Ray, Wireline Competition Bureau, </w:t>
      </w:r>
      <w:hyperlink r:id="rId9" w:history="1">
        <w:r w:rsidRPr="00993C29">
          <w:rPr>
            <w:rStyle w:val="Hyperlink"/>
            <w:snapToGrid w:val="0"/>
            <w:kern w:val="28"/>
            <w:szCs w:val="22"/>
          </w:rPr>
          <w:t>michael.ray@fcc.gov</w:t>
        </w:r>
      </w:hyperlink>
      <w:r>
        <w:rPr>
          <w:snapToGrid w:val="0"/>
          <w:color w:val="000000"/>
          <w:kern w:val="28"/>
          <w:szCs w:val="22"/>
        </w:rPr>
        <w:t>;</w:t>
      </w:r>
    </w:p>
    <w:p w:rsidR="008F4598" w:rsidRPr="00993C29" w:rsidP="008F4598">
      <w:pPr>
        <w:widowControl w:val="0"/>
        <w:numPr>
          <w:ilvl w:val="0"/>
          <w:numId w:val="14"/>
        </w:numPr>
        <w:spacing w:after="120"/>
        <w:rPr>
          <w:snapToGrid w:val="0"/>
          <w:color w:val="000000"/>
          <w:kern w:val="28"/>
          <w:szCs w:val="22"/>
        </w:rPr>
      </w:pPr>
      <w:r w:rsidRPr="00993C29">
        <w:rPr>
          <w:snapToGrid w:val="0"/>
          <w:color w:val="000000"/>
          <w:kern w:val="28"/>
          <w:szCs w:val="22"/>
        </w:rPr>
        <w:t xml:space="preserve">Jim Bird, Office of the General Counsel, </w:t>
      </w:r>
      <w:hyperlink r:id="rId10" w:history="1">
        <w:r w:rsidRPr="00293AD8">
          <w:rPr>
            <w:rStyle w:val="Hyperlink"/>
            <w:snapToGrid w:val="0"/>
            <w:kern w:val="28"/>
            <w:szCs w:val="22"/>
          </w:rPr>
          <w:t>jim.bird@fcc.gov</w:t>
        </w:r>
      </w:hyperlink>
      <w:r w:rsidRPr="00993C29">
        <w:rPr>
          <w:snapToGrid w:val="0"/>
          <w:color w:val="000000"/>
          <w:kern w:val="28"/>
          <w:szCs w:val="22"/>
        </w:rPr>
        <w:t>.</w:t>
      </w:r>
    </w:p>
    <w:p w:rsidR="00DA510C" w:rsidRPr="00D10F01" w:rsidP="00910E1F">
      <w:pPr>
        <w:widowControl w:val="0"/>
        <w:spacing w:after="120"/>
        <w:ind w:firstLine="720"/>
        <w:rPr>
          <w:snapToGrid w:val="0"/>
          <w:kern w:val="28"/>
          <w:szCs w:val="22"/>
        </w:rPr>
      </w:pPr>
      <w:r w:rsidRPr="00D10F01">
        <w:rPr>
          <w:snapToGrid w:val="0"/>
          <w:kern w:val="28"/>
          <w:szCs w:val="22"/>
        </w:rPr>
        <w:t>Th</w:t>
      </w:r>
      <w:r w:rsidRPr="00D10F01" w:rsidR="00A40087">
        <w:rPr>
          <w:snapToGrid w:val="0"/>
          <w:kern w:val="28"/>
          <w:szCs w:val="22"/>
        </w:rPr>
        <w:t xml:space="preserve">is </w:t>
      </w:r>
      <w:r w:rsidRPr="00D10F01">
        <w:rPr>
          <w:snapToGrid w:val="0"/>
          <w:kern w:val="28"/>
          <w:szCs w:val="22"/>
        </w:rPr>
        <w:t xml:space="preserve">proceeding </w:t>
      </w:r>
      <w:r w:rsidRPr="00D10F01" w:rsidR="00A40087">
        <w:rPr>
          <w:snapToGrid w:val="0"/>
          <w:kern w:val="28"/>
          <w:szCs w:val="22"/>
        </w:rPr>
        <w:t xml:space="preserve">will </w:t>
      </w:r>
      <w:r w:rsidRPr="00D10F01">
        <w:rPr>
          <w:snapToGrid w:val="0"/>
          <w:kern w:val="28"/>
          <w:szCs w:val="22"/>
        </w:rPr>
        <w:t xml:space="preserve">be treated as a permit-but-disclose proceeding in accordance with the Commission’s </w:t>
      </w:r>
      <w:r w:rsidRPr="00D10F01">
        <w:rPr>
          <w:i/>
          <w:iCs/>
          <w:snapToGrid w:val="0"/>
          <w:kern w:val="28"/>
          <w:szCs w:val="22"/>
        </w:rPr>
        <w:t xml:space="preserve">ex parte </w:t>
      </w:r>
      <w:r w:rsidRPr="00D10F01">
        <w:rPr>
          <w:snapToGrid w:val="0"/>
          <w:kern w:val="28"/>
          <w:szCs w:val="22"/>
        </w:rPr>
        <w:t>rules.</w:t>
      </w:r>
      <w:r>
        <w:rPr>
          <w:snapToGrid w:val="0"/>
          <w:kern w:val="28"/>
          <w:szCs w:val="22"/>
          <w:vertAlign w:val="superscript"/>
        </w:rPr>
        <w:footnoteReference w:id="11"/>
      </w:r>
      <w:r w:rsidRPr="00D10F01">
        <w:rPr>
          <w:snapToGrid w:val="0"/>
          <w:kern w:val="28"/>
          <w:szCs w:val="22"/>
        </w:rPr>
        <w:t xml:space="preserve">  Persons making </w:t>
      </w:r>
      <w:r w:rsidRPr="00D10F01">
        <w:rPr>
          <w:i/>
          <w:snapToGrid w:val="0"/>
          <w:kern w:val="28"/>
          <w:szCs w:val="22"/>
        </w:rPr>
        <w:t xml:space="preserve">ex parte </w:t>
      </w:r>
      <w:r w:rsidRPr="00D10F01">
        <w:rPr>
          <w:snapToGrid w:val="0"/>
          <w:kern w:val="28"/>
          <w:szCs w:val="22"/>
        </w:rPr>
        <w:t xml:space="preserve">presentations must file a copy of any </w:t>
      </w:r>
      <w:r w:rsidRPr="00D10F01">
        <w:rPr>
          <w:snapToGrid w:val="0"/>
          <w:kern w:val="28"/>
          <w:szCs w:val="22"/>
        </w:rPr>
        <w:t xml:space="preserve">written presentation or a memorandum summarizing any oral presentation within two business days after the presentation (unless a different deadline applicable to the Sunshine period applies).  Persons making oral </w:t>
      </w:r>
      <w:r w:rsidRPr="00D10F01">
        <w:rPr>
          <w:i/>
          <w:iCs/>
          <w:snapToGrid w:val="0"/>
          <w:kern w:val="28"/>
          <w:szCs w:val="22"/>
        </w:rPr>
        <w:t xml:space="preserve">ex parte </w:t>
      </w:r>
      <w:r w:rsidRPr="00D10F01">
        <w:rPr>
          <w:snapToGrid w:val="0"/>
          <w:kern w:val="28"/>
          <w:szCs w:val="22"/>
        </w:rPr>
        <w:t xml:space="preserve">presentations are reminded that memoranda summarizing the presentation must (1) list all persons attending or otherwise participating in the meeting at which the </w:t>
      </w:r>
      <w:r w:rsidRPr="00D10F01">
        <w:rPr>
          <w:i/>
          <w:iCs/>
          <w:snapToGrid w:val="0"/>
          <w:kern w:val="28"/>
          <w:szCs w:val="22"/>
        </w:rPr>
        <w:t xml:space="preserve">ex parte </w:t>
      </w:r>
      <w:r w:rsidRPr="00D10F01">
        <w:rPr>
          <w:snapToGrid w:val="0"/>
          <w:kern w:val="28"/>
          <w:szCs w:val="22"/>
        </w:rPr>
        <w:t xml:space="preserve">presentation was made, and (2) summarize all data presented and arguments made during the presentation.  If the presentation consisted in whole or in part of data or arguments already reflected in the presenter’s written comments, memoranda, or other filings in the proceeding, then the presenter may provide citations to such data or arguments in </w:t>
      </w:r>
      <w:r w:rsidRPr="00D10F01" w:rsidR="005A3CBE">
        <w:rPr>
          <w:snapToGrid w:val="0"/>
          <w:kern w:val="28"/>
          <w:szCs w:val="22"/>
        </w:rPr>
        <w:t xml:space="preserve">the </w:t>
      </w:r>
      <w:r w:rsidRPr="00D10F01">
        <w:rPr>
          <w:snapToGrid w:val="0"/>
          <w:kern w:val="28"/>
          <w:szCs w:val="22"/>
        </w:rPr>
        <w:t xml:space="preserve">prior comments, memoranda, or other filings (specifying the relevant page and/or paragraph numbers where such data or arguments can be found) in lieu of summarizing them in the memorandum.  Documents shown or given to Commission staff during </w:t>
      </w:r>
      <w:r w:rsidRPr="00D10F01">
        <w:rPr>
          <w:i/>
          <w:iCs/>
          <w:snapToGrid w:val="0"/>
          <w:kern w:val="28"/>
          <w:szCs w:val="22"/>
        </w:rPr>
        <w:t xml:space="preserve">ex parte </w:t>
      </w:r>
      <w:r w:rsidRPr="00D10F01">
        <w:rPr>
          <w:snapToGrid w:val="0"/>
          <w:kern w:val="28"/>
          <w:szCs w:val="22"/>
        </w:rPr>
        <w:t xml:space="preserve">meetings are deemed to be written </w:t>
      </w:r>
      <w:r w:rsidRPr="00D10F01">
        <w:rPr>
          <w:i/>
          <w:iCs/>
          <w:snapToGrid w:val="0"/>
          <w:kern w:val="28"/>
          <w:szCs w:val="22"/>
        </w:rPr>
        <w:t>ex parte</w:t>
      </w:r>
      <w:r w:rsidRPr="00D10F01">
        <w:rPr>
          <w:snapToGrid w:val="0"/>
          <w:kern w:val="28"/>
          <w:szCs w:val="22"/>
        </w:rPr>
        <w:t xml:space="preserve"> presentations and must be filed consistent with </w:t>
      </w:r>
      <w:r w:rsidRPr="00D10F01" w:rsidR="005A3CBE">
        <w:rPr>
          <w:snapToGrid w:val="0"/>
          <w:kern w:val="28"/>
          <w:szCs w:val="22"/>
        </w:rPr>
        <w:t xml:space="preserve">section </w:t>
      </w:r>
      <w:r w:rsidRPr="00D10F01">
        <w:rPr>
          <w:snapToGrid w:val="0"/>
          <w:kern w:val="28"/>
          <w:szCs w:val="22"/>
        </w:rPr>
        <w:t>1.1206(b)</w:t>
      </w:r>
      <w:r w:rsidRPr="00D10F01" w:rsidR="005A3CBE">
        <w:rPr>
          <w:snapToGrid w:val="0"/>
          <w:kern w:val="28"/>
          <w:szCs w:val="22"/>
        </w:rPr>
        <w:t xml:space="preserve"> of the Commission’s Rules</w:t>
      </w:r>
      <w:r w:rsidRPr="00D10F01">
        <w:rPr>
          <w:snapToGrid w:val="0"/>
          <w:kern w:val="28"/>
          <w:szCs w:val="22"/>
        </w:rPr>
        <w:t>.</w:t>
      </w:r>
      <w:r>
        <w:rPr>
          <w:rStyle w:val="FootnoteReference"/>
          <w:snapToGrid w:val="0"/>
          <w:kern w:val="28"/>
          <w:szCs w:val="22"/>
        </w:rPr>
        <w:footnoteReference w:id="12"/>
      </w:r>
      <w:r w:rsidRPr="00D10F01">
        <w:rPr>
          <w:snapToGrid w:val="0"/>
          <w:kern w:val="28"/>
          <w:szCs w:val="22"/>
        </w:rPr>
        <w:t xml:space="preserve">  Participants in this proceeding should familiarize themselves with the Commission’s </w:t>
      </w:r>
      <w:r w:rsidRPr="00D10F01">
        <w:rPr>
          <w:i/>
          <w:iCs/>
          <w:snapToGrid w:val="0"/>
          <w:kern w:val="28"/>
          <w:szCs w:val="22"/>
        </w:rPr>
        <w:t xml:space="preserve">ex parte </w:t>
      </w:r>
      <w:r w:rsidRPr="00D10F01">
        <w:rPr>
          <w:snapToGrid w:val="0"/>
          <w:kern w:val="28"/>
          <w:szCs w:val="22"/>
        </w:rPr>
        <w:t>rules.</w:t>
      </w:r>
    </w:p>
    <w:p w:rsidR="00DA510C" w:rsidRPr="00D10F01" w:rsidP="00910E1F">
      <w:pPr>
        <w:widowControl w:val="0"/>
        <w:spacing w:after="120"/>
        <w:ind w:firstLine="720"/>
        <w:rPr>
          <w:snapToGrid w:val="0"/>
          <w:kern w:val="28"/>
          <w:szCs w:val="22"/>
        </w:rPr>
      </w:pPr>
      <w:r w:rsidRPr="00D10F01">
        <w:rPr>
          <w:snapToGrid w:val="0"/>
          <w:spacing w:val="-2"/>
          <w:kern w:val="28"/>
          <w:szCs w:val="22"/>
        </w:rPr>
        <w:t>To allow the Commission to consider fully all substantive issues regarding the</w:t>
      </w:r>
      <w:r w:rsidR="00C73C2C">
        <w:rPr>
          <w:snapToGrid w:val="0"/>
          <w:spacing w:val="-2"/>
          <w:kern w:val="28"/>
          <w:szCs w:val="22"/>
        </w:rPr>
        <w:t xml:space="preserve"> Joint A</w:t>
      </w:r>
      <w:r w:rsidRPr="00D10F01">
        <w:rPr>
          <w:snapToGrid w:val="0"/>
          <w:spacing w:val="-2"/>
          <w:kern w:val="28"/>
          <w:szCs w:val="22"/>
        </w:rPr>
        <w:t xml:space="preserve">pplication in as timely and efficient a manner as possible, </w:t>
      </w:r>
      <w:r w:rsidRPr="00D10F01">
        <w:rPr>
          <w:snapToGrid w:val="0"/>
          <w:kern w:val="28"/>
          <w:szCs w:val="22"/>
        </w:rPr>
        <w:t>petitioners and commenters should raise all issues in their initial filings.  New issues may not be raised in responses or replies.</w:t>
      </w:r>
      <w:r>
        <w:rPr>
          <w:snapToGrid w:val="0"/>
          <w:kern w:val="28"/>
          <w:szCs w:val="22"/>
          <w:vertAlign w:val="superscript"/>
        </w:rPr>
        <w:footnoteReference w:id="13"/>
      </w:r>
      <w:r w:rsidRPr="00D10F01">
        <w:rPr>
          <w:snapToGrid w:val="0"/>
          <w:kern w:val="28"/>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DA510C" w:rsidRPr="00D10F01" w:rsidP="00910E1F">
      <w:pPr>
        <w:widowControl w:val="0"/>
        <w:spacing w:after="120"/>
        <w:rPr>
          <w:snapToGrid w:val="0"/>
          <w:kern w:val="28"/>
          <w:szCs w:val="22"/>
        </w:rPr>
      </w:pPr>
      <w:r w:rsidRPr="00D10F01">
        <w:rPr>
          <w:snapToGrid w:val="0"/>
          <w:kern w:val="28"/>
          <w:szCs w:val="22"/>
        </w:rPr>
        <w:tab/>
        <w:t xml:space="preserve">For further information, please contact </w:t>
      </w:r>
      <w:r w:rsidRPr="00D10F01" w:rsidR="00A027F8">
        <w:rPr>
          <w:snapToGrid w:val="0"/>
          <w:kern w:val="28"/>
          <w:szCs w:val="22"/>
        </w:rPr>
        <w:t>Mike Ray</w:t>
      </w:r>
      <w:r w:rsidRPr="00D10F01">
        <w:rPr>
          <w:snapToGrid w:val="0"/>
          <w:kern w:val="28"/>
          <w:szCs w:val="22"/>
        </w:rPr>
        <w:t>, Wireline Competition Bureau, (202) 418-</w:t>
      </w:r>
      <w:r w:rsidRPr="00D10F01" w:rsidR="00A027F8">
        <w:rPr>
          <w:snapToGrid w:val="0"/>
          <w:kern w:val="28"/>
          <w:szCs w:val="22"/>
        </w:rPr>
        <w:t>0357</w:t>
      </w:r>
      <w:r w:rsidRPr="00D10F01">
        <w:rPr>
          <w:snapToGrid w:val="0"/>
          <w:kern w:val="28"/>
          <w:szCs w:val="22"/>
        </w:rPr>
        <w:t>.</w:t>
      </w:r>
      <w:bookmarkStart w:id="5" w:name="_Hlk510519956"/>
    </w:p>
    <w:bookmarkEnd w:id="5"/>
    <w:p w:rsidR="00DA510C" w:rsidRPr="00D10F01" w:rsidP="00DA510C">
      <w:pPr>
        <w:autoSpaceDE w:val="0"/>
        <w:autoSpaceDN w:val="0"/>
        <w:adjustRightInd w:val="0"/>
        <w:rPr>
          <w:szCs w:val="22"/>
        </w:rPr>
      </w:pPr>
    </w:p>
    <w:p w:rsidR="009622CB" w:rsidRPr="00D10F01" w:rsidP="003C58D9">
      <w:pPr>
        <w:jc w:val="center"/>
        <w:rPr>
          <w:b/>
          <w:szCs w:val="22"/>
        </w:rPr>
      </w:pPr>
      <w:r w:rsidRPr="00D10F01">
        <w:rPr>
          <w:b/>
          <w:szCs w:val="22"/>
        </w:rPr>
        <w:t>- FCC –</w:t>
      </w:r>
    </w:p>
    <w:p w:rsidR="00F03288" w:rsidRPr="00D10F01">
      <w:pPr>
        <w:rPr>
          <w:color w:val="000000"/>
          <w:szCs w:val="22"/>
        </w:rPr>
      </w:pPr>
    </w:p>
    <w:sectPr w:rsidSect="00DA510C">
      <w:footerReference w:type="default" r:id="rId11"/>
      <w:headerReference w:type="first" r:id="rId12"/>
      <w:type w:val="continuous"/>
      <w:pgSz w:w="12240" w:h="15840"/>
      <w:pgMar w:top="1500" w:right="1720" w:bottom="980" w:left="1640" w:header="0" w:footer="797" w:gutter="0"/>
      <w:cols w:space="720" w:equalWidth="0">
        <w:col w:w="88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A6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A68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80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rsidR="00DA68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3211">
      <w:r>
        <w:separator/>
      </w:r>
    </w:p>
  </w:footnote>
  <w:footnote w:type="continuationSeparator" w:id="1">
    <w:p w:rsidR="00673211">
      <w:r>
        <w:continuationSeparator/>
      </w:r>
    </w:p>
  </w:footnote>
  <w:footnote w:type="continuationNotice" w:id="2">
    <w:p w:rsidR="00673211"/>
  </w:footnote>
  <w:footnote w:id="3">
    <w:p w:rsidR="006B513E" w:rsidRPr="00D4246C">
      <w:pPr>
        <w:pStyle w:val="FootnoteText"/>
        <w:rPr>
          <w:sz w:val="20"/>
        </w:rPr>
      </w:pPr>
      <w:r>
        <w:rPr>
          <w:rStyle w:val="FootnoteReference"/>
        </w:rPr>
        <w:footnoteRef/>
      </w:r>
      <w:r w:rsidRPr="00D4246C">
        <w:rPr>
          <w:i/>
          <w:sz w:val="20"/>
        </w:rPr>
        <w:t>See</w:t>
      </w:r>
      <w:r w:rsidRPr="00D4246C">
        <w:rPr>
          <w:sz w:val="20"/>
        </w:rPr>
        <w:t xml:space="preserve"> 47 U.S.C. § 214; 47 CFR §§ 63.03-04</w:t>
      </w:r>
      <w:r w:rsidR="00EF541A">
        <w:rPr>
          <w:sz w:val="20"/>
        </w:rPr>
        <w:t>; Joint Application of Windstream Licensees and Uniti Group Finance Inc. and Uniti National LLC for Grant of Authority Pursuant to Section 214 of the Communications Ac t of 1934, as Amended, and Section 63.04 of the Commission’s Rules, WC Docket No. 20-161 (filed June 3, 2020)</w:t>
      </w:r>
      <w:r w:rsidRPr="00D4246C">
        <w:rPr>
          <w:color w:val="231F20"/>
          <w:sz w:val="20"/>
        </w:rPr>
        <w:t>.  Applicants file</w:t>
      </w:r>
      <w:r w:rsidR="00FE775A">
        <w:rPr>
          <w:color w:val="231F20"/>
          <w:sz w:val="20"/>
        </w:rPr>
        <w:t>d</w:t>
      </w:r>
      <w:r w:rsidRPr="00D4246C">
        <w:rPr>
          <w:color w:val="231F20"/>
          <w:sz w:val="20"/>
        </w:rPr>
        <w:t xml:space="preserve"> supplements to their domestic section 214 application on June 19 and July 9, 2020.</w:t>
      </w:r>
    </w:p>
  </w:footnote>
  <w:footnote w:id="4">
    <w:p w:rsidR="000E346A" w:rsidRPr="00D3774E" w:rsidP="000E346A">
      <w:pPr>
        <w:autoSpaceDE w:val="0"/>
        <w:autoSpaceDN w:val="0"/>
        <w:adjustRightInd w:val="0"/>
        <w:rPr>
          <w:sz w:val="20"/>
        </w:rPr>
      </w:pPr>
      <w:r w:rsidRPr="00D4246C">
        <w:rPr>
          <w:rStyle w:val="FootnoteReference"/>
          <w:sz w:val="20"/>
        </w:rPr>
        <w:footnoteRef/>
      </w:r>
      <w:r w:rsidRPr="00D4246C">
        <w:rPr>
          <w:sz w:val="20"/>
        </w:rPr>
        <w:t xml:space="preserve"> </w:t>
      </w:r>
      <w:r w:rsidRPr="00D4246C" w:rsidR="006B513E">
        <w:rPr>
          <w:sz w:val="20"/>
        </w:rPr>
        <w:t>The assets of the Windstream Licensees that are subject</w:t>
      </w:r>
      <w:r w:rsidRPr="00D3774E" w:rsidR="006B513E">
        <w:rPr>
          <w:sz w:val="20"/>
        </w:rPr>
        <w:t xml:space="preserve"> to the </w:t>
      </w:r>
      <w:r w:rsidR="006B513E">
        <w:rPr>
          <w:sz w:val="20"/>
        </w:rPr>
        <w:t>proposed t</w:t>
      </w:r>
      <w:r w:rsidRPr="00D3774E" w:rsidR="006B513E">
        <w:rPr>
          <w:sz w:val="20"/>
        </w:rPr>
        <w:t xml:space="preserve">ransaction </w:t>
      </w:r>
      <w:r w:rsidRPr="00D3774E" w:rsidR="006B513E">
        <w:rPr>
          <w:sz w:val="20"/>
        </w:rPr>
        <w:t>are located in</w:t>
      </w:r>
      <w:r w:rsidRPr="00D3774E" w:rsidR="006B513E">
        <w:rPr>
          <w:sz w:val="20"/>
        </w:rPr>
        <w:t xml:space="preserve"> Alabama, Arkansas, Colorado, Connecticut, Delaware, Florida, Georgia, Kentucky, Louisiana, Maryland, Massachusetts, Mississippi, New Jersey, New Mexico, New York, North Carolina, Oklahoma, Pennsylvania, South Carolina, South Dakota, Tennessee, and Texas.  </w:t>
      </w:r>
    </w:p>
    <w:p w:rsidR="004760B8" w:rsidRPr="00D3774E" w:rsidP="000E346A">
      <w:pPr>
        <w:pStyle w:val="FootnoteText"/>
        <w:spacing w:after="120"/>
        <w:rPr>
          <w:sz w:val="20"/>
        </w:rPr>
      </w:pPr>
    </w:p>
  </w:footnote>
  <w:footnote w:id="5">
    <w:p w:rsidR="003C58D9" w:rsidRPr="00B2271A" w:rsidP="00B2271A">
      <w:pPr>
        <w:autoSpaceDE w:val="0"/>
        <w:autoSpaceDN w:val="0"/>
        <w:adjustRightInd w:val="0"/>
        <w:spacing w:after="120"/>
        <w:rPr>
          <w:sz w:val="20"/>
        </w:rPr>
      </w:pPr>
      <w:r w:rsidRPr="003B6EC5">
        <w:rPr>
          <w:rStyle w:val="FootnoteReference"/>
          <w:sz w:val="20"/>
        </w:rPr>
        <w:footnoteRef/>
      </w:r>
      <w:r w:rsidRPr="003B6EC5">
        <w:rPr>
          <w:sz w:val="20"/>
        </w:rPr>
        <w:t xml:space="preserve"> </w:t>
      </w:r>
      <w:r w:rsidR="00D74156">
        <w:rPr>
          <w:sz w:val="20"/>
        </w:rPr>
        <w:t>T</w:t>
      </w:r>
      <w:r w:rsidRPr="003B6EC5" w:rsidR="003106AC">
        <w:rPr>
          <w:sz w:val="20"/>
        </w:rPr>
        <w:t>he following entities, directly or indirectly, own or control 10</w:t>
      </w:r>
      <w:r w:rsidRPr="003B6EC5" w:rsidR="00D408ED">
        <w:rPr>
          <w:sz w:val="20"/>
        </w:rPr>
        <w:t>%</w:t>
      </w:r>
      <w:r w:rsidRPr="003B6EC5" w:rsidR="003106AC">
        <w:rPr>
          <w:sz w:val="20"/>
        </w:rPr>
        <w:t xml:space="preserve"> or </w:t>
      </w:r>
      <w:r w:rsidR="00D74156">
        <w:rPr>
          <w:sz w:val="20"/>
        </w:rPr>
        <w:t>more</w:t>
      </w:r>
      <w:r w:rsidRPr="003B6EC5" w:rsidR="003106AC">
        <w:rPr>
          <w:sz w:val="20"/>
        </w:rPr>
        <w:t xml:space="preserve"> of Uniti </w:t>
      </w:r>
      <w:r w:rsidR="001A470E">
        <w:rPr>
          <w:sz w:val="20"/>
        </w:rPr>
        <w:t xml:space="preserve">Group </w:t>
      </w:r>
      <w:r w:rsidRPr="003B6EC5" w:rsidR="003106AC">
        <w:rPr>
          <w:sz w:val="20"/>
        </w:rPr>
        <w:t xml:space="preserve">Finance: </w:t>
      </w:r>
      <w:r w:rsidR="00F94C36">
        <w:rPr>
          <w:sz w:val="20"/>
        </w:rPr>
        <w:t xml:space="preserve"> </w:t>
      </w:r>
      <w:r w:rsidRPr="003B6EC5" w:rsidR="003106AC">
        <w:rPr>
          <w:sz w:val="20"/>
        </w:rPr>
        <w:t xml:space="preserve">CSL Capital, LLC (99% direct); Uniti Group LP (99% indirect); </w:t>
      </w:r>
      <w:r w:rsidRPr="003B6EC5" w:rsidR="00D73721">
        <w:rPr>
          <w:sz w:val="20"/>
        </w:rPr>
        <w:t>and Uniti Group Inc. (100% indirect).  Applicants also state that only one entity has an attributable 10</w:t>
      </w:r>
      <w:r w:rsidRPr="003B6EC5" w:rsidR="00D408ED">
        <w:rPr>
          <w:sz w:val="20"/>
        </w:rPr>
        <w:t>%</w:t>
      </w:r>
      <w:r w:rsidRPr="003B6EC5" w:rsidR="00D73721">
        <w:rPr>
          <w:sz w:val="20"/>
        </w:rPr>
        <w:t xml:space="preserve"> or greater ownership interest in </w:t>
      </w:r>
      <w:r w:rsidRPr="003B6EC5" w:rsidR="00D73721">
        <w:rPr>
          <w:sz w:val="20"/>
        </w:rPr>
        <w:t>Uniti</w:t>
      </w:r>
      <w:r w:rsidRPr="003B6EC5" w:rsidR="00D73721">
        <w:rPr>
          <w:sz w:val="20"/>
        </w:rPr>
        <w:t xml:space="preserve"> Group</w:t>
      </w:r>
      <w:r w:rsidR="00FE775A">
        <w:rPr>
          <w:sz w:val="20"/>
        </w:rPr>
        <w:t>—Black</w:t>
      </w:r>
      <w:r w:rsidRPr="003B6EC5" w:rsidR="00D73721">
        <w:rPr>
          <w:sz w:val="20"/>
        </w:rPr>
        <w:t>Rock, Inc.</w:t>
      </w:r>
      <w:r w:rsidR="00FB4FB2">
        <w:rPr>
          <w:sz w:val="20"/>
        </w:rPr>
        <w:t xml:space="preserve">, an investment entity that does not have the power to individually elect members of the Board of Unity Group or control </w:t>
      </w:r>
      <w:r w:rsidR="00FE775A">
        <w:rPr>
          <w:sz w:val="20"/>
        </w:rPr>
        <w:t xml:space="preserve">its </w:t>
      </w:r>
      <w:r w:rsidR="00FB4FB2">
        <w:rPr>
          <w:sz w:val="20"/>
        </w:rPr>
        <w:t>operations.</w:t>
      </w:r>
      <w:r w:rsidRPr="003B6EC5" w:rsidR="00D73721">
        <w:rPr>
          <w:sz w:val="20"/>
        </w:rPr>
        <w:t xml:space="preserve">  </w:t>
      </w:r>
      <w:r w:rsidR="00D74156">
        <w:rPr>
          <w:sz w:val="20"/>
        </w:rPr>
        <w:t xml:space="preserve">According to Applicants, </w:t>
      </w:r>
      <w:r w:rsidRPr="003B6EC5" w:rsidR="00D73721">
        <w:rPr>
          <w:sz w:val="20"/>
        </w:rPr>
        <w:t>Uniti</w:t>
      </w:r>
      <w:r w:rsidRPr="003B6EC5" w:rsidR="0025158A">
        <w:rPr>
          <w:sz w:val="20"/>
        </w:rPr>
        <w:t xml:space="preserve"> Group</w:t>
      </w:r>
      <w:r w:rsidRPr="003B6EC5" w:rsidR="00D73721">
        <w:rPr>
          <w:sz w:val="20"/>
        </w:rPr>
        <w:t xml:space="preserve"> may be affiliated through BlackRock, Inc. with the following entities that provide wireline domestic telecommunications services: </w:t>
      </w:r>
      <w:r w:rsidR="00EF541A">
        <w:rPr>
          <w:sz w:val="20"/>
        </w:rPr>
        <w:t xml:space="preserve"> </w:t>
      </w:r>
      <w:r w:rsidRPr="003B6EC5" w:rsidR="00D73721">
        <w:rPr>
          <w:sz w:val="20"/>
        </w:rPr>
        <w:t xml:space="preserve">Cincinnati Bell and Hawaiian Telecom (and their affiliates); Cogent Communications; Consolidated Communications (and its affiliates); Frontier Communications; General Communications, Inc.; and Inteliquent (and its affiliates).  </w:t>
      </w:r>
    </w:p>
  </w:footnote>
  <w:footnote w:id="6">
    <w:p w:rsidR="00CC33D9" w:rsidRPr="00D74156">
      <w:pPr>
        <w:pStyle w:val="FootnoteText"/>
        <w:rPr>
          <w:sz w:val="20"/>
        </w:rPr>
      </w:pPr>
      <w:r>
        <w:rPr>
          <w:rStyle w:val="FootnoteReference"/>
        </w:rPr>
        <w:footnoteRef/>
      </w:r>
      <w:r>
        <w:t xml:space="preserve"> </w:t>
      </w:r>
      <w:r w:rsidR="00D74156">
        <w:rPr>
          <w:sz w:val="20"/>
        </w:rPr>
        <w:t xml:space="preserve">Uniti Group’s </w:t>
      </w:r>
      <w:r w:rsidRPr="00D74156">
        <w:rPr>
          <w:sz w:val="20"/>
        </w:rPr>
        <w:t xml:space="preserve">Board of Directors </w:t>
      </w:r>
      <w:r w:rsidR="00D74156">
        <w:rPr>
          <w:sz w:val="20"/>
        </w:rPr>
        <w:t xml:space="preserve">consists </w:t>
      </w:r>
      <w:r w:rsidRPr="00D74156">
        <w:rPr>
          <w:sz w:val="20"/>
        </w:rPr>
        <w:t>of the following six U.S. citizens:  Jennifer S. Banner, Scott G. Bruce, Francis X. Frantz (Chairman), Kenneth A. Gunderman (President and CEO), Carmen Perez-Carlton, and David L. Solomon.</w:t>
      </w:r>
    </w:p>
  </w:footnote>
  <w:footnote w:id="7">
    <w:p w:rsidR="00DA680D" w:rsidRPr="00D3774E" w:rsidP="00D3774E">
      <w:pPr>
        <w:pStyle w:val="FootnoteText"/>
        <w:spacing w:after="120"/>
        <w:rPr>
          <w:sz w:val="20"/>
        </w:rPr>
      </w:pPr>
      <w:r w:rsidRPr="00D3774E">
        <w:rPr>
          <w:rStyle w:val="FootnoteReference"/>
          <w:sz w:val="20"/>
        </w:rPr>
        <w:footnoteRef/>
      </w:r>
      <w:r w:rsidRPr="00D3774E">
        <w:rPr>
          <w:sz w:val="20"/>
        </w:rPr>
        <w:t xml:space="preserve"> </w:t>
      </w:r>
      <w:r w:rsidRPr="00D3774E">
        <w:rPr>
          <w:i/>
          <w:iCs/>
          <w:sz w:val="20"/>
        </w:rPr>
        <w:t>Windstream Holdings, Inc., Debtors</w:t>
      </w:r>
      <w:r w:rsidRPr="00D3774E">
        <w:rPr>
          <w:sz w:val="20"/>
        </w:rPr>
        <w:t>, Chapter 11</w:t>
      </w:r>
      <w:r w:rsidRPr="00D3774E" w:rsidR="00750E4C">
        <w:rPr>
          <w:sz w:val="20"/>
        </w:rPr>
        <w:t>,</w:t>
      </w:r>
      <w:r w:rsidRPr="00D3774E">
        <w:rPr>
          <w:sz w:val="20"/>
        </w:rPr>
        <w:t xml:space="preserve"> Case No. 19-22312 (</w:t>
      </w:r>
      <w:bookmarkStart w:id="4" w:name="_Hlk42184510"/>
      <w:r w:rsidRPr="00D3774E">
        <w:rPr>
          <w:sz w:val="20"/>
        </w:rPr>
        <w:t>Bankr. S.D.N.Y.</w:t>
      </w:r>
      <w:bookmarkEnd w:id="4"/>
      <w:r w:rsidRPr="00D3774E">
        <w:rPr>
          <w:sz w:val="20"/>
        </w:rPr>
        <w:t xml:space="preserve"> 2019).</w:t>
      </w:r>
      <w:r w:rsidR="00654668">
        <w:rPr>
          <w:sz w:val="20"/>
        </w:rPr>
        <w:t xml:space="preserve"> </w:t>
      </w:r>
      <w:r w:rsidR="00FE775A">
        <w:rPr>
          <w:sz w:val="20"/>
        </w:rPr>
        <w:t xml:space="preserve"> </w:t>
      </w:r>
      <w:r w:rsidR="00654668">
        <w:rPr>
          <w:sz w:val="20"/>
        </w:rPr>
        <w:t xml:space="preserve">On </w:t>
      </w:r>
      <w:r w:rsidR="00EF541A">
        <w:rPr>
          <w:sz w:val="20"/>
        </w:rPr>
        <w:t>M</w:t>
      </w:r>
      <w:r w:rsidR="00654668">
        <w:rPr>
          <w:sz w:val="20"/>
        </w:rPr>
        <w:t xml:space="preserve">ay 21, 2020, </w:t>
      </w:r>
      <w:r w:rsidR="00EF541A">
        <w:rPr>
          <w:sz w:val="20"/>
        </w:rPr>
        <w:t xml:space="preserve">Windstream Holdings as debtor-in possession filed applications to transfer licenses and authorizations to post-bankruptcy Windstream Holdings, Inc.  </w:t>
      </w:r>
      <w:r w:rsidRPr="00EF541A" w:rsidR="00EF541A">
        <w:rPr>
          <w:i/>
          <w:iCs/>
          <w:sz w:val="20"/>
        </w:rPr>
        <w:t>Applications Filed for the Transfer of Control of Windstream Holdings, Inc., Debtor-in-Possession, to Windstream Holdings, Inc</w:t>
      </w:r>
      <w:r w:rsidR="00EF541A">
        <w:rPr>
          <w:sz w:val="20"/>
        </w:rPr>
        <w:t>., WC Docket No. 20-151, Public Notice, DA 20-675 (WCB, IB, WTB 2020).</w:t>
      </w:r>
    </w:p>
  </w:footnote>
  <w:footnote w:id="8">
    <w:p w:rsidR="00D10F01" w:rsidRPr="00654668" w:rsidP="00D3774E">
      <w:pPr>
        <w:pStyle w:val="FootnoteText"/>
        <w:spacing w:after="120"/>
        <w:rPr>
          <w:sz w:val="20"/>
        </w:rPr>
      </w:pPr>
      <w:r w:rsidRPr="00D3774E">
        <w:rPr>
          <w:rStyle w:val="FootnoteReference"/>
          <w:sz w:val="20"/>
        </w:rPr>
        <w:footnoteRef/>
      </w:r>
      <w:r w:rsidRPr="00D3774E">
        <w:rPr>
          <w:sz w:val="20"/>
        </w:rPr>
        <w:t xml:space="preserve"> </w:t>
      </w:r>
      <w:r w:rsidRPr="00654668" w:rsidR="00654668">
        <w:rPr>
          <w:sz w:val="20"/>
        </w:rPr>
        <w:t>Uniti Finance and Uniti National will have the ability to sublease or otherwise use those fiber assets that are not being granted back to the Windstream Holdings subsidiaries.</w:t>
      </w:r>
    </w:p>
  </w:footnote>
  <w:footnote w:id="9">
    <w:p w:rsidR="00C240EA" w:rsidP="00C240EA">
      <w:pPr>
        <w:pStyle w:val="FootnoteText"/>
        <w:rPr>
          <w:sz w:val="20"/>
        </w:rPr>
      </w:pPr>
      <w:r>
        <w:rPr>
          <w:rStyle w:val="FootnoteReference"/>
          <w:sz w:val="20"/>
        </w:rPr>
        <w:footnoteRef/>
      </w:r>
      <w:r>
        <w:rPr>
          <w:sz w:val="20"/>
        </w:rPr>
        <w:t xml:space="preserve"> </w:t>
      </w:r>
      <w:r>
        <w:rPr>
          <w:color w:val="020100"/>
          <w:sz w:val="20"/>
        </w:rPr>
        <w:t>47 CFR § 63.03(c)(1)(v).</w:t>
      </w:r>
    </w:p>
  </w:footnote>
  <w:footnote w:id="10">
    <w:p w:rsidR="00C570DE" w:rsidRPr="00D3774E" w:rsidP="00D3774E">
      <w:pPr>
        <w:pStyle w:val="FootnoteText"/>
        <w:spacing w:after="120"/>
        <w:rPr>
          <w:sz w:val="20"/>
        </w:rPr>
      </w:pPr>
      <w:r w:rsidRPr="00D3774E">
        <w:rPr>
          <w:rStyle w:val="FootnoteReference"/>
          <w:sz w:val="20"/>
        </w:rPr>
        <w:footnoteRef/>
      </w:r>
      <w:r w:rsidRPr="00D3774E">
        <w:rPr>
          <w:sz w:val="20"/>
        </w:rPr>
        <w:t xml:space="preserve">  In response to the COVID-19 pandemic, the C</w:t>
      </w:r>
      <w:r w:rsidRPr="00D3774E" w:rsidR="00293AD8">
        <w:rPr>
          <w:sz w:val="20"/>
        </w:rPr>
        <w:t>ommission</w:t>
      </w:r>
      <w:r w:rsidRPr="00D3774E">
        <w:rPr>
          <w:sz w:val="20"/>
        </w:rPr>
        <w:t xml:space="preserve">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D3774E">
        <w:rPr>
          <w:i/>
          <w:iCs/>
          <w:sz w:val="20"/>
        </w:rPr>
        <w:t xml:space="preserve">  FCC Announces Closure of FCC Headquarters Open Window and Change in Hand-Delivery Filing</w:t>
      </w:r>
      <w:r w:rsidRPr="00D3774E">
        <w:rPr>
          <w:sz w:val="20"/>
        </w:rPr>
        <w:t>,</w:t>
      </w:r>
      <w:r w:rsidRPr="00D3774E">
        <w:rPr>
          <w:i/>
          <w:iCs/>
          <w:sz w:val="20"/>
        </w:rPr>
        <w:t xml:space="preserve"> </w:t>
      </w:r>
      <w:r w:rsidRPr="00D3774E">
        <w:rPr>
          <w:sz w:val="20"/>
        </w:rPr>
        <w:t>Public Notice, DA 20-304 (rel. Mar. 19, 2020)</w:t>
      </w:r>
      <w:r w:rsidRPr="00D3774E" w:rsidR="00293AD8">
        <w:rPr>
          <w:sz w:val="20"/>
        </w:rPr>
        <w:t xml:space="preserve">, </w:t>
      </w:r>
      <w:hyperlink r:id="rId1" w:tgtFrame="_blank" w:history="1">
        <w:r w:rsidRPr="00D3774E">
          <w:rPr>
            <w:color w:val="0563C1"/>
            <w:sz w:val="20"/>
            <w:u w:val="single"/>
            <w:bdr w:val="none" w:sz="0" w:space="0" w:color="auto" w:frame="1"/>
            <w:shd w:val="clear" w:color="auto" w:fill="FFFFFF"/>
          </w:rPr>
          <w:t>https://www.fcc.gov/document/fcc-closes-headquarters-open-window-and-changes-hand-delivery-policy</w:t>
        </w:r>
      </w:hyperlink>
      <w:r w:rsidRPr="00D3774E">
        <w:rPr>
          <w:sz w:val="20"/>
        </w:rPr>
        <w:t>.</w:t>
      </w:r>
      <w:r w:rsidRPr="00D3774E">
        <w:rPr>
          <w:color w:val="201F1E"/>
          <w:sz w:val="20"/>
          <w:shd w:val="clear" w:color="auto" w:fill="FFFFFF"/>
        </w:rPr>
        <w:t> </w:t>
      </w:r>
    </w:p>
  </w:footnote>
  <w:footnote w:id="11">
    <w:p w:rsidR="00DA680D" w:rsidRPr="00D3774E" w:rsidP="00D3774E">
      <w:pPr>
        <w:pStyle w:val="FootnoteText"/>
        <w:tabs>
          <w:tab w:val="clear" w:pos="720"/>
        </w:tabs>
        <w:spacing w:after="120"/>
        <w:rPr>
          <w:i/>
          <w:iCs/>
          <w:sz w:val="20"/>
        </w:rPr>
      </w:pPr>
      <w:r w:rsidRPr="00D3774E">
        <w:rPr>
          <w:rStyle w:val="FootnoteReference"/>
          <w:sz w:val="20"/>
        </w:rPr>
        <w:footnoteRef/>
      </w:r>
      <w:r w:rsidRPr="00D3774E">
        <w:rPr>
          <w:sz w:val="20"/>
        </w:rPr>
        <w:t xml:space="preserve"> 47 CFR §</w:t>
      </w:r>
      <w:r w:rsidR="009F729A">
        <w:rPr>
          <w:sz w:val="20"/>
        </w:rPr>
        <w:t>§</w:t>
      </w:r>
      <w:r w:rsidRPr="00D3774E">
        <w:rPr>
          <w:sz w:val="20"/>
        </w:rPr>
        <w:t xml:space="preserve"> 1.1200 </w:t>
      </w:r>
      <w:r w:rsidRPr="00D3774E">
        <w:rPr>
          <w:i/>
          <w:iCs/>
          <w:sz w:val="20"/>
        </w:rPr>
        <w:t>et seq.</w:t>
      </w:r>
    </w:p>
  </w:footnote>
  <w:footnote w:id="12">
    <w:p w:rsidR="005A3CBE" w:rsidRPr="00D3774E" w:rsidP="00D3774E">
      <w:pPr>
        <w:pStyle w:val="FootnoteText"/>
        <w:spacing w:after="120"/>
        <w:rPr>
          <w:sz w:val="20"/>
        </w:rPr>
      </w:pPr>
      <w:r w:rsidRPr="00D3774E">
        <w:rPr>
          <w:rStyle w:val="FootnoteReference"/>
          <w:sz w:val="20"/>
        </w:rPr>
        <w:footnoteRef/>
      </w:r>
      <w:r w:rsidRPr="00D3774E">
        <w:rPr>
          <w:sz w:val="20"/>
        </w:rPr>
        <w:t xml:space="preserve"> </w:t>
      </w:r>
      <w:r w:rsidRPr="00D3774E">
        <w:rPr>
          <w:snapToGrid w:val="0"/>
          <w:kern w:val="28"/>
          <w:sz w:val="20"/>
        </w:rPr>
        <w:t>47 CFR § 1.1206(b).</w:t>
      </w:r>
    </w:p>
  </w:footnote>
  <w:footnote w:id="13">
    <w:p w:rsidR="00DA680D" w:rsidRPr="00D3774E" w:rsidP="00D3774E">
      <w:pPr>
        <w:pStyle w:val="FootnoteText"/>
        <w:tabs>
          <w:tab w:val="clear" w:pos="720"/>
        </w:tabs>
        <w:spacing w:after="120"/>
        <w:rPr>
          <w:sz w:val="20"/>
        </w:rPr>
      </w:pPr>
      <w:r w:rsidRPr="00D3774E">
        <w:rPr>
          <w:rStyle w:val="FootnoteReference"/>
          <w:sz w:val="20"/>
        </w:rPr>
        <w:footnoteRef/>
      </w:r>
      <w:r w:rsidRPr="00D3774E">
        <w:rPr>
          <w:sz w:val="20"/>
        </w:rPr>
        <w:t xml:space="preserve"> </w:t>
      </w:r>
      <w:r w:rsidRPr="00D3774E">
        <w:rPr>
          <w:i/>
          <w:sz w:val="20"/>
        </w:rPr>
        <w:t>See</w:t>
      </w:r>
      <w:r w:rsidRPr="00D3774E">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80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DA680D">
                <w:pPr>
                  <w:rPr>
                    <w:rFonts w:ascii="Arial" w:hAnsi="Arial"/>
                    <w:b/>
                  </w:rPr>
                </w:pPr>
                <w:r>
                  <w:rPr>
                    <w:rFonts w:ascii="Arial" w:hAnsi="Arial"/>
                    <w:b/>
                  </w:rPr>
                  <w:t>Federal Communications Commission</w:t>
                </w:r>
              </w:p>
              <w:p w:rsidR="00DA680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A680D">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DA680D">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DA680D">
                <w:pPr>
                  <w:spacing w:before="40"/>
                  <w:jc w:val="right"/>
                  <w:rPr>
                    <w:rFonts w:ascii="Arial" w:hAnsi="Arial"/>
                    <w:b/>
                    <w:sz w:val="16"/>
                  </w:rPr>
                </w:pPr>
                <w:r>
                  <w:rPr>
                    <w:rFonts w:ascii="Arial" w:hAnsi="Arial"/>
                    <w:b/>
                    <w:sz w:val="16"/>
                  </w:rPr>
                  <w:t>News Media Information 202 / 418-0500</w:t>
                </w:r>
              </w:p>
              <w:p w:rsidR="00DA680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A680D">
                <w:pPr>
                  <w:jc w:val="right"/>
                  <w:rPr>
                    <w:rFonts w:ascii="Arial" w:hAnsi="Arial"/>
                    <w:b/>
                    <w:sz w:val="16"/>
                  </w:rPr>
                </w:pPr>
                <w:r>
                  <w:rPr>
                    <w:rFonts w:ascii="Arial" w:hAnsi="Arial"/>
                    <w:b/>
                    <w:sz w:val="16"/>
                  </w:rPr>
                  <w:t>TTY: 1-888-835-5322</w:t>
                </w:r>
              </w:p>
              <w:p w:rsidR="00DA680D">
                <w:pPr>
                  <w:jc w:val="right"/>
                </w:pPr>
              </w:p>
            </w:txbxContent>
          </v:textbox>
        </v:shape>
      </w:pict>
    </w:r>
  </w:p>
  <w:p w:rsidR="00DA680D">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80D">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A0009B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16CF"/>
    <w:rsid w:val="0007256D"/>
    <w:rsid w:val="000B53C9"/>
    <w:rsid w:val="000C6ECE"/>
    <w:rsid w:val="000E156F"/>
    <w:rsid w:val="000E346A"/>
    <w:rsid w:val="000E55C9"/>
    <w:rsid w:val="000E6D7B"/>
    <w:rsid w:val="0011741D"/>
    <w:rsid w:val="00164047"/>
    <w:rsid w:val="00192CE1"/>
    <w:rsid w:val="001A470E"/>
    <w:rsid w:val="001E5C3E"/>
    <w:rsid w:val="001F72C5"/>
    <w:rsid w:val="00210CA5"/>
    <w:rsid w:val="002475F1"/>
    <w:rsid w:val="00250F14"/>
    <w:rsid w:val="0025158A"/>
    <w:rsid w:val="0025489A"/>
    <w:rsid w:val="002928F7"/>
    <w:rsid w:val="002934E6"/>
    <w:rsid w:val="00293AD8"/>
    <w:rsid w:val="0029765D"/>
    <w:rsid w:val="002A04DA"/>
    <w:rsid w:val="002A12E4"/>
    <w:rsid w:val="002A60A3"/>
    <w:rsid w:val="002B3095"/>
    <w:rsid w:val="002C4309"/>
    <w:rsid w:val="002E797D"/>
    <w:rsid w:val="003106AC"/>
    <w:rsid w:val="00311635"/>
    <w:rsid w:val="00313FAE"/>
    <w:rsid w:val="00316AF5"/>
    <w:rsid w:val="00317272"/>
    <w:rsid w:val="00331607"/>
    <w:rsid w:val="003442BB"/>
    <w:rsid w:val="00356571"/>
    <w:rsid w:val="00357B72"/>
    <w:rsid w:val="003600B1"/>
    <w:rsid w:val="0036582D"/>
    <w:rsid w:val="00367666"/>
    <w:rsid w:val="003A019B"/>
    <w:rsid w:val="003B6EC5"/>
    <w:rsid w:val="003C0ABF"/>
    <w:rsid w:val="003C4D4D"/>
    <w:rsid w:val="003C54B2"/>
    <w:rsid w:val="003C58D9"/>
    <w:rsid w:val="003C5E5C"/>
    <w:rsid w:val="003D763E"/>
    <w:rsid w:val="00406D38"/>
    <w:rsid w:val="00407D63"/>
    <w:rsid w:val="0041295B"/>
    <w:rsid w:val="00445585"/>
    <w:rsid w:val="00450594"/>
    <w:rsid w:val="00451F99"/>
    <w:rsid w:val="004610AE"/>
    <w:rsid w:val="0046236B"/>
    <w:rsid w:val="00470BA2"/>
    <w:rsid w:val="004760B8"/>
    <w:rsid w:val="00486D78"/>
    <w:rsid w:val="004957A3"/>
    <w:rsid w:val="004D0C8B"/>
    <w:rsid w:val="004D3695"/>
    <w:rsid w:val="004F26A2"/>
    <w:rsid w:val="005024B0"/>
    <w:rsid w:val="005042FB"/>
    <w:rsid w:val="00505094"/>
    <w:rsid w:val="00527445"/>
    <w:rsid w:val="00527C2E"/>
    <w:rsid w:val="00537222"/>
    <w:rsid w:val="005414DF"/>
    <w:rsid w:val="00553068"/>
    <w:rsid w:val="0057199F"/>
    <w:rsid w:val="00594BC4"/>
    <w:rsid w:val="00596492"/>
    <w:rsid w:val="005A3CBE"/>
    <w:rsid w:val="005D2446"/>
    <w:rsid w:val="005E7FE5"/>
    <w:rsid w:val="005F7BB9"/>
    <w:rsid w:val="00603280"/>
    <w:rsid w:val="00621109"/>
    <w:rsid w:val="00654668"/>
    <w:rsid w:val="00673211"/>
    <w:rsid w:val="00677C6C"/>
    <w:rsid w:val="0069385A"/>
    <w:rsid w:val="00694131"/>
    <w:rsid w:val="006A7388"/>
    <w:rsid w:val="006B513E"/>
    <w:rsid w:val="006C2961"/>
    <w:rsid w:val="006C57DB"/>
    <w:rsid w:val="006D1279"/>
    <w:rsid w:val="006D4BF4"/>
    <w:rsid w:val="006D4DE5"/>
    <w:rsid w:val="006E6632"/>
    <w:rsid w:val="007015FF"/>
    <w:rsid w:val="00722978"/>
    <w:rsid w:val="007362F8"/>
    <w:rsid w:val="00750E4C"/>
    <w:rsid w:val="0075696C"/>
    <w:rsid w:val="007842C9"/>
    <w:rsid w:val="007962E1"/>
    <w:rsid w:val="007C6F57"/>
    <w:rsid w:val="007F3745"/>
    <w:rsid w:val="008005FF"/>
    <w:rsid w:val="008176F8"/>
    <w:rsid w:val="00830F9C"/>
    <w:rsid w:val="008352D4"/>
    <w:rsid w:val="008374CE"/>
    <w:rsid w:val="008544AC"/>
    <w:rsid w:val="00861B5E"/>
    <w:rsid w:val="0086589B"/>
    <w:rsid w:val="0088095E"/>
    <w:rsid w:val="008902F2"/>
    <w:rsid w:val="008B4D1D"/>
    <w:rsid w:val="008C43A9"/>
    <w:rsid w:val="008C59E0"/>
    <w:rsid w:val="008D3447"/>
    <w:rsid w:val="008E1242"/>
    <w:rsid w:val="008E2F99"/>
    <w:rsid w:val="008F224C"/>
    <w:rsid w:val="008F4598"/>
    <w:rsid w:val="00910E1F"/>
    <w:rsid w:val="009622CB"/>
    <w:rsid w:val="00965F72"/>
    <w:rsid w:val="00982381"/>
    <w:rsid w:val="009842BD"/>
    <w:rsid w:val="00986F98"/>
    <w:rsid w:val="00993C29"/>
    <w:rsid w:val="009B0E2A"/>
    <w:rsid w:val="009C0389"/>
    <w:rsid w:val="009C2D72"/>
    <w:rsid w:val="009C4AE6"/>
    <w:rsid w:val="009F729A"/>
    <w:rsid w:val="00A01F3C"/>
    <w:rsid w:val="00A027F8"/>
    <w:rsid w:val="00A030AE"/>
    <w:rsid w:val="00A13FD3"/>
    <w:rsid w:val="00A228F9"/>
    <w:rsid w:val="00A24998"/>
    <w:rsid w:val="00A40087"/>
    <w:rsid w:val="00A427FC"/>
    <w:rsid w:val="00A42CA2"/>
    <w:rsid w:val="00A459E8"/>
    <w:rsid w:val="00A50ECE"/>
    <w:rsid w:val="00A93E6A"/>
    <w:rsid w:val="00A97603"/>
    <w:rsid w:val="00AB225C"/>
    <w:rsid w:val="00AC47B1"/>
    <w:rsid w:val="00AD232E"/>
    <w:rsid w:val="00AD488E"/>
    <w:rsid w:val="00AE7B82"/>
    <w:rsid w:val="00AF195C"/>
    <w:rsid w:val="00AF24B9"/>
    <w:rsid w:val="00B04DB4"/>
    <w:rsid w:val="00B2271A"/>
    <w:rsid w:val="00B3307C"/>
    <w:rsid w:val="00B552A5"/>
    <w:rsid w:val="00BA12EB"/>
    <w:rsid w:val="00BB30CB"/>
    <w:rsid w:val="00BC3987"/>
    <w:rsid w:val="00BE5014"/>
    <w:rsid w:val="00C240EA"/>
    <w:rsid w:val="00C570DE"/>
    <w:rsid w:val="00C73C2C"/>
    <w:rsid w:val="00C8083F"/>
    <w:rsid w:val="00CB6067"/>
    <w:rsid w:val="00CC33D9"/>
    <w:rsid w:val="00CD0C51"/>
    <w:rsid w:val="00CF4633"/>
    <w:rsid w:val="00D02257"/>
    <w:rsid w:val="00D05DA9"/>
    <w:rsid w:val="00D10F01"/>
    <w:rsid w:val="00D14F3F"/>
    <w:rsid w:val="00D30CEF"/>
    <w:rsid w:val="00D3774E"/>
    <w:rsid w:val="00D4063F"/>
    <w:rsid w:val="00D408ED"/>
    <w:rsid w:val="00D4246C"/>
    <w:rsid w:val="00D52A01"/>
    <w:rsid w:val="00D61F74"/>
    <w:rsid w:val="00D73721"/>
    <w:rsid w:val="00D74156"/>
    <w:rsid w:val="00DA510C"/>
    <w:rsid w:val="00DA680D"/>
    <w:rsid w:val="00DA7E04"/>
    <w:rsid w:val="00DB6E4D"/>
    <w:rsid w:val="00DD6BC7"/>
    <w:rsid w:val="00DD7D91"/>
    <w:rsid w:val="00DF5D4C"/>
    <w:rsid w:val="00E030A3"/>
    <w:rsid w:val="00E1078E"/>
    <w:rsid w:val="00E14C38"/>
    <w:rsid w:val="00E22719"/>
    <w:rsid w:val="00E26DC2"/>
    <w:rsid w:val="00E34FFF"/>
    <w:rsid w:val="00E43F63"/>
    <w:rsid w:val="00E62B72"/>
    <w:rsid w:val="00E63E11"/>
    <w:rsid w:val="00E77B94"/>
    <w:rsid w:val="00EA5505"/>
    <w:rsid w:val="00EB55F1"/>
    <w:rsid w:val="00EE1B20"/>
    <w:rsid w:val="00EF541A"/>
    <w:rsid w:val="00EF62E7"/>
    <w:rsid w:val="00F03288"/>
    <w:rsid w:val="00F04BC0"/>
    <w:rsid w:val="00F112EF"/>
    <w:rsid w:val="00F120C7"/>
    <w:rsid w:val="00F14CE7"/>
    <w:rsid w:val="00F51762"/>
    <w:rsid w:val="00F72FD3"/>
    <w:rsid w:val="00F94C36"/>
    <w:rsid w:val="00FB4FB2"/>
    <w:rsid w:val="00FB65FD"/>
    <w:rsid w:val="00FD5E69"/>
    <w:rsid w:val="00FE6368"/>
    <w:rsid w:val="00FE77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15:docId w15:val="{0FA62D0B-EFA4-4E50-A852-53FBCF02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
    <w:name w:val="Unresolved Mention"/>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file:///D:\Users\Kimberly.Cook\AppData\Local\Microsoft\Windows\INetCache\Content.Outlook\9F53LOWX\jim.bird@fcc.gov" TargetMode="External" /><Relationship Id="rId11" Type="http://schemas.openxmlformats.org/officeDocument/2006/relationships/footer" Target="footer3.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file:///D:\Users\daniel.kahn\AppData\Local\Microsoft\Windows\Temporary%20Internet%20Files\Content.Outlook\KZHSI1N8\jodie.may@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