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EDD81A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C2DE00" w14:textId="77777777">
      <w:pPr>
        <w:pStyle w:val="StyleBoldCentered"/>
      </w:pPr>
      <w:r>
        <w:t>F</w:t>
      </w:r>
      <w:r>
        <w:rPr>
          <w:caps w:val="0"/>
        </w:rPr>
        <w:t>ederal Communications Commission</w:t>
      </w:r>
    </w:p>
    <w:p w:rsidR="004C2EE3" w:rsidP="00096D8C" w14:paraId="58CB57AD" w14:textId="77777777">
      <w:pPr>
        <w:pStyle w:val="StyleBoldCentered"/>
      </w:pPr>
      <w:r>
        <w:rPr>
          <w:caps w:val="0"/>
        </w:rPr>
        <w:t>Washington, D.C. 20554</w:t>
      </w:r>
    </w:p>
    <w:p w:rsidR="004C2EE3" w:rsidP="0070224F" w14:paraId="0BEF7219" w14:textId="77777777"/>
    <w:tbl>
      <w:tblPr>
        <w:tblW w:w="0" w:type="auto"/>
        <w:tblLayout w:type="fixed"/>
        <w:tblLook w:val="0000"/>
      </w:tblPr>
      <w:tblGrid>
        <w:gridCol w:w="4698"/>
        <w:gridCol w:w="630"/>
        <w:gridCol w:w="4248"/>
      </w:tblGrid>
      <w:tr w14:paraId="0BCCED60" w14:textId="77777777">
        <w:tblPrEx>
          <w:tblW w:w="0" w:type="auto"/>
          <w:tblLayout w:type="fixed"/>
          <w:tblLook w:val="0000"/>
        </w:tblPrEx>
        <w:tc>
          <w:tcPr>
            <w:tcW w:w="4698" w:type="dxa"/>
          </w:tcPr>
          <w:p w:rsidR="004949B5" w:rsidP="004949B5" w14:paraId="7BF8F249" w14:textId="77777777">
            <w:pPr>
              <w:tabs>
                <w:tab w:val="center" w:pos="4680"/>
              </w:tabs>
              <w:suppressAutoHyphens/>
              <w:rPr>
                <w:spacing w:val="-2"/>
              </w:rPr>
            </w:pPr>
            <w:r>
              <w:rPr>
                <w:spacing w:val="-2"/>
              </w:rPr>
              <w:t>In the Matter of</w:t>
            </w:r>
          </w:p>
          <w:p w:rsidR="004949B5" w:rsidP="004949B5" w14:paraId="1873C61F" w14:textId="77777777">
            <w:pPr>
              <w:tabs>
                <w:tab w:val="center" w:pos="4680"/>
              </w:tabs>
              <w:suppressAutoHyphens/>
              <w:rPr>
                <w:spacing w:val="-2"/>
              </w:rPr>
            </w:pPr>
          </w:p>
          <w:p w:rsidR="002E77EB" w:rsidRPr="000F6B31" w:rsidP="002E77EB" w14:paraId="31E5755C" w14:textId="77777777">
            <w:pPr>
              <w:tabs>
                <w:tab w:val="center" w:pos="4680"/>
              </w:tabs>
              <w:suppressAutoHyphens/>
              <w:rPr>
                <w:spacing w:val="-2"/>
                <w:szCs w:val="22"/>
              </w:rPr>
            </w:pPr>
            <w:r w:rsidRPr="000F6B31">
              <w:rPr>
                <w:spacing w:val="-2"/>
                <w:szCs w:val="22"/>
              </w:rPr>
              <w:t>Unlicensed Use of the 6 GHz Band</w:t>
            </w:r>
          </w:p>
          <w:p w:rsidR="002E77EB" w:rsidRPr="000F6B31" w:rsidP="002E77EB" w14:paraId="4AD41413" w14:textId="77777777">
            <w:pPr>
              <w:tabs>
                <w:tab w:val="center" w:pos="4680"/>
              </w:tabs>
              <w:suppressAutoHyphens/>
              <w:rPr>
                <w:spacing w:val="-2"/>
                <w:szCs w:val="22"/>
              </w:rPr>
            </w:pPr>
          </w:p>
          <w:p w:rsidR="002E77EB" w:rsidRPr="000F6B31" w:rsidP="002E77EB" w14:paraId="45130BF2" w14:textId="77777777">
            <w:pPr>
              <w:tabs>
                <w:tab w:val="center" w:pos="4680"/>
              </w:tabs>
              <w:suppressAutoHyphens/>
              <w:rPr>
                <w:spacing w:val="-2"/>
                <w:szCs w:val="22"/>
              </w:rPr>
            </w:pPr>
            <w:r w:rsidRPr="000F6B31">
              <w:rPr>
                <w:spacing w:val="-2"/>
                <w:szCs w:val="22"/>
              </w:rPr>
              <w:t xml:space="preserve">Expanding Flexible Use in Mid-Band Spectrum Between 3.7 and 24 GHz </w:t>
            </w:r>
          </w:p>
          <w:p w:rsidR="004C2EE3" w:rsidRPr="007115F7" w:rsidP="00F752D9" w14:paraId="5637035C" w14:textId="6C4726B1">
            <w:pPr>
              <w:tabs>
                <w:tab w:val="center" w:pos="4680"/>
              </w:tabs>
              <w:suppressAutoHyphens/>
              <w:rPr>
                <w:spacing w:val="-2"/>
              </w:rPr>
            </w:pPr>
            <w:r>
              <w:rPr>
                <w:spacing w:val="-2"/>
              </w:rPr>
              <w:t xml:space="preserve"> </w:t>
            </w:r>
          </w:p>
        </w:tc>
        <w:tc>
          <w:tcPr>
            <w:tcW w:w="630" w:type="dxa"/>
          </w:tcPr>
          <w:p w:rsidR="004C2EE3" w14:paraId="1788BB3D" w14:textId="77777777">
            <w:pPr>
              <w:tabs>
                <w:tab w:val="center" w:pos="4680"/>
              </w:tabs>
              <w:suppressAutoHyphens/>
              <w:rPr>
                <w:b/>
                <w:spacing w:val="-2"/>
              </w:rPr>
            </w:pPr>
            <w:r>
              <w:rPr>
                <w:b/>
                <w:spacing w:val="-2"/>
              </w:rPr>
              <w:t>)</w:t>
            </w:r>
          </w:p>
          <w:p w:rsidR="004C2EE3" w14:paraId="7383CC54" w14:textId="77777777">
            <w:pPr>
              <w:tabs>
                <w:tab w:val="center" w:pos="4680"/>
              </w:tabs>
              <w:suppressAutoHyphens/>
              <w:rPr>
                <w:b/>
                <w:spacing w:val="-2"/>
              </w:rPr>
            </w:pPr>
            <w:r>
              <w:rPr>
                <w:b/>
                <w:spacing w:val="-2"/>
              </w:rPr>
              <w:t>)</w:t>
            </w:r>
          </w:p>
          <w:p w:rsidR="004C2EE3" w14:paraId="2242A30F" w14:textId="77777777">
            <w:pPr>
              <w:tabs>
                <w:tab w:val="center" w:pos="4680"/>
              </w:tabs>
              <w:suppressAutoHyphens/>
              <w:rPr>
                <w:b/>
                <w:spacing w:val="-2"/>
              </w:rPr>
            </w:pPr>
            <w:r>
              <w:rPr>
                <w:b/>
                <w:spacing w:val="-2"/>
              </w:rPr>
              <w:t>)</w:t>
            </w:r>
          </w:p>
          <w:p w:rsidR="004C2EE3" w14:paraId="717649B1" w14:textId="77777777">
            <w:pPr>
              <w:tabs>
                <w:tab w:val="center" w:pos="4680"/>
              </w:tabs>
              <w:suppressAutoHyphens/>
              <w:rPr>
                <w:b/>
                <w:spacing w:val="-2"/>
              </w:rPr>
            </w:pPr>
            <w:r>
              <w:rPr>
                <w:b/>
                <w:spacing w:val="-2"/>
              </w:rPr>
              <w:t>)</w:t>
            </w:r>
          </w:p>
          <w:p w:rsidR="00F752D9" w:rsidP="00F752D9" w14:paraId="394DE194" w14:textId="77777777">
            <w:pPr>
              <w:tabs>
                <w:tab w:val="center" w:pos="4680"/>
              </w:tabs>
              <w:suppressAutoHyphens/>
              <w:rPr>
                <w:b/>
                <w:spacing w:val="-2"/>
              </w:rPr>
            </w:pPr>
            <w:r>
              <w:rPr>
                <w:b/>
                <w:spacing w:val="-2"/>
              </w:rPr>
              <w:t>)</w:t>
            </w:r>
          </w:p>
          <w:p w:rsidR="002E77EB" w:rsidRPr="00F752D9" w:rsidP="00F752D9" w14:paraId="65EB09E2" w14:textId="7BD3AC40">
            <w:pPr>
              <w:tabs>
                <w:tab w:val="center" w:pos="4680"/>
              </w:tabs>
              <w:suppressAutoHyphens/>
              <w:rPr>
                <w:b/>
                <w:spacing w:val="-2"/>
              </w:rPr>
            </w:pPr>
            <w:r>
              <w:rPr>
                <w:b/>
                <w:spacing w:val="-2"/>
              </w:rPr>
              <w:t>)</w:t>
            </w:r>
          </w:p>
        </w:tc>
        <w:tc>
          <w:tcPr>
            <w:tcW w:w="4248" w:type="dxa"/>
          </w:tcPr>
          <w:p w:rsidR="004C2EE3" w14:paraId="04E72136" w14:textId="77777777">
            <w:pPr>
              <w:tabs>
                <w:tab w:val="center" w:pos="4680"/>
              </w:tabs>
              <w:suppressAutoHyphens/>
              <w:rPr>
                <w:spacing w:val="-2"/>
              </w:rPr>
            </w:pPr>
          </w:p>
          <w:p w:rsidR="004C2EE3" w14:paraId="31F1BCA1" w14:textId="77777777">
            <w:pPr>
              <w:pStyle w:val="TOAHeading"/>
              <w:tabs>
                <w:tab w:val="center" w:pos="4680"/>
                <w:tab w:val="clear" w:pos="9360"/>
              </w:tabs>
              <w:rPr>
                <w:spacing w:val="-2"/>
              </w:rPr>
            </w:pPr>
          </w:p>
          <w:p w:rsidR="002E77EB" w:rsidRPr="000F6B31" w:rsidP="002E77EB" w14:paraId="3D66B30B" w14:textId="77777777">
            <w:pPr>
              <w:tabs>
                <w:tab w:val="center" w:pos="4680"/>
              </w:tabs>
              <w:suppressAutoHyphens/>
              <w:rPr>
                <w:spacing w:val="-2"/>
                <w:szCs w:val="22"/>
              </w:rPr>
            </w:pPr>
            <w:r w:rsidRPr="000F6B31">
              <w:rPr>
                <w:spacing w:val="-2"/>
                <w:szCs w:val="22"/>
              </w:rPr>
              <w:t>ET Docket No. 18-295</w:t>
            </w:r>
          </w:p>
          <w:p w:rsidR="002E77EB" w:rsidRPr="000F6B31" w:rsidP="002E77EB" w14:paraId="27EF803E" w14:textId="77777777">
            <w:pPr>
              <w:tabs>
                <w:tab w:val="center" w:pos="4680"/>
              </w:tabs>
              <w:suppressAutoHyphens/>
              <w:rPr>
                <w:spacing w:val="-2"/>
                <w:szCs w:val="22"/>
              </w:rPr>
            </w:pPr>
          </w:p>
          <w:p w:rsidR="00F752D9" w:rsidRPr="00F752D9" w:rsidP="002E77EB" w14:paraId="170DE9BE" w14:textId="2A179CCC">
            <w:r w:rsidRPr="000F6B31">
              <w:rPr>
                <w:spacing w:val="-2"/>
                <w:szCs w:val="22"/>
              </w:rPr>
              <w:t>GN Docket No. 17-183</w:t>
            </w:r>
          </w:p>
        </w:tc>
      </w:tr>
    </w:tbl>
    <w:p w:rsidR="004C2EE3" w:rsidP="0070224F" w14:paraId="4FBB3D10" w14:textId="77777777"/>
    <w:p w:rsidR="00841AB1" w:rsidP="00F021FA" w14:paraId="5D2269B3" w14:textId="77777777">
      <w:pPr>
        <w:pStyle w:val="StyleBoldCentered"/>
      </w:pPr>
      <w:r>
        <w:t>MEMORANDUM OPINION AND ORDER</w:t>
      </w:r>
    </w:p>
    <w:p w:rsidR="004C2EE3" w14:paraId="0C3DDE88" w14:textId="77777777">
      <w:pPr>
        <w:tabs>
          <w:tab w:val="left" w:pos="-720"/>
        </w:tabs>
        <w:suppressAutoHyphens/>
        <w:spacing w:line="227" w:lineRule="auto"/>
        <w:rPr>
          <w:spacing w:val="-2"/>
        </w:rPr>
      </w:pPr>
    </w:p>
    <w:p w:rsidR="004C2EE3" w:rsidP="00133F79" w14:paraId="3C8ECD77" w14:textId="65ADA0C6">
      <w:pPr>
        <w:tabs>
          <w:tab w:val="left" w:pos="720"/>
          <w:tab w:val="right" w:pos="9360"/>
        </w:tabs>
        <w:suppressAutoHyphens/>
        <w:spacing w:line="227" w:lineRule="auto"/>
        <w:rPr>
          <w:spacing w:val="-2"/>
        </w:rPr>
      </w:pPr>
      <w:r>
        <w:rPr>
          <w:b/>
          <w:spacing w:val="-2"/>
        </w:rPr>
        <w:t xml:space="preserve">Adopted:  </w:t>
      </w:r>
      <w:r w:rsidR="00F752D9">
        <w:rPr>
          <w:b/>
          <w:spacing w:val="-2"/>
        </w:rPr>
        <w:t xml:space="preserve">July </w:t>
      </w:r>
      <w:r w:rsidR="002E77EB">
        <w:rPr>
          <w:b/>
          <w:spacing w:val="-2"/>
        </w:rPr>
        <w:t>1</w:t>
      </w:r>
      <w:r w:rsidR="00945106">
        <w:rPr>
          <w:b/>
          <w:spacing w:val="-2"/>
        </w:rPr>
        <w:t>3</w:t>
      </w:r>
      <w:r w:rsidR="00F752D9">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1895">
        <w:rPr>
          <w:b/>
          <w:spacing w:val="-2"/>
        </w:rPr>
        <w:t xml:space="preserve">July </w:t>
      </w:r>
      <w:r w:rsidR="002E77EB">
        <w:rPr>
          <w:b/>
          <w:spacing w:val="-2"/>
        </w:rPr>
        <w:t>1</w:t>
      </w:r>
      <w:r w:rsidR="00945106">
        <w:rPr>
          <w:b/>
          <w:spacing w:val="-2"/>
        </w:rPr>
        <w:t>3</w:t>
      </w:r>
      <w:r w:rsidR="00591895">
        <w:rPr>
          <w:b/>
          <w:spacing w:val="-2"/>
        </w:rPr>
        <w:t>, 2020</w:t>
      </w:r>
    </w:p>
    <w:p w:rsidR="00822CE0" w14:paraId="4D6D21B3" w14:textId="77777777"/>
    <w:p w:rsidR="004C2EE3" w14:paraId="6EB2B733" w14:textId="759221D3">
      <w:pPr>
        <w:rPr>
          <w:spacing w:val="-2"/>
        </w:rPr>
      </w:pPr>
      <w:r>
        <w:t xml:space="preserve">By </w:t>
      </w:r>
      <w:r w:rsidR="004E4A22">
        <w:t>the</w:t>
      </w:r>
      <w:r w:rsidR="002A2D2E">
        <w:t xml:space="preserve"> </w:t>
      </w:r>
      <w:r w:rsidR="00E55376">
        <w:rPr>
          <w:spacing w:val="-2"/>
        </w:rPr>
        <w:t xml:space="preserve">Acting Chief, </w:t>
      </w:r>
      <w:r w:rsidR="00591895">
        <w:rPr>
          <w:spacing w:val="-2"/>
        </w:rPr>
        <w:t>Office of Engineering and Technology</w:t>
      </w:r>
      <w:r>
        <w:rPr>
          <w:spacing w:val="-2"/>
        </w:rPr>
        <w:t>:</w:t>
      </w:r>
    </w:p>
    <w:p w:rsidR="00412FC5" w:rsidP="00412FC5" w14:paraId="592B244D" w14:textId="77777777"/>
    <w:p w:rsidR="00E55376" w:rsidP="004949B5" w14:paraId="671C72B7" w14:textId="314D5F4C">
      <w:pPr>
        <w:pStyle w:val="ParaNum"/>
        <w:rPr>
          <w:rFonts w:eastAsia="Calibri"/>
          <w:snapToGrid/>
        </w:rPr>
      </w:pPr>
      <w:r w:rsidRPr="00E55376">
        <w:rPr>
          <w:rFonts w:eastAsia="Calibri"/>
          <w:snapToGrid/>
        </w:rPr>
        <w:t xml:space="preserve"> </w:t>
      </w:r>
      <w:r w:rsidR="00461CF0">
        <w:rPr>
          <w:rFonts w:eastAsia="Calibri"/>
          <w:snapToGrid/>
        </w:rPr>
        <w:t>O</w:t>
      </w:r>
      <w:r w:rsidRPr="00E55376">
        <w:rPr>
          <w:rFonts w:eastAsia="Calibri"/>
          <w:snapToGrid/>
        </w:rPr>
        <w:t xml:space="preserve">n </w:t>
      </w:r>
      <w:r w:rsidR="007D309B">
        <w:rPr>
          <w:rFonts w:eastAsia="Calibri"/>
          <w:snapToGrid/>
        </w:rPr>
        <w:t>June 29, 2020</w:t>
      </w:r>
      <w:r w:rsidR="00461CF0">
        <w:rPr>
          <w:rFonts w:eastAsia="Calibri"/>
          <w:snapToGrid/>
        </w:rPr>
        <w:t>,</w:t>
      </w:r>
      <w:r w:rsidRPr="00E55376">
        <w:rPr>
          <w:rFonts w:eastAsia="Calibri"/>
          <w:snapToGrid/>
        </w:rPr>
        <w:t xml:space="preserve"> </w:t>
      </w:r>
      <w:r w:rsidR="007D309B">
        <w:rPr>
          <w:rFonts w:eastAsia="Calibri"/>
          <w:snapToGrid/>
        </w:rPr>
        <w:t>Encina</w:t>
      </w:r>
      <w:r w:rsidR="007D309B">
        <w:rPr>
          <w:rFonts w:eastAsia="Calibri"/>
          <w:snapToGrid/>
        </w:rPr>
        <w:t xml:space="preserve"> Communications Corporation</w:t>
      </w:r>
      <w:r w:rsidR="00461CF0">
        <w:rPr>
          <w:rFonts w:eastAsia="Calibri"/>
          <w:snapToGrid/>
        </w:rPr>
        <w:t xml:space="preserve"> filed a </w:t>
      </w:r>
      <w:r w:rsidRPr="00E55376" w:rsidR="00461CF0">
        <w:rPr>
          <w:rFonts w:eastAsia="Calibri"/>
          <w:snapToGrid/>
        </w:rPr>
        <w:t>Petition for Reconsideration</w:t>
      </w:r>
      <w:r w:rsidR="00461CF0">
        <w:rPr>
          <w:rFonts w:eastAsia="Calibri"/>
          <w:snapToGrid/>
        </w:rPr>
        <w:t xml:space="preserve"> (Petition) in the above-captioned </w:t>
      </w:r>
      <w:r w:rsidR="001C7E36">
        <w:rPr>
          <w:rFonts w:eastAsia="Calibri"/>
          <w:snapToGrid/>
        </w:rPr>
        <w:t>proceeding</w:t>
      </w:r>
      <w:r w:rsidR="00137C40">
        <w:rPr>
          <w:rFonts w:eastAsia="Calibri"/>
          <w:snapToGrid/>
        </w:rPr>
        <w:t>.</w:t>
      </w:r>
      <w:r>
        <w:rPr>
          <w:rStyle w:val="FootnoteReference"/>
          <w:rFonts w:eastAsia="Calibri"/>
          <w:snapToGrid/>
        </w:rPr>
        <w:footnoteReference w:id="3"/>
      </w:r>
      <w:r w:rsidR="00A10BFD">
        <w:rPr>
          <w:rFonts w:eastAsia="Calibri"/>
          <w:snapToGrid/>
        </w:rPr>
        <w:t xml:space="preserve">  The Petition seeks</w:t>
      </w:r>
      <w:r w:rsidR="00423BB5">
        <w:rPr>
          <w:rFonts w:eastAsia="Calibri"/>
          <w:snapToGrid/>
        </w:rPr>
        <w:t xml:space="preserve"> </w:t>
      </w:r>
      <w:r w:rsidR="00A10BFD">
        <w:rPr>
          <w:rFonts w:eastAsia="Calibri"/>
          <w:snapToGrid/>
        </w:rPr>
        <w:t>reconsideration</w:t>
      </w:r>
      <w:r w:rsidR="00423BB5">
        <w:rPr>
          <w:rFonts w:eastAsia="Calibri"/>
          <w:snapToGrid/>
        </w:rPr>
        <w:t xml:space="preserve"> of </w:t>
      </w:r>
      <w:r w:rsidR="007A338C">
        <w:rPr>
          <w:rFonts w:eastAsia="Calibri"/>
          <w:snapToGrid/>
        </w:rPr>
        <w:t>an</w:t>
      </w:r>
      <w:r w:rsidR="00423BB5">
        <w:rPr>
          <w:rFonts w:eastAsia="Calibri"/>
          <w:snapToGrid/>
        </w:rPr>
        <w:t xml:space="preserve"> </w:t>
      </w:r>
      <w:r w:rsidR="007D309B">
        <w:rPr>
          <w:rFonts w:eastAsia="Calibri"/>
          <w:snapToGrid/>
        </w:rPr>
        <w:t>April 23, 2020</w:t>
      </w:r>
      <w:r w:rsidRPr="00E55376">
        <w:rPr>
          <w:rFonts w:eastAsia="Calibri"/>
          <w:snapToGrid/>
        </w:rPr>
        <w:t xml:space="preserve"> </w:t>
      </w:r>
      <w:r w:rsidR="002E77EB">
        <w:rPr>
          <w:rFonts w:eastAsia="Calibri"/>
          <w:snapToGrid/>
        </w:rPr>
        <w:t>Report and Order</w:t>
      </w:r>
      <w:r w:rsidRPr="00E55376">
        <w:rPr>
          <w:rFonts w:eastAsia="Calibri"/>
          <w:snapToGrid/>
        </w:rPr>
        <w:t xml:space="preserve"> </w:t>
      </w:r>
      <w:r w:rsidR="00772211">
        <w:rPr>
          <w:rFonts w:eastAsia="Calibri"/>
          <w:snapToGrid/>
        </w:rPr>
        <w:t>which adopt</w:t>
      </w:r>
      <w:r w:rsidR="00491EED">
        <w:rPr>
          <w:rFonts w:eastAsia="Calibri"/>
          <w:snapToGrid/>
        </w:rPr>
        <w:t>ed</w:t>
      </w:r>
      <w:r w:rsidR="00772211">
        <w:rPr>
          <w:rFonts w:eastAsia="Calibri"/>
          <w:snapToGrid/>
        </w:rPr>
        <w:t xml:space="preserve"> </w:t>
      </w:r>
      <w:r w:rsidR="007D309B">
        <w:rPr>
          <w:rFonts w:eastAsia="Calibri"/>
          <w:snapToGrid/>
        </w:rPr>
        <w:t xml:space="preserve">rules </w:t>
      </w:r>
      <w:r w:rsidR="00772211">
        <w:rPr>
          <w:rFonts w:eastAsia="Calibri"/>
          <w:snapToGrid/>
        </w:rPr>
        <w:t>a</w:t>
      </w:r>
      <w:r w:rsidR="002E77EB">
        <w:rPr>
          <w:rFonts w:eastAsia="Calibri"/>
          <w:snapToGrid/>
        </w:rPr>
        <w:t>uthorizing</w:t>
      </w:r>
      <w:r w:rsidR="007D309B">
        <w:rPr>
          <w:rFonts w:eastAsia="Calibri"/>
          <w:snapToGrid/>
        </w:rPr>
        <w:t xml:space="preserve"> </w:t>
      </w:r>
      <w:r w:rsidR="002E77EB">
        <w:rPr>
          <w:rFonts w:eastAsia="Calibri"/>
          <w:snapToGrid/>
        </w:rPr>
        <w:t xml:space="preserve">new </w:t>
      </w:r>
      <w:r w:rsidR="007D309B">
        <w:rPr>
          <w:rFonts w:eastAsia="Calibri"/>
          <w:snapToGrid/>
        </w:rPr>
        <w:t xml:space="preserve">types </w:t>
      </w:r>
      <w:r w:rsidR="00421042">
        <w:rPr>
          <w:rFonts w:eastAsia="Calibri"/>
          <w:snapToGrid/>
        </w:rPr>
        <w:t>of unlicensed</w:t>
      </w:r>
      <w:r w:rsidR="007D309B">
        <w:rPr>
          <w:rFonts w:eastAsia="Calibri"/>
          <w:snapToGrid/>
        </w:rPr>
        <w:t xml:space="preserve"> operations</w:t>
      </w:r>
      <w:r w:rsidR="002E77EB">
        <w:rPr>
          <w:rFonts w:eastAsia="Calibri"/>
          <w:snapToGrid/>
        </w:rPr>
        <w:t xml:space="preserve"> in the 5.925-7.125 GHz band</w:t>
      </w:r>
      <w:r w:rsidR="007D309B">
        <w:rPr>
          <w:rFonts w:eastAsia="Calibri"/>
          <w:snapToGrid/>
        </w:rPr>
        <w:t xml:space="preserve"> </w:t>
      </w:r>
      <w:r w:rsidR="002E77EB">
        <w:rPr>
          <w:rFonts w:eastAsia="Calibri"/>
          <w:snapToGrid/>
        </w:rPr>
        <w:t>under Part 15 of our rules</w:t>
      </w:r>
      <w:r w:rsidR="007D309B">
        <w:rPr>
          <w:rFonts w:eastAsia="Calibri"/>
          <w:snapToGrid/>
        </w:rPr>
        <w:t>.</w:t>
      </w:r>
      <w:r>
        <w:rPr>
          <w:rStyle w:val="FootnoteReference"/>
          <w:rFonts w:eastAsia="Calibri"/>
          <w:snapToGrid/>
        </w:rPr>
        <w:footnoteReference w:id="4"/>
      </w:r>
    </w:p>
    <w:p w:rsidR="004949B5" w:rsidRPr="00E55376" w:rsidP="00BC751F" w14:paraId="4969C107" w14:textId="497FC507">
      <w:pPr>
        <w:pStyle w:val="ParaNum"/>
        <w:rPr>
          <w:rFonts w:eastAsia="Calibri"/>
          <w:snapToGrid/>
        </w:rPr>
      </w:pPr>
      <w:r w:rsidRPr="00E55376">
        <w:rPr>
          <w:rFonts w:eastAsia="Calibri"/>
          <w:snapToGrid/>
        </w:rPr>
        <w:t xml:space="preserve">Section 1.106(p) of the </w:t>
      </w:r>
      <w:r w:rsidR="00141014">
        <w:rPr>
          <w:rFonts w:eastAsia="Calibri"/>
          <w:snapToGrid/>
        </w:rPr>
        <w:t>Commission</w:t>
      </w:r>
      <w:r w:rsidRPr="00E55376">
        <w:rPr>
          <w:rFonts w:eastAsia="Calibri"/>
          <w:snapToGrid/>
        </w:rPr>
        <w:t xml:space="preserve">’s </w:t>
      </w:r>
      <w:r w:rsidR="00141014">
        <w:rPr>
          <w:rFonts w:eastAsia="Calibri"/>
          <w:snapToGrid/>
        </w:rPr>
        <w:t>r</w:t>
      </w:r>
      <w:r w:rsidRPr="00E55376">
        <w:rPr>
          <w:rFonts w:eastAsia="Calibri"/>
          <w:snapToGrid/>
        </w:rPr>
        <w:t xml:space="preserve">ules </w:t>
      </w:r>
      <w:r w:rsidR="00BC751F">
        <w:rPr>
          <w:rFonts w:eastAsia="Calibri"/>
          <w:snapToGrid/>
        </w:rPr>
        <w:t xml:space="preserve">provides that </w:t>
      </w:r>
      <w:r w:rsidRPr="00E55376">
        <w:rPr>
          <w:rFonts w:eastAsia="Calibri"/>
          <w:snapToGrid/>
        </w:rPr>
        <w:t>“</w:t>
      </w:r>
      <w:r w:rsidR="00137C40">
        <w:rPr>
          <w:rFonts w:eastAsia="Calibri"/>
          <w:snapToGrid/>
        </w:rPr>
        <w:t>[p]</w:t>
      </w:r>
      <w:r w:rsidRPr="00BC751F" w:rsidR="00BC751F">
        <w:rPr>
          <w:rFonts w:eastAsia="Calibri"/>
          <w:snapToGrid/>
        </w:rPr>
        <w:t>etitions for reconsideration of a Commission action that plainly do not warrant consideration by the Commission may be dismissed or denied by the relevant bureau(s) or office(s).</w:t>
      </w:r>
      <w:r w:rsidR="00BC751F">
        <w:rPr>
          <w:rFonts w:eastAsia="Calibri"/>
          <w:snapToGrid/>
        </w:rPr>
        <w:t>”</w:t>
      </w:r>
      <w:r>
        <w:rPr>
          <w:rStyle w:val="FootnoteReference"/>
          <w:rFonts w:eastAsia="Calibri"/>
          <w:snapToGrid/>
        </w:rPr>
        <w:footnoteReference w:id="5"/>
      </w:r>
      <w:r w:rsidR="00BC751F">
        <w:rPr>
          <w:rFonts w:eastAsia="Calibri"/>
          <w:snapToGrid/>
        </w:rPr>
        <w:t xml:space="preserve">  </w:t>
      </w:r>
      <w:r w:rsidR="00141014">
        <w:rPr>
          <w:rFonts w:eastAsia="Calibri"/>
          <w:snapToGrid/>
        </w:rPr>
        <w:t xml:space="preserve">Section 1.106(p) includes untimely filed petitions </w:t>
      </w:r>
      <w:r w:rsidR="007A338C">
        <w:rPr>
          <w:rFonts w:eastAsia="Calibri"/>
          <w:snapToGrid/>
        </w:rPr>
        <w:t xml:space="preserve">as an example of </w:t>
      </w:r>
      <w:r w:rsidR="00141014">
        <w:rPr>
          <w:rFonts w:eastAsia="Calibri"/>
          <w:snapToGrid/>
        </w:rPr>
        <w:t>petitions that do not warrant consideration by the Commission</w:t>
      </w:r>
      <w:r w:rsidR="00491EED">
        <w:rPr>
          <w:rFonts w:eastAsia="Calibri"/>
          <w:snapToGrid/>
        </w:rPr>
        <w:t xml:space="preserve"> under this provision</w:t>
      </w:r>
      <w:r w:rsidR="00141014">
        <w:rPr>
          <w:rFonts w:eastAsia="Calibri"/>
          <w:snapToGrid/>
        </w:rPr>
        <w:t>.</w:t>
      </w:r>
      <w:r>
        <w:rPr>
          <w:rStyle w:val="FootnoteReference"/>
          <w:rFonts w:eastAsia="Calibri"/>
          <w:snapToGrid/>
        </w:rPr>
        <w:footnoteReference w:id="6"/>
      </w:r>
      <w:r w:rsidR="00141014">
        <w:rPr>
          <w:rFonts w:eastAsia="Calibri"/>
          <w:snapToGrid/>
        </w:rPr>
        <w:t xml:space="preserve">  </w:t>
      </w:r>
      <w:r w:rsidR="00423BB5">
        <w:rPr>
          <w:rFonts w:eastAsia="Calibri"/>
          <w:snapToGrid/>
        </w:rPr>
        <w:t>The 30-day period for filing petitions for reconsideration is statutory</w:t>
      </w:r>
      <w:r>
        <w:rPr>
          <w:rStyle w:val="FootnoteReference"/>
          <w:rFonts w:eastAsia="Calibri"/>
          <w:snapToGrid/>
        </w:rPr>
        <w:footnoteReference w:id="7"/>
      </w:r>
      <w:r w:rsidR="00423BB5">
        <w:rPr>
          <w:rFonts w:eastAsia="Calibri"/>
          <w:snapToGrid/>
        </w:rPr>
        <w:t xml:space="preserve"> and </w:t>
      </w:r>
      <w:r w:rsidR="00A82DDA">
        <w:rPr>
          <w:rFonts w:eastAsia="Calibri"/>
          <w:snapToGrid/>
        </w:rPr>
        <w:t xml:space="preserve">generally </w:t>
      </w:r>
      <w:r w:rsidR="00423BB5">
        <w:rPr>
          <w:rFonts w:eastAsia="Calibri"/>
          <w:snapToGrid/>
        </w:rPr>
        <w:t>may not be waived.</w:t>
      </w:r>
      <w:r>
        <w:rPr>
          <w:rStyle w:val="FootnoteReference"/>
          <w:rFonts w:eastAsia="Calibri"/>
          <w:snapToGrid/>
        </w:rPr>
        <w:footnoteReference w:id="8"/>
      </w:r>
      <w:r w:rsidR="00BC751F">
        <w:rPr>
          <w:rFonts w:eastAsia="Calibri"/>
          <w:snapToGrid/>
        </w:rPr>
        <w:t xml:space="preserve">  </w:t>
      </w:r>
      <w:r w:rsidRPr="00E55376">
        <w:rPr>
          <w:rFonts w:eastAsia="Calibri"/>
          <w:snapToGrid/>
        </w:rPr>
        <w:t xml:space="preserve">The </w:t>
      </w:r>
      <w:r w:rsidR="007A338C">
        <w:rPr>
          <w:rFonts w:eastAsia="Calibri"/>
          <w:snapToGrid/>
        </w:rPr>
        <w:t xml:space="preserve">Report and Order </w:t>
      </w:r>
      <w:r w:rsidRPr="00E55376">
        <w:rPr>
          <w:rFonts w:eastAsia="Calibri"/>
          <w:snapToGrid/>
        </w:rPr>
        <w:t xml:space="preserve">was </w:t>
      </w:r>
      <w:r w:rsidR="007A338C">
        <w:rPr>
          <w:rFonts w:eastAsia="Calibri"/>
          <w:snapToGrid/>
        </w:rPr>
        <w:t xml:space="preserve">published in the Federal Register </w:t>
      </w:r>
      <w:r w:rsidRPr="00E55376">
        <w:rPr>
          <w:rFonts w:eastAsia="Calibri"/>
          <w:snapToGrid/>
        </w:rPr>
        <w:t xml:space="preserve">on </w:t>
      </w:r>
      <w:r w:rsidR="00421042">
        <w:rPr>
          <w:rFonts w:eastAsia="Calibri"/>
          <w:snapToGrid/>
        </w:rPr>
        <w:t>May 26, 2020</w:t>
      </w:r>
      <w:r w:rsidR="00BC751F">
        <w:rPr>
          <w:rFonts w:eastAsia="Calibri"/>
          <w:snapToGrid/>
        </w:rPr>
        <w:t>,</w:t>
      </w:r>
      <w:r>
        <w:rPr>
          <w:rStyle w:val="FootnoteReference"/>
          <w:rFonts w:eastAsia="Calibri"/>
          <w:snapToGrid/>
        </w:rPr>
        <w:footnoteReference w:id="9"/>
      </w:r>
      <w:r w:rsidR="00BC751F">
        <w:rPr>
          <w:rFonts w:eastAsia="Calibri"/>
          <w:snapToGrid/>
        </w:rPr>
        <w:t xml:space="preserve"> and thus public notice was given on that day</w:t>
      </w:r>
      <w:r w:rsidRPr="00E55376">
        <w:rPr>
          <w:rFonts w:eastAsia="Calibri"/>
          <w:snapToGrid/>
        </w:rPr>
        <w:t>.</w:t>
      </w:r>
      <w:r>
        <w:rPr>
          <w:rStyle w:val="FootnoteReference"/>
          <w:rFonts w:eastAsia="Calibri"/>
          <w:snapToGrid/>
        </w:rPr>
        <w:footnoteReference w:id="10"/>
      </w:r>
      <w:r w:rsidRPr="00E55376">
        <w:rPr>
          <w:rFonts w:eastAsia="Calibri"/>
          <w:snapToGrid/>
        </w:rPr>
        <w:t xml:space="preserve">  A Petition for Reconsideration of this order must have been filed </w:t>
      </w:r>
      <w:r w:rsidR="003527E4">
        <w:rPr>
          <w:rFonts w:eastAsia="Calibri"/>
          <w:snapToGrid/>
        </w:rPr>
        <w:t>with</w:t>
      </w:r>
      <w:r w:rsidR="00BC751F">
        <w:rPr>
          <w:rFonts w:eastAsia="Calibri"/>
          <w:snapToGrid/>
        </w:rPr>
        <w:t xml:space="preserve">in thirty days, </w:t>
      </w:r>
      <w:r w:rsidR="001C7E36">
        <w:rPr>
          <w:rFonts w:eastAsia="Calibri"/>
          <w:i/>
          <w:iCs/>
          <w:snapToGrid/>
        </w:rPr>
        <w:t xml:space="preserve">i.e. </w:t>
      </w:r>
      <w:r w:rsidR="003527E4">
        <w:rPr>
          <w:rFonts w:eastAsia="Calibri"/>
          <w:snapToGrid/>
        </w:rPr>
        <w:t xml:space="preserve">on or </w:t>
      </w:r>
      <w:r w:rsidRPr="00E55376">
        <w:rPr>
          <w:rFonts w:eastAsia="Calibri"/>
          <w:snapToGrid/>
        </w:rPr>
        <w:t xml:space="preserve">by </w:t>
      </w:r>
      <w:r w:rsidR="002459BF">
        <w:rPr>
          <w:rFonts w:eastAsia="Calibri"/>
          <w:snapToGrid/>
        </w:rPr>
        <w:t>June 2</w:t>
      </w:r>
      <w:r w:rsidR="007A338C">
        <w:rPr>
          <w:rFonts w:eastAsia="Calibri"/>
          <w:snapToGrid/>
        </w:rPr>
        <w:t>5</w:t>
      </w:r>
      <w:r w:rsidR="002459BF">
        <w:rPr>
          <w:rFonts w:eastAsia="Calibri"/>
          <w:snapToGrid/>
        </w:rPr>
        <w:t>, 2020</w:t>
      </w:r>
      <w:r w:rsidR="007A338C">
        <w:rPr>
          <w:rFonts w:eastAsia="Calibri"/>
          <w:snapToGrid/>
        </w:rPr>
        <w:t>, to be considered timely</w:t>
      </w:r>
      <w:r w:rsidRPr="00E55376">
        <w:rPr>
          <w:rFonts w:eastAsia="Calibri"/>
          <w:snapToGrid/>
        </w:rPr>
        <w:t xml:space="preserve">.  </w:t>
      </w:r>
      <w:r w:rsidR="00423BB5">
        <w:rPr>
          <w:rFonts w:eastAsia="Calibri"/>
          <w:snapToGrid/>
        </w:rPr>
        <w:t>However, t</w:t>
      </w:r>
      <w:r w:rsidRPr="00E55376">
        <w:rPr>
          <w:rFonts w:eastAsia="Calibri"/>
          <w:snapToGrid/>
        </w:rPr>
        <w:t>he Petition was fil</w:t>
      </w:r>
      <w:r w:rsidR="00423BB5">
        <w:rPr>
          <w:rFonts w:eastAsia="Calibri"/>
          <w:snapToGrid/>
        </w:rPr>
        <w:t xml:space="preserve">ed </w:t>
      </w:r>
      <w:r w:rsidR="00C27B06">
        <w:rPr>
          <w:rFonts w:eastAsia="Calibri"/>
          <w:snapToGrid/>
        </w:rPr>
        <w:t xml:space="preserve">on </w:t>
      </w:r>
      <w:r w:rsidR="002459BF">
        <w:rPr>
          <w:rFonts w:eastAsia="Calibri"/>
          <w:snapToGrid/>
        </w:rPr>
        <w:t>June 29, 2020</w:t>
      </w:r>
      <w:r w:rsidR="00423BB5">
        <w:rPr>
          <w:rFonts w:eastAsia="Calibri"/>
          <w:snapToGrid/>
        </w:rPr>
        <w:t xml:space="preserve">, </w:t>
      </w:r>
      <w:r w:rsidR="002459BF">
        <w:rPr>
          <w:rFonts w:eastAsia="Calibri"/>
          <w:snapToGrid/>
        </w:rPr>
        <w:t>f</w:t>
      </w:r>
      <w:r w:rsidR="003C49A9">
        <w:rPr>
          <w:rFonts w:eastAsia="Calibri"/>
          <w:snapToGrid/>
        </w:rPr>
        <w:t>our</w:t>
      </w:r>
      <w:r w:rsidR="002459BF">
        <w:rPr>
          <w:rFonts w:eastAsia="Calibri"/>
          <w:snapToGrid/>
        </w:rPr>
        <w:t xml:space="preserve"> days</w:t>
      </w:r>
      <w:r w:rsidR="00423BB5">
        <w:rPr>
          <w:rFonts w:eastAsia="Calibri"/>
          <w:snapToGrid/>
        </w:rPr>
        <w:t xml:space="preserve"> late</w:t>
      </w:r>
      <w:r w:rsidR="001C7E36">
        <w:rPr>
          <w:rFonts w:eastAsia="Calibri"/>
          <w:snapToGrid/>
        </w:rPr>
        <w:t>.  We</w:t>
      </w:r>
      <w:r w:rsidR="00423BB5">
        <w:rPr>
          <w:rFonts w:eastAsia="Calibri"/>
          <w:snapToGrid/>
        </w:rPr>
        <w:t xml:space="preserve"> </w:t>
      </w:r>
      <w:r w:rsidR="007A338C">
        <w:rPr>
          <w:rFonts w:eastAsia="Calibri"/>
          <w:snapToGrid/>
        </w:rPr>
        <w:t xml:space="preserve">therefore </w:t>
      </w:r>
      <w:r w:rsidR="00423BB5">
        <w:rPr>
          <w:rFonts w:eastAsia="Calibri"/>
          <w:snapToGrid/>
        </w:rPr>
        <w:t>dismis</w:t>
      </w:r>
      <w:r w:rsidR="001C7E36">
        <w:rPr>
          <w:rFonts w:eastAsia="Calibri"/>
          <w:snapToGrid/>
        </w:rPr>
        <w:t>s it</w:t>
      </w:r>
      <w:r w:rsidR="00423BB5">
        <w:rPr>
          <w:rFonts w:eastAsia="Calibri"/>
          <w:snapToGrid/>
        </w:rPr>
        <w:t>.</w:t>
      </w:r>
      <w:r>
        <w:rPr>
          <w:rStyle w:val="FootnoteReference"/>
          <w:rFonts w:eastAsia="Calibri"/>
          <w:snapToGrid/>
        </w:rPr>
        <w:footnoteReference w:id="11"/>
      </w:r>
      <w:r w:rsidRPr="00E55376">
        <w:rPr>
          <w:rFonts w:eastAsia="Calibri"/>
          <w:snapToGrid/>
        </w:rPr>
        <w:t xml:space="preserve">  </w:t>
      </w:r>
    </w:p>
    <w:p w:rsidR="004949B5" w:rsidP="004949B5" w14:paraId="791F0E9E" w14:textId="78A8C068">
      <w:pPr>
        <w:pStyle w:val="ParaNum"/>
        <w:rPr>
          <w:rFonts w:eastAsia="Calibri"/>
          <w:snapToGrid/>
        </w:rPr>
      </w:pPr>
      <w:r w:rsidRPr="000730E4">
        <w:rPr>
          <w:rFonts w:eastAsia="Calibri"/>
          <w:snapToGrid/>
        </w:rPr>
        <w:t xml:space="preserve">Accordingly, IT IS ORDERED that the </w:t>
      </w:r>
      <w:r w:rsidR="00A907F5">
        <w:rPr>
          <w:rFonts w:eastAsia="Calibri"/>
          <w:snapToGrid/>
        </w:rPr>
        <w:t>Petition for Reconsideration</w:t>
      </w:r>
      <w:r w:rsidRPr="000730E4">
        <w:rPr>
          <w:rFonts w:eastAsia="Calibri"/>
          <w:snapToGrid/>
        </w:rPr>
        <w:t xml:space="preserve"> filed on </w:t>
      </w:r>
      <w:r w:rsidR="00A907F5">
        <w:rPr>
          <w:rFonts w:eastAsia="Calibri"/>
          <w:snapToGrid/>
        </w:rPr>
        <w:t>June 29, 2020</w:t>
      </w:r>
      <w:r w:rsidR="00423BB5">
        <w:rPr>
          <w:rFonts w:eastAsia="Calibri"/>
          <w:snapToGrid/>
        </w:rPr>
        <w:t xml:space="preserve"> </w:t>
      </w:r>
      <w:r w:rsidRPr="000730E4">
        <w:rPr>
          <w:rFonts w:eastAsia="Calibri"/>
          <w:snapToGrid/>
        </w:rPr>
        <w:t xml:space="preserve">by </w:t>
      </w:r>
      <w:r w:rsidR="00A907F5">
        <w:rPr>
          <w:rFonts w:eastAsia="Calibri"/>
          <w:snapToGrid/>
        </w:rPr>
        <w:t>Encina</w:t>
      </w:r>
      <w:r w:rsidR="00A907F5">
        <w:rPr>
          <w:rFonts w:eastAsia="Calibri"/>
          <w:snapToGrid/>
        </w:rPr>
        <w:t xml:space="preserve"> Communications Corporation</w:t>
      </w:r>
      <w:r w:rsidR="00423BB5">
        <w:rPr>
          <w:rFonts w:eastAsia="Calibri"/>
          <w:snapToGrid/>
        </w:rPr>
        <w:t>,</w:t>
      </w:r>
      <w:r w:rsidRPr="000730E4">
        <w:rPr>
          <w:rFonts w:eastAsia="Calibri"/>
          <w:snapToGrid/>
        </w:rPr>
        <w:t xml:space="preserve"> IS DISMISSED, pursuant to</w:t>
      </w:r>
      <w:r w:rsidR="00E55376">
        <w:rPr>
          <w:rFonts w:eastAsia="Calibri"/>
          <w:snapToGrid/>
        </w:rPr>
        <w:t xml:space="preserve"> Section 1.106(p</w:t>
      </w:r>
      <w:r w:rsidR="00423BB5">
        <w:rPr>
          <w:rFonts w:eastAsia="Calibri"/>
          <w:snapToGrid/>
        </w:rPr>
        <w:t xml:space="preserve">) of the </w:t>
      </w:r>
      <w:r w:rsidR="009D56AC">
        <w:rPr>
          <w:rFonts w:eastAsia="Calibri"/>
          <w:snapToGrid/>
        </w:rPr>
        <w:t>Commission</w:t>
      </w:r>
      <w:r w:rsidR="00423BB5">
        <w:rPr>
          <w:rFonts w:eastAsia="Calibri"/>
          <w:snapToGrid/>
        </w:rPr>
        <w:t>’s Rules</w:t>
      </w:r>
      <w:r w:rsidRPr="000730E4">
        <w:rPr>
          <w:rFonts w:eastAsia="Calibri"/>
          <w:snapToGrid/>
        </w:rPr>
        <w:t>.</w:t>
      </w:r>
      <w:r>
        <w:rPr>
          <w:rFonts w:eastAsia="Calibri"/>
          <w:snapToGrid/>
          <w:sz w:val="20"/>
          <w:vertAlign w:val="superscript"/>
        </w:rPr>
        <w:footnoteReference w:id="12"/>
      </w:r>
    </w:p>
    <w:p w:rsidR="009D56AC" w:rsidP="0017296B" w14:paraId="40F22455" w14:textId="77777777">
      <w:r>
        <w:tab/>
      </w:r>
      <w:r>
        <w:tab/>
      </w:r>
      <w:r>
        <w:tab/>
      </w:r>
      <w:r>
        <w:tab/>
      </w:r>
      <w:r>
        <w:tab/>
      </w:r>
      <w:r>
        <w:tab/>
      </w:r>
    </w:p>
    <w:p w:rsidR="004949B5" w:rsidP="009D56AC" w14:paraId="3780C4E0" w14:textId="7CEA3B4E">
      <w:pPr>
        <w:ind w:left="3600" w:firstLine="720"/>
      </w:pPr>
      <w:r>
        <w:t>FEDERAL COMMUNICATIONS COMMISSION</w:t>
      </w:r>
    </w:p>
    <w:p w:rsidR="004949B5" w:rsidP="0017296B" w14:paraId="620D9A6B" w14:textId="77777777"/>
    <w:p w:rsidR="004949B5" w:rsidP="0017296B" w14:paraId="3EE9DAEE" w14:textId="77777777"/>
    <w:p w:rsidR="004949B5" w:rsidP="0017296B" w14:paraId="2C80B10E" w14:textId="77777777"/>
    <w:p w:rsidR="004949B5" w:rsidP="0017296B" w14:paraId="601542B2" w14:textId="77777777"/>
    <w:p w:rsidR="004949B5" w:rsidP="0017296B" w14:paraId="2AAC93FC" w14:textId="39DE38BA">
      <w:r>
        <w:tab/>
      </w:r>
      <w:r>
        <w:tab/>
      </w:r>
      <w:r>
        <w:tab/>
      </w:r>
      <w:r>
        <w:tab/>
      </w:r>
      <w:r>
        <w:tab/>
      </w:r>
      <w:r>
        <w:tab/>
      </w:r>
      <w:r w:rsidR="00F35A34">
        <w:t>Ronald T. R</w:t>
      </w:r>
      <w:r w:rsidR="00AF3785">
        <w:t>e</w:t>
      </w:r>
      <w:r w:rsidR="00F35A34">
        <w:t>pasi</w:t>
      </w:r>
    </w:p>
    <w:p w:rsidR="004949B5" w:rsidP="0017296B" w14:paraId="39B604E9" w14:textId="77777777">
      <w:r>
        <w:tab/>
      </w:r>
      <w:r>
        <w:tab/>
      </w:r>
      <w:r>
        <w:tab/>
      </w:r>
      <w:r>
        <w:tab/>
      </w:r>
      <w:r>
        <w:tab/>
      </w:r>
      <w:r>
        <w:tab/>
      </w:r>
      <w:r w:rsidR="00E55376">
        <w:t>Acting Chief</w:t>
      </w:r>
    </w:p>
    <w:p w:rsidR="00E55376" w:rsidP="0017296B" w14:paraId="16E73ABC" w14:textId="5EA8D09F">
      <w:r>
        <w:tab/>
      </w:r>
      <w:r>
        <w:tab/>
      </w:r>
      <w:r>
        <w:tab/>
      </w:r>
      <w:r>
        <w:tab/>
      </w:r>
      <w:r>
        <w:tab/>
      </w:r>
      <w:r>
        <w:tab/>
      </w:r>
      <w:r w:rsidR="00F35A34">
        <w:t>Office of Engineering and Technology</w:t>
      </w:r>
    </w:p>
    <w:p w:rsidR="004949B5" w:rsidRPr="000730E4" w:rsidP="004949B5" w14:paraId="3FC4FAD7" w14:textId="77777777">
      <w:pPr>
        <w:pStyle w:val="ParaNum"/>
        <w:numPr>
          <w:ilvl w:val="0"/>
          <w:numId w:val="0"/>
        </w:numPr>
        <w:rPr>
          <w:rFonts w:eastAsia="Calibri"/>
          <w:snapToGrid/>
        </w:rPr>
      </w:pPr>
    </w:p>
    <w:p w:rsidR="002C00E8" w:rsidRPr="002C00E8" w:rsidP="004949B5" w14:paraId="02D7DAF5" w14:textId="77777777">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F476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7D3F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747BAF" w14:textId="77777777">
    <w:pPr>
      <w:pStyle w:val="Footer"/>
      <w:framePr w:wrap="around" w:vAnchor="text" w:hAnchor="margin" w:xAlign="center" w:y="1"/>
    </w:pPr>
    <w:r>
      <w:fldChar w:fldCharType="begin"/>
    </w:r>
    <w:r>
      <w:instrText xml:space="preserve">PAGE  </w:instrText>
    </w:r>
    <w:r>
      <w:fldChar w:fldCharType="separate"/>
    </w:r>
    <w:r w:rsidR="007972C7">
      <w:rPr>
        <w:noProof/>
      </w:rPr>
      <w:t>2</w:t>
    </w:r>
    <w:r>
      <w:fldChar w:fldCharType="end"/>
    </w:r>
  </w:p>
  <w:p w:rsidR="00D25FB5" w14:paraId="17B9BF6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53067B" w14:textId="2FF9186E">
    <w:pPr>
      <w:pStyle w:val="Footer"/>
      <w:tabs>
        <w:tab w:val="clear" w:pos="8640"/>
      </w:tabs>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5DC" w14:paraId="14B5679D" w14:textId="77777777">
      <w:r>
        <w:separator/>
      </w:r>
    </w:p>
  </w:footnote>
  <w:footnote w:type="continuationSeparator" w:id="1">
    <w:p w:rsidR="005725DC" w:rsidP="00C721AC" w14:paraId="645AD659" w14:textId="77777777">
      <w:pPr>
        <w:spacing w:before="120"/>
        <w:rPr>
          <w:sz w:val="20"/>
        </w:rPr>
      </w:pPr>
      <w:r>
        <w:rPr>
          <w:sz w:val="20"/>
        </w:rPr>
        <w:t xml:space="preserve">(Continued from previous page)  </w:t>
      </w:r>
      <w:r>
        <w:rPr>
          <w:sz w:val="20"/>
        </w:rPr>
        <w:separator/>
      </w:r>
    </w:p>
  </w:footnote>
  <w:footnote w:type="continuationNotice" w:id="2">
    <w:p w:rsidR="005725DC" w:rsidP="00C721AC" w14:paraId="60EF0724" w14:textId="77777777">
      <w:pPr>
        <w:jc w:val="right"/>
        <w:rPr>
          <w:sz w:val="20"/>
        </w:rPr>
      </w:pPr>
      <w:r>
        <w:rPr>
          <w:sz w:val="20"/>
        </w:rPr>
        <w:t>(continued….)</w:t>
      </w:r>
    </w:p>
  </w:footnote>
  <w:footnote w:id="3">
    <w:p w:rsidR="002E77EB" w14:paraId="672E7C87" w14:textId="12149588">
      <w:pPr>
        <w:pStyle w:val="FootnoteText"/>
      </w:pPr>
      <w:r>
        <w:rPr>
          <w:rStyle w:val="FootnoteReference"/>
        </w:rPr>
        <w:footnoteRef/>
      </w:r>
      <w:r>
        <w:t xml:space="preserve"> </w:t>
      </w:r>
      <w:r w:rsidR="00491EED">
        <w:t xml:space="preserve">Petition for Reconsideration of </w:t>
      </w:r>
      <w:r w:rsidR="00491EED">
        <w:t>Encina</w:t>
      </w:r>
      <w:r w:rsidR="00491EED">
        <w:t xml:space="preserve"> Communications Corporation, ET Docket No. 18-295, GN Docket No. 17-183 (filed June 29, 2020).</w:t>
      </w:r>
    </w:p>
  </w:footnote>
  <w:footnote w:id="4">
    <w:p w:rsidR="002E77EB" w:rsidP="002E77EB" w14:paraId="7B6B1D18" w14:textId="548C49C4">
      <w:pPr>
        <w:pStyle w:val="FootnoteText"/>
      </w:pPr>
      <w:r>
        <w:rPr>
          <w:rStyle w:val="FootnoteReference"/>
        </w:rPr>
        <w:footnoteRef/>
      </w:r>
      <w:r>
        <w:t xml:space="preserve"> </w:t>
      </w:r>
      <w:r w:rsidRPr="00103B60">
        <w:rPr>
          <w:i/>
          <w:spacing w:val="-2"/>
        </w:rPr>
        <w:t>Unlicensed Use of the 6 GHz Band</w:t>
      </w:r>
      <w:r w:rsidRPr="00103B60">
        <w:rPr>
          <w:spacing w:val="-2"/>
        </w:rPr>
        <w:t xml:space="preserve">, </w:t>
      </w:r>
      <w:r>
        <w:rPr>
          <w:spacing w:val="-2"/>
        </w:rPr>
        <w:t>Report and Order and Further Notice of Proposed Rulemaking</w:t>
      </w:r>
      <w:r w:rsidRPr="00103B60">
        <w:rPr>
          <w:spacing w:val="-2"/>
        </w:rPr>
        <w:t>, 3</w:t>
      </w:r>
      <w:r w:rsidR="00141014">
        <w:rPr>
          <w:spacing w:val="-2"/>
        </w:rPr>
        <w:t>5</w:t>
      </w:r>
      <w:r w:rsidRPr="00103B60">
        <w:rPr>
          <w:spacing w:val="-2"/>
        </w:rPr>
        <w:t xml:space="preserve"> FCC </w:t>
      </w:r>
      <w:r w:rsidRPr="00103B60">
        <w:rPr>
          <w:spacing w:val="-2"/>
        </w:rPr>
        <w:t>Rcd</w:t>
      </w:r>
      <w:r w:rsidRPr="00103B60">
        <w:rPr>
          <w:spacing w:val="-2"/>
        </w:rPr>
        <w:t xml:space="preserve"> </w:t>
      </w:r>
      <w:r w:rsidR="00141014">
        <w:rPr>
          <w:spacing w:val="-2"/>
        </w:rPr>
        <w:t>3852</w:t>
      </w:r>
      <w:r w:rsidRPr="00103B60">
        <w:rPr>
          <w:spacing w:val="-2"/>
        </w:rPr>
        <w:t xml:space="preserve"> (20</w:t>
      </w:r>
      <w:r w:rsidR="00141014">
        <w:rPr>
          <w:spacing w:val="-2"/>
        </w:rPr>
        <w:t>20</w:t>
      </w:r>
      <w:r w:rsidRPr="00141014">
        <w:rPr>
          <w:spacing w:val="-2"/>
        </w:rPr>
        <w:t>)</w:t>
      </w:r>
      <w:r w:rsidRPr="00141014" w:rsidR="00141014">
        <w:rPr>
          <w:spacing w:val="-2"/>
        </w:rPr>
        <w:t>;</w:t>
      </w:r>
      <w:r w:rsidRPr="00141014">
        <w:rPr>
          <w:spacing w:val="-2"/>
        </w:rPr>
        <w:t xml:space="preserve"> </w:t>
      </w:r>
      <w:r w:rsidRPr="00141014">
        <w:rPr>
          <w:iCs/>
        </w:rPr>
        <w:t>47 CFR Part 15</w:t>
      </w:r>
      <w:r w:rsidRPr="00141014" w:rsidR="00141014">
        <w:rPr>
          <w:iCs/>
        </w:rPr>
        <w:t>.</w:t>
      </w:r>
      <w:r>
        <w:t xml:space="preserve">  </w:t>
      </w:r>
    </w:p>
  </w:footnote>
  <w:footnote w:id="5">
    <w:p w:rsidR="00BC751F" w14:paraId="59BE13A0" w14:textId="77777777">
      <w:pPr>
        <w:pStyle w:val="FootnoteText"/>
      </w:pPr>
      <w:r>
        <w:rPr>
          <w:rStyle w:val="FootnoteReference"/>
        </w:rPr>
        <w:footnoteRef/>
      </w:r>
      <w:r>
        <w:t xml:space="preserve"> </w:t>
      </w:r>
      <w:bookmarkStart w:id="0" w:name="_Hlk45194667"/>
      <w:r>
        <w:t xml:space="preserve">47 CFR </w:t>
      </w:r>
      <w:r w:rsidR="00423BB5">
        <w:t xml:space="preserve">§ </w:t>
      </w:r>
      <w:r>
        <w:t>1.106(p)</w:t>
      </w:r>
      <w:r w:rsidR="00423BB5">
        <w:t>.</w:t>
      </w:r>
      <w:bookmarkEnd w:id="0"/>
    </w:p>
  </w:footnote>
  <w:footnote w:id="6">
    <w:p w:rsidR="00141014" w14:paraId="222F5B73" w14:textId="3E95814B">
      <w:pPr>
        <w:pStyle w:val="FootnoteText"/>
      </w:pPr>
      <w:r>
        <w:rPr>
          <w:rStyle w:val="FootnoteReference"/>
        </w:rPr>
        <w:footnoteRef/>
      </w:r>
      <w:r>
        <w:t xml:space="preserve"> 47 CFR § 1.106(p)(9).</w:t>
      </w:r>
    </w:p>
  </w:footnote>
  <w:footnote w:id="7">
    <w:p w:rsidR="00423BB5" w14:paraId="693EE3D6" w14:textId="77777777">
      <w:pPr>
        <w:pStyle w:val="FootnoteText"/>
      </w:pPr>
      <w:r>
        <w:rPr>
          <w:rStyle w:val="FootnoteReference"/>
        </w:rPr>
        <w:footnoteRef/>
      </w:r>
      <w:r>
        <w:t xml:space="preserve"> 47 U.S.C. § 405(a).</w:t>
      </w:r>
    </w:p>
  </w:footnote>
  <w:footnote w:id="8">
    <w:p w:rsidR="00423BB5" w14:paraId="2CB773D1" w14:textId="77777777">
      <w:pPr>
        <w:pStyle w:val="FootnoteText"/>
      </w:pPr>
      <w:r>
        <w:rPr>
          <w:rStyle w:val="FootnoteReference"/>
        </w:rPr>
        <w:footnoteRef/>
      </w:r>
      <w:r>
        <w:t xml:space="preserve"> </w:t>
      </w:r>
      <w:r w:rsidRPr="00C26595">
        <w:rPr>
          <w:i/>
        </w:rPr>
        <w:t>See</w:t>
      </w:r>
      <w:r w:rsidRPr="00C26595">
        <w:t xml:space="preserve"> </w:t>
      </w:r>
      <w:r w:rsidRPr="00C26595">
        <w:rPr>
          <w:i/>
        </w:rPr>
        <w:t>Reuters L</w:t>
      </w:r>
      <w:r>
        <w:rPr>
          <w:i/>
        </w:rPr>
        <w:t>td.</w:t>
      </w:r>
      <w:r w:rsidRPr="00C26595">
        <w:rPr>
          <w:i/>
        </w:rPr>
        <w:t xml:space="preserve"> v. FCC</w:t>
      </w:r>
      <w:r w:rsidRPr="00C26595">
        <w:t>, 781 F.2d 946, 951-52 (D.C. Cir. 1986) (express statutory limitations barred the Commission from acting on a petition for reconsideration that was filed after the due date).</w:t>
      </w:r>
    </w:p>
  </w:footnote>
  <w:footnote w:id="9">
    <w:p w:rsidR="001C7E36" w14:paraId="17267AED" w14:textId="40A54075">
      <w:pPr>
        <w:pStyle w:val="FootnoteText"/>
      </w:pPr>
      <w:r>
        <w:rPr>
          <w:rStyle w:val="FootnoteReference"/>
        </w:rPr>
        <w:footnoteRef/>
      </w:r>
      <w:r>
        <w:t xml:space="preserve"> Federal Communications Commission, Unlicensed Use of the 6 GHz Band, Final Rule, 85 Fed. Reg. 31390 (May 26, 2020).</w:t>
      </w:r>
    </w:p>
  </w:footnote>
  <w:footnote w:id="10">
    <w:p w:rsidR="00BC751F" w14:paraId="14E2E20F" w14:textId="78749BD6">
      <w:pPr>
        <w:pStyle w:val="FootnoteText"/>
      </w:pPr>
      <w:r>
        <w:rPr>
          <w:rStyle w:val="FootnoteReference"/>
        </w:rPr>
        <w:footnoteRef/>
      </w:r>
      <w:r>
        <w:t xml:space="preserve"> </w:t>
      </w:r>
      <w:r w:rsidR="001C7E36">
        <w:rPr>
          <w:i/>
          <w:iCs/>
        </w:rPr>
        <w:t xml:space="preserve">See </w:t>
      </w:r>
      <w:r>
        <w:t>47 CFR</w:t>
      </w:r>
      <w:r w:rsidR="00423BB5">
        <w:t xml:space="preserve"> §</w:t>
      </w:r>
      <w:r>
        <w:t xml:space="preserve"> 1.4(b)(</w:t>
      </w:r>
      <w:r w:rsidR="007A338C">
        <w:t>1</w:t>
      </w:r>
      <w:r>
        <w:t>)</w:t>
      </w:r>
      <w:r w:rsidR="001C7E36">
        <w:t>.</w:t>
      </w:r>
      <w:r w:rsidR="00AF3785">
        <w:t xml:space="preserve"> </w:t>
      </w:r>
    </w:p>
  </w:footnote>
  <w:footnote w:id="11">
    <w:p w:rsidR="00423BB5" w14:paraId="5F0717B7" w14:textId="77777777">
      <w:pPr>
        <w:pStyle w:val="FootnoteText"/>
      </w:pPr>
      <w:r>
        <w:rPr>
          <w:rStyle w:val="FootnoteReference"/>
        </w:rPr>
        <w:footnoteRef/>
      </w:r>
      <w:r>
        <w:t xml:space="preserve"> </w:t>
      </w:r>
      <w:r w:rsidRPr="00C26595">
        <w:rPr>
          <w:i/>
        </w:rPr>
        <w:t>See Virgin Islands Tel</w:t>
      </w:r>
      <w:r>
        <w:rPr>
          <w:i/>
        </w:rPr>
        <w:t>.</w:t>
      </w:r>
      <w:r w:rsidRPr="00C26595">
        <w:rPr>
          <w:i/>
        </w:rPr>
        <w:t xml:space="preserve"> Corp</w:t>
      </w:r>
      <w:r>
        <w:rPr>
          <w:i/>
        </w:rPr>
        <w:t>.</w:t>
      </w:r>
      <w:r w:rsidRPr="00C26595">
        <w:rPr>
          <w:i/>
        </w:rPr>
        <w:t xml:space="preserve"> v. FCC</w:t>
      </w:r>
      <w:r w:rsidRPr="00C26595">
        <w:t xml:space="preserve">, 989 F.2d 1231, 1237 (D.C. Cir. 1993) (upholding the Commission's refusal to entertain a petition for reconsideration where the petition had been filed one day late, </w:t>
      </w:r>
      <w:r w:rsidR="00BD4B1F">
        <w:t>finding that</w:t>
      </w:r>
      <w:r w:rsidRPr="00C26595">
        <w:t xml:space="preserve"> </w:t>
      </w:r>
      <w:r w:rsidR="009D793A">
        <w:t>“</w:t>
      </w:r>
      <w:r w:rsidRPr="00C26595">
        <w:t xml:space="preserve">extenuating circumstances did not prohibit </w:t>
      </w:r>
      <w:r w:rsidR="00A45B55">
        <w:t>[</w:t>
      </w:r>
      <w:r w:rsidRPr="00C26595">
        <w:t>the petitioner</w:t>
      </w:r>
      <w:r w:rsidR="00A45B55">
        <w:t>]</w:t>
      </w:r>
      <w:r w:rsidRPr="00C26595">
        <w:t xml:space="preserve"> from filing within the prescribed time limits</w:t>
      </w:r>
      <w:r w:rsidR="00A45B55">
        <w:t>”</w:t>
      </w:r>
      <w:r w:rsidRPr="00C26595">
        <w:t xml:space="preserve">).  </w:t>
      </w:r>
      <w:r w:rsidRPr="00C26595">
        <w:rPr>
          <w:i/>
        </w:rPr>
        <w:t>See also</w:t>
      </w:r>
      <w:r w:rsidRPr="00C26595">
        <w:t xml:space="preserve"> </w:t>
      </w:r>
      <w:r w:rsidRPr="00C26595">
        <w:rPr>
          <w:i/>
        </w:rPr>
        <w:t>Pueblo Radio Broad</w:t>
      </w:r>
      <w:r>
        <w:rPr>
          <w:i/>
        </w:rPr>
        <w:t>.</w:t>
      </w:r>
      <w:r w:rsidRPr="00C26595">
        <w:rPr>
          <w:i/>
        </w:rPr>
        <w:t xml:space="preserve"> Serv</w:t>
      </w:r>
      <w:r>
        <w:rPr>
          <w:i/>
        </w:rPr>
        <w:t>.</w:t>
      </w:r>
      <w:r w:rsidRPr="00C26595">
        <w:t xml:space="preserve">, Memorandum Opinion and Order, 6 FCC </w:t>
      </w:r>
      <w:r w:rsidRPr="00C26595">
        <w:t>Rcd</w:t>
      </w:r>
      <w:r w:rsidRPr="00C26595">
        <w:t xml:space="preserve"> 1416 (1991) (dismissing petition for reconsideration that was filed one day late); </w:t>
      </w:r>
      <w:r w:rsidRPr="00C26595">
        <w:rPr>
          <w:i/>
        </w:rPr>
        <w:t>Metromedia, Inc.</w:t>
      </w:r>
      <w:r w:rsidRPr="00C26595">
        <w:t xml:space="preserve">, Memorandum Opinion and Order, 56 FCC 2d 909 (1975) (same); </w:t>
      </w:r>
      <w:r w:rsidRPr="00C26595">
        <w:rPr>
          <w:i/>
        </w:rPr>
        <w:t>Panola Broad</w:t>
      </w:r>
      <w:r>
        <w:rPr>
          <w:i/>
        </w:rPr>
        <w:t>.</w:t>
      </w:r>
      <w:r w:rsidRPr="00C26595">
        <w:rPr>
          <w:i/>
        </w:rPr>
        <w:t xml:space="preserve"> Co</w:t>
      </w:r>
      <w:r w:rsidRPr="00C26595">
        <w:t xml:space="preserve">., Memorandum Opinion and Order, 68 FCC 2d 533 (1978) (same).  </w:t>
      </w:r>
    </w:p>
  </w:footnote>
  <w:footnote w:id="12">
    <w:p w:rsidR="004949B5" w:rsidRPr="00490906" w:rsidP="004949B5" w14:paraId="2E259F26" w14:textId="77777777">
      <w:pPr>
        <w:pStyle w:val="FootnoteText"/>
      </w:pPr>
      <w:r w:rsidRPr="00490906">
        <w:rPr>
          <w:rStyle w:val="FootnoteReference"/>
        </w:rPr>
        <w:footnoteRef/>
      </w:r>
      <w:r w:rsidRPr="00490906">
        <w:t xml:space="preserve"> </w:t>
      </w:r>
      <w:r w:rsidR="00423BB5">
        <w:t>47 CRF § 1.106(p).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106" w14:paraId="2F01F9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0BA622" w14:textId="208192FE">
    <w:pPr>
      <w:pStyle w:val="Header"/>
      <w:rPr>
        <w:b w:val="0"/>
      </w:rPr>
    </w:pPr>
    <w:r>
      <w:tab/>
      <w:t>Federal Communications Commission</w:t>
    </w:r>
    <w:r>
      <w:tab/>
    </w:r>
    <w:r w:rsidR="00C73CD6">
      <w:t>DA</w:t>
    </w:r>
    <w:r w:rsidR="00CF0969">
      <w:t xml:space="preserve"> </w:t>
    </w:r>
    <w:r w:rsidR="00C73CD6">
      <w:t>20</w:t>
    </w:r>
    <w:r w:rsidR="00CF0969">
      <w:t>-</w:t>
    </w:r>
    <w:r w:rsidR="00945106">
      <w:t>730</w:t>
    </w:r>
    <w:bookmarkStart w:id="1" w:name="_GoBack"/>
    <w:bookmarkEnd w:id="1"/>
  </w:p>
  <w:p w:rsidR="00D25FB5" w14:paraId="11F1236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AE89B2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4BE878" w14:textId="1109E95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Pr="00491EED" w:rsidR="00491EED">
      <w:t>DA</w:t>
    </w:r>
    <w:r w:rsidRPr="00491EED" w:rsidR="00591895">
      <w:rPr>
        <w:spacing w:val="-2"/>
      </w:rPr>
      <w:t xml:space="preserve"> </w:t>
    </w:r>
    <w:r w:rsidRPr="00491EED" w:rsidR="00491EED">
      <w:rPr>
        <w:spacing w:val="-2"/>
      </w:rPr>
      <w:t>2</w:t>
    </w:r>
    <w:r w:rsidR="00491EED">
      <w:rPr>
        <w:spacing w:val="-2"/>
      </w:rPr>
      <w:t>0-</w:t>
    </w:r>
    <w:r w:rsidR="00945106">
      <w:rPr>
        <w:spacing w:val="-2"/>
      </w:rPr>
      <w:t>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2BF"/>
    <w:rsid w:val="00036039"/>
    <w:rsid w:val="00037F90"/>
    <w:rsid w:val="000730E4"/>
    <w:rsid w:val="000870F6"/>
    <w:rsid w:val="000875BF"/>
    <w:rsid w:val="00095585"/>
    <w:rsid w:val="00096D8C"/>
    <w:rsid w:val="000C0B65"/>
    <w:rsid w:val="000E05FE"/>
    <w:rsid w:val="000E3D42"/>
    <w:rsid w:val="000F416B"/>
    <w:rsid w:val="000F6B31"/>
    <w:rsid w:val="00103B60"/>
    <w:rsid w:val="00122BD5"/>
    <w:rsid w:val="00133F79"/>
    <w:rsid w:val="00137C40"/>
    <w:rsid w:val="00141014"/>
    <w:rsid w:val="0017296B"/>
    <w:rsid w:val="00194A66"/>
    <w:rsid w:val="001C7E36"/>
    <w:rsid w:val="001D6BCF"/>
    <w:rsid w:val="001E01CA"/>
    <w:rsid w:val="00207C53"/>
    <w:rsid w:val="00223848"/>
    <w:rsid w:val="002459BF"/>
    <w:rsid w:val="00275CF5"/>
    <w:rsid w:val="0028301F"/>
    <w:rsid w:val="00285017"/>
    <w:rsid w:val="002A2D2E"/>
    <w:rsid w:val="002C00E8"/>
    <w:rsid w:val="002E77EB"/>
    <w:rsid w:val="00300636"/>
    <w:rsid w:val="00325C2A"/>
    <w:rsid w:val="00343749"/>
    <w:rsid w:val="003527E4"/>
    <w:rsid w:val="003660ED"/>
    <w:rsid w:val="003B0550"/>
    <w:rsid w:val="003B694F"/>
    <w:rsid w:val="003C49A9"/>
    <w:rsid w:val="003F171C"/>
    <w:rsid w:val="00412FC5"/>
    <w:rsid w:val="00421042"/>
    <w:rsid w:val="00422276"/>
    <w:rsid w:val="00423BB5"/>
    <w:rsid w:val="004242F1"/>
    <w:rsid w:val="00445A00"/>
    <w:rsid w:val="00451B0F"/>
    <w:rsid w:val="00461CF0"/>
    <w:rsid w:val="00473914"/>
    <w:rsid w:val="00490906"/>
    <w:rsid w:val="00491EED"/>
    <w:rsid w:val="004949B5"/>
    <w:rsid w:val="004C2EE3"/>
    <w:rsid w:val="004E4A22"/>
    <w:rsid w:val="004E785E"/>
    <w:rsid w:val="00511968"/>
    <w:rsid w:val="0055614C"/>
    <w:rsid w:val="00557F54"/>
    <w:rsid w:val="00563503"/>
    <w:rsid w:val="005725DC"/>
    <w:rsid w:val="00591895"/>
    <w:rsid w:val="00595083"/>
    <w:rsid w:val="005C6A6D"/>
    <w:rsid w:val="005E14C2"/>
    <w:rsid w:val="00607BA5"/>
    <w:rsid w:val="0061180A"/>
    <w:rsid w:val="00626EB6"/>
    <w:rsid w:val="00655D03"/>
    <w:rsid w:val="00683388"/>
    <w:rsid w:val="00683F84"/>
    <w:rsid w:val="006965C4"/>
    <w:rsid w:val="006A6A81"/>
    <w:rsid w:val="006F7393"/>
    <w:rsid w:val="0070224F"/>
    <w:rsid w:val="007115F7"/>
    <w:rsid w:val="00766A40"/>
    <w:rsid w:val="00772211"/>
    <w:rsid w:val="00785689"/>
    <w:rsid w:val="007972C7"/>
    <w:rsid w:val="0079754B"/>
    <w:rsid w:val="007A1E6D"/>
    <w:rsid w:val="007A338C"/>
    <w:rsid w:val="007B0EB2"/>
    <w:rsid w:val="007D309B"/>
    <w:rsid w:val="00810B6F"/>
    <w:rsid w:val="00822CE0"/>
    <w:rsid w:val="00841AB1"/>
    <w:rsid w:val="008C68F1"/>
    <w:rsid w:val="00921803"/>
    <w:rsid w:val="00926503"/>
    <w:rsid w:val="00945106"/>
    <w:rsid w:val="009726D8"/>
    <w:rsid w:val="009D56AC"/>
    <w:rsid w:val="009D793A"/>
    <w:rsid w:val="009E5CEC"/>
    <w:rsid w:val="009F76DB"/>
    <w:rsid w:val="00A10BFD"/>
    <w:rsid w:val="00A32C3B"/>
    <w:rsid w:val="00A45B55"/>
    <w:rsid w:val="00A45F4F"/>
    <w:rsid w:val="00A600A9"/>
    <w:rsid w:val="00A7338A"/>
    <w:rsid w:val="00A82DDA"/>
    <w:rsid w:val="00A907F5"/>
    <w:rsid w:val="00AA55B7"/>
    <w:rsid w:val="00AA5B9E"/>
    <w:rsid w:val="00AB2407"/>
    <w:rsid w:val="00AB53DF"/>
    <w:rsid w:val="00AD3081"/>
    <w:rsid w:val="00AF3785"/>
    <w:rsid w:val="00AF734F"/>
    <w:rsid w:val="00B07E5C"/>
    <w:rsid w:val="00B7632C"/>
    <w:rsid w:val="00B811F7"/>
    <w:rsid w:val="00B879D9"/>
    <w:rsid w:val="00BA5DC6"/>
    <w:rsid w:val="00BA6196"/>
    <w:rsid w:val="00BC6D8C"/>
    <w:rsid w:val="00BC751F"/>
    <w:rsid w:val="00BD4B1F"/>
    <w:rsid w:val="00C26595"/>
    <w:rsid w:val="00C27B06"/>
    <w:rsid w:val="00C34006"/>
    <w:rsid w:val="00C417EC"/>
    <w:rsid w:val="00C426B1"/>
    <w:rsid w:val="00C66160"/>
    <w:rsid w:val="00C6798B"/>
    <w:rsid w:val="00C721AC"/>
    <w:rsid w:val="00C72B4D"/>
    <w:rsid w:val="00C73CD6"/>
    <w:rsid w:val="00C90D6A"/>
    <w:rsid w:val="00CA247E"/>
    <w:rsid w:val="00CC72B6"/>
    <w:rsid w:val="00CD2C69"/>
    <w:rsid w:val="00CF0969"/>
    <w:rsid w:val="00D0218D"/>
    <w:rsid w:val="00D25FB5"/>
    <w:rsid w:val="00D44223"/>
    <w:rsid w:val="00DA2529"/>
    <w:rsid w:val="00DB130A"/>
    <w:rsid w:val="00DB2EBB"/>
    <w:rsid w:val="00DC10A1"/>
    <w:rsid w:val="00DC655F"/>
    <w:rsid w:val="00DD0B59"/>
    <w:rsid w:val="00DD7EBD"/>
    <w:rsid w:val="00DE7271"/>
    <w:rsid w:val="00DF62B6"/>
    <w:rsid w:val="00E07225"/>
    <w:rsid w:val="00E5409F"/>
    <w:rsid w:val="00E55376"/>
    <w:rsid w:val="00E90E75"/>
    <w:rsid w:val="00EE6488"/>
    <w:rsid w:val="00F021FA"/>
    <w:rsid w:val="00F32F13"/>
    <w:rsid w:val="00F35A34"/>
    <w:rsid w:val="00F4766B"/>
    <w:rsid w:val="00F62E97"/>
    <w:rsid w:val="00F64209"/>
    <w:rsid w:val="00F752D9"/>
    <w:rsid w:val="00F93BF5"/>
    <w:rsid w:val="00FB31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06"/>
    <w:pPr>
      <w:widowControl w:val="0"/>
    </w:pPr>
    <w:rPr>
      <w:snapToGrid w:val="0"/>
      <w:kern w:val="28"/>
      <w:sz w:val="22"/>
    </w:rPr>
  </w:style>
  <w:style w:type="paragraph" w:styleId="Heading1">
    <w:name w:val="heading 1"/>
    <w:basedOn w:val="Normal"/>
    <w:next w:val="ParaNum"/>
    <w:qFormat/>
    <w:rsid w:val="0094510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5106"/>
    <w:pPr>
      <w:keepNext/>
      <w:numPr>
        <w:ilvl w:val="1"/>
        <w:numId w:val="3"/>
      </w:numPr>
      <w:spacing w:after="120"/>
      <w:outlineLvl w:val="1"/>
    </w:pPr>
    <w:rPr>
      <w:b/>
    </w:rPr>
  </w:style>
  <w:style w:type="paragraph" w:styleId="Heading3">
    <w:name w:val="heading 3"/>
    <w:basedOn w:val="Normal"/>
    <w:next w:val="ParaNum"/>
    <w:qFormat/>
    <w:rsid w:val="00945106"/>
    <w:pPr>
      <w:keepNext/>
      <w:numPr>
        <w:ilvl w:val="2"/>
        <w:numId w:val="3"/>
      </w:numPr>
      <w:tabs>
        <w:tab w:val="left" w:pos="2160"/>
      </w:tabs>
      <w:spacing w:after="120"/>
      <w:outlineLvl w:val="2"/>
    </w:pPr>
    <w:rPr>
      <w:b/>
    </w:rPr>
  </w:style>
  <w:style w:type="paragraph" w:styleId="Heading4">
    <w:name w:val="heading 4"/>
    <w:basedOn w:val="Normal"/>
    <w:next w:val="ParaNum"/>
    <w:qFormat/>
    <w:rsid w:val="00945106"/>
    <w:pPr>
      <w:keepNext/>
      <w:numPr>
        <w:ilvl w:val="3"/>
        <w:numId w:val="3"/>
      </w:numPr>
      <w:tabs>
        <w:tab w:val="left" w:pos="2880"/>
      </w:tabs>
      <w:spacing w:after="120"/>
      <w:outlineLvl w:val="3"/>
    </w:pPr>
    <w:rPr>
      <w:b/>
    </w:rPr>
  </w:style>
  <w:style w:type="paragraph" w:styleId="Heading5">
    <w:name w:val="heading 5"/>
    <w:basedOn w:val="Normal"/>
    <w:next w:val="ParaNum"/>
    <w:qFormat/>
    <w:rsid w:val="0094510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45106"/>
    <w:pPr>
      <w:numPr>
        <w:ilvl w:val="5"/>
        <w:numId w:val="3"/>
      </w:numPr>
      <w:tabs>
        <w:tab w:val="left" w:pos="4320"/>
      </w:tabs>
      <w:spacing w:after="120"/>
      <w:outlineLvl w:val="5"/>
    </w:pPr>
    <w:rPr>
      <w:b/>
    </w:rPr>
  </w:style>
  <w:style w:type="paragraph" w:styleId="Heading7">
    <w:name w:val="heading 7"/>
    <w:basedOn w:val="Normal"/>
    <w:next w:val="ParaNum"/>
    <w:qFormat/>
    <w:rsid w:val="0094510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510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4510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51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106"/>
  </w:style>
  <w:style w:type="paragraph" w:customStyle="1" w:styleId="ParaNum">
    <w:name w:val="ParaNum"/>
    <w:basedOn w:val="Normal"/>
    <w:link w:val="ParaNumChar"/>
    <w:rsid w:val="00945106"/>
    <w:pPr>
      <w:numPr>
        <w:numId w:val="2"/>
      </w:numPr>
      <w:tabs>
        <w:tab w:val="clear" w:pos="1080"/>
        <w:tab w:val="num" w:pos="1440"/>
      </w:tabs>
      <w:spacing w:after="120"/>
    </w:pPr>
  </w:style>
  <w:style w:type="paragraph" w:styleId="EndnoteText">
    <w:name w:val="endnote text"/>
    <w:basedOn w:val="Normal"/>
    <w:semiHidden/>
    <w:rsid w:val="00945106"/>
    <w:rPr>
      <w:sz w:val="20"/>
    </w:rPr>
  </w:style>
  <w:style w:type="character" w:styleId="EndnoteReference">
    <w:name w:val="endnote reference"/>
    <w:semiHidden/>
    <w:rsid w:val="00945106"/>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945106"/>
    <w:pPr>
      <w:spacing w:after="120"/>
    </w:pPr>
  </w:style>
  <w:style w:type="character" w:styleId="FootnoteReference">
    <w:name w:val="footnote reference"/>
    <w:aliases w:val="(NECG) Footnote Reference,Appel note de bas de p,FR,Footnote Reference/,Style 12,Style 124,Style 13,Style 17,Style 3,Style 4,Style 6,fr,o"/>
    <w:rsid w:val="00945106"/>
    <w:rPr>
      <w:rFonts w:ascii="Times New Roman" w:hAnsi="Times New Roman"/>
      <w:dstrike w:val="0"/>
      <w:color w:val="auto"/>
      <w:sz w:val="20"/>
      <w:vertAlign w:val="superscript"/>
    </w:rPr>
  </w:style>
  <w:style w:type="paragraph" w:styleId="TOC1">
    <w:name w:val="toc 1"/>
    <w:basedOn w:val="Normal"/>
    <w:next w:val="Normal"/>
    <w:semiHidden/>
    <w:rsid w:val="0094510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5106"/>
    <w:pPr>
      <w:tabs>
        <w:tab w:val="left" w:pos="720"/>
        <w:tab w:val="right" w:leader="dot" w:pos="9360"/>
      </w:tabs>
      <w:suppressAutoHyphens/>
      <w:ind w:left="720" w:right="720" w:hanging="360"/>
    </w:pPr>
    <w:rPr>
      <w:noProof/>
    </w:rPr>
  </w:style>
  <w:style w:type="paragraph" w:styleId="TOC3">
    <w:name w:val="toc 3"/>
    <w:basedOn w:val="Normal"/>
    <w:next w:val="Normal"/>
    <w:semiHidden/>
    <w:rsid w:val="009451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51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51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51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51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51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51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5106"/>
    <w:pPr>
      <w:tabs>
        <w:tab w:val="right" w:pos="9360"/>
      </w:tabs>
      <w:suppressAutoHyphens/>
    </w:pPr>
  </w:style>
  <w:style w:type="character" w:customStyle="1" w:styleId="EquationCaption">
    <w:name w:val="_Equation Caption"/>
    <w:rsid w:val="00945106"/>
  </w:style>
  <w:style w:type="paragraph" w:styleId="Header">
    <w:name w:val="header"/>
    <w:basedOn w:val="Normal"/>
    <w:autoRedefine/>
    <w:rsid w:val="00945106"/>
    <w:pPr>
      <w:tabs>
        <w:tab w:val="center" w:pos="4680"/>
        <w:tab w:val="right" w:pos="9360"/>
      </w:tabs>
    </w:pPr>
    <w:rPr>
      <w:b/>
    </w:rPr>
  </w:style>
  <w:style w:type="paragraph" w:styleId="Footer">
    <w:name w:val="footer"/>
    <w:basedOn w:val="Normal"/>
    <w:link w:val="FooterChar"/>
    <w:uiPriority w:val="99"/>
    <w:rsid w:val="00945106"/>
    <w:pPr>
      <w:tabs>
        <w:tab w:val="center" w:pos="4320"/>
        <w:tab w:val="right" w:pos="8640"/>
      </w:tabs>
    </w:pPr>
  </w:style>
  <w:style w:type="character" w:styleId="PageNumber">
    <w:name w:val="page number"/>
    <w:basedOn w:val="DefaultParagraphFont"/>
    <w:rsid w:val="00945106"/>
  </w:style>
  <w:style w:type="paragraph" w:styleId="BlockText">
    <w:name w:val="Block Text"/>
    <w:basedOn w:val="Normal"/>
    <w:rsid w:val="00945106"/>
    <w:pPr>
      <w:spacing w:after="240"/>
      <w:ind w:left="1440" w:right="1440"/>
    </w:pPr>
  </w:style>
  <w:style w:type="paragraph" w:customStyle="1" w:styleId="Paratitle">
    <w:name w:val="Para title"/>
    <w:basedOn w:val="Normal"/>
    <w:rsid w:val="00945106"/>
    <w:pPr>
      <w:tabs>
        <w:tab w:val="center" w:pos="9270"/>
      </w:tabs>
      <w:spacing w:after="240"/>
    </w:pPr>
    <w:rPr>
      <w:spacing w:val="-2"/>
    </w:rPr>
  </w:style>
  <w:style w:type="paragraph" w:customStyle="1" w:styleId="Bullet">
    <w:name w:val="Bullet"/>
    <w:basedOn w:val="Normal"/>
    <w:rsid w:val="00945106"/>
    <w:pPr>
      <w:tabs>
        <w:tab w:val="left" w:pos="2160"/>
      </w:tabs>
      <w:spacing w:after="220"/>
      <w:ind w:left="2160" w:hanging="720"/>
    </w:pPr>
  </w:style>
  <w:style w:type="paragraph" w:customStyle="1" w:styleId="TableFormat">
    <w:name w:val="TableFormat"/>
    <w:basedOn w:val="Bullet"/>
    <w:rsid w:val="00945106"/>
    <w:pPr>
      <w:tabs>
        <w:tab w:val="clear" w:pos="2160"/>
        <w:tab w:val="left" w:pos="5040"/>
      </w:tabs>
      <w:ind w:left="5040" w:hanging="3600"/>
    </w:pPr>
  </w:style>
  <w:style w:type="paragraph" w:customStyle="1" w:styleId="TOCTitle">
    <w:name w:val="TOC Title"/>
    <w:basedOn w:val="Normal"/>
    <w:rsid w:val="009451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5106"/>
    <w:pPr>
      <w:jc w:val="center"/>
    </w:pPr>
    <w:rPr>
      <w:rFonts w:ascii="Times New Roman Bold" w:hAnsi="Times New Roman Bold"/>
      <w:b/>
      <w:bCs/>
      <w:caps/>
      <w:szCs w:val="22"/>
    </w:rPr>
  </w:style>
  <w:style w:type="character" w:styleId="Hyperlink">
    <w:name w:val="Hyperlink"/>
    <w:rsid w:val="00945106"/>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4949B5"/>
  </w:style>
  <w:style w:type="character" w:customStyle="1" w:styleId="ParaNumChar">
    <w:name w:val="ParaNum Char"/>
    <w:link w:val="ParaNum"/>
    <w:rsid w:val="004949B5"/>
    <w:rPr>
      <w:snapToGrid w:val="0"/>
      <w:kern w:val="28"/>
      <w:sz w:val="22"/>
    </w:rPr>
  </w:style>
  <w:style w:type="character" w:styleId="Emphasis">
    <w:name w:val="Emphasis"/>
    <w:uiPriority w:val="20"/>
    <w:qFormat/>
    <w:rsid w:val="004949B5"/>
    <w:rPr>
      <w:i/>
      <w:iCs/>
    </w:rPr>
  </w:style>
  <w:style w:type="character" w:customStyle="1" w:styleId="apple-converted-space">
    <w:name w:val="apple-converted-space"/>
    <w:rsid w:val="004949B5"/>
  </w:style>
  <w:style w:type="paragraph" w:styleId="BalloonText">
    <w:name w:val="Balloon Text"/>
    <w:basedOn w:val="Normal"/>
    <w:link w:val="BalloonTextChar"/>
    <w:rsid w:val="003527E4"/>
    <w:rPr>
      <w:rFonts w:ascii="Segoe UI" w:hAnsi="Segoe UI" w:cs="Segoe UI"/>
      <w:sz w:val="18"/>
      <w:szCs w:val="18"/>
    </w:rPr>
  </w:style>
  <w:style w:type="character" w:customStyle="1" w:styleId="BalloonTextChar">
    <w:name w:val="Balloon Text Char"/>
    <w:basedOn w:val="DefaultParagraphFont"/>
    <w:link w:val="BalloonText"/>
    <w:rsid w:val="003527E4"/>
    <w:rPr>
      <w:rFonts w:ascii="Segoe UI" w:hAnsi="Segoe UI" w:cs="Segoe UI"/>
      <w:snapToGrid w:val="0"/>
      <w:kern w:val="28"/>
      <w:sz w:val="18"/>
      <w:szCs w:val="18"/>
    </w:rPr>
  </w:style>
  <w:style w:type="character" w:styleId="CommentReference">
    <w:name w:val="annotation reference"/>
    <w:basedOn w:val="DefaultParagraphFont"/>
    <w:rsid w:val="00A82DDA"/>
    <w:rPr>
      <w:sz w:val="16"/>
      <w:szCs w:val="16"/>
    </w:rPr>
  </w:style>
  <w:style w:type="paragraph" w:styleId="CommentText">
    <w:name w:val="annotation text"/>
    <w:basedOn w:val="Normal"/>
    <w:link w:val="CommentTextChar"/>
    <w:rsid w:val="00A82DDA"/>
    <w:rPr>
      <w:sz w:val="20"/>
    </w:rPr>
  </w:style>
  <w:style w:type="character" w:customStyle="1" w:styleId="CommentTextChar">
    <w:name w:val="Comment Text Char"/>
    <w:basedOn w:val="DefaultParagraphFont"/>
    <w:link w:val="CommentText"/>
    <w:rsid w:val="00A82DDA"/>
    <w:rPr>
      <w:snapToGrid w:val="0"/>
      <w:kern w:val="28"/>
    </w:rPr>
  </w:style>
  <w:style w:type="paragraph" w:styleId="CommentSubject">
    <w:name w:val="annotation subject"/>
    <w:basedOn w:val="CommentText"/>
    <w:next w:val="CommentText"/>
    <w:link w:val="CommentSubjectChar"/>
    <w:rsid w:val="00A82DDA"/>
    <w:rPr>
      <w:b/>
      <w:bCs/>
    </w:rPr>
  </w:style>
  <w:style w:type="character" w:customStyle="1" w:styleId="CommentSubjectChar">
    <w:name w:val="Comment Subject Char"/>
    <w:basedOn w:val="CommentTextChar"/>
    <w:link w:val="CommentSubject"/>
    <w:rsid w:val="00A82DDA"/>
    <w:rPr>
      <w:b/>
      <w:bCs/>
      <w:snapToGrid w:val="0"/>
      <w:kern w:val="28"/>
    </w:rPr>
  </w:style>
  <w:style w:type="character" w:customStyle="1" w:styleId="FooterChar">
    <w:name w:val="Footer Char"/>
    <w:link w:val="Footer"/>
    <w:uiPriority w:val="99"/>
    <w:rsid w:val="0094510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