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0228B" w14:paraId="0890EF65" w14:textId="77777777">
      <w:pPr>
        <w:jc w:val="center"/>
        <w:rPr>
          <w:b/>
        </w:rPr>
      </w:pPr>
      <w:r>
        <w:rPr>
          <w:b/>
        </w:rPr>
        <w:t>Before the</w:t>
      </w:r>
    </w:p>
    <w:p w:rsidR="0060228B" w14:paraId="3B3CA99E" w14:textId="77777777">
      <w:pPr>
        <w:jc w:val="center"/>
        <w:rPr>
          <w:b/>
        </w:rPr>
      </w:pPr>
      <w:r>
        <w:rPr>
          <w:b/>
        </w:rPr>
        <w:t>Federal Communications Commission</w:t>
      </w:r>
    </w:p>
    <w:p w:rsidR="0060228B" w14:paraId="2143E785" w14:textId="77777777">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60228B" w14:paraId="451599FB" w14:textId="77777777"/>
    <w:p w:rsidR="0060228B" w14:paraId="68C102A8" w14:textId="77777777"/>
    <w:tbl>
      <w:tblPr>
        <w:tblW w:w="0" w:type="auto"/>
        <w:tblLayout w:type="fixed"/>
        <w:tblLook w:val="0000"/>
      </w:tblPr>
      <w:tblGrid>
        <w:gridCol w:w="4698"/>
        <w:gridCol w:w="720"/>
        <w:gridCol w:w="4230"/>
      </w:tblGrid>
      <w:tr w14:paraId="553C5CAB" w14:textId="77777777">
        <w:tblPrEx>
          <w:tblW w:w="0" w:type="auto"/>
          <w:tblLayout w:type="fixed"/>
          <w:tblLook w:val="0000"/>
        </w:tblPrEx>
        <w:tc>
          <w:tcPr>
            <w:tcW w:w="4698" w:type="dxa"/>
          </w:tcPr>
          <w:p w:rsidR="0060228B" w14:paraId="4F8FC404" w14:textId="77777777">
            <w:pPr>
              <w:ind w:right="-18"/>
            </w:pPr>
            <w:r>
              <w:t xml:space="preserve">In the </w:t>
            </w:r>
            <w:r w:rsidR="002A29D2">
              <w:t>M</w:t>
            </w:r>
            <w:r>
              <w:t>atter of</w:t>
            </w:r>
          </w:p>
          <w:p w:rsidR="0060228B" w14:paraId="595FB740" w14:textId="77777777">
            <w:pPr>
              <w:ind w:right="-18"/>
            </w:pPr>
          </w:p>
          <w:p w:rsidR="0060228B" w:rsidRPr="00A81F5E" w14:paraId="4805FE5F" w14:textId="77DB9719">
            <w:pPr>
              <w:ind w:right="-18"/>
              <w:rPr>
                <w:spacing w:val="-2"/>
              </w:rPr>
            </w:pPr>
            <w:r>
              <w:rPr>
                <w:spacing w:val="-2"/>
              </w:rPr>
              <w:t>Streamlining Licensing Procedures for Small Satellites</w:t>
            </w:r>
          </w:p>
        </w:tc>
        <w:tc>
          <w:tcPr>
            <w:tcW w:w="720" w:type="dxa"/>
          </w:tcPr>
          <w:p w:rsidR="0060228B" w14:paraId="28FC6079" w14:textId="77777777">
            <w:pPr>
              <w:rPr>
                <w:b/>
              </w:rPr>
            </w:pPr>
            <w:r>
              <w:rPr>
                <w:b/>
              </w:rPr>
              <w:t>)</w:t>
            </w:r>
          </w:p>
          <w:p w:rsidR="0060228B" w14:paraId="750DD340" w14:textId="77777777">
            <w:pPr>
              <w:rPr>
                <w:b/>
              </w:rPr>
            </w:pPr>
            <w:r>
              <w:rPr>
                <w:b/>
              </w:rPr>
              <w:t>)</w:t>
            </w:r>
          </w:p>
          <w:p w:rsidR="0060228B" w14:paraId="2E6E4187" w14:textId="77777777">
            <w:pPr>
              <w:rPr>
                <w:b/>
              </w:rPr>
            </w:pPr>
            <w:r>
              <w:rPr>
                <w:b/>
              </w:rPr>
              <w:t>)</w:t>
            </w:r>
          </w:p>
          <w:p w:rsidR="0060228B" w14:paraId="56D49482" w14:textId="77777777">
            <w:pPr>
              <w:rPr>
                <w:b/>
              </w:rPr>
            </w:pPr>
            <w:r>
              <w:rPr>
                <w:b/>
              </w:rPr>
              <w:t>)</w:t>
            </w:r>
          </w:p>
          <w:p w:rsidR="0060228B" w14:paraId="5BB87587" w14:textId="646CEC7B">
            <w:pPr>
              <w:rPr>
                <w:b/>
              </w:rPr>
            </w:pPr>
          </w:p>
          <w:p w:rsidR="0060228B" w14:paraId="4E81AD8F" w14:textId="77777777">
            <w:pPr>
              <w:rPr>
                <w:b/>
              </w:rPr>
            </w:pPr>
          </w:p>
        </w:tc>
        <w:tc>
          <w:tcPr>
            <w:tcW w:w="4230" w:type="dxa"/>
          </w:tcPr>
          <w:p w:rsidR="0060228B" w:rsidP="00F25801" w14:paraId="458A2403" w14:textId="77777777">
            <w:pPr>
              <w:rPr>
                <w:b/>
              </w:rPr>
            </w:pPr>
          </w:p>
          <w:p w:rsidR="00A81F5E" w:rsidP="00F25801" w14:paraId="684258C0" w14:textId="77777777">
            <w:pPr>
              <w:rPr>
                <w:bCs/>
              </w:rPr>
            </w:pPr>
          </w:p>
          <w:p w:rsidR="00A81F5E" w:rsidRPr="00A81F5E" w:rsidP="00F25801" w14:paraId="673772CF" w14:textId="314B023A">
            <w:pPr>
              <w:rPr>
                <w:bCs/>
              </w:rPr>
            </w:pPr>
            <w:r w:rsidRPr="00A81F5E">
              <w:rPr>
                <w:bCs/>
              </w:rPr>
              <w:t>IB Docket No. 18-</w:t>
            </w:r>
            <w:r w:rsidR="004655CD">
              <w:rPr>
                <w:bCs/>
              </w:rPr>
              <w:t>86</w:t>
            </w:r>
          </w:p>
        </w:tc>
      </w:tr>
    </w:tbl>
    <w:p w:rsidR="0060228B" w14:paraId="07BBF46D" w14:textId="77777777"/>
    <w:p w:rsidR="0060228B" w:rsidP="002A4E36" w14:paraId="509CA714" w14:textId="763991E5">
      <w:pPr>
        <w:spacing w:before="120"/>
        <w:jc w:val="center"/>
        <w:rPr>
          <w:b/>
          <w:spacing w:val="-2"/>
        </w:rPr>
      </w:pPr>
      <w:r>
        <w:rPr>
          <w:b/>
          <w:spacing w:val="-2"/>
        </w:rPr>
        <w:t>ERR</w:t>
      </w:r>
      <w:bookmarkStart w:id="0" w:name="_GoBack"/>
      <w:bookmarkEnd w:id="0"/>
      <w:r>
        <w:rPr>
          <w:b/>
          <w:spacing w:val="-2"/>
        </w:rPr>
        <w:t>ATUM</w:t>
      </w:r>
    </w:p>
    <w:p w:rsidR="00E00E22" w14:paraId="24C28DEC" w14:textId="77777777">
      <w:pPr>
        <w:tabs>
          <w:tab w:val="left" w:pos="5760"/>
        </w:tabs>
        <w:rPr>
          <w:b/>
        </w:rPr>
      </w:pPr>
    </w:p>
    <w:p w:rsidR="0060228B" w:rsidP="002A29D2" w14:paraId="56CB608A" w14:textId="3894D0F2">
      <w:pPr>
        <w:jc w:val="right"/>
        <w:rPr>
          <w:b/>
        </w:rPr>
      </w:pPr>
      <w:r>
        <w:rPr>
          <w:b/>
        </w:rPr>
        <w:t xml:space="preserve">Released:  </w:t>
      </w:r>
      <w:r w:rsidR="00527966">
        <w:rPr>
          <w:b/>
        </w:rPr>
        <w:t>July 14, 2020</w:t>
      </w:r>
    </w:p>
    <w:p w:rsidR="0060228B" w14:paraId="534364C0" w14:textId="77777777">
      <w:pPr>
        <w:tabs>
          <w:tab w:val="left" w:pos="5760"/>
        </w:tabs>
        <w:rPr>
          <w:b/>
        </w:rPr>
      </w:pPr>
    </w:p>
    <w:p w:rsidR="0060228B" w14:paraId="5B7CF2B0" w14:textId="41F573DA">
      <w:pPr>
        <w:tabs>
          <w:tab w:val="left" w:pos="5760"/>
        </w:tabs>
      </w:pPr>
      <w:r>
        <w:t xml:space="preserve">By </w:t>
      </w:r>
      <w:r w:rsidR="004655CD">
        <w:rPr>
          <w:spacing w:val="-2"/>
        </w:rPr>
        <w:t>the Managing Director</w:t>
      </w:r>
      <w:r>
        <w:rPr>
          <w:spacing w:val="-2"/>
        </w:rPr>
        <w:t>:</w:t>
      </w:r>
    </w:p>
    <w:p w:rsidR="0060228B" w14:paraId="63773B14" w14:textId="77777777"/>
    <w:p w:rsidR="00B46EC8" w:rsidP="002A29D2" w14:paraId="6A22C0E8" w14:textId="61F7F092">
      <w:pPr>
        <w:pStyle w:val="ParaNum"/>
        <w:numPr>
          <w:ilvl w:val="0"/>
          <w:numId w:val="0"/>
        </w:numPr>
      </w:pPr>
      <w:r>
        <w:t xml:space="preserve"> </w:t>
      </w:r>
      <w:r>
        <w:tab/>
      </w:r>
      <w:r w:rsidR="00B07300">
        <w:t xml:space="preserve">On </w:t>
      </w:r>
      <w:r w:rsidR="007818D6">
        <w:t>August 2, 2019</w:t>
      </w:r>
      <w:r w:rsidR="00B07300">
        <w:t xml:space="preserve">, the </w:t>
      </w:r>
      <w:r>
        <w:t xml:space="preserve">Commission </w:t>
      </w:r>
      <w:r w:rsidR="00B07300">
        <w:t>released a</w:t>
      </w:r>
      <w:r>
        <w:t xml:space="preserve"> Report and Order</w:t>
      </w:r>
      <w:r w:rsidR="007818D6">
        <w:t xml:space="preserve"> (</w:t>
      </w:r>
      <w:r w:rsidR="007818D6">
        <w:rPr>
          <w:i/>
          <w:iCs/>
        </w:rPr>
        <w:t>R&amp;O</w:t>
      </w:r>
      <w:r w:rsidR="007818D6">
        <w:t xml:space="preserve">), FCC 19-81, in the above-captioned proceeding.  To conform to the publishing conventions of the National Archives and Records Administration’s Office of the Federal Register, this Erratum amends Appendix A of the </w:t>
      </w:r>
      <w:r w:rsidR="007818D6">
        <w:rPr>
          <w:i/>
          <w:iCs/>
        </w:rPr>
        <w:t>R&amp;O</w:t>
      </w:r>
      <w:r w:rsidR="007818D6">
        <w:t xml:space="preserve"> as indicated below</w:t>
      </w:r>
      <w:r w:rsidR="009331B1">
        <w:t>:</w:t>
      </w:r>
      <w:r w:rsidR="00B07300">
        <w:t xml:space="preserve">  </w:t>
      </w:r>
    </w:p>
    <w:p w:rsidR="007818D6" w:rsidP="0078625B" w14:paraId="6E3882C3" w14:textId="77C50659">
      <w:pPr>
        <w:pStyle w:val="ParaNum"/>
      </w:pPr>
      <w:r>
        <w:t>In paragraph 1</w:t>
      </w:r>
      <w:r w:rsidR="001610AE">
        <w:t>,</w:t>
      </w:r>
      <w:r>
        <w:t xml:space="preserve"> under part 1 – Practice and Procedure, the authority language is corrected to read as follows:</w:t>
      </w:r>
    </w:p>
    <w:p w:rsidR="007818D6" w:rsidRPr="00460B95" w:rsidP="007818D6" w14:paraId="0ED1F7D7" w14:textId="0E551A30">
      <w:pPr>
        <w:pStyle w:val="ParaNum"/>
        <w:numPr>
          <w:ilvl w:val="0"/>
          <w:numId w:val="0"/>
        </w:numPr>
        <w:ind w:left="720"/>
      </w:pPr>
      <w:r w:rsidRPr="00460B95">
        <w:t>“</w:t>
      </w:r>
      <w:r w:rsidRPr="00460B95">
        <w:rPr>
          <w:b/>
          <w:bCs/>
        </w:rPr>
        <w:t xml:space="preserve">Authority: </w:t>
      </w:r>
      <w:r w:rsidRPr="00460B95">
        <w:t xml:space="preserve">47 U.S.C. </w:t>
      </w:r>
      <w:r w:rsidRPr="00460B95">
        <w:t>chs</w:t>
      </w:r>
      <w:r w:rsidRPr="00460B95">
        <w:t>. 2, 5, 9, 13; 28 U.S.C. 2461, unless otherwise noted.</w:t>
      </w:r>
      <w:r w:rsidRPr="00460B95" w:rsidR="00B06F47">
        <w:t>”</w:t>
      </w:r>
    </w:p>
    <w:p w:rsidR="007E72F9" w:rsidRPr="00460B95" w:rsidP="00F5277C" w14:paraId="71DA6200" w14:textId="0BB7A499">
      <w:pPr>
        <w:pStyle w:val="ParaNum"/>
        <w:numPr>
          <w:ilvl w:val="0"/>
          <w:numId w:val="0"/>
        </w:numPr>
        <w:ind w:firstLine="720"/>
      </w:pPr>
      <w:r w:rsidRPr="00460B95">
        <w:t>2.</w:t>
      </w:r>
      <w:r w:rsidRPr="00460B95">
        <w:tab/>
        <w:t>In paragraph (a), under section 25.122, the</w:t>
      </w:r>
      <w:r w:rsidRPr="00460B95" w:rsidR="00EA1D97">
        <w:t xml:space="preserve"> word “either” is deleted in the</w:t>
      </w:r>
      <w:r w:rsidRPr="00460B95">
        <w:t xml:space="preserve"> first sentence</w:t>
      </w:r>
      <w:r w:rsidRPr="00460B95" w:rsidR="00EA1D97">
        <w:t>, to</w:t>
      </w:r>
      <w:r w:rsidRPr="00460B95">
        <w:t xml:space="preserve"> read as follows:</w:t>
      </w:r>
    </w:p>
    <w:p w:rsidR="007E72F9" w:rsidRPr="00460B95" w:rsidP="007E72F9" w14:paraId="200E67A0" w14:textId="612E4066">
      <w:pPr>
        <w:pStyle w:val="ParaNum"/>
        <w:numPr>
          <w:ilvl w:val="0"/>
          <w:numId w:val="0"/>
        </w:numPr>
        <w:ind w:left="720"/>
      </w:pPr>
      <w:r w:rsidRPr="00460B95">
        <w:t>“(a) This section shall only apply to applicants for NGSO systems that are able to certify compliance with the certifications set forth in paragraph (c) of this section.”</w:t>
      </w:r>
    </w:p>
    <w:p w:rsidR="007E72F9" w:rsidRPr="00460B95" w:rsidP="00F5277C" w14:paraId="35CB70A5" w14:textId="3A52486A">
      <w:pPr>
        <w:pStyle w:val="ParaNum"/>
        <w:numPr>
          <w:ilvl w:val="0"/>
          <w:numId w:val="0"/>
        </w:numPr>
        <w:ind w:firstLine="720"/>
      </w:pPr>
      <w:r w:rsidRPr="00460B95">
        <w:t>3.</w:t>
      </w:r>
      <w:r w:rsidRPr="00460B95" w:rsidR="00EA1D97">
        <w:tab/>
        <w:t>In paragraph (c), under section 25.122, the heading “</w:t>
      </w:r>
      <w:r w:rsidRPr="00460B95" w:rsidR="00EA1D97">
        <w:rPr>
          <w:i/>
          <w:iCs/>
        </w:rPr>
        <w:t>Certifications under this section</w:t>
      </w:r>
      <w:r w:rsidRPr="00460B95" w:rsidR="00B32F20">
        <w:t>.</w:t>
      </w:r>
      <w:r w:rsidRPr="00460B95" w:rsidR="00EA1D97">
        <w:t>” is deleted.</w:t>
      </w:r>
    </w:p>
    <w:p w:rsidR="00C764A2" w:rsidRPr="00460B95" w:rsidP="00F5277C" w14:paraId="01B0DB0F" w14:textId="77F5E8C9">
      <w:pPr>
        <w:pStyle w:val="ParaNum"/>
        <w:numPr>
          <w:ilvl w:val="0"/>
          <w:numId w:val="0"/>
        </w:numPr>
        <w:ind w:firstLine="720"/>
      </w:pPr>
      <w:r w:rsidRPr="00460B95">
        <w:t>4</w:t>
      </w:r>
      <w:r w:rsidRPr="00460B95">
        <w:t>.</w:t>
      </w:r>
      <w:r w:rsidRPr="00460B95">
        <w:tab/>
        <w:t>In paragraph (c)(3)(ii),</w:t>
      </w:r>
      <w:r w:rsidRPr="00460B95" w:rsidR="008767CF">
        <w:t xml:space="preserve"> under section 25.122,</w:t>
      </w:r>
      <w:r w:rsidRPr="00460B95">
        <w:t xml:space="preserve"> the period at the end of the </w:t>
      </w:r>
      <w:r w:rsidRPr="00460B95" w:rsidR="004C555D">
        <w:t>paragraph</w:t>
      </w:r>
      <w:r w:rsidRPr="00460B95">
        <w:t xml:space="preserve"> is replaced with a semicolon.</w:t>
      </w:r>
    </w:p>
    <w:p w:rsidR="00EA1D97" w:rsidRPr="00460B95" w:rsidP="00F5277C" w14:paraId="181E36BF" w14:textId="5C49AB89">
      <w:pPr>
        <w:pStyle w:val="ParaNum"/>
        <w:numPr>
          <w:ilvl w:val="0"/>
          <w:numId w:val="0"/>
        </w:numPr>
        <w:ind w:firstLine="720"/>
      </w:pPr>
      <w:r w:rsidRPr="00460B95">
        <w:t>5</w:t>
      </w:r>
      <w:r w:rsidRPr="00460B95">
        <w:t>.</w:t>
      </w:r>
      <w:r w:rsidRPr="00460B95">
        <w:tab/>
      </w:r>
      <w:r w:rsidRPr="00460B95" w:rsidR="0014331E">
        <w:t>Paragraph</w:t>
      </w:r>
      <w:r w:rsidRPr="00460B95">
        <w:t xml:space="preserve"> (c)(7), under section 25.122, is corrected by spelling out “National Aeronautics and Space Administration” to read as follows:</w:t>
      </w:r>
    </w:p>
    <w:p w:rsidR="00EA1D97" w:rsidRPr="00460B95" w:rsidP="007E72F9" w14:paraId="14C33CDB" w14:textId="25A87704">
      <w:pPr>
        <w:pStyle w:val="ParaNum"/>
        <w:numPr>
          <w:ilvl w:val="0"/>
          <w:numId w:val="0"/>
        </w:numPr>
        <w:ind w:left="720"/>
      </w:pPr>
      <w:r w:rsidRPr="00460B95">
        <w:t>“</w:t>
      </w:r>
      <w:bookmarkStart w:id="1" w:name="_Hlk45628524"/>
      <w:r w:rsidRPr="00460B95">
        <w:t>The probability of a collision between each space station and any other large object (10 centimeters or larger) during the orbital lifetime of the space station is 0.001 or less as calculated using current National Aeronautics and Space Administration (NASA) software or other higher fidelity model;”</w:t>
      </w:r>
      <w:bookmarkEnd w:id="1"/>
    </w:p>
    <w:p w:rsidR="001C217B" w:rsidRPr="00460B95" w:rsidP="007E72F9" w14:paraId="4AEA94E4" w14:textId="59C366B4">
      <w:pPr>
        <w:pStyle w:val="ParaNum"/>
        <w:numPr>
          <w:ilvl w:val="0"/>
          <w:numId w:val="0"/>
        </w:numPr>
        <w:ind w:left="720"/>
      </w:pPr>
      <w:r w:rsidRPr="00460B95">
        <w:t>6</w:t>
      </w:r>
      <w:r w:rsidRPr="00460B95">
        <w:t>.</w:t>
      </w:r>
      <w:r w:rsidRPr="00460B95">
        <w:tab/>
        <w:t>In paragraph (c)(11), under section 25.122, the word “and” is added at the end of the paragraph.</w:t>
      </w:r>
    </w:p>
    <w:p w:rsidR="004C555D" w:rsidRPr="00460B95" w:rsidP="00A216E3" w14:paraId="5DDE948D" w14:textId="72CA1056">
      <w:pPr>
        <w:pStyle w:val="ParaNum"/>
        <w:numPr>
          <w:ilvl w:val="0"/>
          <w:numId w:val="0"/>
        </w:numPr>
        <w:ind w:firstLine="720"/>
      </w:pPr>
      <w:r w:rsidRPr="00460B95">
        <w:t>7</w:t>
      </w:r>
      <w:r w:rsidRPr="00460B95" w:rsidR="00EA1D97">
        <w:t>.</w:t>
      </w:r>
      <w:r w:rsidRPr="00460B95" w:rsidR="00EA1D97">
        <w:tab/>
        <w:t>In paragraph (d), under</w:t>
      </w:r>
      <w:r w:rsidRPr="00460B95" w:rsidR="00B32F20">
        <w:t xml:space="preserve"> section 25.122, the heading “</w:t>
      </w:r>
      <w:r w:rsidRPr="00460B95" w:rsidR="00B32F20">
        <w:rPr>
          <w:i/>
          <w:iCs/>
        </w:rPr>
        <w:t>Other application information</w:t>
      </w:r>
      <w:r w:rsidRPr="00460B95" w:rsidR="00B32F20">
        <w:t>.” is deleted.</w:t>
      </w:r>
    </w:p>
    <w:p w:rsidR="00B32F20" w:rsidRPr="00460B95" w:rsidP="00F5277C" w14:paraId="19397D49" w14:textId="074F6961">
      <w:pPr>
        <w:pStyle w:val="ParaNum"/>
        <w:numPr>
          <w:ilvl w:val="0"/>
          <w:numId w:val="0"/>
        </w:numPr>
        <w:ind w:firstLine="720"/>
      </w:pPr>
      <w:r w:rsidRPr="00460B95">
        <w:t>8</w:t>
      </w:r>
      <w:r w:rsidRPr="00460B95" w:rsidR="004C555D">
        <w:t>.</w:t>
      </w:r>
      <w:r w:rsidRPr="00460B95" w:rsidR="004C555D">
        <w:tab/>
      </w:r>
      <w:r w:rsidRPr="00460B95">
        <w:t>In paragraph (b), under section 25.123, the heading “</w:t>
      </w:r>
      <w:r w:rsidRPr="00460B95">
        <w:rPr>
          <w:i/>
          <w:iCs/>
        </w:rPr>
        <w:t>Certifications under this section</w:t>
      </w:r>
      <w:r w:rsidRPr="00460B95">
        <w:t>.” is deleted.</w:t>
      </w:r>
    </w:p>
    <w:p w:rsidR="006B029A" w:rsidRPr="00460B95" w:rsidP="00F5277C" w14:paraId="083522EB" w14:textId="31D6B20B">
      <w:pPr>
        <w:pStyle w:val="ParaNum"/>
        <w:numPr>
          <w:ilvl w:val="0"/>
          <w:numId w:val="0"/>
        </w:numPr>
        <w:ind w:firstLine="720"/>
      </w:pPr>
      <w:r w:rsidRPr="00460B95">
        <w:t>9</w:t>
      </w:r>
      <w:r w:rsidRPr="00460B95" w:rsidR="00B32F20">
        <w:t>.</w:t>
      </w:r>
      <w:r w:rsidRPr="00460B95" w:rsidR="00B32F20">
        <w:tab/>
        <w:t>In paragraph (c), under section 25.123, the heading “</w:t>
      </w:r>
      <w:r w:rsidRPr="00460B95" w:rsidR="00B32F20">
        <w:rPr>
          <w:i/>
          <w:iCs/>
        </w:rPr>
        <w:t>Other application information.</w:t>
      </w:r>
      <w:r w:rsidRPr="00460B95" w:rsidR="00B32F20">
        <w:t>” is deleted.</w:t>
      </w:r>
    </w:p>
    <w:p w:rsidR="004C555D" w:rsidRPr="00460B95" w:rsidP="00F5277C" w14:paraId="530CEAFF" w14:textId="2FC9CDCA">
      <w:pPr>
        <w:pStyle w:val="ParaNum"/>
        <w:numPr>
          <w:ilvl w:val="0"/>
          <w:numId w:val="0"/>
        </w:numPr>
        <w:ind w:firstLine="720"/>
      </w:pPr>
      <w:r w:rsidRPr="00460B95">
        <w:t>10</w:t>
      </w:r>
      <w:r w:rsidRPr="00460B95">
        <w:t>.</w:t>
      </w:r>
      <w:r w:rsidRPr="00460B95">
        <w:tab/>
        <w:t>In paragraph (c), under section 25.123, the first occurrence of the word “in” is deleted, to read as follows:</w:t>
      </w:r>
    </w:p>
    <w:p w:rsidR="004C555D" w:rsidRPr="00460B95" w:rsidP="00F5277C" w14:paraId="4DED42F6" w14:textId="66941B37">
      <w:pPr>
        <w:pStyle w:val="ParaNum"/>
        <w:numPr>
          <w:ilvl w:val="0"/>
          <w:numId w:val="0"/>
        </w:numPr>
        <w:ind w:firstLine="720"/>
      </w:pPr>
      <w:r w:rsidRPr="00460B95">
        <w:t>“Applicants must also provide the information specified in § 25.122(d) in narrative form.”</w:t>
      </w:r>
    </w:p>
    <w:p w:rsidR="00B32F20" w:rsidRPr="00460B95" w:rsidP="00F5277C" w14:paraId="5D9E47C6" w14:textId="5A1B1B07">
      <w:pPr>
        <w:pStyle w:val="ParaNum"/>
        <w:numPr>
          <w:ilvl w:val="0"/>
          <w:numId w:val="0"/>
        </w:numPr>
        <w:ind w:firstLine="720"/>
      </w:pPr>
      <w:r w:rsidRPr="00460B95">
        <w:t>11</w:t>
      </w:r>
      <w:r w:rsidRPr="00460B95">
        <w:t>.</w:t>
      </w:r>
      <w:r w:rsidRPr="00460B95">
        <w:tab/>
      </w:r>
      <w:r w:rsidRPr="00460B95" w:rsidR="001C217B">
        <w:t>In paragraph</w:t>
      </w:r>
      <w:r w:rsidRPr="00460B95">
        <w:t xml:space="preserve"> (d)(5)</w:t>
      </w:r>
      <w:r w:rsidRPr="00460B95" w:rsidR="001C217B">
        <w:t>,</w:t>
      </w:r>
      <w:r w:rsidRPr="00460B95">
        <w:t xml:space="preserve"> under section 25.137, the last sentence is corrected by changing “provision” to “paragraph (d)(5)” to read as follows:</w:t>
      </w:r>
    </w:p>
    <w:p w:rsidR="00B32F20" w:rsidRPr="00460B95" w:rsidP="007E72F9" w14:paraId="573DC5DC" w14:textId="70359A91">
      <w:pPr>
        <w:pStyle w:val="ParaNum"/>
        <w:numPr>
          <w:ilvl w:val="0"/>
          <w:numId w:val="0"/>
        </w:numPr>
        <w:ind w:left="720"/>
      </w:pPr>
      <w:r w:rsidRPr="00460B95">
        <w:t>“</w:t>
      </w:r>
      <w:bookmarkStart w:id="2" w:name="_Hlk45628659"/>
      <w:r w:rsidRPr="00460B95">
        <w:t>This paragraph (d)(5) shall not apply to recipients of U.S. market access applying under § 25.122 or § 25.123.”</w:t>
      </w:r>
    </w:p>
    <w:bookmarkEnd w:id="2"/>
    <w:p w:rsidR="00B32F20" w:rsidRPr="00460B95" w:rsidP="00F5277C" w14:paraId="5377A77B" w14:textId="14AC9EA5">
      <w:pPr>
        <w:pStyle w:val="ParaNum"/>
        <w:numPr>
          <w:ilvl w:val="0"/>
          <w:numId w:val="0"/>
        </w:numPr>
        <w:ind w:firstLine="720"/>
      </w:pPr>
      <w:r w:rsidRPr="00460B95">
        <w:t>1</w:t>
      </w:r>
      <w:r w:rsidRPr="00460B95" w:rsidR="00A216E3">
        <w:t>2</w:t>
      </w:r>
      <w:r w:rsidRPr="00460B95">
        <w:t>.</w:t>
      </w:r>
      <w:r w:rsidRPr="00460B95">
        <w:tab/>
        <w:t>In paragraph (d)(1)</w:t>
      </w:r>
      <w:r w:rsidRPr="00460B95" w:rsidR="00BA6484">
        <w:t>,</w:t>
      </w:r>
      <w:r w:rsidRPr="00460B95">
        <w:t xml:space="preserve"> under section 25.</w:t>
      </w:r>
      <w:r w:rsidRPr="00460B95" w:rsidR="00AB19FA">
        <w:t>156</w:t>
      </w:r>
      <w:r w:rsidRPr="00460B95">
        <w:t xml:space="preserve">, </w:t>
      </w:r>
      <w:r w:rsidRPr="00460B95" w:rsidR="00BA6484">
        <w:t>the reference to “§ 25.157(i)” is replaced with “(i)” to read as follows:</w:t>
      </w:r>
    </w:p>
    <w:p w:rsidR="00BA6484" w:rsidRPr="00460B95" w:rsidP="007E72F9" w14:paraId="06A323D6" w14:textId="75B058FF">
      <w:pPr>
        <w:pStyle w:val="ParaNum"/>
        <w:numPr>
          <w:ilvl w:val="0"/>
          <w:numId w:val="0"/>
        </w:numPr>
        <w:ind w:left="720"/>
      </w:pPr>
      <w:r w:rsidRPr="00460B95">
        <w:t>“Applications for NGSO-like satellite operation will be considered pursuant to the procedures set forth in § 25.157, except as provided in § 25.157(b) or (i), as appropriate.”</w:t>
      </w:r>
    </w:p>
    <w:p w:rsidR="00A216E3" w:rsidRPr="00460B95" w:rsidP="007E72F9" w14:paraId="0953221B" w14:textId="1C2ACB0E">
      <w:pPr>
        <w:pStyle w:val="ParaNum"/>
        <w:numPr>
          <w:ilvl w:val="0"/>
          <w:numId w:val="0"/>
        </w:numPr>
        <w:ind w:left="720"/>
      </w:pPr>
      <w:r w:rsidRPr="00460B95">
        <w:t>13.</w:t>
      </w:r>
      <w:r w:rsidRPr="00460B95">
        <w:tab/>
        <w:t>In paragraph (a)(1), under section 25.157, the comma preceding the word “and” is replaced with a semicolon.</w:t>
      </w:r>
    </w:p>
    <w:p w:rsidR="00BA6484" w:rsidRPr="00460B95" w:rsidP="00F5277C" w14:paraId="11E9FFDE" w14:textId="21A68F34">
      <w:pPr>
        <w:pStyle w:val="ParaNum"/>
        <w:numPr>
          <w:ilvl w:val="0"/>
          <w:numId w:val="0"/>
        </w:numPr>
        <w:ind w:firstLine="720"/>
      </w:pPr>
      <w:r w:rsidRPr="00460B95">
        <w:t>1</w:t>
      </w:r>
      <w:r w:rsidRPr="00460B95" w:rsidR="00D24EBF">
        <w:t>4</w:t>
      </w:r>
      <w:r w:rsidRPr="00460B95">
        <w:t>.</w:t>
      </w:r>
      <w:r w:rsidRPr="00460B95">
        <w:tab/>
        <w:t xml:space="preserve">In paragraph (b), under section 25.159, the last sentence is corrected by </w:t>
      </w:r>
      <w:r w:rsidRPr="00460B95" w:rsidR="002B7FC7">
        <w:t xml:space="preserve">replacing </w:t>
      </w:r>
      <w:r w:rsidRPr="00460B95">
        <w:t xml:space="preserve">“provision” </w:t>
      </w:r>
      <w:r w:rsidRPr="00460B95" w:rsidR="002B7FC7">
        <w:t>with</w:t>
      </w:r>
      <w:r w:rsidRPr="00460B95">
        <w:t xml:space="preserve"> “paragraph (b)” to read as follows:</w:t>
      </w:r>
    </w:p>
    <w:p w:rsidR="00BA6484" w:rsidRPr="00460B95" w:rsidP="007E72F9" w14:paraId="32A4E2E3" w14:textId="15593B97">
      <w:pPr>
        <w:pStyle w:val="ParaNum"/>
        <w:numPr>
          <w:ilvl w:val="0"/>
          <w:numId w:val="0"/>
        </w:numPr>
        <w:ind w:left="720"/>
      </w:pPr>
      <w:r w:rsidRPr="00460B95">
        <w:t>“This paragraph (b) shall not apply to applicants filing under § 25.122 or § 25.123.”</w:t>
      </w:r>
    </w:p>
    <w:p w:rsidR="00BA6484" w:rsidP="00F5277C" w14:paraId="1B4FBB51" w14:textId="1123EE9E">
      <w:pPr>
        <w:pStyle w:val="ParaNum"/>
        <w:numPr>
          <w:ilvl w:val="0"/>
          <w:numId w:val="0"/>
        </w:numPr>
        <w:ind w:firstLine="720"/>
      </w:pPr>
      <w:r w:rsidRPr="00460B95">
        <w:t>1</w:t>
      </w:r>
      <w:r w:rsidRPr="00460B95" w:rsidR="00D24EBF">
        <w:t>5</w:t>
      </w:r>
      <w:r w:rsidRPr="00460B95">
        <w:t>.</w:t>
      </w:r>
      <w:r w:rsidRPr="00460B95">
        <w:tab/>
        <w:t>Paragraph (b)(1), under section 25.217</w:t>
      </w:r>
      <w:r w:rsidRPr="00460B95" w:rsidR="00F5277C">
        <w:t>, is corrected to read as follows</w:t>
      </w:r>
      <w:r w:rsidRPr="00460B95" w:rsidR="006B029A">
        <w:t>:</w:t>
      </w:r>
      <w:r w:rsidR="006B029A">
        <w:t xml:space="preserve"> </w:t>
      </w:r>
    </w:p>
    <w:p w:rsidR="00BA6484" w:rsidP="007E72F9" w14:paraId="0E57C0B7" w14:textId="7B54EE56">
      <w:pPr>
        <w:pStyle w:val="ParaNum"/>
        <w:numPr>
          <w:ilvl w:val="0"/>
          <w:numId w:val="0"/>
        </w:numPr>
        <w:ind w:left="720"/>
      </w:pPr>
      <w:r>
        <w:t xml:space="preserve">“(b)(1) </w:t>
      </w:r>
      <w:r w:rsidRPr="00BA6484">
        <w:t>For all NGSO-like satellite licenses, except as specified in paragraph (b)(4) of this section, for which the application was filed pursuant to the procedures set forth in § 25.157 after August 27, 2003, authorizing operations in a frequency band for which the Commission has not adopted frequency band-specific service rules at the time the license is granted, the licensee will be required to comply with the technical requirements in paragraphs (b)(2) through (4) of this section, notwithstanding the frequency bands specified in these sections:</w:t>
      </w:r>
      <w:r w:rsidR="00C379A8">
        <w:t xml:space="preserve"> </w:t>
      </w:r>
      <w:r w:rsidRPr="00C379A8" w:rsidR="00C379A8">
        <w:t>§§ 25.143(b)(2)(ii) (except NGSO FSS systems) and (iii), 25.204(e), and 25.210(f) and (i).</w:t>
      </w:r>
      <w:r>
        <w:t>”</w:t>
      </w:r>
    </w:p>
    <w:p w:rsidR="00BA6484" w:rsidP="007E72F9" w14:paraId="103087D8" w14:textId="77777777">
      <w:pPr>
        <w:pStyle w:val="ParaNum"/>
        <w:numPr>
          <w:ilvl w:val="0"/>
          <w:numId w:val="0"/>
        </w:numPr>
        <w:ind w:left="720"/>
      </w:pPr>
    </w:p>
    <w:p w:rsidR="00B07300" w:rsidRPr="002A29D2" w:rsidP="005A09E4" w14:paraId="6FCD331D" w14:textId="77777777">
      <w:pPr>
        <w:pStyle w:val="Heading1"/>
        <w:numPr>
          <w:ilvl w:val="0"/>
          <w:numId w:val="0"/>
        </w:numPr>
        <w:spacing w:before="220" w:after="0"/>
        <w:rPr>
          <w:rFonts w:ascii="Times New Roman" w:hAnsi="Times New Roman"/>
          <w:b w:val="0"/>
          <w:caps w:val="0"/>
          <w:spacing w:val="-2"/>
        </w:rPr>
      </w:pP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sidRPr="002A29D2">
        <w:rPr>
          <w:rFonts w:ascii="Times New Roman" w:hAnsi="Times New Roman"/>
          <w:b w:val="0"/>
          <w:caps w:val="0"/>
          <w:spacing w:val="-2"/>
        </w:rPr>
        <w:t>FEDERAL COMMUNICATIONS COMMISSION</w:t>
      </w:r>
    </w:p>
    <w:p w:rsidR="00B07300" w:rsidP="002A29D2" w14:paraId="2E2ED58C" w14:textId="77777777">
      <w:pPr>
        <w:pStyle w:val="Heading1"/>
        <w:numPr>
          <w:ilvl w:val="0"/>
          <w:numId w:val="0"/>
        </w:numPr>
        <w:spacing w:after="0"/>
        <w:rPr>
          <w:rFonts w:ascii="Times New Roman" w:hAnsi="Times New Roman"/>
          <w:b w:val="0"/>
          <w:caps w:val="0"/>
          <w:spacing w:val="-2"/>
        </w:rPr>
      </w:pPr>
    </w:p>
    <w:p w:rsidR="002A29D2" w:rsidP="002A29D2" w14:paraId="55C338FF" w14:textId="77777777">
      <w:pPr>
        <w:pStyle w:val="ParaNum"/>
        <w:numPr>
          <w:ilvl w:val="0"/>
          <w:numId w:val="0"/>
        </w:numPr>
        <w:spacing w:after="0"/>
      </w:pPr>
    </w:p>
    <w:p w:rsidR="002A29D2" w:rsidP="002A29D2" w14:paraId="3D6E6002" w14:textId="2D7F1756">
      <w:pPr>
        <w:pStyle w:val="ParaNum"/>
        <w:numPr>
          <w:ilvl w:val="0"/>
          <w:numId w:val="0"/>
        </w:numPr>
        <w:spacing w:after="0"/>
      </w:pPr>
      <w:r>
        <w:tab/>
      </w:r>
      <w:r>
        <w:tab/>
      </w:r>
      <w:r>
        <w:tab/>
      </w:r>
      <w:r>
        <w:tab/>
      </w:r>
      <w:r>
        <w:tab/>
      </w:r>
      <w:r>
        <w:tab/>
      </w:r>
      <w:r>
        <w:rPr>
          <w:noProof/>
        </w:rPr>
        <w:drawing>
          <wp:inline distT="0" distB="0" distL="0" distR="0">
            <wp:extent cx="2303145" cy="516890"/>
            <wp:effectExtent l="0" t="0" r="1905" b="0"/>
            <wp:docPr id="27" name="Picture 27"/>
            <wp:cNvGraphicFramePr/>
            <a:graphic xmlns:a="http://schemas.openxmlformats.org/drawingml/2006/main">
              <a:graphicData uri="http://schemas.openxmlformats.org/drawingml/2006/picture">
                <pic:pic xmlns:pic="http://schemas.openxmlformats.org/drawingml/2006/picture">
                  <pic:nvPicPr>
                    <pic:cNvPr id="446954024" name="Picture 27"/>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2303145" cy="516890"/>
                    </a:xfrm>
                    <a:prstGeom prst="rect">
                      <a:avLst/>
                    </a:prstGeom>
                    <a:noFill/>
                    <a:ln>
                      <a:noFill/>
                    </a:ln>
                  </pic:spPr>
                </pic:pic>
              </a:graphicData>
            </a:graphic>
          </wp:inline>
        </w:drawing>
      </w:r>
    </w:p>
    <w:p w:rsidR="002A29D2" w:rsidRPr="002A29D2" w:rsidP="002A29D2" w14:paraId="4E66109B" w14:textId="77777777">
      <w:pPr>
        <w:pStyle w:val="ParaNum"/>
        <w:numPr>
          <w:ilvl w:val="0"/>
          <w:numId w:val="0"/>
        </w:numPr>
        <w:spacing w:after="0"/>
      </w:pPr>
    </w:p>
    <w:p w:rsidR="00DC1443" w:rsidP="00DC1443" w14:paraId="6CFBDC41" w14:textId="22766601">
      <w:pPr>
        <w:pStyle w:val="Heading1"/>
        <w:numPr>
          <w:ilvl w:val="0"/>
          <w:numId w:val="0"/>
        </w:numPr>
        <w:spacing w:after="0"/>
        <w:rPr>
          <w:rFonts w:ascii="Times New Roman" w:hAnsi="Times New Roman"/>
          <w:b w:val="0"/>
          <w:caps w:val="0"/>
          <w:spacing w:val="-2"/>
        </w:rPr>
      </w:pP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00B06F47">
        <w:rPr>
          <w:rFonts w:ascii="Times New Roman" w:hAnsi="Times New Roman"/>
          <w:b w:val="0"/>
          <w:caps w:val="0"/>
          <w:spacing w:val="-2"/>
        </w:rPr>
        <w:t>Mark Stephens</w:t>
      </w:r>
    </w:p>
    <w:p w:rsidR="00DC1443" w:rsidRPr="00DC1443" w:rsidP="00DC1443" w14:paraId="3FF595D7" w14:textId="12B156EA">
      <w:pPr>
        <w:pStyle w:val="ParaNum"/>
        <w:numPr>
          <w:ilvl w:val="0"/>
          <w:numId w:val="0"/>
        </w:numPr>
        <w:ind w:left="3600" w:firstLine="720"/>
      </w:pPr>
      <w:r>
        <w:t>Managing Director</w:t>
      </w:r>
      <w:r w:rsidR="00D85C1D">
        <w:t xml:space="preserve"> </w:t>
      </w:r>
    </w:p>
    <w:p w:rsidR="002E484C" w:rsidP="00E00E22" w14:paraId="5914BD85" w14:textId="77777777">
      <w:pPr>
        <w:pStyle w:val="Heading1"/>
        <w:numPr>
          <w:ilvl w:val="0"/>
          <w:numId w:val="0"/>
        </w:numPr>
      </w:pPr>
    </w:p>
    <w:sectPr>
      <w:headerReference w:type="default" r:id="rId5"/>
      <w:footerReference w:type="default" r:id="rId6"/>
      <w:headerReference w:type="first" r:id="rId7"/>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14:paraId="0384B6E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P="002A29D2" w14:paraId="3D12743F" w14:textId="6889F362">
    <w:pPr>
      <w:pStyle w:val="Header"/>
    </w:pPr>
    <w:r>
      <w:tab/>
      <w:t>Federal Communications Commission</w:t>
    </w:r>
    <w:r>
      <w:tab/>
    </w:r>
    <w:r w:rsidR="009331B1">
      <w:t>DA 20-736</w:t>
    </w:r>
    <w:r>
      <w:t xml:space="preserve"> </w:t>
    </w:r>
  </w:p>
  <w:p w:rsidR="0060228B" w:rsidP="002A29D2" w14:paraId="08027B2B" w14:textId="77777777">
    <w:pPr>
      <w:pStyle w:val="Header"/>
    </w:pPr>
    <w:r>
      <w:rPr>
        <w:noProof/>
        <w:snapToGrid/>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60228B" w:rsidP="002A29D2" w14:paraId="623BD1C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RPr="002A29D2" w:rsidP="002A29D2" w14:paraId="7FA871AA" w14:textId="350D1440">
    <w:pPr>
      <w:pStyle w:val="Header"/>
    </w:pPr>
    <w:r>
      <w:tab/>
    </w:r>
    <w:r w:rsidRPr="002A29D2">
      <w:t>Federal Communications Commission</w:t>
    </w:r>
    <w:r w:rsidRPr="002A29D2">
      <w:tab/>
    </w:r>
    <w:r w:rsidR="009331B1">
      <w:t>DA 20-736</w:t>
    </w:r>
    <w:r w:rsidRPr="002A29D2">
      <w:t xml:space="preserve"> </w:t>
    </w:r>
  </w:p>
  <w:p w:rsidR="0060228B" w:rsidP="002A29D2" w14:paraId="7C1D920C" w14:textId="77777777">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2">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3">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4">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6">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1">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3">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5">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6">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5"/>
  </w:num>
  <w:num w:numId="2">
    <w:abstractNumId w:val="26"/>
  </w:num>
  <w:num w:numId="3">
    <w:abstractNumId w:val="4"/>
  </w:num>
  <w:num w:numId="4">
    <w:abstractNumId w:val="20"/>
  </w:num>
  <w:num w:numId="5">
    <w:abstractNumId w:val="8"/>
  </w:num>
  <w:num w:numId="6">
    <w:abstractNumId w:val="23"/>
  </w:num>
  <w:num w:numId="7">
    <w:abstractNumId w:val="16"/>
  </w:num>
  <w:num w:numId="8">
    <w:abstractNumId w:val="9"/>
  </w:num>
  <w:num w:numId="9">
    <w:abstractNumId w:val="22"/>
  </w:num>
  <w:num w:numId="10">
    <w:abstractNumId w:val="14"/>
  </w:num>
  <w:num w:numId="11">
    <w:abstractNumId w:val="13"/>
  </w:num>
  <w:num w:numId="12">
    <w:abstractNumId w:val="10"/>
  </w:num>
  <w:num w:numId="13">
    <w:abstractNumId w:val="15"/>
  </w:num>
  <w:num w:numId="14">
    <w:abstractNumId w:val="21"/>
  </w:num>
  <w:num w:numId="15">
    <w:abstractNumId w:val="2"/>
  </w:num>
  <w:num w:numId="16">
    <w:abstractNumId w:val="3"/>
  </w:num>
  <w:num w:numId="17">
    <w:abstractNumId w:val="11"/>
  </w:num>
  <w:num w:numId="18">
    <w:abstractNumId w:val="1"/>
  </w:num>
  <w:num w:numId="19">
    <w:abstractNumId w:val="12"/>
  </w:num>
  <w:num w:numId="20">
    <w:abstractNumId w:val="17"/>
  </w:num>
  <w:num w:numId="21">
    <w:abstractNumId w:val="19"/>
  </w:num>
  <w:num w:numId="22">
    <w:abstractNumId w:val="5"/>
  </w:num>
  <w:num w:numId="23">
    <w:abstractNumId w:val="24"/>
  </w:num>
  <w:num w:numId="24">
    <w:abstractNumId w:val="7"/>
  </w:num>
  <w:num w:numId="25">
    <w:abstractNumId w:val="18"/>
  </w:num>
  <w:num w:numId="26">
    <w:abstractNumId w:val="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F5E"/>
    <w:rsid w:val="000115BE"/>
    <w:rsid w:val="00021E3C"/>
    <w:rsid w:val="00042A2E"/>
    <w:rsid w:val="000E1045"/>
    <w:rsid w:val="00107FEF"/>
    <w:rsid w:val="00127BAC"/>
    <w:rsid w:val="0014331E"/>
    <w:rsid w:val="0015072A"/>
    <w:rsid w:val="001610AE"/>
    <w:rsid w:val="00166C3E"/>
    <w:rsid w:val="001917D0"/>
    <w:rsid w:val="001A2AB0"/>
    <w:rsid w:val="001B2922"/>
    <w:rsid w:val="001C217B"/>
    <w:rsid w:val="001D1426"/>
    <w:rsid w:val="001D1B37"/>
    <w:rsid w:val="002006E4"/>
    <w:rsid w:val="00201DDB"/>
    <w:rsid w:val="00296C09"/>
    <w:rsid w:val="002A29D2"/>
    <w:rsid w:val="002A4E36"/>
    <w:rsid w:val="002B7FC7"/>
    <w:rsid w:val="002C15B6"/>
    <w:rsid w:val="002E484C"/>
    <w:rsid w:val="002E7F8F"/>
    <w:rsid w:val="00394ACB"/>
    <w:rsid w:val="003A3C9D"/>
    <w:rsid w:val="003A409C"/>
    <w:rsid w:val="003C5453"/>
    <w:rsid w:val="003E2E92"/>
    <w:rsid w:val="00410536"/>
    <w:rsid w:val="0041692A"/>
    <w:rsid w:val="00432A69"/>
    <w:rsid w:val="00456E40"/>
    <w:rsid w:val="00460B95"/>
    <w:rsid w:val="004655CD"/>
    <w:rsid w:val="004B7418"/>
    <w:rsid w:val="004C31A0"/>
    <w:rsid w:val="004C555D"/>
    <w:rsid w:val="004D4F89"/>
    <w:rsid w:val="004E1642"/>
    <w:rsid w:val="00526688"/>
    <w:rsid w:val="00527966"/>
    <w:rsid w:val="00542946"/>
    <w:rsid w:val="005651E1"/>
    <w:rsid w:val="005A09E4"/>
    <w:rsid w:val="005A437C"/>
    <w:rsid w:val="005A7003"/>
    <w:rsid w:val="005B363B"/>
    <w:rsid w:val="005F2207"/>
    <w:rsid w:val="0060228B"/>
    <w:rsid w:val="006761B3"/>
    <w:rsid w:val="006837D5"/>
    <w:rsid w:val="006A5895"/>
    <w:rsid w:val="006B029A"/>
    <w:rsid w:val="006C5A6F"/>
    <w:rsid w:val="006D6B9A"/>
    <w:rsid w:val="006D7031"/>
    <w:rsid w:val="007067E9"/>
    <w:rsid w:val="00731B06"/>
    <w:rsid w:val="007818D6"/>
    <w:rsid w:val="0078625B"/>
    <w:rsid w:val="007B3DCB"/>
    <w:rsid w:val="007E72F9"/>
    <w:rsid w:val="00800238"/>
    <w:rsid w:val="008341CC"/>
    <w:rsid w:val="00837A58"/>
    <w:rsid w:val="00875653"/>
    <w:rsid w:val="008767CF"/>
    <w:rsid w:val="00880AC7"/>
    <w:rsid w:val="00891ADC"/>
    <w:rsid w:val="008C65C4"/>
    <w:rsid w:val="008D4BD4"/>
    <w:rsid w:val="008E5FBD"/>
    <w:rsid w:val="009331B1"/>
    <w:rsid w:val="0098623B"/>
    <w:rsid w:val="009F5E5C"/>
    <w:rsid w:val="00A212F2"/>
    <w:rsid w:val="00A216E3"/>
    <w:rsid w:val="00A2392C"/>
    <w:rsid w:val="00A737CF"/>
    <w:rsid w:val="00A81F5E"/>
    <w:rsid w:val="00A924BA"/>
    <w:rsid w:val="00AA0A2F"/>
    <w:rsid w:val="00AA0BE7"/>
    <w:rsid w:val="00AB19FA"/>
    <w:rsid w:val="00B0236C"/>
    <w:rsid w:val="00B06F47"/>
    <w:rsid w:val="00B07300"/>
    <w:rsid w:val="00B101AE"/>
    <w:rsid w:val="00B32F20"/>
    <w:rsid w:val="00B34C48"/>
    <w:rsid w:val="00B46EC8"/>
    <w:rsid w:val="00B6542D"/>
    <w:rsid w:val="00BA6484"/>
    <w:rsid w:val="00BB43E4"/>
    <w:rsid w:val="00BD53F7"/>
    <w:rsid w:val="00BF0AE6"/>
    <w:rsid w:val="00C33DD2"/>
    <w:rsid w:val="00C379A8"/>
    <w:rsid w:val="00C51F95"/>
    <w:rsid w:val="00C65184"/>
    <w:rsid w:val="00C764A2"/>
    <w:rsid w:val="00C806E2"/>
    <w:rsid w:val="00CC5A9B"/>
    <w:rsid w:val="00CC68C1"/>
    <w:rsid w:val="00CD14FE"/>
    <w:rsid w:val="00CD6C71"/>
    <w:rsid w:val="00CF0C9F"/>
    <w:rsid w:val="00D17052"/>
    <w:rsid w:val="00D24EBF"/>
    <w:rsid w:val="00D727FF"/>
    <w:rsid w:val="00D85C1D"/>
    <w:rsid w:val="00D9403E"/>
    <w:rsid w:val="00DA5691"/>
    <w:rsid w:val="00DB79AE"/>
    <w:rsid w:val="00DC1443"/>
    <w:rsid w:val="00DD6DDC"/>
    <w:rsid w:val="00E00E22"/>
    <w:rsid w:val="00E05204"/>
    <w:rsid w:val="00E066AC"/>
    <w:rsid w:val="00E60467"/>
    <w:rsid w:val="00E63B9C"/>
    <w:rsid w:val="00E65FC7"/>
    <w:rsid w:val="00E66362"/>
    <w:rsid w:val="00E72442"/>
    <w:rsid w:val="00EA1D97"/>
    <w:rsid w:val="00EA51C0"/>
    <w:rsid w:val="00EB1A95"/>
    <w:rsid w:val="00EB3FDF"/>
    <w:rsid w:val="00ED2EA8"/>
    <w:rsid w:val="00EF6AEF"/>
    <w:rsid w:val="00F14416"/>
    <w:rsid w:val="00F2237A"/>
    <w:rsid w:val="00F25801"/>
    <w:rsid w:val="00F334F1"/>
    <w:rsid w:val="00F5277C"/>
    <w:rsid w:val="00F82C0E"/>
    <w:rsid w:val="00FA3275"/>
    <w:rsid w:val="00FB0F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1B1"/>
    <w:pPr>
      <w:widowControl w:val="0"/>
    </w:pPr>
    <w:rPr>
      <w:snapToGrid w:val="0"/>
      <w:kern w:val="28"/>
      <w:sz w:val="22"/>
    </w:rPr>
  </w:style>
  <w:style w:type="paragraph" w:styleId="Heading1">
    <w:name w:val="heading 1"/>
    <w:basedOn w:val="Normal"/>
    <w:next w:val="ParaNum"/>
    <w:qFormat/>
    <w:rsid w:val="009331B1"/>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331B1"/>
    <w:pPr>
      <w:keepNext/>
      <w:numPr>
        <w:ilvl w:val="1"/>
        <w:numId w:val="24"/>
      </w:numPr>
      <w:spacing w:after="120"/>
      <w:outlineLvl w:val="1"/>
    </w:pPr>
    <w:rPr>
      <w:b/>
    </w:rPr>
  </w:style>
  <w:style w:type="paragraph" w:styleId="Heading3">
    <w:name w:val="heading 3"/>
    <w:basedOn w:val="Normal"/>
    <w:next w:val="ParaNum"/>
    <w:qFormat/>
    <w:rsid w:val="009331B1"/>
    <w:pPr>
      <w:keepNext/>
      <w:numPr>
        <w:ilvl w:val="2"/>
        <w:numId w:val="24"/>
      </w:numPr>
      <w:tabs>
        <w:tab w:val="left" w:pos="2160"/>
      </w:tabs>
      <w:spacing w:after="120"/>
      <w:outlineLvl w:val="2"/>
    </w:pPr>
    <w:rPr>
      <w:b/>
    </w:rPr>
  </w:style>
  <w:style w:type="paragraph" w:styleId="Heading4">
    <w:name w:val="heading 4"/>
    <w:basedOn w:val="Normal"/>
    <w:next w:val="ParaNum"/>
    <w:qFormat/>
    <w:rsid w:val="009331B1"/>
    <w:pPr>
      <w:keepNext/>
      <w:numPr>
        <w:ilvl w:val="3"/>
        <w:numId w:val="24"/>
      </w:numPr>
      <w:tabs>
        <w:tab w:val="left" w:pos="2880"/>
      </w:tabs>
      <w:spacing w:after="120"/>
      <w:outlineLvl w:val="3"/>
    </w:pPr>
    <w:rPr>
      <w:b/>
    </w:rPr>
  </w:style>
  <w:style w:type="paragraph" w:styleId="Heading5">
    <w:name w:val="heading 5"/>
    <w:basedOn w:val="Normal"/>
    <w:next w:val="ParaNum"/>
    <w:qFormat/>
    <w:rsid w:val="009331B1"/>
    <w:pPr>
      <w:keepNext/>
      <w:numPr>
        <w:ilvl w:val="4"/>
        <w:numId w:val="24"/>
      </w:numPr>
      <w:tabs>
        <w:tab w:val="left" w:pos="3600"/>
      </w:tabs>
      <w:suppressAutoHyphens/>
      <w:spacing w:after="120"/>
      <w:outlineLvl w:val="4"/>
    </w:pPr>
    <w:rPr>
      <w:b/>
    </w:rPr>
  </w:style>
  <w:style w:type="paragraph" w:styleId="Heading6">
    <w:name w:val="heading 6"/>
    <w:basedOn w:val="Normal"/>
    <w:next w:val="ParaNum"/>
    <w:qFormat/>
    <w:rsid w:val="009331B1"/>
    <w:pPr>
      <w:numPr>
        <w:ilvl w:val="5"/>
        <w:numId w:val="24"/>
      </w:numPr>
      <w:tabs>
        <w:tab w:val="left" w:pos="4320"/>
      </w:tabs>
      <w:spacing w:after="120"/>
      <w:outlineLvl w:val="5"/>
    </w:pPr>
    <w:rPr>
      <w:b/>
    </w:rPr>
  </w:style>
  <w:style w:type="paragraph" w:styleId="Heading7">
    <w:name w:val="heading 7"/>
    <w:basedOn w:val="Normal"/>
    <w:next w:val="ParaNum"/>
    <w:qFormat/>
    <w:rsid w:val="009331B1"/>
    <w:pPr>
      <w:numPr>
        <w:ilvl w:val="6"/>
        <w:numId w:val="24"/>
      </w:numPr>
      <w:tabs>
        <w:tab w:val="left" w:pos="5040"/>
      </w:tabs>
      <w:spacing w:after="120"/>
      <w:ind w:left="5040" w:hanging="720"/>
      <w:outlineLvl w:val="6"/>
    </w:pPr>
    <w:rPr>
      <w:b/>
    </w:rPr>
  </w:style>
  <w:style w:type="paragraph" w:styleId="Heading8">
    <w:name w:val="heading 8"/>
    <w:basedOn w:val="Normal"/>
    <w:next w:val="ParaNum"/>
    <w:qFormat/>
    <w:rsid w:val="009331B1"/>
    <w:pPr>
      <w:numPr>
        <w:ilvl w:val="7"/>
        <w:numId w:val="24"/>
      </w:numPr>
      <w:tabs>
        <w:tab w:val="clear" w:pos="5400"/>
        <w:tab w:val="left" w:pos="5760"/>
      </w:tabs>
      <w:spacing w:after="120"/>
      <w:ind w:left="5760" w:hanging="720"/>
      <w:outlineLvl w:val="7"/>
    </w:pPr>
    <w:rPr>
      <w:b/>
    </w:rPr>
  </w:style>
  <w:style w:type="paragraph" w:styleId="Heading9">
    <w:name w:val="heading 9"/>
    <w:basedOn w:val="Normal"/>
    <w:next w:val="ParaNum"/>
    <w:qFormat/>
    <w:rsid w:val="009331B1"/>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331B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31B1"/>
  </w:style>
  <w:style w:type="paragraph" w:styleId="Caption">
    <w:name w:val="caption"/>
    <w:basedOn w:val="Normal"/>
    <w:next w:val="Normal"/>
    <w:qFormat/>
    <w:rsid w:val="009331B1"/>
    <w:pPr>
      <w:spacing w:before="120" w:after="120"/>
    </w:pPr>
    <w:rPr>
      <w:b/>
    </w:rPr>
  </w:style>
  <w:style w:type="paragraph" w:customStyle="1" w:styleId="ParaNum">
    <w:name w:val="ParaNum"/>
    <w:basedOn w:val="Normal"/>
    <w:rsid w:val="009331B1"/>
    <w:pPr>
      <w:numPr>
        <w:numId w:val="23"/>
      </w:numPr>
      <w:tabs>
        <w:tab w:val="clear" w:pos="1080"/>
        <w:tab w:val="num" w:pos="1440"/>
      </w:tabs>
      <w:spacing w:after="120"/>
    </w:pPr>
  </w:style>
  <w:style w:type="paragraph" w:styleId="FootnoteText">
    <w:name w:val="footnote text"/>
    <w:rsid w:val="009331B1"/>
    <w:pPr>
      <w:spacing w:after="120"/>
    </w:pPr>
  </w:style>
  <w:style w:type="paragraph" w:customStyle="1" w:styleId="Bullet">
    <w:name w:val="Bullet"/>
    <w:basedOn w:val="Normal"/>
    <w:rsid w:val="009331B1"/>
    <w:pPr>
      <w:tabs>
        <w:tab w:val="left" w:pos="2160"/>
      </w:tabs>
      <w:spacing w:after="220"/>
      <w:ind w:left="2160" w:hanging="720"/>
    </w:pPr>
  </w:style>
  <w:style w:type="paragraph" w:styleId="BlockText">
    <w:name w:val="Block Text"/>
    <w:basedOn w:val="Normal"/>
    <w:rsid w:val="009331B1"/>
    <w:pPr>
      <w:spacing w:after="240"/>
      <w:ind w:left="1440" w:right="1440"/>
    </w:pPr>
  </w:style>
  <w:style w:type="paragraph" w:customStyle="1" w:styleId="TableFormat">
    <w:name w:val="TableFormat"/>
    <w:basedOn w:val="Bullet"/>
    <w:rsid w:val="009331B1"/>
    <w:pPr>
      <w:tabs>
        <w:tab w:val="clear" w:pos="2160"/>
        <w:tab w:val="left" w:pos="5040"/>
      </w:tabs>
      <w:ind w:left="5040" w:hanging="3600"/>
    </w:pPr>
  </w:style>
  <w:style w:type="character" w:styleId="FootnoteReference">
    <w:name w:val="footnote reference"/>
    <w:rsid w:val="009331B1"/>
    <w:rPr>
      <w:rFonts w:ascii="Times New Roman" w:hAnsi="Times New Roman"/>
      <w:dstrike w:val="0"/>
      <w:color w:val="auto"/>
      <w:sz w:val="20"/>
      <w:vertAlign w:val="superscript"/>
    </w:rPr>
  </w:style>
  <w:style w:type="paragraph" w:styleId="Header">
    <w:name w:val="header"/>
    <w:basedOn w:val="Normal"/>
    <w:autoRedefine/>
    <w:rsid w:val="009331B1"/>
    <w:pPr>
      <w:tabs>
        <w:tab w:val="center" w:pos="4680"/>
        <w:tab w:val="right" w:pos="9360"/>
      </w:tabs>
    </w:pPr>
    <w:rPr>
      <w:b/>
    </w:rPr>
  </w:style>
  <w:style w:type="paragraph" w:styleId="Footer">
    <w:name w:val="footer"/>
    <w:basedOn w:val="Normal"/>
    <w:rsid w:val="009331B1"/>
    <w:pPr>
      <w:tabs>
        <w:tab w:val="center" w:pos="4320"/>
        <w:tab w:val="right" w:pos="8640"/>
      </w:tabs>
    </w:pPr>
  </w:style>
  <w:style w:type="paragraph" w:styleId="TOC2">
    <w:name w:val="toc 2"/>
    <w:basedOn w:val="Normal"/>
    <w:next w:val="Normal"/>
    <w:semiHidden/>
    <w:rsid w:val="009331B1"/>
    <w:pPr>
      <w:tabs>
        <w:tab w:val="left" w:pos="720"/>
        <w:tab w:val="right" w:leader="dot" w:pos="9360"/>
      </w:tabs>
      <w:suppressAutoHyphens/>
      <w:ind w:left="720" w:right="720" w:hanging="360"/>
    </w:pPr>
    <w:rPr>
      <w:noProof/>
    </w:rPr>
  </w:style>
  <w:style w:type="paragraph" w:customStyle="1" w:styleId="NumberedList">
    <w:name w:val="Numbered List"/>
    <w:basedOn w:val="Normal"/>
    <w:rsid w:val="009331B1"/>
    <w:pPr>
      <w:numPr>
        <w:numId w:val="21"/>
      </w:numPr>
      <w:tabs>
        <w:tab w:val="clear" w:pos="1080"/>
      </w:tabs>
      <w:spacing w:after="220"/>
      <w:ind w:firstLine="0"/>
    </w:pPr>
  </w:style>
  <w:style w:type="paragraph" w:styleId="TOC1">
    <w:name w:val="toc 1"/>
    <w:basedOn w:val="Normal"/>
    <w:next w:val="Normal"/>
    <w:semiHidden/>
    <w:rsid w:val="009331B1"/>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9331B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331B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331B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331B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331B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331B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331B1"/>
    <w:pPr>
      <w:tabs>
        <w:tab w:val="left" w:pos="3240"/>
        <w:tab w:val="right" w:leader="dot" w:pos="9360"/>
      </w:tabs>
      <w:suppressAutoHyphens/>
      <w:ind w:left="3240" w:hanging="360"/>
    </w:pPr>
    <w:rPr>
      <w:noProof/>
    </w:rPr>
  </w:style>
  <w:style w:type="character" w:styleId="PageNumber">
    <w:name w:val="page number"/>
    <w:basedOn w:val="DefaultParagraphFont"/>
    <w:rsid w:val="009331B1"/>
  </w:style>
  <w:style w:type="paragraph" w:styleId="Title">
    <w:name w:val="Title"/>
    <w:basedOn w:val="Normal"/>
    <w:qFormat/>
    <w:rsid w:val="009331B1"/>
    <w:pPr>
      <w:jc w:val="center"/>
    </w:pPr>
    <w:rPr>
      <w:b/>
    </w:rPr>
  </w:style>
  <w:style w:type="paragraph" w:styleId="EndnoteText">
    <w:name w:val="endnote text"/>
    <w:basedOn w:val="Normal"/>
    <w:link w:val="EndnoteTextChar"/>
    <w:rsid w:val="009331B1"/>
    <w:rPr>
      <w:sz w:val="20"/>
    </w:rPr>
  </w:style>
  <w:style w:type="character" w:customStyle="1" w:styleId="EndnoteTextChar">
    <w:name w:val="Endnote Text Char"/>
    <w:basedOn w:val="DefaultParagraphFont"/>
    <w:link w:val="EndnoteText"/>
    <w:rsid w:val="009331B1"/>
    <w:rPr>
      <w:snapToGrid w:val="0"/>
      <w:kern w:val="28"/>
    </w:rPr>
  </w:style>
  <w:style w:type="character" w:styleId="EndnoteReference">
    <w:name w:val="endnote reference"/>
    <w:rsid w:val="009331B1"/>
    <w:rPr>
      <w:vertAlign w:val="superscript"/>
    </w:rPr>
  </w:style>
  <w:style w:type="paragraph" w:styleId="TOAHeading">
    <w:name w:val="toa heading"/>
    <w:basedOn w:val="Normal"/>
    <w:next w:val="Normal"/>
    <w:rsid w:val="009331B1"/>
    <w:pPr>
      <w:tabs>
        <w:tab w:val="right" w:pos="9360"/>
      </w:tabs>
      <w:suppressAutoHyphens/>
    </w:pPr>
  </w:style>
  <w:style w:type="character" w:customStyle="1" w:styleId="EquationCaption">
    <w:name w:val="_Equation Caption"/>
    <w:rsid w:val="009331B1"/>
  </w:style>
  <w:style w:type="paragraph" w:customStyle="1" w:styleId="Paratitle">
    <w:name w:val="Para title"/>
    <w:basedOn w:val="Normal"/>
    <w:rsid w:val="009331B1"/>
    <w:pPr>
      <w:tabs>
        <w:tab w:val="center" w:pos="9270"/>
      </w:tabs>
      <w:spacing w:after="240"/>
    </w:pPr>
    <w:rPr>
      <w:spacing w:val="-2"/>
    </w:rPr>
  </w:style>
  <w:style w:type="paragraph" w:customStyle="1" w:styleId="TOCTitle">
    <w:name w:val="TOC Title"/>
    <w:basedOn w:val="Normal"/>
    <w:rsid w:val="009331B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331B1"/>
    <w:pPr>
      <w:jc w:val="center"/>
    </w:pPr>
    <w:rPr>
      <w:rFonts w:ascii="Times New Roman Bold" w:hAnsi="Times New Roman Bold"/>
      <w:b/>
      <w:bCs/>
      <w:caps/>
      <w:szCs w:val="22"/>
    </w:rPr>
  </w:style>
  <w:style w:type="character" w:styleId="Hyperlink">
    <w:name w:val="Hyperlink"/>
    <w:rsid w:val="009331B1"/>
    <w:rPr>
      <w:color w:val="0000FF"/>
      <w:u w:val="single"/>
    </w:rPr>
  </w:style>
  <w:style w:type="paragraph" w:styleId="BalloonText">
    <w:name w:val="Balloon Text"/>
    <w:basedOn w:val="Normal"/>
    <w:link w:val="BalloonTextChar"/>
    <w:rsid w:val="002006E4"/>
    <w:rPr>
      <w:rFonts w:ascii="Segoe UI" w:hAnsi="Segoe UI" w:cs="Segoe UI"/>
      <w:sz w:val="18"/>
      <w:szCs w:val="18"/>
    </w:rPr>
  </w:style>
  <w:style w:type="character" w:customStyle="1" w:styleId="BalloonTextChar">
    <w:name w:val="Balloon Text Char"/>
    <w:basedOn w:val="DefaultParagraphFont"/>
    <w:link w:val="BalloonText"/>
    <w:rsid w:val="002006E4"/>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A924BA"/>
    <w:rPr>
      <w:sz w:val="16"/>
      <w:szCs w:val="16"/>
    </w:rPr>
  </w:style>
  <w:style w:type="paragraph" w:styleId="CommentText">
    <w:name w:val="annotation text"/>
    <w:basedOn w:val="Normal"/>
    <w:link w:val="CommentTextChar"/>
    <w:uiPriority w:val="99"/>
    <w:semiHidden/>
    <w:unhideWhenUsed/>
    <w:rsid w:val="00A924BA"/>
    <w:rPr>
      <w:sz w:val="20"/>
    </w:rPr>
  </w:style>
  <w:style w:type="character" w:customStyle="1" w:styleId="CommentTextChar">
    <w:name w:val="Comment Text Char"/>
    <w:basedOn w:val="DefaultParagraphFont"/>
    <w:link w:val="CommentText"/>
    <w:uiPriority w:val="99"/>
    <w:semiHidden/>
    <w:rsid w:val="00A924BA"/>
    <w:rPr>
      <w:snapToGrid w:val="0"/>
      <w:kern w:val="28"/>
    </w:rPr>
  </w:style>
  <w:style w:type="paragraph" w:styleId="CommentSubject">
    <w:name w:val="annotation subject"/>
    <w:basedOn w:val="CommentText"/>
    <w:next w:val="CommentText"/>
    <w:link w:val="CommentSubjectChar"/>
    <w:semiHidden/>
    <w:unhideWhenUsed/>
    <w:rsid w:val="00A924BA"/>
    <w:rPr>
      <w:b/>
      <w:bCs/>
    </w:rPr>
  </w:style>
  <w:style w:type="character" w:customStyle="1" w:styleId="CommentSubjectChar">
    <w:name w:val="Comment Subject Char"/>
    <w:basedOn w:val="CommentTextChar"/>
    <w:link w:val="CommentSubject"/>
    <w:semiHidden/>
    <w:rsid w:val="00A924BA"/>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erratum-order.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erratum-order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