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6306E" w:rsidP="00A6019C">
      <w:pPr>
        <w:widowControl/>
        <w:jc w:val="center"/>
        <w:rPr>
          <w:b/>
        </w:rPr>
      </w:pPr>
      <w:r w:rsidRPr="0070224F">
        <w:rPr>
          <w:rFonts w:ascii="Times New Roman Bold" w:hAnsi="Times New Roman Bold"/>
          <w:b/>
          <w:kern w:val="0"/>
          <w:szCs w:val="22"/>
        </w:rPr>
        <w:t>Before</w:t>
      </w:r>
      <w:r>
        <w:rPr>
          <w:b/>
        </w:rPr>
        <w:t xml:space="preserve"> the</w:t>
      </w:r>
    </w:p>
    <w:p w:rsidR="00E6306E" w:rsidP="00A6019C">
      <w:pPr>
        <w:pStyle w:val="StyleBoldCentered"/>
        <w:widowControl/>
      </w:pPr>
      <w:r>
        <w:t>F</w:t>
      </w:r>
      <w:r>
        <w:rPr>
          <w:caps w:val="0"/>
        </w:rPr>
        <w:t>ederal Communications Commission</w:t>
      </w:r>
    </w:p>
    <w:p w:rsidR="00E6306E" w:rsidP="00A6019C">
      <w:pPr>
        <w:pStyle w:val="StyleBoldCentered"/>
        <w:widowControl/>
      </w:pPr>
      <w:r>
        <w:rPr>
          <w:caps w:val="0"/>
        </w:rPr>
        <w:t>Washington, D.C. 20554</w:t>
      </w:r>
    </w:p>
    <w:p w:rsidR="00E6306E" w:rsidP="00A6019C">
      <w:pPr>
        <w:widowControl/>
      </w:pPr>
    </w:p>
    <w:p w:rsidR="00E6306E" w:rsidP="00A6019C">
      <w:pPr>
        <w:widowControl/>
      </w:pPr>
    </w:p>
    <w:tbl>
      <w:tblPr>
        <w:tblW w:w="0" w:type="auto"/>
        <w:tblLayout w:type="fixed"/>
        <w:tblLook w:val="0000"/>
      </w:tblPr>
      <w:tblGrid>
        <w:gridCol w:w="4698"/>
        <w:gridCol w:w="630"/>
        <w:gridCol w:w="4248"/>
      </w:tblGrid>
      <w:tr w:rsidTr="00E6306E">
        <w:tblPrEx>
          <w:tblW w:w="0" w:type="auto"/>
          <w:tblLayout w:type="fixed"/>
          <w:tblLook w:val="0000"/>
        </w:tblPrEx>
        <w:tc>
          <w:tcPr>
            <w:tcW w:w="4698" w:type="dxa"/>
          </w:tcPr>
          <w:p w:rsidR="00E6306E" w:rsidP="00A6019C">
            <w:pPr>
              <w:widowControl/>
              <w:tabs>
                <w:tab w:val="center" w:pos="4680"/>
              </w:tabs>
              <w:suppressAutoHyphens/>
              <w:rPr>
                <w:spacing w:val="-2"/>
              </w:rPr>
            </w:pPr>
            <w:r>
              <w:rPr>
                <w:spacing w:val="-2"/>
              </w:rPr>
              <w:t>In the Matter of</w:t>
            </w:r>
          </w:p>
          <w:p w:rsidR="00E6306E" w:rsidP="00A6019C">
            <w:pPr>
              <w:widowControl/>
              <w:tabs>
                <w:tab w:val="center" w:pos="4680"/>
              </w:tabs>
              <w:suppressAutoHyphens/>
              <w:rPr>
                <w:spacing w:val="-2"/>
              </w:rPr>
            </w:pPr>
          </w:p>
          <w:p w:rsidR="00E6306E" w:rsidP="00A6019C">
            <w:pPr>
              <w:widowControl/>
              <w:tabs>
                <w:tab w:val="center" w:pos="4680"/>
              </w:tabs>
              <w:suppressAutoHyphens/>
              <w:rPr>
                <w:szCs w:val="22"/>
              </w:rPr>
            </w:pPr>
            <w:r>
              <w:rPr>
                <w:szCs w:val="22"/>
              </w:rPr>
              <w:t>RADWIN, Ltd.</w:t>
            </w:r>
          </w:p>
          <w:p w:rsidR="00E6306E" w:rsidP="00A6019C">
            <w:pPr>
              <w:widowControl/>
              <w:tabs>
                <w:tab w:val="center" w:pos="4680"/>
              </w:tabs>
              <w:suppressAutoHyphens/>
              <w:rPr>
                <w:szCs w:val="22"/>
              </w:rPr>
            </w:pPr>
          </w:p>
          <w:p w:rsidR="00E6306E" w:rsidRPr="007115F7" w:rsidP="00A6019C">
            <w:pPr>
              <w:widowControl/>
              <w:tabs>
                <w:tab w:val="center" w:pos="4680"/>
              </w:tabs>
              <w:suppressAutoHyphens/>
              <w:rPr>
                <w:spacing w:val="-2"/>
              </w:rPr>
            </w:pPr>
            <w:r>
              <w:rPr>
                <w:szCs w:val="22"/>
              </w:rPr>
              <w:t xml:space="preserve">Request </w:t>
            </w:r>
            <w:r w:rsidRPr="003F777A">
              <w:rPr>
                <w:szCs w:val="22"/>
              </w:rPr>
              <w:t xml:space="preserve">for </w:t>
            </w:r>
            <w:r w:rsidRPr="00DE4473">
              <w:rPr>
                <w:szCs w:val="22"/>
              </w:rPr>
              <w:t xml:space="preserve">waiver of </w:t>
            </w:r>
            <w:r>
              <w:rPr>
                <w:szCs w:val="22"/>
              </w:rPr>
              <w:t>S</w:t>
            </w:r>
            <w:r w:rsidRPr="00DE4473">
              <w:rPr>
                <w:szCs w:val="22"/>
              </w:rPr>
              <w:t>ection 15.407(a) of the rules for Unlicensed National Information Infrastructure devices in the 5.15-5.25 GHz and 5.725-5.85 GHz bands</w:t>
            </w:r>
          </w:p>
        </w:tc>
        <w:tc>
          <w:tcPr>
            <w:tcW w:w="630" w:type="dxa"/>
          </w:tcPr>
          <w:p w:rsidR="00E6306E" w:rsidP="00A6019C">
            <w:pPr>
              <w:widowControl/>
              <w:tabs>
                <w:tab w:val="center" w:pos="4680"/>
              </w:tabs>
              <w:suppressAutoHyphens/>
              <w:rPr>
                <w:b/>
                <w:spacing w:val="-2"/>
              </w:rPr>
            </w:pPr>
            <w:r>
              <w:rPr>
                <w:b/>
                <w:spacing w:val="-2"/>
              </w:rPr>
              <w:t>)</w:t>
            </w:r>
          </w:p>
          <w:p w:rsidR="00E6306E" w:rsidP="00A6019C">
            <w:pPr>
              <w:widowControl/>
              <w:tabs>
                <w:tab w:val="center" w:pos="4680"/>
              </w:tabs>
              <w:suppressAutoHyphens/>
              <w:rPr>
                <w:b/>
                <w:spacing w:val="-2"/>
              </w:rPr>
            </w:pPr>
            <w:r>
              <w:rPr>
                <w:b/>
                <w:spacing w:val="-2"/>
              </w:rPr>
              <w:t>)</w:t>
            </w:r>
          </w:p>
          <w:p w:rsidR="00E6306E" w:rsidP="00A6019C">
            <w:pPr>
              <w:widowControl/>
              <w:tabs>
                <w:tab w:val="center" w:pos="4680"/>
              </w:tabs>
              <w:suppressAutoHyphens/>
              <w:rPr>
                <w:b/>
                <w:spacing w:val="-2"/>
              </w:rPr>
            </w:pPr>
            <w:r>
              <w:rPr>
                <w:b/>
                <w:spacing w:val="-2"/>
              </w:rPr>
              <w:t>)</w:t>
            </w:r>
          </w:p>
          <w:p w:rsidR="00E6306E" w:rsidP="00A6019C">
            <w:pPr>
              <w:widowControl/>
              <w:tabs>
                <w:tab w:val="center" w:pos="4680"/>
              </w:tabs>
              <w:suppressAutoHyphens/>
              <w:rPr>
                <w:b/>
                <w:spacing w:val="-2"/>
              </w:rPr>
            </w:pPr>
            <w:r>
              <w:rPr>
                <w:b/>
                <w:spacing w:val="-2"/>
              </w:rPr>
              <w:t>)</w:t>
            </w:r>
          </w:p>
          <w:p w:rsidR="00E6306E" w:rsidP="00A6019C">
            <w:pPr>
              <w:widowControl/>
              <w:tabs>
                <w:tab w:val="center" w:pos="4680"/>
              </w:tabs>
              <w:suppressAutoHyphens/>
              <w:rPr>
                <w:b/>
                <w:spacing w:val="-2"/>
              </w:rPr>
            </w:pPr>
            <w:r>
              <w:rPr>
                <w:b/>
                <w:spacing w:val="-2"/>
              </w:rPr>
              <w:t>)</w:t>
            </w:r>
          </w:p>
          <w:p w:rsidR="00E6306E" w:rsidP="00A6019C">
            <w:pPr>
              <w:widowControl/>
              <w:tabs>
                <w:tab w:val="center" w:pos="4680"/>
              </w:tabs>
              <w:suppressAutoHyphens/>
              <w:rPr>
                <w:b/>
                <w:spacing w:val="-2"/>
              </w:rPr>
            </w:pPr>
            <w:r>
              <w:rPr>
                <w:b/>
                <w:spacing w:val="-2"/>
              </w:rPr>
              <w:t>)</w:t>
            </w:r>
          </w:p>
          <w:p w:rsidR="00E6306E" w:rsidP="00A6019C">
            <w:pPr>
              <w:widowControl/>
              <w:tabs>
                <w:tab w:val="center" w:pos="4680"/>
              </w:tabs>
              <w:suppressAutoHyphens/>
              <w:rPr>
                <w:b/>
                <w:spacing w:val="-2"/>
              </w:rPr>
            </w:pPr>
            <w:r>
              <w:rPr>
                <w:b/>
                <w:spacing w:val="-2"/>
              </w:rPr>
              <w:t>)</w:t>
            </w:r>
          </w:p>
          <w:p w:rsidR="00E6306E" w:rsidRPr="00E10181" w:rsidP="00A6019C">
            <w:pPr>
              <w:widowControl/>
              <w:tabs>
                <w:tab w:val="center" w:pos="4680"/>
              </w:tabs>
              <w:suppressAutoHyphens/>
              <w:rPr>
                <w:b/>
                <w:spacing w:val="-2"/>
              </w:rPr>
            </w:pPr>
            <w:r>
              <w:rPr>
                <w:b/>
                <w:spacing w:val="-2"/>
              </w:rPr>
              <w:t>)</w:t>
            </w:r>
          </w:p>
        </w:tc>
        <w:tc>
          <w:tcPr>
            <w:tcW w:w="4248" w:type="dxa"/>
          </w:tcPr>
          <w:p w:rsidR="00E6306E" w:rsidP="00A6019C">
            <w:pPr>
              <w:widowControl/>
              <w:tabs>
                <w:tab w:val="center" w:pos="4680"/>
              </w:tabs>
              <w:suppressAutoHyphens/>
              <w:rPr>
                <w:spacing w:val="-2"/>
              </w:rPr>
            </w:pPr>
          </w:p>
          <w:p w:rsidR="00E6306E" w:rsidP="00A6019C">
            <w:pPr>
              <w:pStyle w:val="TOAHeading"/>
              <w:widowControl/>
              <w:tabs>
                <w:tab w:val="center" w:pos="4680"/>
                <w:tab w:val="clear" w:pos="9360"/>
              </w:tabs>
              <w:rPr>
                <w:spacing w:val="-2"/>
              </w:rPr>
            </w:pPr>
          </w:p>
          <w:p w:rsidR="00E6306E" w:rsidP="00A6019C">
            <w:pPr>
              <w:widowControl/>
              <w:tabs>
                <w:tab w:val="center" w:pos="4680"/>
              </w:tabs>
              <w:suppressAutoHyphens/>
              <w:rPr>
                <w:spacing w:val="-2"/>
              </w:rPr>
            </w:pPr>
            <w:r>
              <w:rPr>
                <w:spacing w:val="-2"/>
              </w:rPr>
              <w:t>ET Docket No. 20-128</w:t>
            </w:r>
          </w:p>
        </w:tc>
      </w:tr>
    </w:tbl>
    <w:p w:rsidR="00E6306E" w:rsidP="00A6019C">
      <w:pPr>
        <w:widowControl/>
      </w:pPr>
    </w:p>
    <w:p w:rsidR="00E6306E" w:rsidP="00A6019C">
      <w:pPr>
        <w:pStyle w:val="StyleBoldCentered"/>
        <w:widowControl/>
      </w:pPr>
      <w:r>
        <w:t>order</w:t>
      </w:r>
    </w:p>
    <w:p w:rsidR="00E6306E" w:rsidRPr="000E5FF7" w:rsidP="00A6019C">
      <w:pPr>
        <w:pStyle w:val="StyleBoldCentered"/>
        <w:widowControl/>
      </w:pPr>
    </w:p>
    <w:p w:rsidR="00E6306E" w:rsidP="00A6019C">
      <w:pPr>
        <w:widowControl/>
        <w:tabs>
          <w:tab w:val="left" w:pos="720"/>
          <w:tab w:val="right" w:pos="9360"/>
        </w:tabs>
        <w:suppressAutoHyphens/>
        <w:spacing w:line="227" w:lineRule="auto"/>
        <w:rPr>
          <w:spacing w:val="-2"/>
        </w:rPr>
      </w:pPr>
      <w:r>
        <w:rPr>
          <w:b/>
          <w:spacing w:val="-2"/>
        </w:rPr>
        <w:t xml:space="preserve">Adopted:  </w:t>
      </w:r>
      <w:r w:rsidR="00A6019C">
        <w:rPr>
          <w:b/>
          <w:spacing w:val="-2"/>
        </w:rPr>
        <w:t>July 16, 2020</w:t>
      </w:r>
      <w:r>
        <w:rPr>
          <w:b/>
          <w:spacing w:val="-2"/>
        </w:rPr>
        <w:tab/>
        <w:t xml:space="preserve">Released:  </w:t>
      </w:r>
      <w:r w:rsidR="00A6019C">
        <w:rPr>
          <w:b/>
          <w:spacing w:val="-2"/>
        </w:rPr>
        <w:t>July 16, 2020</w:t>
      </w:r>
    </w:p>
    <w:p w:rsidR="00E6306E" w:rsidP="00A6019C">
      <w:pPr>
        <w:widowControl/>
      </w:pPr>
    </w:p>
    <w:p w:rsidR="00E6306E" w:rsidP="00A6019C">
      <w:pPr>
        <w:widowControl/>
        <w:rPr>
          <w:spacing w:val="-2"/>
        </w:rPr>
      </w:pPr>
      <w:r>
        <w:t xml:space="preserve">By the </w:t>
      </w:r>
      <w:r>
        <w:rPr>
          <w:spacing w:val="-2"/>
        </w:rPr>
        <w:t>Acting Chief, Office of Engineering and Technology:</w:t>
      </w:r>
    </w:p>
    <w:p w:rsidR="00E6306E" w:rsidP="00A6019C">
      <w:pPr>
        <w:widowControl/>
        <w:rPr>
          <w:spacing w:val="-2"/>
        </w:rPr>
      </w:pPr>
    </w:p>
    <w:p w:rsidR="00E6306E" w:rsidP="00A6019C">
      <w:pPr>
        <w:pStyle w:val="Heading1"/>
        <w:widowControl/>
      </w:pPr>
      <w:r>
        <w:t>Introduction</w:t>
      </w:r>
    </w:p>
    <w:p w:rsidR="00E6306E" w:rsidP="00A6019C">
      <w:pPr>
        <w:pStyle w:val="ParaNum"/>
        <w:widowControl/>
      </w:pPr>
      <w:r>
        <w:t>By this Order</w:t>
      </w:r>
      <w:r w:rsidR="00A6019C">
        <w:t>,</w:t>
      </w:r>
      <w:r>
        <w:t xml:space="preserve"> </w:t>
      </w:r>
      <w:bookmarkStart w:id="0" w:name="_Hlk45801547"/>
      <w:r w:rsidRPr="00AD567E">
        <w:t xml:space="preserve">we grant </w:t>
      </w:r>
      <w:r>
        <w:t xml:space="preserve">the </w:t>
      </w:r>
      <w:r w:rsidRPr="00AD567E">
        <w:t xml:space="preserve">request for waiver </w:t>
      </w:r>
      <w:r>
        <w:t xml:space="preserve">of Section 15.407(a) of the Commission’s rules </w:t>
      </w:r>
      <w:r w:rsidRPr="00AD567E">
        <w:t xml:space="preserve">filed by </w:t>
      </w:r>
      <w:r>
        <w:t>RADWIN, Ltd.</w:t>
      </w:r>
      <w:r w:rsidRPr="00AD567E">
        <w:t xml:space="preserve"> (</w:t>
      </w:r>
      <w:r>
        <w:t>RADWIN</w:t>
      </w:r>
      <w:r w:rsidRPr="00AD567E">
        <w:t xml:space="preserve">) </w:t>
      </w:r>
      <w:r>
        <w:t xml:space="preserve">that will allow </w:t>
      </w:r>
      <w:r w:rsidRPr="00AD567E">
        <w:t xml:space="preserve">it </w:t>
      </w:r>
      <w:r>
        <w:t>to modify certain of its certified</w:t>
      </w:r>
      <w:r w:rsidRPr="00AD567E">
        <w:t xml:space="preserve"> </w:t>
      </w:r>
      <w:r w:rsidRPr="00AD7C26">
        <w:rPr>
          <w:szCs w:val="22"/>
        </w:rPr>
        <w:t xml:space="preserve">Unlicensed National Information Infrastructure (U-NII) devices </w:t>
      </w:r>
      <w:r>
        <w:rPr>
          <w:szCs w:val="22"/>
        </w:rPr>
        <w:t xml:space="preserve">to operate with higher power </w:t>
      </w:r>
      <w:r w:rsidRPr="00AD7C26">
        <w:rPr>
          <w:szCs w:val="22"/>
        </w:rPr>
        <w:t xml:space="preserve">in the </w:t>
      </w:r>
      <w:r>
        <w:rPr>
          <w:szCs w:val="22"/>
        </w:rPr>
        <w:t xml:space="preserve">5.15-5.25 GHz and </w:t>
      </w:r>
      <w:r w:rsidRPr="00AD7C26">
        <w:rPr>
          <w:szCs w:val="22"/>
        </w:rPr>
        <w:t>5.725-5.850 GHz band</w:t>
      </w:r>
      <w:r>
        <w:rPr>
          <w:szCs w:val="22"/>
        </w:rPr>
        <w:t>s</w:t>
      </w:r>
      <w:r w:rsidRPr="00F57A7B">
        <w:rPr>
          <w:szCs w:val="22"/>
        </w:rPr>
        <w:t xml:space="preserve"> </w:t>
      </w:r>
      <w:r>
        <w:rPr>
          <w:szCs w:val="22"/>
        </w:rPr>
        <w:t>for a period of 60 days.</w:t>
      </w:r>
      <w:r w:rsidRPr="00AD7C26">
        <w:rPr>
          <w:szCs w:val="22"/>
        </w:rPr>
        <w:t xml:space="preserve"> </w:t>
      </w:r>
      <w:bookmarkEnd w:id="0"/>
      <w:r w:rsidRPr="00AD567E">
        <w:t xml:space="preserve">For the reasons discussed below, we find that there is good cause to grant </w:t>
      </w:r>
      <w:r>
        <w:t xml:space="preserve">RADWIN’s </w:t>
      </w:r>
      <w:r w:rsidRPr="00AD567E">
        <w:t>request for waiver</w:t>
      </w:r>
      <w:r>
        <w:t xml:space="preserve"> subject to certain conditions</w:t>
      </w:r>
      <w:r w:rsidRPr="00AD567E">
        <w:t>.</w:t>
      </w:r>
      <w:r>
        <w:t xml:space="preserve"> </w:t>
      </w:r>
    </w:p>
    <w:p w:rsidR="00E6306E" w:rsidRPr="00B33A9F" w:rsidP="00A6019C">
      <w:pPr>
        <w:pStyle w:val="Heading1"/>
        <w:widowControl/>
      </w:pPr>
      <w:r>
        <w:t>Background</w:t>
      </w:r>
    </w:p>
    <w:p w:rsidR="00E6306E" w:rsidP="00A6019C">
      <w:pPr>
        <w:pStyle w:val="ParaNum"/>
        <w:widowControl/>
      </w:pPr>
      <w:r w:rsidRPr="00657E94">
        <w:t xml:space="preserve">On </w:t>
      </w:r>
      <w:r>
        <w:t>May 1, 2020</w:t>
      </w:r>
      <w:r w:rsidRPr="00657E94">
        <w:t>,</w:t>
      </w:r>
      <w:r>
        <w:t xml:space="preserve"> RADWIN </w:t>
      </w:r>
      <w:r w:rsidRPr="00657E94">
        <w:t>filed a</w:t>
      </w:r>
      <w:r>
        <w:t xml:space="preserve"> </w:t>
      </w:r>
      <w:r w:rsidRPr="00657E94">
        <w:t xml:space="preserve">request for </w:t>
      </w:r>
      <w:r>
        <w:t xml:space="preserve">a waiver of Section 15.407(a) </w:t>
      </w:r>
      <w:r w:rsidRPr="00657E94">
        <w:t xml:space="preserve">of the Commission’s rules to allow the operation </w:t>
      </w:r>
      <w:r>
        <w:t>of its JET point-to-multipoint, beamforming fixed wireless base stations in the 5.15-5.25 GHz and 5.725-5.85 GHz bands at power levels that exceed the limit for point-to-multipoint systems.</w:t>
      </w:r>
      <w:r>
        <w:rPr>
          <w:rStyle w:val="FootnoteReference"/>
        </w:rPr>
        <w:footnoteReference w:id="3"/>
      </w:r>
      <w:r>
        <w:t xml:space="preserve">  </w:t>
      </w:r>
      <w:r w:rsidRPr="008900C2">
        <w:t>RADWIN</w:t>
      </w:r>
      <w:r>
        <w:t xml:space="preserve"> states that the waiver will permit its customers to provide b</w:t>
      </w:r>
      <w:r w:rsidRPr="008900C2">
        <w:t>etter high</w:t>
      </w:r>
      <w:r>
        <w:t>-speed</w:t>
      </w:r>
      <w:r w:rsidRPr="008900C2">
        <w:t xml:space="preserve"> broadband service to subscribers so that they can stay connected and access essential</w:t>
      </w:r>
      <w:r>
        <w:t xml:space="preserve"> </w:t>
      </w:r>
      <w:r w:rsidRPr="008900C2">
        <w:t>services during the COVID-19 pandemic.</w:t>
      </w:r>
      <w:r>
        <w:rPr>
          <w:rStyle w:val="FootnoteReference"/>
        </w:rPr>
        <w:footnoteReference w:id="4"/>
      </w:r>
    </w:p>
    <w:p w:rsidR="00E6306E" w:rsidP="00A6019C">
      <w:pPr>
        <w:pStyle w:val="ParaNum"/>
        <w:widowControl/>
      </w:pPr>
      <w:r>
        <w:t>Sections 15.407(a)(1)(</w:t>
      </w:r>
      <w:r>
        <w:t>i</w:t>
      </w:r>
      <w:r>
        <w:t xml:space="preserve">) and 15.407(a)(3) of the Commission’s rules permit U-NII devices to operate in the </w:t>
      </w:r>
      <w:bookmarkStart w:id="1" w:name="_Hlk41917176"/>
      <w:r>
        <w:t xml:space="preserve">5.15-5.25 GHz and </w:t>
      </w:r>
      <w:r w:rsidRPr="005039A0">
        <w:t xml:space="preserve">5.725-5.85 GHz </w:t>
      </w:r>
      <w:bookmarkEnd w:id="1"/>
      <w:r w:rsidRPr="005039A0">
        <w:t>band</w:t>
      </w:r>
      <w:r>
        <w:t xml:space="preserve">s with a maximum conducted power output of one watt (30 dBm) and an antenna gain of up to 6 </w:t>
      </w:r>
      <w:r>
        <w:t>dBi</w:t>
      </w:r>
      <w:r>
        <w:t>, i.e., an EIRP limit of 36 dBm.</w:t>
      </w:r>
      <w:r>
        <w:rPr>
          <w:rStyle w:val="FootnoteReference"/>
        </w:rPr>
        <w:footnoteReference w:id="5"/>
      </w:r>
      <w:r>
        <w:t xml:space="preserve">  If the maximum directional gain of the antenna exceeds 6 </w:t>
      </w:r>
      <w:r>
        <w:t>dBi</w:t>
      </w:r>
      <w:r>
        <w:t xml:space="preserve">, the conducted power output must be reduced by the amount in dB that the antenna gain exceeds 6 </w:t>
      </w:r>
      <w:r>
        <w:t>dBi</w:t>
      </w:r>
      <w:r>
        <w:t>, which ensures that the EIRP does not exceed 36 dBm.</w:t>
      </w:r>
      <w:r>
        <w:rPr>
          <w:rStyle w:val="FootnoteReference"/>
        </w:rPr>
        <w:footnoteReference w:id="6"/>
      </w:r>
      <w:r>
        <w:t xml:space="preserve">  EIRP levels greater than 36 dBm are permitted for fixed point-to-point systems but not for point-</w:t>
      </w:r>
      <w:r>
        <w:t>to-multipoint systems.</w:t>
      </w:r>
      <w:r>
        <w:rPr>
          <w:rStyle w:val="FootnoteReference"/>
        </w:rPr>
        <w:footnoteReference w:id="7"/>
      </w:r>
      <w:r>
        <w:t xml:space="preserve">  RADWIN is seeking a waiver to permit the operation of point-to-multipoint systems that use multiple sequential beams, with EIRP up to 48 dBm, i.e., 12 dB above the limit prescribed by the Commission’s rules.</w:t>
      </w:r>
      <w:r>
        <w:rPr>
          <w:rStyle w:val="FootnoteReference"/>
        </w:rPr>
        <w:footnoteReference w:id="8"/>
      </w:r>
      <w:r>
        <w:t xml:space="preserve"> In support of its waiver request, RADWIN sets forth the procedures that its customers would undertake to enable higher power operations under a waiver for a period of 60 days, and the procedures to revert the equipment back to the normally permissible power levels after the expiration of a waiver.</w:t>
      </w:r>
      <w:r>
        <w:rPr>
          <w:rStyle w:val="FootnoteReference"/>
        </w:rPr>
        <w:footnoteReference w:id="9"/>
      </w:r>
      <w:r>
        <w:t xml:space="preserve">  RADWIN subsequently amended its request for operation in </w:t>
      </w:r>
      <w:bookmarkStart w:id="2" w:name="_GoBack"/>
      <w:bookmarkEnd w:id="2"/>
      <w:r>
        <w:t xml:space="preserve">the </w:t>
      </w:r>
      <w:r w:rsidRPr="008118C1">
        <w:t>5.15-5.25 GHz</w:t>
      </w:r>
      <w:r>
        <w:t xml:space="preserve"> band to a level of 6 dB above the limit, i.e., an EIRP of 42 dBm, which it states is necessary to ensure that its equipment complies with the undesirable emission limits in Section 15.407(b), and clarified that with the 12 dB increase in power for operation in the 5.725-5.850 GHz band, the equipment would still comply with the undesirable emission limits.</w:t>
      </w:r>
      <w:r>
        <w:rPr>
          <w:rStyle w:val="FootnoteReference"/>
        </w:rPr>
        <w:footnoteReference w:id="10"/>
      </w:r>
    </w:p>
    <w:p w:rsidR="00E6306E" w:rsidRPr="00B33A9F" w:rsidP="00A6019C">
      <w:pPr>
        <w:pStyle w:val="ParaNum"/>
        <w:widowControl/>
      </w:pPr>
      <w:r>
        <w:t>RADWIN also provided additional steps it will take t</w:t>
      </w:r>
      <w:r w:rsidRPr="00DE7D3E">
        <w:t xml:space="preserve">o ensure that </w:t>
      </w:r>
      <w:r>
        <w:t xml:space="preserve">its customers reduce devices’ power to the levels permitted by the rules </w:t>
      </w:r>
      <w:r w:rsidRPr="00DE7D3E">
        <w:t>when the waiver period ends</w:t>
      </w:r>
      <w:r>
        <w:t>.</w:t>
      </w:r>
      <w:r>
        <w:rPr>
          <w:rStyle w:val="FootnoteReference"/>
        </w:rPr>
        <w:footnoteReference w:id="11"/>
      </w:r>
      <w:r>
        <w:t xml:space="preserve">  Specifically, RADWIN will obtain the name and contact information for each customer that connects to its servers to download the waiver capabilities.</w:t>
      </w:r>
      <w:r>
        <w:rPr>
          <w:rStyle w:val="FootnoteReference"/>
        </w:rPr>
        <w:footnoteReference w:id="12"/>
      </w:r>
      <w:r>
        <w:t xml:space="preserve">  Each device to which the waiver mode is applied will automatically send its serial number, geographic coordinates and power settings to RADWIN, and RADWIN will compile a list of every customer and every device that operates at higher power.</w:t>
      </w:r>
      <w:r>
        <w:rPr>
          <w:rStyle w:val="FootnoteReference"/>
        </w:rPr>
        <w:footnoteReference w:id="13"/>
      </w:r>
      <w:r>
        <w:t xml:space="preserve">  RADWIN will send notifications to customers to remind them when the waiver period is ending and will record which customers contact its servers to reduce device power upon expiration of the waiver.</w:t>
      </w:r>
      <w:r>
        <w:rPr>
          <w:rStyle w:val="FootnoteReference"/>
        </w:rPr>
        <w:footnoteReference w:id="14"/>
      </w:r>
      <w:r>
        <w:t xml:space="preserve">  As such, RADWIN will have a record of which devices were not reverted back to pre-waiver mode, identified by serial number, customer name, and geographic coordinates.</w:t>
      </w:r>
      <w:r>
        <w:rPr>
          <w:rStyle w:val="FootnoteReference"/>
        </w:rPr>
        <w:footnoteReference w:id="15"/>
      </w:r>
      <w:r w:rsidRPr="007C3F29">
        <w:t xml:space="preserve"> </w:t>
      </w:r>
      <w:r>
        <w:t xml:space="preserve"> RADWIN will notify customers when they install the power upgrade capability that it will provide the Commission with a list of those that do not timely downgrade after the waiver ends.</w:t>
      </w:r>
      <w:r>
        <w:rPr>
          <w:rStyle w:val="FootnoteReference"/>
        </w:rPr>
        <w:footnoteReference w:id="16"/>
      </w:r>
    </w:p>
    <w:p w:rsidR="00E6306E" w:rsidRPr="0072360A" w:rsidP="00A6019C">
      <w:pPr>
        <w:pStyle w:val="ParaNum"/>
        <w:widowControl/>
        <w:rPr>
          <w:rFonts w:eastAsia="Calibri"/>
          <w:color w:val="231F20"/>
        </w:rPr>
      </w:pPr>
      <w:r>
        <w:rPr>
          <w:rFonts w:eastAsia="Calibri"/>
          <w:color w:val="231F20"/>
        </w:rPr>
        <w:t xml:space="preserve">In response to </w:t>
      </w:r>
      <w:r w:rsidRPr="00D24260">
        <w:t>the</w:t>
      </w:r>
      <w:r w:rsidRPr="0004729A">
        <w:rPr>
          <w:rFonts w:eastAsia="Calibri"/>
          <w:color w:val="231F20"/>
        </w:rPr>
        <w:t xml:space="preserve"> </w:t>
      </w:r>
      <w:r w:rsidRPr="0004729A">
        <w:rPr>
          <w:szCs w:val="22"/>
        </w:rPr>
        <w:t xml:space="preserve">Office of </w:t>
      </w:r>
      <w:r w:rsidRPr="0072360A">
        <w:t>Engineering</w:t>
      </w:r>
      <w:r w:rsidRPr="0004729A">
        <w:rPr>
          <w:szCs w:val="22"/>
        </w:rPr>
        <w:t xml:space="preserve"> and Technology</w:t>
      </w:r>
      <w:r>
        <w:rPr>
          <w:szCs w:val="22"/>
        </w:rPr>
        <w:t>’s</w:t>
      </w:r>
      <w:r w:rsidRPr="0004729A">
        <w:rPr>
          <w:szCs w:val="22"/>
        </w:rPr>
        <w:t xml:space="preserve"> (OET)</w:t>
      </w:r>
      <w:r w:rsidRPr="0004729A">
        <w:rPr>
          <w:rFonts w:eastAsia="Calibri"/>
          <w:color w:val="231F20"/>
        </w:rPr>
        <w:t xml:space="preserve"> </w:t>
      </w:r>
      <w:r>
        <w:rPr>
          <w:rFonts w:eastAsia="Calibri"/>
          <w:color w:val="231F20"/>
        </w:rPr>
        <w:t xml:space="preserve">request for </w:t>
      </w:r>
      <w:r w:rsidRPr="0004729A">
        <w:rPr>
          <w:rFonts w:eastAsia="Calibri"/>
          <w:color w:val="231F20"/>
        </w:rPr>
        <w:t xml:space="preserve">comment on the </w:t>
      </w:r>
      <w:r>
        <w:rPr>
          <w:rFonts w:eastAsia="Calibri"/>
          <w:color w:val="231F20"/>
        </w:rPr>
        <w:t>RADWIN</w:t>
      </w:r>
      <w:r w:rsidRPr="0004729A">
        <w:rPr>
          <w:rFonts w:eastAsia="Calibri"/>
          <w:color w:val="231F20"/>
        </w:rPr>
        <w:t xml:space="preserve"> waiver request</w:t>
      </w:r>
      <w:r>
        <w:rPr>
          <w:rFonts w:eastAsia="Calibri"/>
          <w:color w:val="231F20"/>
        </w:rPr>
        <w:t xml:space="preserve">, fourteen parties filed comments </w:t>
      </w:r>
      <w:r w:rsidRPr="002D7587">
        <w:rPr>
          <w:rFonts w:eastAsia="Calibri"/>
          <w:color w:val="231F20"/>
        </w:rPr>
        <w:t xml:space="preserve">and </w:t>
      </w:r>
      <w:r>
        <w:rPr>
          <w:rFonts w:eastAsia="Calibri"/>
          <w:color w:val="231F20"/>
        </w:rPr>
        <w:t>RADWIN</w:t>
      </w:r>
      <w:r w:rsidRPr="002D7587">
        <w:rPr>
          <w:rFonts w:eastAsia="Calibri"/>
          <w:color w:val="231F20"/>
        </w:rPr>
        <w:t xml:space="preserve"> filed</w:t>
      </w:r>
      <w:r>
        <w:rPr>
          <w:rFonts w:eastAsia="Calibri"/>
          <w:color w:val="231F20"/>
        </w:rPr>
        <w:t xml:space="preserve"> reply comments.</w:t>
      </w:r>
      <w:r>
        <w:rPr>
          <w:rStyle w:val="FootnoteReference"/>
          <w:rFonts w:eastAsia="Calibri"/>
          <w:color w:val="231F20"/>
        </w:rPr>
        <w:footnoteReference w:id="17"/>
      </w:r>
      <w:r>
        <w:rPr>
          <w:rFonts w:eastAsia="Calibri"/>
          <w:color w:val="231F20"/>
        </w:rPr>
        <w:t xml:space="preserve">  A number of</w:t>
      </w:r>
      <w:r w:rsidRPr="00DE25AB">
        <w:rPr>
          <w:rFonts w:eastAsia="Calibri"/>
          <w:color w:val="231F20"/>
        </w:rPr>
        <w:t xml:space="preserve"> </w:t>
      </w:r>
      <w:r>
        <w:rPr>
          <w:rFonts w:eastAsia="Calibri"/>
          <w:color w:val="231F20"/>
        </w:rPr>
        <w:t xml:space="preserve">wireless internet </w:t>
      </w:r>
      <w:r w:rsidRPr="00DE25AB">
        <w:rPr>
          <w:rFonts w:eastAsia="Calibri"/>
          <w:color w:val="231F20"/>
        </w:rPr>
        <w:t>service providers support the waiver</w:t>
      </w:r>
      <w:r>
        <w:rPr>
          <w:rFonts w:eastAsia="Calibri"/>
          <w:color w:val="231F20"/>
        </w:rPr>
        <w:t xml:space="preserve"> request</w:t>
      </w:r>
      <w:r w:rsidRPr="00DE25AB">
        <w:rPr>
          <w:rFonts w:eastAsia="Calibri"/>
          <w:color w:val="231F20"/>
        </w:rPr>
        <w:t>.</w:t>
      </w:r>
      <w:r>
        <w:rPr>
          <w:rStyle w:val="FootnoteReference"/>
          <w:rFonts w:eastAsia="Calibri"/>
        </w:rPr>
        <w:footnoteReference w:id="18"/>
      </w:r>
      <w:r>
        <w:rPr>
          <w:rFonts w:eastAsia="Calibri"/>
          <w:color w:val="231F20"/>
        </w:rPr>
        <w:t xml:space="preserve">  </w:t>
      </w:r>
      <w:r w:rsidRPr="00DE25AB">
        <w:rPr>
          <w:rFonts w:eastAsia="Calibri"/>
          <w:color w:val="231F20"/>
        </w:rPr>
        <w:t xml:space="preserve">No party objected to the </w:t>
      </w:r>
      <w:r w:rsidRPr="00DE25AB">
        <w:rPr>
          <w:rFonts w:eastAsia="Calibri"/>
          <w:color w:val="231F20"/>
        </w:rPr>
        <w:t>waiver</w:t>
      </w:r>
      <w:r>
        <w:rPr>
          <w:rFonts w:eastAsia="Calibri"/>
          <w:color w:val="231F20"/>
        </w:rPr>
        <w:t xml:space="preserve"> request outright</w:t>
      </w:r>
      <w:r w:rsidRPr="00DE25AB">
        <w:rPr>
          <w:rFonts w:eastAsia="Calibri"/>
          <w:color w:val="231F20"/>
        </w:rPr>
        <w:t xml:space="preserve">, but several </w:t>
      </w:r>
      <w:r>
        <w:rPr>
          <w:rFonts w:eastAsia="Calibri"/>
          <w:color w:val="231F20"/>
        </w:rPr>
        <w:t>parties, including</w:t>
      </w:r>
      <w:r w:rsidRPr="00DE25AB">
        <w:rPr>
          <w:rFonts w:eastAsia="Calibri"/>
          <w:color w:val="231F20"/>
        </w:rPr>
        <w:t xml:space="preserve"> </w:t>
      </w:r>
      <w:bookmarkStart w:id="3" w:name="_Hlk41919595"/>
      <w:r w:rsidRPr="00DE25AB">
        <w:rPr>
          <w:rFonts w:eastAsia="Calibri"/>
          <w:color w:val="231F20"/>
        </w:rPr>
        <w:t>Globalstar</w:t>
      </w:r>
      <w:r w:rsidRPr="00DE25AB">
        <w:rPr>
          <w:rFonts w:eastAsia="Calibri"/>
          <w:color w:val="231F20"/>
        </w:rPr>
        <w:t>, 5G</w:t>
      </w:r>
      <w:r>
        <w:rPr>
          <w:rFonts w:eastAsia="Calibri"/>
          <w:color w:val="231F20"/>
        </w:rPr>
        <w:t xml:space="preserve"> </w:t>
      </w:r>
      <w:r w:rsidRPr="00DE25AB">
        <w:rPr>
          <w:rFonts w:eastAsia="Calibri"/>
          <w:color w:val="231F20"/>
        </w:rPr>
        <w:t>A</w:t>
      </w:r>
      <w:r>
        <w:rPr>
          <w:rFonts w:eastAsia="Calibri"/>
          <w:color w:val="231F20"/>
        </w:rPr>
        <w:t xml:space="preserve">utomotive </w:t>
      </w:r>
      <w:r w:rsidRPr="00DE25AB">
        <w:rPr>
          <w:rFonts w:eastAsia="Calibri"/>
          <w:color w:val="231F20"/>
        </w:rPr>
        <w:t>A</w:t>
      </w:r>
      <w:r>
        <w:rPr>
          <w:rFonts w:eastAsia="Calibri"/>
          <w:color w:val="231F20"/>
        </w:rPr>
        <w:t>ssociation</w:t>
      </w:r>
      <w:r w:rsidRPr="00DE25AB">
        <w:rPr>
          <w:rFonts w:eastAsia="Calibri"/>
          <w:color w:val="231F20"/>
        </w:rPr>
        <w:t xml:space="preserve">, NCTA and </w:t>
      </w:r>
      <w:r w:rsidRPr="00DE25AB">
        <w:rPr>
          <w:rFonts w:eastAsia="Calibri"/>
          <w:color w:val="231F20"/>
        </w:rPr>
        <w:t>WiMax</w:t>
      </w:r>
      <w:r w:rsidRPr="00DE25AB">
        <w:rPr>
          <w:rFonts w:eastAsia="Calibri"/>
          <w:color w:val="231F20"/>
        </w:rPr>
        <w:t xml:space="preserve"> </w:t>
      </w:r>
      <w:bookmarkEnd w:id="3"/>
      <w:r w:rsidRPr="00DE25AB">
        <w:rPr>
          <w:rFonts w:eastAsia="Calibri"/>
          <w:color w:val="231F20"/>
        </w:rPr>
        <w:t xml:space="preserve">Forum support </w:t>
      </w:r>
      <w:r>
        <w:rPr>
          <w:rFonts w:eastAsia="Calibri"/>
          <w:color w:val="231F20"/>
        </w:rPr>
        <w:t xml:space="preserve">the </w:t>
      </w:r>
      <w:r w:rsidRPr="00DE25AB">
        <w:rPr>
          <w:rFonts w:eastAsia="Calibri"/>
          <w:color w:val="231F20"/>
        </w:rPr>
        <w:t xml:space="preserve">waiver </w:t>
      </w:r>
      <w:r>
        <w:rPr>
          <w:rFonts w:eastAsia="Calibri"/>
          <w:color w:val="231F20"/>
        </w:rPr>
        <w:t>request</w:t>
      </w:r>
      <w:r w:rsidRPr="00DE25AB">
        <w:rPr>
          <w:rFonts w:eastAsia="Calibri"/>
          <w:color w:val="231F20"/>
        </w:rPr>
        <w:t xml:space="preserve"> </w:t>
      </w:r>
      <w:r>
        <w:rPr>
          <w:rFonts w:eastAsia="Calibri"/>
          <w:color w:val="231F20"/>
        </w:rPr>
        <w:t xml:space="preserve">so long as it is </w:t>
      </w:r>
      <w:r w:rsidRPr="00DE25AB">
        <w:rPr>
          <w:rFonts w:eastAsia="Calibri"/>
          <w:color w:val="231F20"/>
        </w:rPr>
        <w:t xml:space="preserve">limited to </w:t>
      </w:r>
      <w:r>
        <w:rPr>
          <w:rFonts w:eastAsia="Calibri"/>
          <w:color w:val="231F20"/>
        </w:rPr>
        <w:t xml:space="preserve">the </w:t>
      </w:r>
      <w:r w:rsidRPr="00270E38">
        <w:rPr>
          <w:rFonts w:eastAsia="Calibri"/>
          <w:color w:val="231F20"/>
        </w:rPr>
        <w:t>requested 60-day time period</w:t>
      </w:r>
      <w:r w:rsidRPr="00DE25AB">
        <w:rPr>
          <w:rFonts w:eastAsia="Calibri"/>
          <w:color w:val="231F20"/>
        </w:rPr>
        <w:t>.</w:t>
      </w:r>
      <w:r>
        <w:rPr>
          <w:rStyle w:val="FootnoteReference"/>
          <w:rFonts w:eastAsia="Calibri"/>
        </w:rPr>
        <w:footnoteReference w:id="19"/>
      </w:r>
      <w:r w:rsidRPr="00DE25AB">
        <w:rPr>
          <w:rFonts w:eastAsia="Calibri"/>
          <w:color w:val="231F20"/>
        </w:rPr>
        <w:t xml:space="preserve">  </w:t>
      </w:r>
      <w:r>
        <w:rPr>
          <w:rFonts w:eastAsia="Calibri"/>
          <w:color w:val="231F20"/>
        </w:rPr>
        <w:t xml:space="preserve">These parties are concerned about the impact on various co-channel and adjacent channel operations, e.g., satellite, </w:t>
      </w:r>
      <w:r w:rsidRPr="009906D0">
        <w:rPr>
          <w:rFonts w:eastAsia="Calibri"/>
          <w:color w:val="231F20"/>
        </w:rPr>
        <w:t>Cellular Vehicle-to-Everything</w:t>
      </w:r>
      <w:r>
        <w:rPr>
          <w:rFonts w:eastAsia="Calibri"/>
          <w:color w:val="231F20"/>
        </w:rPr>
        <w:t xml:space="preserve"> (C-V2X), Wi-Fi and the </w:t>
      </w:r>
      <w:r w:rsidRPr="009906D0">
        <w:rPr>
          <w:rFonts w:eastAsia="Calibri"/>
          <w:color w:val="231F20"/>
        </w:rPr>
        <w:t xml:space="preserve">Aeronautical Mobile Airport Communication System </w:t>
      </w:r>
      <w:r>
        <w:rPr>
          <w:rFonts w:eastAsia="Calibri"/>
          <w:color w:val="231F20"/>
        </w:rPr>
        <w:t>(</w:t>
      </w:r>
      <w:r>
        <w:rPr>
          <w:rFonts w:eastAsia="Calibri"/>
          <w:color w:val="231F20"/>
        </w:rPr>
        <w:t>AeroMACS</w:t>
      </w:r>
      <w:r>
        <w:rPr>
          <w:rFonts w:eastAsia="Calibri"/>
          <w:color w:val="231F20"/>
        </w:rPr>
        <w:t>), from longer term operation at the higher power levels RADWIN requests.</w:t>
      </w:r>
      <w:r>
        <w:rPr>
          <w:rStyle w:val="FootnoteReference"/>
          <w:rFonts w:eastAsia="Calibri"/>
        </w:rPr>
        <w:footnoteReference w:id="20"/>
      </w:r>
      <w:r>
        <w:rPr>
          <w:rFonts w:eastAsia="Calibri"/>
          <w:color w:val="231F20"/>
        </w:rPr>
        <w:t xml:space="preserve">  </w:t>
      </w:r>
      <w:r>
        <w:rPr>
          <w:rFonts w:eastAsia="Calibri"/>
          <w:color w:val="231F20"/>
        </w:rPr>
        <w:t>Globalstar</w:t>
      </w:r>
      <w:r>
        <w:rPr>
          <w:rFonts w:eastAsia="Calibri"/>
          <w:color w:val="231F20"/>
        </w:rPr>
        <w:t xml:space="preserve"> requests that </w:t>
      </w:r>
      <w:r w:rsidRPr="00E6306E">
        <w:rPr>
          <w:rFonts w:eastAsia="Calibri"/>
          <w:snapToGrid/>
          <w:kern w:val="0"/>
          <w:szCs w:val="22"/>
        </w:rPr>
        <w:t>the Commission require RADWIN’s customers to submit reports providing information on the quantity, radio and antenna model numbers, geographic coordinates, and antenna heights of deployed RADWIN point-to-multipoint base stations.</w:t>
      </w:r>
      <w:r>
        <w:rPr>
          <w:rStyle w:val="FootnoteReference"/>
          <w:rFonts w:eastAsia="Calibri"/>
          <w:snapToGrid/>
          <w:kern w:val="0"/>
          <w:szCs w:val="22"/>
        </w:rPr>
        <w:footnoteReference w:id="21"/>
      </w:r>
      <w:r w:rsidRPr="00E6306E">
        <w:rPr>
          <w:rFonts w:eastAsia="Calibri"/>
          <w:snapToGrid/>
          <w:kern w:val="0"/>
          <w:szCs w:val="22"/>
        </w:rPr>
        <w:t xml:space="preserve">  </w:t>
      </w:r>
    </w:p>
    <w:p w:rsidR="00E6306E" w:rsidRPr="00455445" w:rsidP="00A6019C">
      <w:pPr>
        <w:keepNext/>
        <w:widowControl/>
        <w:numPr>
          <w:ilvl w:val="0"/>
          <w:numId w:val="3"/>
        </w:numPr>
        <w:tabs>
          <w:tab w:val="left" w:pos="720"/>
        </w:tabs>
        <w:suppressAutoHyphens/>
        <w:spacing w:after="120"/>
        <w:outlineLvl w:val="0"/>
        <w:rPr>
          <w:rFonts w:ascii="Times New Roman Bold" w:hAnsi="Times New Roman Bold"/>
          <w:b/>
          <w:caps/>
        </w:rPr>
      </w:pPr>
      <w:r w:rsidRPr="00455445">
        <w:rPr>
          <w:rFonts w:ascii="Times New Roman Bold" w:hAnsi="Times New Roman Bold"/>
          <w:b/>
          <w:caps/>
        </w:rPr>
        <w:t>Discussion</w:t>
      </w:r>
    </w:p>
    <w:p w:rsidR="00E6306E" w:rsidP="00A6019C">
      <w:pPr>
        <w:pStyle w:val="ParaNum"/>
        <w:widowControl/>
      </w:pPr>
      <w:r w:rsidRPr="00455445">
        <w:t>We are authorized to grant a waiver under Section 1.3 of the Commission's rules if the petitioner demonstrates good cause for such action.</w:t>
      </w:r>
      <w:bookmarkStart w:id="4" w:name="FN[FN17]"/>
      <w:bookmarkEnd w:id="4"/>
      <w:r>
        <w:rPr>
          <w:vertAlign w:val="superscript"/>
        </w:rPr>
        <w:footnoteReference w:id="22"/>
      </w:r>
      <w:r w:rsidRPr="00455445">
        <w:t xml:space="preserve">  Good cause, in turn, may be found and a waiver granted “where particular facts would make strict compliance inconsistent with the public interest.”</w:t>
      </w:r>
      <w:bookmarkStart w:id="5" w:name="FN[FN18]"/>
      <w:bookmarkEnd w:id="5"/>
      <w:r>
        <w:rPr>
          <w:vertAlign w:val="superscript"/>
        </w:rPr>
        <w:footnoteReference w:id="23"/>
      </w:r>
      <w:r w:rsidRPr="00455445">
        <w:t xml:space="preserve">  To make this public interest determination, the waiver cannot undermine the purposes of the rule, and there must be a stronger public interest benefit in </w:t>
      </w:r>
      <w:bookmarkStart w:id="6" w:name="sp_1511_4275"/>
      <w:bookmarkStart w:id="7" w:name="SDU_4275"/>
      <w:bookmarkStart w:id="8" w:name="citeas((Cite_as:_22_F.C.C.R._4272,_*4275"/>
      <w:bookmarkEnd w:id="6"/>
      <w:bookmarkEnd w:id="7"/>
      <w:bookmarkEnd w:id="8"/>
      <w:r w:rsidRPr="00455445">
        <w:t>granting the waiver than in applying the rule.</w:t>
      </w:r>
      <w:bookmarkStart w:id="9" w:name="FN[FN19]"/>
      <w:bookmarkEnd w:id="9"/>
      <w:r>
        <w:rPr>
          <w:vertAlign w:val="superscript"/>
        </w:rPr>
        <w:footnoteReference w:id="24"/>
      </w:r>
    </w:p>
    <w:p w:rsidR="00E6306E" w:rsidP="00A6019C">
      <w:pPr>
        <w:pStyle w:val="ParaNum"/>
        <w:widowControl/>
      </w:pPr>
      <w:bookmarkStart w:id="10" w:name="_Hlk45522863"/>
      <w:r>
        <w:t xml:space="preserve">We find that granting RADWIN’s requested waiver promises to deliver several benefits to consumers of wireless internet service providers that will allow them to </w:t>
      </w:r>
      <w:r w:rsidRPr="001A33BC">
        <w:t>stay connected and access essential</w:t>
      </w:r>
      <w:r>
        <w:t xml:space="preserve"> </w:t>
      </w:r>
      <w:r w:rsidRPr="001A33BC">
        <w:t xml:space="preserve">services during the </w:t>
      </w:r>
      <w:r w:rsidRPr="00270E38">
        <w:t>ongoing challenge of the COVID-19 pandemic</w:t>
      </w:r>
      <w:r w:rsidRPr="001A33BC">
        <w:t xml:space="preserve">. </w:t>
      </w:r>
      <w:r>
        <w:t xml:space="preserve"> Higher power will provide</w:t>
      </w:r>
      <w:r w:rsidRPr="001A33BC">
        <w:t xml:space="preserve"> improved system performance</w:t>
      </w:r>
      <w:r>
        <w:t xml:space="preserve"> and increased </w:t>
      </w:r>
      <w:r w:rsidRPr="001A33BC">
        <w:t>capacity</w:t>
      </w:r>
      <w:r>
        <w:t xml:space="preserve"> to enable service to more customers simultaneously</w:t>
      </w:r>
      <w:r w:rsidRPr="001A33BC">
        <w:t xml:space="preserve">. </w:t>
      </w:r>
      <w:r>
        <w:t xml:space="preserve"> This improved performance and capacity will particularly benefit customers in remote areas by providing better access to important services such as telehealth during the current pandemic.</w:t>
      </w:r>
    </w:p>
    <w:bookmarkEnd w:id="10"/>
    <w:p w:rsidR="00E6306E" w:rsidP="00A6019C">
      <w:pPr>
        <w:pStyle w:val="ParaNum"/>
        <w:widowControl/>
      </w:pPr>
      <w:r w:rsidRPr="004E25F0">
        <w:t>We also conclude that, with appropriate operational and technical restrictions to prevent harmful interference to authorized services, granting RADWIN’s request for waiver does not undermine the purpose of the rules, i.e., to prevent harmful interference to authorized services</w:t>
      </w:r>
      <w:r>
        <w:t>.  As requested by RADWIN, we are limiting this waiver to a period of 60 days,</w:t>
      </w:r>
      <w:r w:rsidRPr="0043101C">
        <w:t xml:space="preserve"> </w:t>
      </w:r>
      <w:r>
        <w:t>which will serve to limit the potential impact on authorized services in the same and adjacent bands.</w:t>
      </w:r>
      <w:r>
        <w:rPr>
          <w:rStyle w:val="FootnoteReference"/>
        </w:rPr>
        <w:footnoteReference w:id="25"/>
      </w:r>
      <w:r>
        <w:t xml:space="preserve">  No party argued that operation of the RADWIN equipment at the higher power levels it requests for a 60-day time period would result in harmful interference to authorized services.</w:t>
      </w:r>
      <w:r>
        <w:rPr>
          <w:rStyle w:val="FootnoteReference"/>
        </w:rPr>
        <w:footnoteReference w:id="26"/>
      </w:r>
      <w:r>
        <w:t xml:space="preserve">  In addition, RADWIN equipment will operate at higher </w:t>
      </w:r>
      <w:r>
        <w:t>power in only a relatively few locations for this limited time period, which will further serve to keep the potential for interference to authorized services low.</w:t>
      </w:r>
    </w:p>
    <w:p w:rsidR="00E6306E" w:rsidRPr="004E25F0" w:rsidP="00A6019C">
      <w:pPr>
        <w:pStyle w:val="ParaNum"/>
        <w:widowControl/>
      </w:pPr>
      <w:r>
        <w:t xml:space="preserve">We will require that RADWIN maintain a database of the geographic coordinates where their equipment operating at higher power under this waiver is deployed, and that this information be made available to the FCC and NTIA upon request.  However, we are not requiring RADWIN to submit detailed information on </w:t>
      </w:r>
      <w:r w:rsidRPr="00EB0FDA">
        <w:t>the quantity, radio and antenna model numbers and antenna heights of their deployed point-to-multipoint base stations</w:t>
      </w:r>
      <w:r>
        <w:t xml:space="preserve"> as requested by </w:t>
      </w:r>
      <w:r>
        <w:t>Globalstar</w:t>
      </w:r>
      <w:r>
        <w:t>.</w:t>
      </w:r>
      <w:r>
        <w:rPr>
          <w:rStyle w:val="FootnoteReference"/>
        </w:rPr>
        <w:footnoteReference w:id="27"/>
      </w:r>
      <w:r>
        <w:t xml:space="preserve">  We believe that requiring RADWIN to maintain a database of operating locations under this waiver is a sufficient safeguard to address interference concerns and that requiring the additional information requested by </w:t>
      </w:r>
      <w:r>
        <w:t>Globalstar</w:t>
      </w:r>
      <w:r>
        <w:t xml:space="preserve"> would be unnecessarily burdensome and of limited value, particularly in light of the fact that this waiver is limited to a short duration of 60 days.  </w:t>
      </w:r>
    </w:p>
    <w:p w:rsidR="00E6306E" w:rsidRPr="00050AEB" w:rsidP="00A6019C">
      <w:pPr>
        <w:pStyle w:val="Heading2"/>
        <w:widowControl/>
      </w:pPr>
      <w:r w:rsidRPr="00050AEB">
        <w:t>Waiver conditions</w:t>
      </w:r>
    </w:p>
    <w:p w:rsidR="00E6306E" w:rsidRPr="00776DA8" w:rsidP="00A6019C">
      <w:pPr>
        <w:pStyle w:val="ParaNum"/>
        <w:widowControl/>
      </w:pPr>
      <w:r w:rsidRPr="00402E8F">
        <w:t xml:space="preserve">We will impose conditions on the grant of the waiver </w:t>
      </w:r>
      <w:r>
        <w:t>that</w:t>
      </w:r>
      <w:r w:rsidRPr="00402E8F">
        <w:t xml:space="preserve"> are designed to limit the potential for harmful interference from </w:t>
      </w:r>
      <w:r>
        <w:t>RADWIN’s system</w:t>
      </w:r>
      <w:r w:rsidRPr="00402E8F">
        <w:t xml:space="preserve">, while allowing wireless </w:t>
      </w:r>
      <w:r>
        <w:t xml:space="preserve">internet </w:t>
      </w:r>
      <w:r w:rsidRPr="00402E8F">
        <w:t>service providers to temporarily operate with higher power</w:t>
      </w:r>
      <w:r>
        <w:t xml:space="preserve"> to provide improved service</w:t>
      </w:r>
      <w:r w:rsidRPr="00402E8F">
        <w:t xml:space="preserve">.  </w:t>
      </w:r>
      <w:r>
        <w:t>Specifically, we will limit the waiver to 60 days, limit the maximum EIRP of devices to the levels requested by RADWIN, and require that devices continue to comply with the undesirable emission limits at these higher power levels.  We will also</w:t>
      </w:r>
      <w:r w:rsidRPr="00402E8F">
        <w:t xml:space="preserve"> require RADWIN and its customers to follow the procedures </w:t>
      </w:r>
      <w:r>
        <w:t>described</w:t>
      </w:r>
      <w:r w:rsidRPr="00402E8F">
        <w:t xml:space="preserve"> in </w:t>
      </w:r>
      <w:r>
        <w:t>RADWIN’s</w:t>
      </w:r>
      <w:r w:rsidRPr="00402E8F">
        <w:t xml:space="preserve"> waiver request and June 4, 2020 letter to increase the devices’ </w:t>
      </w:r>
      <w:r>
        <w:t>EIRP</w:t>
      </w:r>
      <w:r w:rsidRPr="00402E8F">
        <w:t xml:space="preserve"> for operation under the waiver, and to reduce the devices</w:t>
      </w:r>
      <w:r>
        <w:t>’</w:t>
      </w:r>
      <w:r w:rsidRPr="00402E8F">
        <w:t xml:space="preserve"> </w:t>
      </w:r>
      <w:r>
        <w:t>EIRP</w:t>
      </w:r>
      <w:r w:rsidRPr="00402E8F">
        <w:t xml:space="preserve"> when the waiver </w:t>
      </w:r>
      <w:r w:rsidRPr="00776DA8">
        <w:t>expires. We will also require RADWIN to provide within 20 days of expiration of the waiver a list of its customers that have not followed the procedures to reinstate the pre-waiver on their devices.</w:t>
      </w:r>
    </w:p>
    <w:p w:rsidR="00E6306E" w:rsidP="00A6019C">
      <w:pPr>
        <w:pStyle w:val="ParaNum"/>
        <w:widowControl/>
      </w:pPr>
      <w:r w:rsidRPr="00050AEB">
        <w:t>Accordingly, pursuant to the delegated authority in Sections 0.31 and 0.241 of the Commission’s rules, we waive the requirements of Sections 15.</w:t>
      </w:r>
      <w:r>
        <w:t>407(a)</w:t>
      </w:r>
      <w:r w:rsidRPr="00050AEB">
        <w:t xml:space="preserve"> of our rules to permit the </w:t>
      </w:r>
      <w:r>
        <w:t>operation of the RADWIN JET point-to-multipoint system</w:t>
      </w:r>
      <w:r>
        <w:rPr>
          <w:rStyle w:val="FootnoteReference"/>
        </w:rPr>
        <w:footnoteReference w:id="28"/>
      </w:r>
      <w:r>
        <w:t xml:space="preserve"> at power levels that exceed the limits in that section</w:t>
      </w:r>
      <w:r w:rsidRPr="00050AEB">
        <w:t>.  This waiver is subject to the following conditions:</w:t>
      </w:r>
    </w:p>
    <w:p w:rsidR="00E6306E" w:rsidP="00A6019C">
      <w:pPr>
        <w:pStyle w:val="ParaNum"/>
        <w:widowControl/>
        <w:numPr>
          <w:ilvl w:val="0"/>
          <w:numId w:val="10"/>
        </w:numPr>
        <w:tabs>
          <w:tab w:val="left" w:pos="1170"/>
        </w:tabs>
      </w:pPr>
      <w:r>
        <w:t>Operation at the higher power levels specified herein is permitted for a period of 60 days from the release date of this Order.</w:t>
      </w:r>
    </w:p>
    <w:p w:rsidR="00E6306E" w:rsidP="00A6019C">
      <w:pPr>
        <w:pStyle w:val="ParaNum"/>
        <w:widowControl/>
        <w:numPr>
          <w:ilvl w:val="0"/>
          <w:numId w:val="10"/>
        </w:numPr>
      </w:pPr>
      <w:r>
        <w:t xml:space="preserve">Operation is limited to a maximum EIRP of 42 dBm in the </w:t>
      </w:r>
      <w:r w:rsidRPr="00402E8F">
        <w:t>5.15-5.25 GHz</w:t>
      </w:r>
      <w:r>
        <w:t xml:space="preserve"> band and 48 dBm in the </w:t>
      </w:r>
      <w:r w:rsidRPr="00402E8F">
        <w:t>5.725-5.85 GHz band</w:t>
      </w:r>
      <w:r>
        <w:t>.</w:t>
      </w:r>
    </w:p>
    <w:p w:rsidR="00E6306E" w:rsidP="00A6019C">
      <w:pPr>
        <w:pStyle w:val="ParaNum"/>
        <w:widowControl/>
        <w:numPr>
          <w:ilvl w:val="0"/>
          <w:numId w:val="10"/>
        </w:numPr>
      </w:pPr>
      <w:r>
        <w:t>Devices must continue to comply with the undesirable emission limits in Section 15.407(b).</w:t>
      </w:r>
    </w:p>
    <w:p w:rsidR="00E6306E" w:rsidP="00A6019C">
      <w:pPr>
        <w:pStyle w:val="ParaNum"/>
        <w:widowControl/>
        <w:numPr>
          <w:ilvl w:val="0"/>
          <w:numId w:val="10"/>
        </w:numPr>
      </w:pPr>
      <w:r>
        <w:t>To protect Federal Government operations, operation of RADWIN equipment under this waiver is prohibited within the counties listed in the Appendix.</w:t>
      </w:r>
    </w:p>
    <w:p w:rsidR="00E6306E" w:rsidP="00A6019C">
      <w:pPr>
        <w:pStyle w:val="ParaNum"/>
        <w:widowControl/>
        <w:numPr>
          <w:ilvl w:val="0"/>
          <w:numId w:val="10"/>
        </w:numPr>
        <w:tabs>
          <w:tab w:val="left" w:pos="810"/>
        </w:tabs>
      </w:pPr>
      <w:r>
        <w:t>RADWIN must maintain a database of the geographic coordinates where its equipment operating at higher power under this waiver is deployed, and this information must be made available to the FCC and NTIA upon request.</w:t>
      </w:r>
    </w:p>
    <w:p w:rsidR="00E6306E" w:rsidP="00A6019C">
      <w:pPr>
        <w:pStyle w:val="ParaNum"/>
        <w:widowControl/>
        <w:numPr>
          <w:ilvl w:val="0"/>
          <w:numId w:val="10"/>
        </w:numPr>
        <w:tabs>
          <w:tab w:val="left" w:pos="900"/>
        </w:tabs>
      </w:pPr>
      <w:r>
        <w:t xml:space="preserve">Increasing power for any device operating under the waiver must be done in accordance </w:t>
      </w:r>
      <w:bookmarkStart w:id="11" w:name="_Hlk42178069"/>
      <w:r>
        <w:t>with the procedures described in RADWIN’s waiver request and June 4, 2020 letter.</w:t>
      </w:r>
      <w:bookmarkEnd w:id="11"/>
    </w:p>
    <w:p w:rsidR="00E6306E" w:rsidP="00A6019C">
      <w:pPr>
        <w:pStyle w:val="ParaNum"/>
        <w:widowControl/>
        <w:numPr>
          <w:ilvl w:val="0"/>
          <w:numId w:val="10"/>
        </w:numPr>
        <w:tabs>
          <w:tab w:val="left" w:pos="900"/>
        </w:tabs>
      </w:pPr>
      <w:r>
        <w:t xml:space="preserve">All devices operating under this waiver must have their power reduced to levels permitted by the rules at the end of the waiver period in accordance </w:t>
      </w:r>
      <w:r w:rsidRPr="002066A3">
        <w:t>with the procedures described in RADWIN’s waiver request and June 4, 2020 letter.</w:t>
      </w:r>
    </w:p>
    <w:p w:rsidR="00E6306E" w:rsidP="00A6019C">
      <w:pPr>
        <w:pStyle w:val="ParaNum"/>
        <w:widowControl/>
        <w:numPr>
          <w:ilvl w:val="0"/>
          <w:numId w:val="10"/>
        </w:numPr>
        <w:tabs>
          <w:tab w:val="left" w:pos="990"/>
        </w:tabs>
      </w:pPr>
      <w:r w:rsidRPr="00776DA8">
        <w:t xml:space="preserve">RADWIN will provide within 20 days </w:t>
      </w:r>
      <w:r>
        <w:t xml:space="preserve">of expiration of the waiver </w:t>
      </w:r>
      <w:r w:rsidRPr="00776DA8">
        <w:t>a list of its customers that have failed to update their devices to the pre-waiver settings.</w:t>
      </w:r>
    </w:p>
    <w:p w:rsidR="00E6306E" w:rsidRPr="000E5FF7" w:rsidP="00A6019C">
      <w:pPr>
        <w:pStyle w:val="ListParagraph"/>
        <w:widowControl/>
        <w:numPr>
          <w:ilvl w:val="0"/>
          <w:numId w:val="10"/>
        </w:numPr>
        <w:autoSpaceDE w:val="0"/>
        <w:autoSpaceDN w:val="0"/>
        <w:adjustRightInd w:val="0"/>
      </w:pPr>
      <w:r w:rsidRPr="00955987">
        <w:rPr>
          <w:rFonts w:eastAsia="CIDFont+F3"/>
          <w:color w:val="000000"/>
          <w:szCs w:val="22"/>
        </w:rPr>
        <w:t>Operation</w:t>
      </w:r>
      <w:r w:rsidRPr="000E5FF7">
        <w:rPr>
          <w:rFonts w:eastAsia="CIDFont+F3"/>
          <w:color w:val="000000"/>
        </w:rPr>
        <w:t xml:space="preserve"> of RADWIN equipment </w:t>
      </w:r>
      <w:r w:rsidRPr="00955987">
        <w:rPr>
          <w:rFonts w:eastAsia="CIDFont+F3"/>
          <w:color w:val="000000"/>
          <w:szCs w:val="22"/>
        </w:rPr>
        <w:t>under this waiver</w:t>
      </w:r>
      <w:r w:rsidRPr="000E5FF7">
        <w:rPr>
          <w:rFonts w:eastAsia="CIDFont+F3"/>
          <w:color w:val="000000"/>
        </w:rPr>
        <w:t xml:space="preserve"> within 50 kilometer</w:t>
      </w:r>
      <w:r>
        <w:rPr>
          <w:rFonts w:eastAsia="CIDFont+F3"/>
          <w:color w:val="000000"/>
        </w:rPr>
        <w:t>s</w:t>
      </w:r>
      <w:r w:rsidRPr="000E5FF7">
        <w:rPr>
          <w:rFonts w:eastAsia="CIDFont+F3"/>
          <w:color w:val="000000"/>
        </w:rPr>
        <w:t xml:space="preserve"> of the sites</w:t>
      </w:r>
      <w:r w:rsidRPr="00955987">
        <w:rPr>
          <w:rFonts w:eastAsia="CIDFont+F3"/>
          <w:color w:val="000000"/>
          <w:szCs w:val="22"/>
        </w:rPr>
        <w:t xml:space="preserve"> listed in Table 1 below requires prior coordination with the </w:t>
      </w:r>
      <w:r w:rsidRPr="000E5FF7">
        <w:rPr>
          <w:rFonts w:eastAsia="CIDFont+F3"/>
          <w:color w:val="000000"/>
        </w:rPr>
        <w:t xml:space="preserve">National Science Foundation at </w:t>
      </w:r>
      <w:hyperlink r:id="rId5" w:history="1">
        <w:r w:rsidRPr="000E5FF7">
          <w:rPr>
            <w:rStyle w:val="Hyperlink"/>
            <w:rFonts w:eastAsia="CIDFont+F3"/>
          </w:rPr>
          <w:t>esm@nsf.gov</w:t>
        </w:r>
      </w:hyperlink>
      <w:r w:rsidRPr="000E5FF7">
        <w:rPr>
          <w:rFonts w:eastAsia="CIDFont+F3"/>
          <w:color w:val="000000"/>
        </w:rPr>
        <w:t xml:space="preserve">. </w:t>
      </w:r>
    </w:p>
    <w:p w:rsidR="00E6306E" w:rsidP="00A6019C">
      <w:pPr>
        <w:widowControl/>
        <w:autoSpaceDE w:val="0"/>
        <w:autoSpaceDN w:val="0"/>
        <w:adjustRightInd w:val="0"/>
        <w:ind w:left="360"/>
        <w:jc w:val="center"/>
        <w:rPr>
          <w:b/>
          <w:szCs w:val="22"/>
        </w:rPr>
      </w:pPr>
    </w:p>
    <w:p w:rsidR="00E6306E" w:rsidRPr="000E5FF7" w:rsidP="00A6019C">
      <w:pPr>
        <w:widowControl/>
        <w:autoSpaceDE w:val="0"/>
        <w:autoSpaceDN w:val="0"/>
        <w:adjustRightInd w:val="0"/>
        <w:ind w:left="360"/>
        <w:jc w:val="center"/>
        <w:rPr>
          <w:b/>
        </w:rPr>
      </w:pPr>
      <w:r w:rsidRPr="000E5FF7">
        <w:rPr>
          <w:b/>
        </w:rPr>
        <w:t>Table 1</w:t>
      </w:r>
    </w:p>
    <w:p w:rsidR="00E6306E" w:rsidRPr="000E5FF7" w:rsidP="00A6019C">
      <w:pPr>
        <w:pStyle w:val="ListParagraph"/>
        <w:widowControl/>
        <w:autoSpaceDE w:val="0"/>
        <w:autoSpaceDN w:val="0"/>
        <w:adjustRightInd w:val="0"/>
        <w:jc w:val="center"/>
        <w:rPr>
          <w:b/>
        </w:rPr>
      </w:pPr>
      <w:r w:rsidRPr="000E5FF7">
        <w:rPr>
          <w:b/>
        </w:rPr>
        <w:t>Latitude and Longitude of Radio Astronomy Sites</w:t>
      </w:r>
    </w:p>
    <w:tbl>
      <w:tblPr>
        <w:tblStyle w:val="TableGrid"/>
        <w:tblW w:w="10080" w:type="dxa"/>
        <w:jc w:val="center"/>
        <w:tblLook w:val="04A0"/>
      </w:tblPr>
      <w:tblGrid>
        <w:gridCol w:w="6570"/>
        <w:gridCol w:w="1710"/>
        <w:gridCol w:w="1800"/>
      </w:tblGrid>
      <w:tr w:rsidTr="00E6306E">
        <w:tblPrEx>
          <w:tblW w:w="10080" w:type="dxa"/>
          <w:jc w:val="center"/>
          <w:tblLook w:val="04A0"/>
        </w:tblPrEx>
        <w:trPr>
          <w:trHeight w:val="278"/>
          <w:jc w:val="center"/>
        </w:trPr>
        <w:tc>
          <w:tcPr>
            <w:tcW w:w="6570" w:type="dxa"/>
          </w:tcPr>
          <w:p w:rsidR="00E6306E" w:rsidRPr="000E5FF7" w:rsidP="00A6019C">
            <w:pPr>
              <w:widowControl/>
              <w:jc w:val="center"/>
              <w:rPr>
                <w:b/>
              </w:rPr>
            </w:pPr>
            <w:r w:rsidRPr="000E5FF7">
              <w:rPr>
                <w:b/>
              </w:rPr>
              <w:t>RAS Site</w:t>
            </w:r>
          </w:p>
        </w:tc>
        <w:tc>
          <w:tcPr>
            <w:tcW w:w="1710" w:type="dxa"/>
          </w:tcPr>
          <w:p w:rsidR="00E6306E" w:rsidRPr="000E5FF7" w:rsidP="00A6019C">
            <w:pPr>
              <w:widowControl/>
              <w:jc w:val="center"/>
              <w:rPr>
                <w:b/>
              </w:rPr>
            </w:pPr>
            <w:r w:rsidRPr="000E5FF7">
              <w:rPr>
                <w:b/>
              </w:rPr>
              <w:t>Latitude (North)</w:t>
            </w:r>
          </w:p>
        </w:tc>
        <w:tc>
          <w:tcPr>
            <w:tcW w:w="1800" w:type="dxa"/>
          </w:tcPr>
          <w:p w:rsidR="00E6306E" w:rsidRPr="000E5FF7" w:rsidP="00A6019C">
            <w:pPr>
              <w:widowControl/>
              <w:jc w:val="center"/>
              <w:rPr>
                <w:b/>
              </w:rPr>
            </w:pPr>
            <w:r w:rsidRPr="000E5FF7">
              <w:rPr>
                <w:b/>
              </w:rPr>
              <w:t>Longitude (West)</w:t>
            </w:r>
          </w:p>
        </w:tc>
      </w:tr>
      <w:tr w:rsidTr="00E6306E">
        <w:tblPrEx>
          <w:tblW w:w="10080" w:type="dxa"/>
          <w:jc w:val="center"/>
          <w:tblLook w:val="04A0"/>
        </w:tblPrEx>
        <w:trPr>
          <w:trHeight w:val="125"/>
          <w:jc w:val="center"/>
        </w:trPr>
        <w:tc>
          <w:tcPr>
            <w:tcW w:w="6570" w:type="dxa"/>
          </w:tcPr>
          <w:p w:rsidR="00E6306E" w:rsidRPr="000E5FF7" w:rsidP="00A6019C">
            <w:pPr>
              <w:widowControl/>
              <w:jc w:val="center"/>
            </w:pPr>
            <w:r w:rsidRPr="000E5FF7">
              <w:t>Allen Telescope Array (ATA), Hat Creek, CA</w:t>
            </w:r>
          </w:p>
        </w:tc>
        <w:tc>
          <w:tcPr>
            <w:tcW w:w="1710" w:type="dxa"/>
          </w:tcPr>
          <w:p w:rsidR="00E6306E" w:rsidRPr="000E5FF7" w:rsidP="00A6019C">
            <w:pPr>
              <w:widowControl/>
              <w:jc w:val="center"/>
            </w:pPr>
            <w:r w:rsidRPr="000E5FF7">
              <w:t>40°49′04″</w:t>
            </w:r>
          </w:p>
        </w:tc>
        <w:tc>
          <w:tcPr>
            <w:tcW w:w="1800" w:type="dxa"/>
          </w:tcPr>
          <w:p w:rsidR="00E6306E" w:rsidRPr="000E5FF7" w:rsidP="00A6019C">
            <w:pPr>
              <w:widowControl/>
              <w:jc w:val="center"/>
            </w:pPr>
            <w:r w:rsidRPr="000E5FF7">
              <w:t>121°28′24″</w:t>
            </w:r>
          </w:p>
        </w:tc>
      </w:tr>
      <w:tr w:rsidTr="00E6306E">
        <w:tblPrEx>
          <w:tblW w:w="10080" w:type="dxa"/>
          <w:jc w:val="center"/>
          <w:tblLook w:val="04A0"/>
        </w:tblPrEx>
        <w:trPr>
          <w:jc w:val="center"/>
        </w:trPr>
        <w:tc>
          <w:tcPr>
            <w:tcW w:w="6570" w:type="dxa"/>
          </w:tcPr>
          <w:p w:rsidR="00E6306E" w:rsidRPr="000E5FF7" w:rsidP="00A6019C">
            <w:pPr>
              <w:widowControl/>
              <w:jc w:val="center"/>
            </w:pPr>
            <w:r w:rsidRPr="000E5FF7">
              <w:t>Pisgah Astronomical Research Institute (PARI), Rosman, NC</w:t>
            </w:r>
          </w:p>
        </w:tc>
        <w:tc>
          <w:tcPr>
            <w:tcW w:w="1710" w:type="dxa"/>
          </w:tcPr>
          <w:p w:rsidR="00E6306E" w:rsidRPr="000E5FF7" w:rsidP="00A6019C">
            <w:pPr>
              <w:widowControl/>
              <w:jc w:val="center"/>
            </w:pPr>
            <w:r w:rsidRPr="000E5FF7">
              <w:t xml:space="preserve">35°11′59″ </w:t>
            </w:r>
          </w:p>
        </w:tc>
        <w:tc>
          <w:tcPr>
            <w:tcW w:w="1800" w:type="dxa"/>
          </w:tcPr>
          <w:p w:rsidR="00E6306E" w:rsidRPr="000E5FF7" w:rsidP="00A6019C">
            <w:pPr>
              <w:widowControl/>
              <w:jc w:val="center"/>
            </w:pPr>
            <w:r w:rsidRPr="000E5FF7">
              <w:t>82°52′21″</w:t>
            </w:r>
          </w:p>
        </w:tc>
      </w:tr>
      <w:tr w:rsidTr="00E6306E">
        <w:tblPrEx>
          <w:tblW w:w="10080" w:type="dxa"/>
          <w:jc w:val="center"/>
          <w:tblLook w:val="04A0"/>
        </w:tblPrEx>
        <w:trPr>
          <w:jc w:val="center"/>
        </w:trPr>
        <w:tc>
          <w:tcPr>
            <w:tcW w:w="6570" w:type="dxa"/>
          </w:tcPr>
          <w:p w:rsidR="00E6306E" w:rsidRPr="000E5FF7" w:rsidP="00A6019C">
            <w:pPr>
              <w:widowControl/>
              <w:jc w:val="center"/>
            </w:pPr>
            <w:r w:rsidRPr="000E5FF7">
              <w:t xml:space="preserve">University of Michigan Radio Astronomy Observatory, </w:t>
            </w:r>
            <w:r w:rsidRPr="000E5FF7">
              <w:t>Stinchfield</w:t>
            </w:r>
            <w:r w:rsidRPr="000E5FF7">
              <w:t xml:space="preserve"> Woods, MI</w:t>
            </w:r>
          </w:p>
        </w:tc>
        <w:tc>
          <w:tcPr>
            <w:tcW w:w="1710" w:type="dxa"/>
          </w:tcPr>
          <w:p w:rsidR="00E6306E" w:rsidRPr="000E5FF7" w:rsidP="00A6019C">
            <w:pPr>
              <w:widowControl/>
              <w:jc w:val="center"/>
            </w:pPr>
            <w:r w:rsidRPr="000E5FF7">
              <w:t>42°23′56″</w:t>
            </w:r>
          </w:p>
        </w:tc>
        <w:tc>
          <w:tcPr>
            <w:tcW w:w="1800" w:type="dxa"/>
          </w:tcPr>
          <w:p w:rsidR="00E6306E" w:rsidRPr="000E5FF7" w:rsidP="00A6019C">
            <w:pPr>
              <w:widowControl/>
              <w:jc w:val="center"/>
            </w:pPr>
            <w:r w:rsidRPr="000E5FF7">
              <w:t>83°56′08″</w:t>
            </w:r>
          </w:p>
        </w:tc>
      </w:tr>
      <w:tr w:rsidTr="00E6306E">
        <w:tblPrEx>
          <w:tblW w:w="10080" w:type="dxa"/>
          <w:jc w:val="center"/>
          <w:tblLook w:val="04A0"/>
        </w:tblPrEx>
        <w:trPr>
          <w:trHeight w:val="188"/>
          <w:jc w:val="center"/>
        </w:trPr>
        <w:tc>
          <w:tcPr>
            <w:tcW w:w="6570" w:type="dxa"/>
          </w:tcPr>
          <w:p w:rsidR="00E6306E" w:rsidRPr="000E5FF7" w:rsidP="00A6019C">
            <w:pPr>
              <w:widowControl/>
              <w:jc w:val="center"/>
            </w:pPr>
            <w:r w:rsidRPr="000E5FF7">
              <w:t>Arecibo Observatory (AO), PR</w:t>
            </w:r>
          </w:p>
        </w:tc>
        <w:tc>
          <w:tcPr>
            <w:tcW w:w="1710" w:type="dxa"/>
          </w:tcPr>
          <w:p w:rsidR="00E6306E" w:rsidRPr="000E5FF7" w:rsidP="00A6019C">
            <w:pPr>
              <w:widowControl/>
              <w:jc w:val="center"/>
            </w:pPr>
            <w:r w:rsidRPr="000E5FF7">
              <w:t>18° 20' 37"</w:t>
            </w:r>
          </w:p>
        </w:tc>
        <w:tc>
          <w:tcPr>
            <w:tcW w:w="1800" w:type="dxa"/>
          </w:tcPr>
          <w:p w:rsidR="00E6306E" w:rsidRPr="000E5FF7" w:rsidP="00A6019C">
            <w:pPr>
              <w:widowControl/>
              <w:jc w:val="center"/>
            </w:pPr>
            <w:r w:rsidRPr="000E5FF7">
              <w:t>66° 45' 11"</w:t>
            </w:r>
          </w:p>
        </w:tc>
      </w:tr>
      <w:tr w:rsidTr="00E6306E">
        <w:tblPrEx>
          <w:tblW w:w="10080" w:type="dxa"/>
          <w:jc w:val="center"/>
          <w:tblLook w:val="04A0"/>
        </w:tblPrEx>
        <w:trPr>
          <w:jc w:val="center"/>
        </w:trPr>
        <w:tc>
          <w:tcPr>
            <w:tcW w:w="6570" w:type="dxa"/>
          </w:tcPr>
          <w:p w:rsidR="00E6306E" w:rsidRPr="000E5FF7" w:rsidP="00A6019C">
            <w:pPr>
              <w:widowControl/>
              <w:jc w:val="center"/>
            </w:pPr>
            <w:r w:rsidRPr="000E5FF7">
              <w:t>Green Bank Telescope (GBT), WV</w:t>
            </w:r>
          </w:p>
        </w:tc>
        <w:tc>
          <w:tcPr>
            <w:tcW w:w="1710" w:type="dxa"/>
          </w:tcPr>
          <w:p w:rsidR="00E6306E" w:rsidRPr="000E5FF7" w:rsidP="00A6019C">
            <w:pPr>
              <w:widowControl/>
              <w:jc w:val="center"/>
            </w:pPr>
            <w:r w:rsidRPr="000E5FF7">
              <w:t>38° 25' 59"</w:t>
            </w:r>
          </w:p>
        </w:tc>
        <w:tc>
          <w:tcPr>
            <w:tcW w:w="1800" w:type="dxa"/>
          </w:tcPr>
          <w:p w:rsidR="00E6306E" w:rsidRPr="000E5FF7" w:rsidP="00A6019C">
            <w:pPr>
              <w:widowControl/>
              <w:jc w:val="center"/>
            </w:pPr>
            <w:r w:rsidRPr="000E5FF7">
              <w:t>79° 50' 23"</w:t>
            </w:r>
          </w:p>
        </w:tc>
      </w:tr>
      <w:tr w:rsidTr="00E6306E">
        <w:tblPrEx>
          <w:tblW w:w="10080" w:type="dxa"/>
          <w:jc w:val="center"/>
          <w:tblLook w:val="04A0"/>
        </w:tblPrEx>
        <w:trPr>
          <w:jc w:val="center"/>
        </w:trPr>
        <w:tc>
          <w:tcPr>
            <w:tcW w:w="6570" w:type="dxa"/>
          </w:tcPr>
          <w:p w:rsidR="00E6306E" w:rsidRPr="000E5FF7" w:rsidP="00A6019C">
            <w:pPr>
              <w:widowControl/>
              <w:jc w:val="center"/>
            </w:pPr>
            <w:r w:rsidRPr="000E5FF7">
              <w:t>Very Large Array (VLA), Socorro, NM</w:t>
            </w:r>
          </w:p>
        </w:tc>
        <w:tc>
          <w:tcPr>
            <w:tcW w:w="1710" w:type="dxa"/>
          </w:tcPr>
          <w:p w:rsidR="00E6306E" w:rsidRPr="000E5FF7" w:rsidP="00A6019C">
            <w:pPr>
              <w:widowControl/>
              <w:jc w:val="center"/>
            </w:pPr>
            <w:r w:rsidRPr="000E5FF7">
              <w:t>34° 04' 44"</w:t>
            </w:r>
          </w:p>
        </w:tc>
        <w:tc>
          <w:tcPr>
            <w:tcW w:w="1800" w:type="dxa"/>
          </w:tcPr>
          <w:p w:rsidR="00E6306E" w:rsidRPr="000E5FF7" w:rsidP="00A6019C">
            <w:pPr>
              <w:widowControl/>
              <w:jc w:val="center"/>
            </w:pPr>
            <w:r w:rsidRPr="000E5FF7">
              <w:t>107° 37' 06"</w:t>
            </w:r>
          </w:p>
        </w:tc>
      </w:tr>
      <w:tr w:rsidTr="00E6306E">
        <w:tblPrEx>
          <w:tblW w:w="10080" w:type="dxa"/>
          <w:jc w:val="center"/>
          <w:tblLook w:val="04A0"/>
        </w:tblPrEx>
        <w:trPr>
          <w:jc w:val="center"/>
        </w:trPr>
        <w:tc>
          <w:tcPr>
            <w:tcW w:w="6570" w:type="dxa"/>
          </w:tcPr>
          <w:p w:rsidR="00E6306E" w:rsidRPr="000E5FF7" w:rsidP="00A6019C">
            <w:pPr>
              <w:widowControl/>
              <w:jc w:val="center"/>
            </w:pPr>
            <w:r w:rsidRPr="000E5FF7">
              <w:t>Very Long Baseline Array Brewster, WA</w:t>
            </w:r>
          </w:p>
          <w:p w:rsidR="00E6306E" w:rsidRPr="000E5FF7" w:rsidP="00A6019C">
            <w:pPr>
              <w:widowControl/>
              <w:jc w:val="center"/>
            </w:pPr>
            <w:r w:rsidRPr="000E5FF7">
              <w:t>Very Long Baseline Array Fort Davis, TX</w:t>
            </w:r>
          </w:p>
          <w:p w:rsidR="00E6306E" w:rsidRPr="000E5FF7" w:rsidP="00A6019C">
            <w:pPr>
              <w:widowControl/>
              <w:jc w:val="center"/>
            </w:pPr>
            <w:r w:rsidRPr="000E5FF7">
              <w:t>Very Long Baseline Array Hancock, NH</w:t>
            </w:r>
          </w:p>
          <w:p w:rsidR="00E6306E" w:rsidRPr="000E5FF7" w:rsidP="00A6019C">
            <w:pPr>
              <w:widowControl/>
              <w:jc w:val="center"/>
            </w:pPr>
            <w:r w:rsidRPr="000E5FF7">
              <w:t>Very Long Baseline Array Kit Peak, AZ</w:t>
            </w:r>
          </w:p>
          <w:p w:rsidR="00E6306E" w:rsidRPr="000E5FF7" w:rsidP="00A6019C">
            <w:pPr>
              <w:widowControl/>
              <w:jc w:val="center"/>
            </w:pPr>
            <w:r w:rsidRPr="000E5FF7">
              <w:t>Very Long Baseline Array Los Alamos, NM</w:t>
            </w:r>
          </w:p>
          <w:p w:rsidR="00E6306E" w:rsidRPr="000E5FF7" w:rsidP="00A6019C">
            <w:pPr>
              <w:widowControl/>
              <w:jc w:val="center"/>
            </w:pPr>
            <w:r w:rsidRPr="000E5FF7">
              <w:t>Very Long Baseline Array Mauna Kea, HI</w:t>
            </w:r>
          </w:p>
          <w:p w:rsidR="00E6306E" w:rsidRPr="000E5FF7" w:rsidP="00A6019C">
            <w:pPr>
              <w:widowControl/>
              <w:jc w:val="center"/>
            </w:pPr>
            <w:r w:rsidRPr="000E5FF7">
              <w:t>Very Long Baseline Radar North Liberty, IA</w:t>
            </w:r>
          </w:p>
          <w:p w:rsidR="00E6306E" w:rsidRPr="000E5FF7" w:rsidP="00A6019C">
            <w:pPr>
              <w:widowControl/>
              <w:jc w:val="center"/>
            </w:pPr>
            <w:r w:rsidRPr="000E5FF7">
              <w:t>Very Long Baseline Array Owens Valley, CA</w:t>
            </w:r>
          </w:p>
          <w:p w:rsidR="00E6306E" w:rsidRPr="000E5FF7" w:rsidP="00A6019C">
            <w:pPr>
              <w:widowControl/>
              <w:jc w:val="center"/>
            </w:pPr>
            <w:r w:rsidRPr="000E5FF7">
              <w:t>Very Long Baseline Array Pie Town, NM</w:t>
            </w:r>
          </w:p>
          <w:p w:rsidR="00E6306E" w:rsidRPr="000E5FF7" w:rsidP="00A6019C">
            <w:pPr>
              <w:widowControl/>
              <w:jc w:val="center"/>
              <w:rPr>
                <w:i/>
              </w:rPr>
            </w:pPr>
            <w:r w:rsidRPr="000E5FF7">
              <w:t>Very Long Baseline Array St Croix, VI</w:t>
            </w:r>
          </w:p>
        </w:tc>
        <w:tc>
          <w:tcPr>
            <w:tcW w:w="1710" w:type="dxa"/>
          </w:tcPr>
          <w:p w:rsidR="00E6306E" w:rsidRPr="000E5FF7" w:rsidP="00A6019C">
            <w:pPr>
              <w:widowControl/>
              <w:jc w:val="center"/>
            </w:pPr>
            <w:r w:rsidRPr="000E5FF7">
              <w:t>48° 07' 52"</w:t>
            </w:r>
          </w:p>
          <w:p w:rsidR="00E6306E" w:rsidRPr="000E5FF7" w:rsidP="00A6019C">
            <w:pPr>
              <w:widowControl/>
              <w:jc w:val="center"/>
            </w:pPr>
            <w:r w:rsidRPr="000E5FF7">
              <w:t>30° 38' 06"</w:t>
            </w:r>
          </w:p>
          <w:p w:rsidR="00E6306E" w:rsidRPr="000E5FF7" w:rsidP="00A6019C">
            <w:pPr>
              <w:widowControl/>
              <w:jc w:val="center"/>
            </w:pPr>
            <w:r w:rsidRPr="000E5FF7">
              <w:t>42° 56' 01"</w:t>
            </w:r>
          </w:p>
          <w:p w:rsidR="00E6306E" w:rsidRPr="000E5FF7" w:rsidP="00A6019C">
            <w:pPr>
              <w:widowControl/>
              <w:jc w:val="center"/>
            </w:pPr>
            <w:r w:rsidRPr="000E5FF7">
              <w:t>31° 57' 23"</w:t>
            </w:r>
          </w:p>
          <w:p w:rsidR="00E6306E" w:rsidRPr="000E5FF7" w:rsidP="00A6019C">
            <w:pPr>
              <w:widowControl/>
              <w:jc w:val="center"/>
            </w:pPr>
            <w:r w:rsidRPr="000E5FF7">
              <w:t>35° 46' 30"</w:t>
            </w:r>
          </w:p>
          <w:p w:rsidR="00E6306E" w:rsidRPr="000E5FF7" w:rsidP="00A6019C">
            <w:pPr>
              <w:widowControl/>
              <w:jc w:val="center"/>
            </w:pPr>
            <w:r w:rsidRPr="000E5FF7">
              <w:t>19° 48' ° 05"</w:t>
            </w:r>
          </w:p>
          <w:p w:rsidR="00E6306E" w:rsidRPr="000E5FF7" w:rsidP="00A6019C">
            <w:pPr>
              <w:widowControl/>
              <w:jc w:val="center"/>
            </w:pPr>
            <w:r w:rsidRPr="000E5FF7">
              <w:t>41° 46' 17"</w:t>
            </w:r>
          </w:p>
          <w:p w:rsidR="00E6306E" w:rsidRPr="000E5FF7" w:rsidP="00A6019C">
            <w:pPr>
              <w:widowControl/>
              <w:jc w:val="center"/>
            </w:pPr>
            <w:r w:rsidRPr="000E5FF7">
              <w:t>37° 13' 54"</w:t>
            </w:r>
          </w:p>
          <w:p w:rsidR="00E6306E" w:rsidRPr="000E5FF7" w:rsidP="00A6019C">
            <w:pPr>
              <w:widowControl/>
              <w:jc w:val="center"/>
            </w:pPr>
            <w:r w:rsidRPr="000E5FF7">
              <w:t>34° 18' 04"</w:t>
            </w:r>
          </w:p>
          <w:p w:rsidR="00E6306E" w:rsidRPr="000E5FF7" w:rsidP="00A6019C">
            <w:pPr>
              <w:widowControl/>
              <w:jc w:val="center"/>
            </w:pPr>
            <w:r w:rsidRPr="000E5FF7">
              <w:t>17° 45' 24"</w:t>
            </w:r>
          </w:p>
        </w:tc>
        <w:tc>
          <w:tcPr>
            <w:tcW w:w="1800" w:type="dxa"/>
          </w:tcPr>
          <w:p w:rsidR="00E6306E" w:rsidRPr="000E5FF7" w:rsidP="00A6019C">
            <w:pPr>
              <w:widowControl/>
              <w:jc w:val="center"/>
            </w:pPr>
            <w:r w:rsidRPr="000E5FF7">
              <w:t>119° 41' 00"</w:t>
            </w:r>
          </w:p>
          <w:p w:rsidR="00E6306E" w:rsidRPr="000E5FF7" w:rsidP="00A6019C">
            <w:pPr>
              <w:widowControl/>
              <w:jc w:val="center"/>
            </w:pPr>
            <w:r w:rsidRPr="000E5FF7">
              <w:t>103° 56' 41"</w:t>
            </w:r>
          </w:p>
          <w:p w:rsidR="00E6306E" w:rsidRPr="000E5FF7" w:rsidP="00A6019C">
            <w:pPr>
              <w:widowControl/>
              <w:jc w:val="center"/>
            </w:pPr>
            <w:r w:rsidRPr="000E5FF7">
              <w:t>71° 59' 12"</w:t>
            </w:r>
          </w:p>
          <w:p w:rsidR="00E6306E" w:rsidRPr="000E5FF7" w:rsidP="00A6019C">
            <w:pPr>
              <w:widowControl/>
              <w:jc w:val="center"/>
            </w:pPr>
            <w:r w:rsidRPr="000E5FF7">
              <w:t>111° 36' 45"</w:t>
            </w:r>
          </w:p>
          <w:p w:rsidR="00E6306E" w:rsidRPr="000E5FF7" w:rsidP="00A6019C">
            <w:pPr>
              <w:widowControl/>
              <w:jc w:val="center"/>
            </w:pPr>
            <w:r w:rsidRPr="000E5FF7">
              <w:t>106° 14' 44"</w:t>
            </w:r>
          </w:p>
          <w:p w:rsidR="00E6306E" w:rsidRPr="000E5FF7" w:rsidP="00A6019C">
            <w:pPr>
              <w:widowControl/>
              <w:jc w:val="center"/>
            </w:pPr>
            <w:r w:rsidRPr="000E5FF7">
              <w:t>155° 27' 20"</w:t>
            </w:r>
          </w:p>
          <w:p w:rsidR="00E6306E" w:rsidRPr="000E5FF7" w:rsidP="00A6019C">
            <w:pPr>
              <w:widowControl/>
              <w:jc w:val="center"/>
            </w:pPr>
            <w:r w:rsidRPr="000E5FF7">
              <w:t>91° 34' 27"</w:t>
            </w:r>
          </w:p>
          <w:p w:rsidR="00E6306E" w:rsidRPr="000E5FF7" w:rsidP="00A6019C">
            <w:pPr>
              <w:widowControl/>
              <w:jc w:val="center"/>
            </w:pPr>
            <w:r w:rsidRPr="000E5FF7">
              <w:t>118° 16' 37"</w:t>
            </w:r>
          </w:p>
          <w:p w:rsidR="00E6306E" w:rsidRPr="000E5FF7" w:rsidP="00A6019C">
            <w:pPr>
              <w:widowControl/>
              <w:jc w:val="center"/>
            </w:pPr>
            <w:r w:rsidRPr="000E5FF7">
              <w:t>108° 07' 09"</w:t>
            </w:r>
          </w:p>
          <w:p w:rsidR="00E6306E" w:rsidRPr="000E5FF7" w:rsidP="00A6019C">
            <w:pPr>
              <w:widowControl/>
              <w:jc w:val="center"/>
            </w:pPr>
            <w:r w:rsidRPr="000E5FF7">
              <w:t>64° 35' 01"</w:t>
            </w:r>
          </w:p>
        </w:tc>
      </w:tr>
    </w:tbl>
    <w:p w:rsidR="00E6306E" w:rsidRPr="000E5FF7" w:rsidP="00A6019C">
      <w:pPr>
        <w:pStyle w:val="ListParagraph"/>
        <w:widowControl/>
        <w:rPr>
          <w:b/>
        </w:rPr>
      </w:pPr>
    </w:p>
    <w:p w:rsidR="00E6306E" w:rsidRPr="000E5FF7" w:rsidP="00A6019C">
      <w:pPr>
        <w:pStyle w:val="ListParagraph"/>
        <w:widowControl/>
        <w:numPr>
          <w:ilvl w:val="0"/>
          <w:numId w:val="10"/>
        </w:numPr>
      </w:pPr>
      <w:r w:rsidRPr="000E5FF7">
        <w:t xml:space="preserve">Operation of RADWIN equipment within the geographic </w:t>
      </w:r>
      <w:r w:rsidRPr="00223028">
        <w:rPr>
          <w:szCs w:val="22"/>
        </w:rPr>
        <w:t>zone</w:t>
      </w:r>
      <w:r w:rsidRPr="000E5FF7">
        <w:t xml:space="preserve"> listed in Table 2 </w:t>
      </w:r>
      <w:r>
        <w:rPr>
          <w:szCs w:val="22"/>
        </w:rPr>
        <w:t xml:space="preserve">below </w:t>
      </w:r>
      <w:r w:rsidRPr="000E5FF7">
        <w:t>should not be permitted</w:t>
      </w:r>
      <w:r w:rsidRPr="00223028">
        <w:rPr>
          <w:szCs w:val="22"/>
        </w:rPr>
        <w:t xml:space="preserve"> without prior coordination</w:t>
      </w:r>
      <w:r>
        <w:rPr>
          <w:szCs w:val="22"/>
        </w:rPr>
        <w:t xml:space="preserve"> following the procedures in Section 1.924 of the Commission’s rules</w:t>
      </w:r>
      <w:r w:rsidRPr="000E5FF7">
        <w:t>.</w:t>
      </w:r>
      <w:r>
        <w:rPr>
          <w:rStyle w:val="FootnoteReference"/>
          <w:sz w:val="22"/>
        </w:rPr>
        <w:footnoteReference w:id="29"/>
      </w:r>
    </w:p>
    <w:p w:rsidR="00E6306E" w:rsidRPr="000E5FF7" w:rsidP="00A6019C">
      <w:pPr>
        <w:pStyle w:val="ListParagraph"/>
        <w:widowControl/>
        <w:ind w:left="2880" w:firstLine="720"/>
        <w:rPr>
          <w:b/>
        </w:rPr>
      </w:pPr>
      <w:r w:rsidRPr="000E5FF7">
        <w:rPr>
          <w:b/>
        </w:rPr>
        <w:t>Table 2</w:t>
      </w:r>
    </w:p>
    <w:tbl>
      <w:tblPr>
        <w:tblStyle w:val="TableGrid"/>
        <w:tblW w:w="0" w:type="auto"/>
        <w:jc w:val="center"/>
        <w:tblLook w:val="04A0"/>
      </w:tblPr>
      <w:tblGrid>
        <w:gridCol w:w="3505"/>
        <w:gridCol w:w="5845"/>
      </w:tblGrid>
      <w:tr w:rsidTr="00E6306E">
        <w:tblPrEx>
          <w:tblW w:w="0" w:type="auto"/>
          <w:jc w:val="center"/>
          <w:tblLook w:val="04A0"/>
        </w:tblPrEx>
        <w:trPr>
          <w:jc w:val="center"/>
        </w:trPr>
        <w:tc>
          <w:tcPr>
            <w:tcW w:w="3505" w:type="dxa"/>
          </w:tcPr>
          <w:p w:rsidR="00E6306E" w:rsidRPr="000E5FF7" w:rsidP="00A6019C">
            <w:pPr>
              <w:widowControl/>
              <w:jc w:val="center"/>
              <w:rPr>
                <w:b/>
              </w:rPr>
            </w:pPr>
            <w:r w:rsidRPr="000E5FF7">
              <w:rPr>
                <w:b/>
              </w:rPr>
              <w:t>Geographic Zones</w:t>
            </w:r>
          </w:p>
        </w:tc>
        <w:tc>
          <w:tcPr>
            <w:tcW w:w="5845" w:type="dxa"/>
          </w:tcPr>
          <w:p w:rsidR="00E6306E" w:rsidRPr="000E5FF7" w:rsidP="00A6019C">
            <w:pPr>
              <w:widowControl/>
              <w:jc w:val="center"/>
              <w:rPr>
                <w:b/>
              </w:rPr>
            </w:pPr>
            <w:r w:rsidRPr="000E5FF7">
              <w:rPr>
                <w:b/>
              </w:rPr>
              <w:t xml:space="preserve">Latitude and Longitude of </w:t>
            </w:r>
          </w:p>
          <w:p w:rsidR="00E6306E" w:rsidRPr="000E5FF7" w:rsidP="00A6019C">
            <w:pPr>
              <w:widowControl/>
              <w:jc w:val="center"/>
              <w:rPr>
                <w:b/>
              </w:rPr>
            </w:pPr>
            <w:r w:rsidRPr="000E5FF7">
              <w:rPr>
                <w:b/>
              </w:rPr>
              <w:t>Northeast and Southwest Corners</w:t>
            </w:r>
          </w:p>
        </w:tc>
      </w:tr>
      <w:tr w:rsidTr="00E6306E">
        <w:tblPrEx>
          <w:tblW w:w="0" w:type="auto"/>
          <w:jc w:val="center"/>
          <w:tblLook w:val="04A0"/>
        </w:tblPrEx>
        <w:trPr>
          <w:jc w:val="center"/>
        </w:trPr>
        <w:tc>
          <w:tcPr>
            <w:tcW w:w="3505" w:type="dxa"/>
          </w:tcPr>
          <w:p w:rsidR="00E6306E" w:rsidRPr="000E5FF7" w:rsidP="00A6019C">
            <w:pPr>
              <w:widowControl/>
              <w:jc w:val="center"/>
            </w:pPr>
            <w:r w:rsidRPr="000E5FF7">
              <w:t>NRQZ1</w:t>
            </w:r>
          </w:p>
        </w:tc>
        <w:tc>
          <w:tcPr>
            <w:tcW w:w="5845" w:type="dxa"/>
          </w:tcPr>
          <w:p w:rsidR="00E6306E" w:rsidRPr="000E5FF7" w:rsidP="00A6019C">
            <w:pPr>
              <w:widowControl/>
              <w:jc w:val="center"/>
            </w:pPr>
            <w:r w:rsidRPr="000E5FF7">
              <w:t>37°30'00"N, 80°30'00"W and 39°15'00"N, 78°30'00"W</w:t>
            </w:r>
          </w:p>
        </w:tc>
      </w:tr>
    </w:tbl>
    <w:p w:rsidR="00E6306E" w:rsidRPr="00955987" w:rsidP="00A6019C">
      <w:pPr>
        <w:pStyle w:val="ParaNum"/>
        <w:widowControl/>
        <w:numPr>
          <w:ilvl w:val="0"/>
          <w:numId w:val="0"/>
        </w:numPr>
        <w:ind w:left="360"/>
        <w:rPr>
          <w:szCs w:val="22"/>
        </w:rPr>
      </w:pPr>
    </w:p>
    <w:p w:rsidR="00E6306E" w:rsidRPr="00EE7260" w:rsidP="00A6019C">
      <w:pPr>
        <w:keepNext/>
        <w:widowControl/>
        <w:numPr>
          <w:ilvl w:val="0"/>
          <w:numId w:val="3"/>
        </w:numPr>
        <w:tabs>
          <w:tab w:val="left" w:pos="720"/>
        </w:tabs>
        <w:suppressAutoHyphens/>
        <w:spacing w:after="220"/>
        <w:jc w:val="both"/>
        <w:outlineLvl w:val="0"/>
        <w:rPr>
          <w:rFonts w:ascii="Times New Roman Bold" w:hAnsi="Times New Roman Bold"/>
          <w:b/>
          <w:bCs/>
          <w:caps/>
        </w:rPr>
      </w:pPr>
      <w:r w:rsidRPr="00EE7260">
        <w:rPr>
          <w:rFonts w:ascii="Times New Roman Bold" w:hAnsi="Times New Roman Bold"/>
          <w:b/>
          <w:bCs/>
          <w:caps/>
        </w:rPr>
        <w:t xml:space="preserve">ORDERING </w:t>
      </w:r>
      <w:r w:rsidRPr="00EE7260">
        <w:rPr>
          <w:rFonts w:ascii="Times New Roman Bold" w:hAnsi="Times New Roman Bold"/>
          <w:b/>
          <w:caps/>
        </w:rPr>
        <w:t>CLAUSES</w:t>
      </w:r>
    </w:p>
    <w:p w:rsidR="00E6306E" w:rsidRPr="00EE7260" w:rsidP="00A6019C">
      <w:pPr>
        <w:pStyle w:val="ParaNum"/>
        <w:widowControl/>
        <w:rPr>
          <w:szCs w:val="22"/>
        </w:rPr>
      </w:pPr>
      <w:r w:rsidRPr="00EE7260">
        <w:t>Accordingly, pursuant to authority delegated in Sections 0.31 and 0.241 of th</w:t>
      </w:r>
      <w:r>
        <w:t>e</w:t>
      </w:r>
      <w:r w:rsidRPr="00EE7260">
        <w:t xml:space="preserve"> Commission's rules, 47 CFR §§ 0.31, 0.241, and Section 1.3 of the Commission's rules, 47 CFR § 1.3, IT IS ORDERED that the Request for Waiver filed by </w:t>
      </w:r>
      <w:r>
        <w:t>RADWIN, Ltd.</w:t>
      </w:r>
      <w:r w:rsidRPr="00EE7260">
        <w:t xml:space="preserve"> on </w:t>
      </w:r>
      <w:r>
        <w:t>May 1</w:t>
      </w:r>
      <w:r w:rsidRPr="00EE7260">
        <w:t>, 20</w:t>
      </w:r>
      <w:r>
        <w:t>20</w:t>
      </w:r>
      <w:r w:rsidRPr="00EE7260">
        <w:t xml:space="preserve"> IS GRANTED </w:t>
      </w:r>
      <w:r>
        <w:t xml:space="preserve">for a period of 60 days, </w:t>
      </w:r>
      <w:r w:rsidRPr="00EE7260">
        <w:t>consistent with the terms of this Order.  This action is taken pursuant to Sections 4(</w:t>
      </w:r>
      <w:r w:rsidRPr="00EE7260">
        <w:t>i</w:t>
      </w:r>
      <w:r w:rsidRPr="00EE7260">
        <w:t>), 302, 303(e), and 303(r) of the Communications Act of 1934, as amended, 47 U.S.C. Sections 154(</w:t>
      </w:r>
      <w:r w:rsidRPr="00EE7260">
        <w:t>i</w:t>
      </w:r>
      <w:r w:rsidRPr="00EE7260">
        <w:t>), 302, 303(e), and 303(r).  This action is effective upon release of this Order.</w:t>
      </w:r>
    </w:p>
    <w:p w:rsidR="00E6306E" w:rsidRPr="00EE7260" w:rsidP="00E6306E">
      <w:pPr>
        <w:pStyle w:val="ParaNum"/>
      </w:pPr>
      <w:r>
        <w:br w:type="page"/>
      </w:r>
      <w:r w:rsidRPr="00EE7260">
        <w:t>IT IS FURTHER ORDERED that, if no applications for review are timely filed, this proceeding SHALL BE TERMINATED, and the docket CLOSED.</w:t>
      </w:r>
    </w:p>
    <w:p w:rsidR="00E6306E" w:rsidP="00E6306E">
      <w:pPr>
        <w:tabs>
          <w:tab w:val="left" w:pos="720"/>
        </w:tabs>
        <w:spacing w:after="220"/>
        <w:ind w:left="360"/>
        <w:rPr>
          <w:szCs w:val="22"/>
        </w:rPr>
      </w:pPr>
    </w:p>
    <w:p w:rsidR="00E6306E" w:rsidRPr="00EE7260" w:rsidP="00E6306E">
      <w:pPr>
        <w:tabs>
          <w:tab w:val="left" w:pos="720"/>
        </w:tabs>
        <w:spacing w:after="220"/>
        <w:ind w:left="360"/>
        <w:rPr>
          <w:szCs w:val="22"/>
        </w:rPr>
      </w:pPr>
    </w:p>
    <w:p w:rsidR="00E6306E" w:rsidRPr="00EE7260" w:rsidP="00E6306E">
      <w:pPr>
        <w:tabs>
          <w:tab w:val="left" w:pos="720"/>
          <w:tab w:val="left" w:pos="1440"/>
        </w:tabs>
        <w:spacing w:after="220"/>
      </w:pPr>
      <w:r w:rsidRPr="00EE7260">
        <w:tab/>
      </w:r>
      <w:r w:rsidRPr="00EE7260">
        <w:tab/>
      </w:r>
      <w:r w:rsidRPr="00EE7260">
        <w:tab/>
      </w:r>
      <w:r w:rsidRPr="00EE7260">
        <w:tab/>
      </w:r>
      <w:r w:rsidRPr="00EE7260">
        <w:tab/>
        <w:t>FEDERAL COMMUNICATIONS COMMISSION</w:t>
      </w:r>
    </w:p>
    <w:p w:rsidR="00E6306E" w:rsidRPr="00EE7260" w:rsidP="00E6306E">
      <w:pPr>
        <w:tabs>
          <w:tab w:val="left" w:pos="720"/>
          <w:tab w:val="left" w:pos="1440"/>
        </w:tabs>
        <w:spacing w:after="220"/>
      </w:pPr>
    </w:p>
    <w:p w:rsidR="00E6306E" w:rsidRPr="00EE7260" w:rsidP="00E6306E">
      <w:pPr>
        <w:tabs>
          <w:tab w:val="left" w:pos="720"/>
          <w:tab w:val="left" w:pos="1440"/>
        </w:tabs>
        <w:spacing w:after="220"/>
      </w:pPr>
    </w:p>
    <w:p w:rsidR="00E6306E" w:rsidRPr="00EE7260" w:rsidP="00E6306E">
      <w:r w:rsidRPr="00EE7260">
        <w:tab/>
      </w:r>
      <w:r w:rsidRPr="00EE7260">
        <w:tab/>
      </w:r>
      <w:r w:rsidRPr="00EE7260">
        <w:tab/>
      </w:r>
      <w:r w:rsidRPr="00EE7260">
        <w:tab/>
      </w:r>
      <w:r w:rsidRPr="00EE7260">
        <w:tab/>
      </w:r>
      <w:r>
        <w:t>Ronald T. Repasi</w:t>
      </w:r>
      <w:r w:rsidRPr="00EE7260">
        <w:t xml:space="preserve"> </w:t>
      </w:r>
    </w:p>
    <w:p w:rsidR="00E6306E" w:rsidP="00E6306E">
      <w:pPr>
        <w:ind w:left="2880" w:firstLine="720"/>
      </w:pPr>
      <w:r>
        <w:t xml:space="preserve">Acting </w:t>
      </w:r>
      <w:r w:rsidRPr="00EE7260">
        <w:t>Chief, Office of Engineering and Technology</w:t>
      </w:r>
    </w:p>
    <w:p w:rsidR="00E6306E" w:rsidP="00E6306E">
      <w:pPr>
        <w:widowControl/>
        <w:sectPr w:rsidSect="00E6306E">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br w:type="page"/>
      </w:r>
    </w:p>
    <w:p w:rsidR="00060182" w:rsidRPr="00FD0A4F" w:rsidP="00060182">
      <w:pPr>
        <w:jc w:val="center"/>
        <w:rPr>
          <w:b/>
          <w:bCs/>
        </w:rPr>
      </w:pPr>
      <w:r w:rsidRPr="00FD0A4F">
        <w:rPr>
          <w:b/>
          <w:bCs/>
        </w:rPr>
        <w:t>Appendix</w:t>
      </w:r>
    </w:p>
    <w:p w:rsidR="00060182" w:rsidP="00060182">
      <w:pPr>
        <w:jc w:val="center"/>
        <w:rPr>
          <w:b/>
          <w:bCs/>
        </w:rPr>
      </w:pPr>
      <w:r w:rsidRPr="00FD0A4F">
        <w:rPr>
          <w:b/>
          <w:bCs/>
        </w:rPr>
        <w:t xml:space="preserve">Counties where </w:t>
      </w:r>
      <w:r>
        <w:rPr>
          <w:b/>
          <w:bCs/>
        </w:rPr>
        <w:t xml:space="preserve">higher power </w:t>
      </w:r>
      <w:r w:rsidRPr="00FD0A4F">
        <w:rPr>
          <w:b/>
          <w:bCs/>
        </w:rPr>
        <w:t>operation of RADWIN equipment</w:t>
      </w:r>
    </w:p>
    <w:p w:rsidR="00060182" w:rsidP="00060182">
      <w:pPr>
        <w:jc w:val="center"/>
        <w:rPr>
          <w:b/>
          <w:bCs/>
        </w:rPr>
      </w:pPr>
      <w:r w:rsidRPr="00FD0A4F">
        <w:rPr>
          <w:b/>
          <w:bCs/>
        </w:rPr>
        <w:t xml:space="preserve"> </w:t>
      </w:r>
      <w:r>
        <w:rPr>
          <w:b/>
          <w:bCs/>
        </w:rPr>
        <w:t xml:space="preserve">under this waiver </w:t>
      </w:r>
      <w:r w:rsidRPr="00FD0A4F">
        <w:rPr>
          <w:b/>
          <w:bCs/>
        </w:rPr>
        <w:t>is prohibited</w:t>
      </w:r>
    </w:p>
    <w:p w:rsidR="00060182" w:rsidP="00060182">
      <w:pPr>
        <w:ind w:firstLine="720"/>
        <w:sectPr w:rsidSect="00A6019C">
          <w:endnotePr>
            <w:numFmt w:val="decimal"/>
          </w:endnotePr>
          <w:type w:val="continuous"/>
          <w:pgSz w:w="12240" w:h="15840"/>
          <w:pgMar w:top="1440" w:right="1440" w:bottom="720" w:left="1440" w:header="720" w:footer="720" w:gutter="0"/>
          <w:cols w:space="720"/>
          <w:noEndnote/>
          <w:docGrid w:linePitch="299"/>
        </w:sectPr>
      </w:pPr>
    </w:p>
    <w:p w:rsidR="00060182" w:rsidP="00060182">
      <w:pPr>
        <w:jc w:val="center"/>
        <w:rPr>
          <w:b/>
          <w:szCs w:val="22"/>
        </w:rPr>
      </w:pPr>
    </w:p>
    <w:p w:rsidR="00060182" w:rsidRPr="00955987" w:rsidP="00060182">
      <w:pPr>
        <w:jc w:val="center"/>
        <w:rPr>
          <w:b/>
          <w:szCs w:val="22"/>
        </w:rPr>
      </w:pPr>
      <w:r w:rsidRPr="00955987">
        <w:rPr>
          <w:b/>
          <w:szCs w:val="22"/>
        </w:rPr>
        <w:t>Table 1</w:t>
      </w:r>
    </w:p>
    <w:p w:rsidR="00060182" w:rsidP="00060182">
      <w:pPr>
        <w:jc w:val="center"/>
        <w:rPr>
          <w:b/>
          <w:szCs w:val="22"/>
        </w:rPr>
      </w:pPr>
      <w:r w:rsidRPr="00955987">
        <w:rPr>
          <w:b/>
          <w:szCs w:val="22"/>
        </w:rPr>
        <w:t>5150-5250 MHz Operation Prohibited</w:t>
      </w:r>
    </w:p>
    <w:p w:rsidR="00060182" w:rsidRPr="007436A2" w:rsidP="00060182">
      <w:pPr>
        <w:jc w:val="center"/>
        <w:rPr>
          <w:b/>
          <w:szCs w:val="22"/>
        </w:rPr>
      </w:pPr>
    </w:p>
    <w:p w:rsidR="00060182" w:rsidRPr="007436A2" w:rsidP="00060182">
      <w:pPr>
        <w:jc w:val="center"/>
        <w:rPr>
          <w:b/>
          <w:szCs w:val="22"/>
        </w:rPr>
        <w:sectPr w:rsidSect="00A6019C">
          <w:endnotePr>
            <w:numFmt w:val="decimal"/>
          </w:endnotePr>
          <w:type w:val="continuous"/>
          <w:pgSz w:w="12240" w:h="15840"/>
          <w:pgMar w:top="1440" w:right="1440" w:bottom="720" w:left="1440" w:header="720" w:footer="720" w:gutter="0"/>
          <w:pgNumType w:start="1"/>
          <w:cols w:space="720"/>
          <w:noEndnote/>
          <w:titlePg/>
        </w:sectPr>
      </w:pPr>
    </w:p>
    <w:tbl>
      <w:tblPr>
        <w:tblW w:w="3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960"/>
      </w:tblGrid>
      <w:tr w:rsidTr="00A6019C">
        <w:tblPrEx>
          <w:tblW w:w="3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jc w:val="center"/>
        </w:trPr>
        <w:tc>
          <w:tcPr>
            <w:tcW w:w="2740" w:type="dxa"/>
            <w:shd w:val="clear" w:color="auto" w:fill="auto"/>
            <w:noWrap/>
            <w:vAlign w:val="bottom"/>
          </w:tcPr>
          <w:p w:rsidR="00060182" w:rsidRPr="000E5FF7" w:rsidP="00A6019C">
            <w:pPr>
              <w:jc w:val="center"/>
              <w:rPr>
                <w:b/>
                <w:color w:val="000000"/>
              </w:rPr>
            </w:pPr>
            <w:r w:rsidRPr="007436A2">
              <w:rPr>
                <w:b/>
                <w:color w:val="000000"/>
                <w:szCs w:val="22"/>
              </w:rPr>
              <w:t xml:space="preserve">Prohibited </w:t>
            </w:r>
            <w:r w:rsidRPr="000E5FF7">
              <w:rPr>
                <w:b/>
                <w:color w:val="000000"/>
              </w:rPr>
              <w:t>County</w:t>
            </w:r>
          </w:p>
        </w:tc>
        <w:tc>
          <w:tcPr>
            <w:tcW w:w="960" w:type="dxa"/>
            <w:shd w:val="clear" w:color="auto" w:fill="auto"/>
            <w:noWrap/>
            <w:vAlign w:val="bottom"/>
          </w:tcPr>
          <w:p w:rsidR="00060182" w:rsidRPr="000E5FF7" w:rsidP="00A6019C">
            <w:pPr>
              <w:jc w:val="center"/>
              <w:rPr>
                <w:b/>
                <w:color w:val="000000"/>
              </w:rPr>
            </w:pPr>
            <w:r w:rsidRPr="000E5FF7">
              <w:rPr>
                <w:b/>
                <w:color w:val="000000"/>
              </w:rPr>
              <w:t>State</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Fairbanks North Star</w:t>
            </w:r>
          </w:p>
        </w:tc>
        <w:tc>
          <w:tcPr>
            <w:tcW w:w="960" w:type="dxa"/>
            <w:shd w:val="clear" w:color="auto" w:fill="auto"/>
            <w:noWrap/>
            <w:vAlign w:val="bottom"/>
            <w:hideMark/>
          </w:tcPr>
          <w:p w:rsidR="00060182" w:rsidRPr="000E5FF7" w:rsidP="00A6019C">
            <w:pPr>
              <w:rPr>
                <w:color w:val="000000"/>
              </w:rPr>
            </w:pPr>
            <w:r w:rsidRPr="007436A2">
              <w:rPr>
                <w:color w:val="000000"/>
                <w:szCs w:val="22"/>
              </w:rPr>
              <w:t>AK</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Southeast Fairbanks</w:t>
            </w:r>
          </w:p>
        </w:tc>
        <w:tc>
          <w:tcPr>
            <w:tcW w:w="960" w:type="dxa"/>
            <w:shd w:val="clear" w:color="auto" w:fill="auto"/>
            <w:noWrap/>
            <w:vAlign w:val="bottom"/>
            <w:hideMark/>
          </w:tcPr>
          <w:p w:rsidR="00060182" w:rsidRPr="000E5FF7" w:rsidP="00A6019C">
            <w:pPr>
              <w:rPr>
                <w:color w:val="000000"/>
              </w:rPr>
            </w:pPr>
            <w:r w:rsidRPr="007436A2">
              <w:rPr>
                <w:color w:val="000000"/>
                <w:szCs w:val="22"/>
              </w:rPr>
              <w:t>AK</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Baldwin</w:t>
            </w:r>
          </w:p>
        </w:tc>
        <w:tc>
          <w:tcPr>
            <w:tcW w:w="960" w:type="dxa"/>
            <w:shd w:val="clear" w:color="auto" w:fill="auto"/>
            <w:noWrap/>
            <w:vAlign w:val="bottom"/>
            <w:hideMark/>
          </w:tcPr>
          <w:p w:rsidR="00060182" w:rsidRPr="000E5FF7" w:rsidP="00A6019C">
            <w:pPr>
              <w:rPr>
                <w:color w:val="000000"/>
              </w:rPr>
            </w:pPr>
            <w:r w:rsidRPr="007436A2">
              <w:rPr>
                <w:color w:val="000000"/>
                <w:szCs w:val="22"/>
              </w:rPr>
              <w:t>AL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Blount</w:t>
            </w:r>
          </w:p>
        </w:tc>
        <w:tc>
          <w:tcPr>
            <w:tcW w:w="960" w:type="dxa"/>
            <w:shd w:val="clear" w:color="auto" w:fill="auto"/>
            <w:noWrap/>
            <w:vAlign w:val="bottom"/>
            <w:hideMark/>
          </w:tcPr>
          <w:p w:rsidR="00060182" w:rsidRPr="000E5FF7" w:rsidP="00A6019C">
            <w:pPr>
              <w:rPr>
                <w:color w:val="000000"/>
              </w:rPr>
            </w:pPr>
            <w:r w:rsidRPr="007436A2">
              <w:rPr>
                <w:color w:val="000000"/>
                <w:szCs w:val="22"/>
              </w:rPr>
              <w:t>AL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Covington</w:t>
            </w:r>
          </w:p>
        </w:tc>
        <w:tc>
          <w:tcPr>
            <w:tcW w:w="960" w:type="dxa"/>
            <w:shd w:val="clear" w:color="auto" w:fill="auto"/>
            <w:noWrap/>
            <w:vAlign w:val="bottom"/>
            <w:hideMark/>
          </w:tcPr>
          <w:p w:rsidR="00060182" w:rsidRPr="000E5FF7" w:rsidP="00A6019C">
            <w:pPr>
              <w:rPr>
                <w:color w:val="000000"/>
              </w:rPr>
            </w:pPr>
            <w:r w:rsidRPr="007436A2">
              <w:rPr>
                <w:color w:val="000000"/>
                <w:szCs w:val="22"/>
              </w:rPr>
              <w:t>AL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Cullman</w:t>
            </w:r>
          </w:p>
        </w:tc>
        <w:tc>
          <w:tcPr>
            <w:tcW w:w="960" w:type="dxa"/>
            <w:shd w:val="clear" w:color="auto" w:fill="auto"/>
            <w:noWrap/>
            <w:vAlign w:val="bottom"/>
            <w:hideMark/>
          </w:tcPr>
          <w:p w:rsidR="00060182" w:rsidRPr="000E5FF7" w:rsidP="00A6019C">
            <w:pPr>
              <w:rPr>
                <w:color w:val="000000"/>
              </w:rPr>
            </w:pPr>
            <w:r w:rsidRPr="007436A2">
              <w:rPr>
                <w:color w:val="000000"/>
                <w:szCs w:val="22"/>
              </w:rPr>
              <w:t>AL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DeKalb</w:t>
            </w:r>
          </w:p>
        </w:tc>
        <w:tc>
          <w:tcPr>
            <w:tcW w:w="960" w:type="dxa"/>
            <w:shd w:val="clear" w:color="auto" w:fill="auto"/>
            <w:noWrap/>
            <w:vAlign w:val="bottom"/>
            <w:hideMark/>
          </w:tcPr>
          <w:p w:rsidR="00060182" w:rsidRPr="000E5FF7" w:rsidP="00A6019C">
            <w:pPr>
              <w:rPr>
                <w:color w:val="000000"/>
              </w:rPr>
            </w:pPr>
            <w:r w:rsidRPr="007436A2">
              <w:rPr>
                <w:color w:val="000000"/>
                <w:szCs w:val="22"/>
              </w:rPr>
              <w:t>AL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Escambia</w:t>
            </w:r>
          </w:p>
        </w:tc>
        <w:tc>
          <w:tcPr>
            <w:tcW w:w="960" w:type="dxa"/>
            <w:shd w:val="clear" w:color="auto" w:fill="auto"/>
            <w:noWrap/>
            <w:vAlign w:val="bottom"/>
            <w:hideMark/>
          </w:tcPr>
          <w:p w:rsidR="00060182" w:rsidRPr="000E5FF7" w:rsidP="00A6019C">
            <w:pPr>
              <w:rPr>
                <w:color w:val="000000"/>
              </w:rPr>
            </w:pPr>
            <w:r w:rsidRPr="007436A2">
              <w:rPr>
                <w:color w:val="000000"/>
                <w:szCs w:val="22"/>
              </w:rPr>
              <w:t>AL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Jackson</w:t>
            </w:r>
          </w:p>
        </w:tc>
        <w:tc>
          <w:tcPr>
            <w:tcW w:w="960" w:type="dxa"/>
            <w:shd w:val="clear" w:color="auto" w:fill="auto"/>
            <w:noWrap/>
            <w:vAlign w:val="bottom"/>
            <w:hideMark/>
          </w:tcPr>
          <w:p w:rsidR="00060182" w:rsidRPr="000E5FF7" w:rsidP="00A6019C">
            <w:pPr>
              <w:rPr>
                <w:color w:val="000000"/>
              </w:rPr>
            </w:pPr>
            <w:r w:rsidRPr="007436A2">
              <w:rPr>
                <w:color w:val="000000"/>
                <w:szCs w:val="22"/>
              </w:rPr>
              <w:t>AL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Lauderdale</w:t>
            </w:r>
          </w:p>
        </w:tc>
        <w:tc>
          <w:tcPr>
            <w:tcW w:w="960" w:type="dxa"/>
            <w:shd w:val="clear" w:color="auto" w:fill="auto"/>
            <w:noWrap/>
            <w:vAlign w:val="bottom"/>
            <w:hideMark/>
          </w:tcPr>
          <w:p w:rsidR="00060182" w:rsidRPr="000E5FF7" w:rsidP="00A6019C">
            <w:pPr>
              <w:rPr>
                <w:color w:val="000000"/>
              </w:rPr>
            </w:pPr>
            <w:r w:rsidRPr="007436A2">
              <w:rPr>
                <w:color w:val="000000"/>
                <w:szCs w:val="22"/>
              </w:rPr>
              <w:t>AL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Lawrence</w:t>
            </w:r>
          </w:p>
        </w:tc>
        <w:tc>
          <w:tcPr>
            <w:tcW w:w="960" w:type="dxa"/>
            <w:shd w:val="clear" w:color="auto" w:fill="auto"/>
            <w:noWrap/>
            <w:vAlign w:val="bottom"/>
            <w:hideMark/>
          </w:tcPr>
          <w:p w:rsidR="00060182" w:rsidRPr="000E5FF7" w:rsidP="00A6019C">
            <w:pPr>
              <w:rPr>
                <w:color w:val="000000"/>
              </w:rPr>
            </w:pPr>
            <w:r w:rsidRPr="007436A2">
              <w:rPr>
                <w:color w:val="000000"/>
                <w:szCs w:val="22"/>
              </w:rPr>
              <w:t>AL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Limestone</w:t>
            </w:r>
          </w:p>
        </w:tc>
        <w:tc>
          <w:tcPr>
            <w:tcW w:w="960" w:type="dxa"/>
            <w:shd w:val="clear" w:color="auto" w:fill="auto"/>
            <w:noWrap/>
            <w:vAlign w:val="bottom"/>
            <w:hideMark/>
          </w:tcPr>
          <w:p w:rsidR="00060182" w:rsidRPr="000E5FF7" w:rsidP="00A6019C">
            <w:pPr>
              <w:rPr>
                <w:color w:val="000000"/>
              </w:rPr>
            </w:pPr>
            <w:r w:rsidRPr="007436A2">
              <w:rPr>
                <w:color w:val="000000"/>
                <w:szCs w:val="22"/>
              </w:rPr>
              <w:t>AL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Madison</w:t>
            </w:r>
          </w:p>
        </w:tc>
        <w:tc>
          <w:tcPr>
            <w:tcW w:w="960" w:type="dxa"/>
            <w:shd w:val="clear" w:color="auto" w:fill="auto"/>
            <w:noWrap/>
            <w:vAlign w:val="bottom"/>
            <w:hideMark/>
          </w:tcPr>
          <w:p w:rsidR="00060182" w:rsidRPr="000E5FF7" w:rsidP="00A6019C">
            <w:pPr>
              <w:rPr>
                <w:color w:val="000000"/>
              </w:rPr>
            </w:pPr>
            <w:r w:rsidRPr="007436A2">
              <w:rPr>
                <w:color w:val="000000"/>
                <w:szCs w:val="22"/>
              </w:rPr>
              <w:t>AL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Marshall</w:t>
            </w:r>
          </w:p>
        </w:tc>
        <w:tc>
          <w:tcPr>
            <w:tcW w:w="960" w:type="dxa"/>
            <w:shd w:val="clear" w:color="auto" w:fill="auto"/>
            <w:noWrap/>
            <w:vAlign w:val="bottom"/>
            <w:hideMark/>
          </w:tcPr>
          <w:p w:rsidR="00060182" w:rsidRPr="000E5FF7" w:rsidP="00A6019C">
            <w:pPr>
              <w:rPr>
                <w:color w:val="000000"/>
              </w:rPr>
            </w:pPr>
            <w:r w:rsidRPr="007436A2">
              <w:rPr>
                <w:color w:val="000000"/>
                <w:szCs w:val="22"/>
              </w:rPr>
              <w:t>AL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Morgan</w:t>
            </w:r>
          </w:p>
        </w:tc>
        <w:tc>
          <w:tcPr>
            <w:tcW w:w="960" w:type="dxa"/>
            <w:shd w:val="clear" w:color="auto" w:fill="auto"/>
            <w:noWrap/>
            <w:vAlign w:val="bottom"/>
            <w:hideMark/>
          </w:tcPr>
          <w:p w:rsidR="00060182" w:rsidRPr="000E5FF7" w:rsidP="00A6019C">
            <w:pPr>
              <w:rPr>
                <w:color w:val="000000"/>
              </w:rPr>
            </w:pPr>
            <w:r w:rsidRPr="007436A2">
              <w:rPr>
                <w:color w:val="000000"/>
                <w:szCs w:val="22"/>
              </w:rPr>
              <w:t>AL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Winston</w:t>
            </w:r>
          </w:p>
        </w:tc>
        <w:tc>
          <w:tcPr>
            <w:tcW w:w="960" w:type="dxa"/>
            <w:shd w:val="clear" w:color="auto" w:fill="auto"/>
            <w:noWrap/>
            <w:vAlign w:val="bottom"/>
            <w:hideMark/>
          </w:tcPr>
          <w:p w:rsidR="00060182" w:rsidRPr="000E5FF7" w:rsidP="00A6019C">
            <w:pPr>
              <w:rPr>
                <w:color w:val="000000"/>
              </w:rPr>
            </w:pPr>
            <w:r w:rsidRPr="007436A2">
              <w:rPr>
                <w:color w:val="000000"/>
                <w:szCs w:val="22"/>
              </w:rPr>
              <w:t>AL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La Paz</w:t>
            </w:r>
          </w:p>
        </w:tc>
        <w:tc>
          <w:tcPr>
            <w:tcW w:w="960" w:type="dxa"/>
            <w:shd w:val="clear" w:color="auto" w:fill="auto"/>
            <w:noWrap/>
            <w:vAlign w:val="bottom"/>
            <w:hideMark/>
          </w:tcPr>
          <w:p w:rsidR="00060182" w:rsidRPr="000E5FF7" w:rsidP="00A6019C">
            <w:pPr>
              <w:rPr>
                <w:color w:val="000000"/>
              </w:rPr>
            </w:pPr>
            <w:r w:rsidRPr="007436A2">
              <w:rPr>
                <w:color w:val="000000"/>
                <w:szCs w:val="22"/>
              </w:rPr>
              <w:t>AZ</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Yuma</w:t>
            </w:r>
          </w:p>
        </w:tc>
        <w:tc>
          <w:tcPr>
            <w:tcW w:w="960" w:type="dxa"/>
            <w:shd w:val="clear" w:color="auto" w:fill="auto"/>
            <w:noWrap/>
            <w:vAlign w:val="bottom"/>
            <w:hideMark/>
          </w:tcPr>
          <w:p w:rsidR="00060182" w:rsidRPr="000E5FF7" w:rsidP="00A6019C">
            <w:pPr>
              <w:rPr>
                <w:color w:val="000000"/>
              </w:rPr>
            </w:pPr>
            <w:r w:rsidRPr="007436A2">
              <w:rPr>
                <w:color w:val="000000"/>
                <w:szCs w:val="22"/>
              </w:rPr>
              <w:t>AZ</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Butte</w:t>
            </w:r>
          </w:p>
        </w:tc>
        <w:tc>
          <w:tcPr>
            <w:tcW w:w="960" w:type="dxa"/>
            <w:shd w:val="clear" w:color="auto" w:fill="auto"/>
            <w:noWrap/>
            <w:vAlign w:val="bottom"/>
            <w:hideMark/>
          </w:tcPr>
          <w:p w:rsidR="00060182" w:rsidRPr="000E5FF7" w:rsidP="00A6019C">
            <w:pPr>
              <w:rPr>
                <w:color w:val="000000"/>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Colusa</w:t>
            </w:r>
          </w:p>
        </w:tc>
        <w:tc>
          <w:tcPr>
            <w:tcW w:w="960" w:type="dxa"/>
            <w:shd w:val="clear" w:color="auto" w:fill="auto"/>
            <w:noWrap/>
            <w:vAlign w:val="bottom"/>
            <w:hideMark/>
          </w:tcPr>
          <w:p w:rsidR="00060182" w:rsidRPr="000E5FF7" w:rsidP="00A6019C">
            <w:pPr>
              <w:rPr>
                <w:color w:val="000000"/>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El Dorado</w:t>
            </w:r>
          </w:p>
        </w:tc>
        <w:tc>
          <w:tcPr>
            <w:tcW w:w="960" w:type="dxa"/>
            <w:shd w:val="clear" w:color="auto" w:fill="auto"/>
            <w:noWrap/>
            <w:vAlign w:val="bottom"/>
            <w:hideMark/>
          </w:tcPr>
          <w:p w:rsidR="00060182" w:rsidRPr="000E5FF7" w:rsidP="00A6019C">
            <w:pPr>
              <w:rPr>
                <w:color w:val="000000"/>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Glenn</w:t>
            </w:r>
          </w:p>
        </w:tc>
        <w:tc>
          <w:tcPr>
            <w:tcW w:w="960" w:type="dxa"/>
            <w:shd w:val="clear" w:color="auto" w:fill="auto"/>
            <w:noWrap/>
            <w:vAlign w:val="bottom"/>
            <w:hideMark/>
          </w:tcPr>
          <w:p w:rsidR="00060182" w:rsidRPr="000E5FF7" w:rsidP="00A6019C">
            <w:pPr>
              <w:rPr>
                <w:color w:val="000000"/>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Imperial</w:t>
            </w:r>
          </w:p>
        </w:tc>
        <w:tc>
          <w:tcPr>
            <w:tcW w:w="960" w:type="dxa"/>
            <w:shd w:val="clear" w:color="auto" w:fill="auto"/>
            <w:noWrap/>
            <w:vAlign w:val="bottom"/>
            <w:hideMark/>
          </w:tcPr>
          <w:p w:rsidR="00060182" w:rsidRPr="000E5FF7" w:rsidP="00A6019C">
            <w:pPr>
              <w:rPr>
                <w:color w:val="000000"/>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Inyo</w:t>
            </w:r>
          </w:p>
        </w:tc>
        <w:tc>
          <w:tcPr>
            <w:tcW w:w="960" w:type="dxa"/>
            <w:shd w:val="clear" w:color="auto" w:fill="auto"/>
            <w:noWrap/>
            <w:vAlign w:val="bottom"/>
            <w:hideMark/>
          </w:tcPr>
          <w:p w:rsidR="00060182" w:rsidRPr="000E5FF7" w:rsidP="00A6019C">
            <w:pPr>
              <w:rPr>
                <w:color w:val="000000"/>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Kern</w:t>
            </w:r>
          </w:p>
        </w:tc>
        <w:tc>
          <w:tcPr>
            <w:tcW w:w="960" w:type="dxa"/>
            <w:shd w:val="clear" w:color="auto" w:fill="auto"/>
            <w:noWrap/>
            <w:vAlign w:val="bottom"/>
            <w:hideMark/>
          </w:tcPr>
          <w:p w:rsidR="00060182" w:rsidRPr="000E5FF7" w:rsidP="00A6019C">
            <w:pPr>
              <w:rPr>
                <w:color w:val="000000"/>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0E5FF7" w:rsidP="00A6019C">
            <w:pPr>
              <w:rPr>
                <w:color w:val="000000"/>
              </w:rPr>
            </w:pPr>
            <w:r w:rsidRPr="007436A2">
              <w:rPr>
                <w:color w:val="000000"/>
                <w:szCs w:val="22"/>
              </w:rPr>
              <w:t>Nevada</w:t>
            </w:r>
          </w:p>
        </w:tc>
        <w:tc>
          <w:tcPr>
            <w:tcW w:w="960" w:type="dxa"/>
            <w:shd w:val="clear" w:color="auto" w:fill="auto"/>
            <w:noWrap/>
            <w:vAlign w:val="bottom"/>
            <w:hideMark/>
          </w:tcPr>
          <w:p w:rsidR="00060182" w:rsidRPr="000E5FF7" w:rsidP="00A6019C">
            <w:pPr>
              <w:rPr>
                <w:color w:val="000000"/>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Placer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Plumas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Sacramento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San Bernardino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San Luis Obispo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Sierra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Sutter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Tulare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Yolo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Yuba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Columbia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Escambia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Hamilton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Jefferson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Madison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Okaloosa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Santa Rosa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Suwannee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Walton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Atkinson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Berrien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Brooks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Clinch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Coffee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Colquitt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Cook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Echols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Irwin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Lanier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Lowndes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Thomas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Tift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Ware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Honolulu</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HI</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Calhoun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Greene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Jersey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Macoupin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Madison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Monroe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Pike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St. Clair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Essex</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Middlesex</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Plymouth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Suffolk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Worcester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Anne Arundel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Calvert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Caroline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Carroll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Charles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Dorchester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Frederick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Prince George's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Somerset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St. Mary's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Talbot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Washington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Wicomico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Worcester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Franklin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Jefferson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Lincoln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Pike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St. Charles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St. Louis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Warren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Carter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MT</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Powder River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MT</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Camden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NC</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Currituck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NC</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Cheshire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NH</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Hillsborough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NH</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Merrimack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NH</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Rockingham</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NH</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Strafford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NH</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DoÃ±</w:t>
            </w:r>
            <w:r w:rsidRPr="007436A2">
              <w:rPr>
                <w:color w:val="000000"/>
                <w:szCs w:val="22"/>
              </w:rPr>
              <w:t>a</w:t>
            </w:r>
            <w:r w:rsidRPr="007436A2">
              <w:rPr>
                <w:color w:val="000000"/>
                <w:szCs w:val="22"/>
              </w:rPr>
              <w:t xml:space="preserve"> Ana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Lincoln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Otero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Sierra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Socorro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Clark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NV</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Elko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NV</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Esmeralda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NV</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Lincoln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NV</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Nye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NV</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White Pine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NV</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Herkimer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Jefferson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Lewis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Oswego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St. Lawrence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Adams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Bedford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Cumberland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Franklin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Fulton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Huntingdon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Juniata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Mifflin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Perry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York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Butte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SD</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Harding</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SD</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Lawrence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SD</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Franklin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Giles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Lawrence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Lincoln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Bell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Bosque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Burnet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Coryell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El Paso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Falls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Hamilton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Hudspeth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Lampasas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Llano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McLennan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Mills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San Saba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Travis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Williamson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Juab</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UT</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Millard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UT</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Tooele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UT</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Accomack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Caroline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Chesapeake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Essex</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Gloucester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Hampton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Isle of Wight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James City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King and Queen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King George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Lancaster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Mathews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Middlesex</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Newport News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Norfolk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Northampton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Northumberland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Poquoson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Portsmouth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Richmond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Suffolk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Virginia Beach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Westmoreland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York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Clallam</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Grays Harbor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Jefferson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Mason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Pacific</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Berkeley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WV</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Jefferson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WV</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Morgan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WV</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Campbell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WY</w:t>
            </w:r>
          </w:p>
        </w:tc>
      </w:tr>
      <w:tr w:rsidTr="00A6019C">
        <w:tblPrEx>
          <w:tblW w:w="3700" w:type="dxa"/>
          <w:jc w:val="center"/>
          <w:tblLook w:val="04A0"/>
        </w:tblPrEx>
        <w:trPr>
          <w:trHeight w:val="300"/>
          <w:jc w:val="center"/>
        </w:trPr>
        <w:tc>
          <w:tcPr>
            <w:tcW w:w="2740" w:type="dxa"/>
            <w:shd w:val="clear" w:color="auto" w:fill="auto"/>
            <w:noWrap/>
            <w:vAlign w:val="bottom"/>
            <w:hideMark/>
          </w:tcPr>
          <w:p w:rsidR="00060182" w:rsidRPr="007436A2" w:rsidP="00A6019C">
            <w:pPr>
              <w:rPr>
                <w:color w:val="000000"/>
                <w:szCs w:val="22"/>
              </w:rPr>
            </w:pPr>
            <w:r w:rsidRPr="007436A2">
              <w:rPr>
                <w:color w:val="000000"/>
                <w:szCs w:val="22"/>
              </w:rPr>
              <w:t>Crook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WY</w:t>
            </w:r>
          </w:p>
        </w:tc>
      </w:tr>
    </w:tbl>
    <w:p w:rsidR="00060182" w:rsidRPr="007436A2" w:rsidP="00060182">
      <w:pPr>
        <w:pStyle w:val="ParaNum"/>
        <w:numPr>
          <w:ilvl w:val="0"/>
          <w:numId w:val="0"/>
        </w:numPr>
        <w:rPr>
          <w:szCs w:val="22"/>
        </w:rPr>
      </w:pPr>
    </w:p>
    <w:p w:rsidR="00060182" w:rsidRPr="007436A2" w:rsidP="00060182">
      <w:pPr>
        <w:widowControl/>
        <w:rPr>
          <w:b/>
          <w:szCs w:val="22"/>
        </w:rPr>
      </w:pPr>
      <w:r w:rsidRPr="007436A2">
        <w:rPr>
          <w:b/>
          <w:szCs w:val="22"/>
        </w:rPr>
        <w:br w:type="page"/>
      </w:r>
    </w:p>
    <w:p w:rsidR="00060182" w:rsidRPr="007436A2" w:rsidP="00060182">
      <w:pPr>
        <w:jc w:val="center"/>
        <w:rPr>
          <w:b/>
          <w:szCs w:val="22"/>
        </w:rPr>
        <w:sectPr w:rsidSect="00A6019C">
          <w:endnotePr>
            <w:numFmt w:val="decimal"/>
          </w:endnotePr>
          <w:type w:val="continuous"/>
          <w:pgSz w:w="12240" w:h="15840"/>
          <w:pgMar w:top="1440" w:right="1440" w:bottom="720" w:left="1440" w:header="720" w:footer="720" w:gutter="0"/>
          <w:pgNumType w:start="1"/>
          <w:cols w:num="2" w:space="720"/>
          <w:noEndnote/>
          <w:titlePg/>
        </w:sectPr>
      </w:pPr>
    </w:p>
    <w:p w:rsidR="00060182" w:rsidRPr="007436A2" w:rsidP="00060182">
      <w:pPr>
        <w:jc w:val="center"/>
        <w:rPr>
          <w:b/>
          <w:szCs w:val="22"/>
        </w:rPr>
      </w:pPr>
      <w:r w:rsidRPr="007436A2">
        <w:rPr>
          <w:b/>
          <w:szCs w:val="22"/>
        </w:rPr>
        <w:t xml:space="preserve">Table 2 </w:t>
      </w:r>
    </w:p>
    <w:p w:rsidR="00060182" w:rsidRPr="007436A2" w:rsidP="00060182">
      <w:pPr>
        <w:jc w:val="center"/>
        <w:rPr>
          <w:b/>
          <w:szCs w:val="22"/>
        </w:rPr>
      </w:pPr>
      <w:r w:rsidRPr="007436A2">
        <w:rPr>
          <w:b/>
          <w:szCs w:val="22"/>
        </w:rPr>
        <w:t xml:space="preserve">5725-5850 MHz Operation Prohibited </w:t>
      </w:r>
    </w:p>
    <w:p w:rsidR="00060182" w:rsidRPr="007436A2" w:rsidP="00060182">
      <w:pPr>
        <w:tabs>
          <w:tab w:val="left" w:pos="7073"/>
        </w:tabs>
        <w:rPr>
          <w:szCs w:val="22"/>
        </w:rPr>
      </w:pPr>
    </w:p>
    <w:p w:rsidR="00060182" w:rsidRPr="007436A2" w:rsidP="00060182">
      <w:pPr>
        <w:tabs>
          <w:tab w:val="left" w:pos="7073"/>
        </w:tabs>
        <w:rPr>
          <w:szCs w:val="22"/>
        </w:rPr>
        <w:sectPr w:rsidSect="00A6019C">
          <w:endnotePr>
            <w:numFmt w:val="decimal"/>
          </w:endnotePr>
          <w:type w:val="continuous"/>
          <w:pgSz w:w="12240" w:h="15840"/>
          <w:pgMar w:top="1440" w:right="1440" w:bottom="720" w:left="1440" w:header="720" w:footer="720" w:gutter="0"/>
          <w:cols w:space="720"/>
          <w:noEndnote/>
          <w:docGrid w:linePitch="299"/>
        </w:sectPr>
      </w:pPr>
    </w:p>
    <w:tbl>
      <w:tblPr>
        <w:tblW w:w="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960"/>
      </w:tblGrid>
      <w:tr w:rsidTr="00A6019C">
        <w:tblPrEx>
          <w:tblW w:w="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jc w:val="center"/>
        </w:trPr>
        <w:tc>
          <w:tcPr>
            <w:tcW w:w="3040" w:type="dxa"/>
            <w:shd w:val="clear" w:color="auto" w:fill="auto"/>
            <w:noWrap/>
            <w:vAlign w:val="bottom"/>
            <w:hideMark/>
          </w:tcPr>
          <w:p w:rsidR="00060182" w:rsidRPr="007436A2" w:rsidP="00A6019C">
            <w:pPr>
              <w:jc w:val="center"/>
              <w:rPr>
                <w:b/>
                <w:bCs/>
                <w:color w:val="000000"/>
                <w:szCs w:val="22"/>
              </w:rPr>
            </w:pPr>
            <w:r w:rsidRPr="007436A2">
              <w:rPr>
                <w:b/>
                <w:bCs/>
                <w:color w:val="000000"/>
                <w:szCs w:val="22"/>
              </w:rPr>
              <w:t>Prohibited County</w:t>
            </w:r>
          </w:p>
        </w:tc>
        <w:tc>
          <w:tcPr>
            <w:tcW w:w="960" w:type="dxa"/>
            <w:shd w:val="clear" w:color="auto" w:fill="auto"/>
            <w:noWrap/>
            <w:vAlign w:val="bottom"/>
            <w:hideMark/>
          </w:tcPr>
          <w:p w:rsidR="00060182" w:rsidRPr="007436A2" w:rsidP="00A6019C">
            <w:pPr>
              <w:jc w:val="center"/>
              <w:rPr>
                <w:b/>
                <w:bCs/>
                <w:color w:val="000000"/>
                <w:szCs w:val="22"/>
              </w:rPr>
            </w:pPr>
            <w:r w:rsidRPr="007436A2">
              <w:rPr>
                <w:b/>
                <w:bCs/>
                <w:color w:val="000000"/>
                <w:szCs w:val="22"/>
              </w:rPr>
              <w:t>State</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Fairbanks North Star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AK</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Kodiak Island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AK</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Southeast Fairbanks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AK</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Yukon-Koyukuk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AK</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Blount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Covington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Cullman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DeKalb</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Escambia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Geneva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Jackson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Lauderdale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Lawrence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Limestone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Madison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Marshall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Mobile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Morgan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Winston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Columbia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AR</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Crawford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AR</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Franklin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AR</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Johnson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AR</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Lafayette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AR</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Logan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AR</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Madison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AR</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Miller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AR</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Scott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AR</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Sebastian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AR</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Washington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AR</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Cochise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AZ</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Graham</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AZ</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La Paz</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AZ</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Pima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AZ</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Pinal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AZ</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Santa Cruz</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AZ</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Yuma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AZ</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Alameda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Butte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Colusa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Contra Costa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El Dorado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Glenn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Imperial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Inyo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Kern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Los Angeles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Marin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Nevada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Orange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Placer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Plumas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Riverside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Sacramento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San Bernardino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San Diego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San Francisco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San Luis Obispo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San Mateo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Santa Barbara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Santa Clara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Santa Cruz</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Sierra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Sutter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Tulare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Ventura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Yolo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Yuba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CA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Kent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DE</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New Castle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DE</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Sussex</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DE</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Bay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Brevard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Calhoun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Charlotte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Citrus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Clay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Columbia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DeSoto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Duval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Escambia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Franklin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Gulf</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Hamilton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Hardee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Hernando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Hillsborough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Holmes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Indian River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Jackson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Jefferson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Lake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Lee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Leon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Liberty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Madison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Manatee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Monroe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Nassau</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Okaloosa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Orange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Osceola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Pasco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Pinellas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Polk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Santa Rosa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Sarasota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Seminole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St. Johns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Suwannee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Volusia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Wakulla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Walton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Washington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FL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Atkinson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Bartow</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Berrien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Brooks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Camden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Carroll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Charlton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Cherokee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Clayton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Clinch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Cobb</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Coffee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Colquitt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Cook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Coweta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Dawson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DeKalb</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Douglas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Echols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Fayette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Floyd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Forsyth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Fulton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Gordon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Gwinnett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Hall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Haralson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Henry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Irwin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Lanier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Lowndes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Paulding</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Pickens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Polk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Rockdale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Thomas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Tift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Walton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Ware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GA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Honolulu</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HI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Kauai</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HI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Adair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Boone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Clarke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Dallas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Greene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Guthrie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Jasper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Lucas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Madison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Marion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Marshall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Polk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Story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Union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Warren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Benewah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Kootenai</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Calhoun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Clinton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Cook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DuPage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Greene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Jersey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Kane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Lake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Macoupin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Madison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McHenry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Monroe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Pike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St. Clair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IL</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Elkhart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LaGrange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Steuben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IN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Simpson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KY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Allen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LA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Beauregard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LA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Bienville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LA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Bossier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LA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Caddo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LA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Claiborne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LA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De Soto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LA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Natchitoches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LA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Orleans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LA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Rapides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LA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Red River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LA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Sabine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LA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St. Bernard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LA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St. Tammany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LA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Vernon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LA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Webster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LA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Barnstable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Bristol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Dukes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Essex</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Middlesex</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Nantucket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Norfolk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Plymouth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Suffolk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Worcester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Anne Arundel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Baltimore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Calvert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Caroline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Cecil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Charles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Dorchester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Harford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Howard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Kent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Prince George's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Queen Anne's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Somerset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St. Mary's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Talbot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Wicomico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Worcester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Alcona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Allegan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Alpena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Barry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Berrien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Branch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Calhoun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Cass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Cheboygan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Eaton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Kalamazoo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Kent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Montmorency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Oscoda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Presque Isle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St. Joseph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Van Buren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Becker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Clay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Marshall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Norman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Otter Tail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Polk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Wilkin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Bates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Benton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Carroll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Cass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Cooper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Franklin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Henry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Jackson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Jefferson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Johnson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Lafayette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Lincoln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Morgan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Pettis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Pike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Ray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Saline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St. Charles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St. Clair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St. Louis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Warren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MO</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Forrest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MS</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George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MS</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Hancock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MS</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Harrison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MS</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Jackson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MS</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Pearl River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MS</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Perry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MS</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Stone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MS</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Carter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MT</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Powder River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MT</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Camden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NC</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Chowan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NC</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Currituck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NC</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Dare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NC</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Gates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NC</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Hyde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NC</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Pasquotank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NC</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Perquimans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NC</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Tyrrell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NC</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Washington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NC</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Bottineau</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Cass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Grand Forks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Griggs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McHenry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McLean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Mountrail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Nelson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Ransom</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Renville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Richland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Steele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Traill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Walsh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Ward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Hillsborough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Merrimack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Rockingham</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Atlantic</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NJ</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Burlington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NJ</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Camden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NJ</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Cumberland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NJ</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Gloucester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NJ</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Hunterdon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NJ</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Mercer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NJ</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Middlesex</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NJ</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Monmouth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NJ</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Ocean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NJ</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Salem</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NJ</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Somerset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NJ</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Warren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NJ</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Bernalillo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Chaves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Cibola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Curry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DoÃ±</w:t>
            </w:r>
            <w:r w:rsidRPr="007436A2">
              <w:rPr>
                <w:color w:val="000000"/>
                <w:szCs w:val="22"/>
              </w:rPr>
              <w:t>a</w:t>
            </w:r>
            <w:r w:rsidRPr="007436A2">
              <w:rPr>
                <w:color w:val="000000"/>
                <w:szCs w:val="22"/>
              </w:rPr>
              <w:t xml:space="preserve"> Ana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Lincoln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Otero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Quay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Roosevelt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Sandoval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Santa Fe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Sierra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Socorro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Torrance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Valencia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NM</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Clark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NV</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Elko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NV</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Esmeralda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NV</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Lincoln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NV</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Nye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NV</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White Pine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NV</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Cayuga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Chenango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Cortland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Erie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Genesee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Herkimer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Jefferson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Lewis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Madison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Niagara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Oneida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Onondaga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Orleans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Oswego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Seneca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St. Lawrence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Tompkins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Wayne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Wyoming</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NY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Brown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Butler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Champaign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Clark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Clermont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Clinton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Darke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Fayette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Franklin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Greene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Hamilton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Highland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Logan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Madison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Miami</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Montgomery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Pickaway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Preble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Shelby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Union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Warren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OH</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Adair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OK</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Cherokee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OK</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Haskell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OK</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Latimer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OK</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Le Flore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OK</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Sequoyah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OK</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Berks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Bucks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Chester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Delaware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Lancaster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Lehigh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Montgomery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Northampton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Philadelphia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York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PA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Bristol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RI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Newport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RI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Providence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RI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Berkeley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SC</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Charleston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SC</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Colleton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SC</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Dorchester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SC</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Georgetown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SC</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Orangeburg</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SC</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Williamsburg</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SC</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Butte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SD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Harding</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SD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Lawrence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SD</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Bedford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Cannon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Cheatham</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Davidson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DeKalb</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Dickson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Franklin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Giles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Hickman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Lawrence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Lincoln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Macon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Marshall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Maury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Montgomery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Moore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Robertson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Rutherford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Smith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Sumner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Trousdale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Williamson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Wilson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TN</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Aransas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Bailey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Bee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Bell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Bosque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Brazoria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Calhoun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Cass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Chambers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Coke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Concho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Coryell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Deaf Smith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El Paso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Ellis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Falls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Fort Bend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Freestone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Galveston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Harris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Harrison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Hill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Hudspeth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Irion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Kenedy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Kleberg</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Liberty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Limestone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Marion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McLennan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Menard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Montgomery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Navarro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Newton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Nueces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Panola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Parmer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Refugio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Runnels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Sabine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San Patricio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Schleicher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Sterling</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Tom Green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TX</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Box Elder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UT</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Davis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UT</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Juab</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UT</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Millard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UT</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Tooele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UT</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Weber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UT</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Accomack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Albemarle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Caroline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Charles City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Charlottesville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Chesapeake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Culpeper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Essex</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Fauquier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Fluvanna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Franklin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Fredericksburg</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Gloucester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Goochland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Greene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Hampton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Hanover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Henrico</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Isle of Wight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James City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King and Queen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King George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King William</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Lancaster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Louisa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Madison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Mathews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Middlesex</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New Kent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Newport News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Norfolk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Northampton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Northumberland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Orange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Page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Poquoson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Portsmouth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Prince William</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Rappahannock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Richmond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Rockingham</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Southampton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Spotsylvania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Stafford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Suffolk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Surry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Sussex</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Virginia Beach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Warren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Westmoreland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Williamsburg</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York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VA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Adams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Clallam</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Ferry</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Grays Harbor</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Island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Jefferson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King</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Kitsap</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Kittitas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Lewis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Lincoln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Pacific</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Pend Oreille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Pierce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San Juan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Skagit</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Snohomish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Spokane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Stevens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Thurston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Whitman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WA</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Adams</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Clark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Columbia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Jackson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Juneau</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Kenosha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La Crosse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Marquette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Milwaukee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Monroe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Portage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Racine</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Richland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Sauk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Vernon</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Walworth</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Waushara</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Wood</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WI</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Campbell</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WY</w:t>
            </w:r>
          </w:p>
        </w:tc>
      </w:tr>
      <w:tr w:rsidTr="00A6019C">
        <w:tblPrEx>
          <w:tblW w:w="4000" w:type="dxa"/>
          <w:jc w:val="center"/>
          <w:tblLook w:val="04A0"/>
        </w:tblPrEx>
        <w:trPr>
          <w:trHeight w:val="300"/>
          <w:jc w:val="center"/>
        </w:trPr>
        <w:tc>
          <w:tcPr>
            <w:tcW w:w="3040" w:type="dxa"/>
            <w:shd w:val="clear" w:color="auto" w:fill="auto"/>
            <w:noWrap/>
            <w:vAlign w:val="bottom"/>
            <w:hideMark/>
          </w:tcPr>
          <w:p w:rsidR="00060182" w:rsidRPr="007436A2" w:rsidP="00A6019C">
            <w:pPr>
              <w:rPr>
                <w:color w:val="000000"/>
                <w:szCs w:val="22"/>
              </w:rPr>
            </w:pPr>
            <w:r w:rsidRPr="007436A2">
              <w:rPr>
                <w:color w:val="000000"/>
                <w:szCs w:val="22"/>
              </w:rPr>
              <w:t>Crook</w:t>
            </w:r>
          </w:p>
        </w:tc>
        <w:tc>
          <w:tcPr>
            <w:tcW w:w="960" w:type="dxa"/>
            <w:shd w:val="clear" w:color="auto" w:fill="auto"/>
            <w:noWrap/>
            <w:vAlign w:val="bottom"/>
            <w:hideMark/>
          </w:tcPr>
          <w:p w:rsidR="00060182" w:rsidRPr="007436A2" w:rsidP="00A6019C">
            <w:pPr>
              <w:rPr>
                <w:color w:val="000000"/>
                <w:szCs w:val="22"/>
              </w:rPr>
            </w:pPr>
            <w:r w:rsidRPr="007436A2">
              <w:rPr>
                <w:color w:val="000000"/>
                <w:szCs w:val="22"/>
              </w:rPr>
              <w:t>WY</w:t>
            </w:r>
          </w:p>
        </w:tc>
      </w:tr>
    </w:tbl>
    <w:p w:rsidR="00060182" w:rsidRPr="007436A2" w:rsidP="00060182">
      <w:pPr>
        <w:tabs>
          <w:tab w:val="left" w:pos="7073"/>
        </w:tabs>
        <w:rPr>
          <w:szCs w:val="22"/>
        </w:rPr>
      </w:pPr>
    </w:p>
    <w:p w:rsidR="00412FC5" w:rsidRPr="00E6306E" w:rsidP="00060182">
      <w:pPr>
        <w:jc w:val="center"/>
      </w:pPr>
    </w:p>
    <w:sectPr w:rsidSect="00A6019C">
      <w:endnotePr>
        <w:numFmt w:val="decimal"/>
      </w:endnotePr>
      <w:type w:val="continuous"/>
      <w:pgSz w:w="12240" w:h="15840"/>
      <w:pgMar w:top="1440" w:right="1440" w:bottom="720" w:left="1440" w:header="720" w:footer="720" w:gutter="0"/>
      <w:pgNumType w:start="1"/>
      <w:cols w:num="2"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IDFont+F3">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019C" w:rsidP="0055614C">
    <w:pPr>
      <w:pStyle w:val="Footer"/>
      <w:framePr w:wrap="around" w:vAnchor="text" w:hAnchor="margin" w:xAlign="center" w:y="1"/>
    </w:pPr>
    <w:r>
      <w:fldChar w:fldCharType="begin"/>
    </w:r>
    <w:r>
      <w:instrText xml:space="preserve">PAGE  </w:instrText>
    </w:r>
    <w:r>
      <w:fldChar w:fldCharType="separate"/>
    </w:r>
    <w:r>
      <w:fldChar w:fldCharType="end"/>
    </w:r>
  </w:p>
  <w:p w:rsidR="00A60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019C">
    <w:pPr>
      <w:pStyle w:val="Footer"/>
      <w:jc w:val="center"/>
    </w:pPr>
    <w:r>
      <w:fldChar w:fldCharType="begin"/>
    </w:r>
    <w:r>
      <w:instrText xml:space="preserve"> PAGE   \* MERGEFORMAT </w:instrText>
    </w:r>
    <w:r>
      <w:fldChar w:fldCharType="separate"/>
    </w:r>
    <w:r>
      <w:rPr>
        <w:noProof/>
      </w:rPr>
      <w:t>4</w:t>
    </w:r>
    <w:r>
      <w:rPr>
        <w:noProof/>
      </w:rPr>
      <w:fldChar w:fldCharType="end"/>
    </w:r>
  </w:p>
  <w:p w:rsidR="00A6019C">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019C">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019C">
      <w:r>
        <w:separator/>
      </w:r>
    </w:p>
  </w:footnote>
  <w:footnote w:type="continuationSeparator" w:id="1">
    <w:p w:rsidR="00A6019C" w:rsidP="00C721AC">
      <w:pPr>
        <w:spacing w:before="120"/>
        <w:rPr>
          <w:sz w:val="20"/>
        </w:rPr>
      </w:pPr>
      <w:r>
        <w:rPr>
          <w:sz w:val="20"/>
        </w:rPr>
        <w:t xml:space="preserve">(Continued from previous page)  </w:t>
      </w:r>
      <w:r>
        <w:rPr>
          <w:sz w:val="20"/>
        </w:rPr>
        <w:separator/>
      </w:r>
    </w:p>
  </w:footnote>
  <w:footnote w:type="continuationNotice" w:id="2">
    <w:p w:rsidR="00A6019C" w:rsidP="00C721AC">
      <w:pPr>
        <w:jc w:val="right"/>
        <w:rPr>
          <w:sz w:val="20"/>
        </w:rPr>
      </w:pPr>
      <w:r>
        <w:rPr>
          <w:sz w:val="20"/>
        </w:rPr>
        <w:t>(continued….)</w:t>
      </w:r>
    </w:p>
  </w:footnote>
  <w:footnote w:id="3">
    <w:p w:rsidR="00A6019C" w:rsidP="00E6306E">
      <w:pPr>
        <w:pStyle w:val="FootnoteText"/>
      </w:pPr>
      <w:r>
        <w:rPr>
          <w:rStyle w:val="FootnoteReference"/>
        </w:rPr>
        <w:footnoteRef/>
      </w:r>
      <w:r>
        <w:t xml:space="preserve"> RADWIN, Ltd.</w:t>
      </w:r>
      <w:r w:rsidRPr="00EF492C">
        <w:t xml:space="preserve"> </w:t>
      </w:r>
      <w:r>
        <w:t>Emergency</w:t>
      </w:r>
      <w:r w:rsidRPr="00EF492C">
        <w:t xml:space="preserve"> Waiver</w:t>
      </w:r>
      <w:r>
        <w:t xml:space="preserve"> Request,</w:t>
      </w:r>
      <w:r w:rsidRPr="00EF492C">
        <w:t xml:space="preserve"> </w:t>
      </w:r>
      <w:r>
        <w:t xml:space="preserve">ET Docket No. 20-128 </w:t>
      </w:r>
      <w:r w:rsidRPr="00EF492C">
        <w:t xml:space="preserve">(filed </w:t>
      </w:r>
      <w:r>
        <w:t>May</w:t>
      </w:r>
      <w:r w:rsidRPr="00EF492C">
        <w:t xml:space="preserve"> 1, 20</w:t>
      </w:r>
      <w:r>
        <w:t>20</w:t>
      </w:r>
      <w:r w:rsidRPr="00EF492C">
        <w:t>) (</w:t>
      </w:r>
      <w:r>
        <w:t>RADWIN</w:t>
      </w:r>
      <w:r w:rsidRPr="00EF492C">
        <w:t xml:space="preserve"> Waiver Request).</w:t>
      </w:r>
      <w:r>
        <w:t xml:space="preserve"> </w:t>
      </w:r>
      <w:r w:rsidRPr="003D4928">
        <w:t xml:space="preserve">The devices </w:t>
      </w:r>
      <w:r>
        <w:t>for which RADWIN requests a waiver are certified</w:t>
      </w:r>
      <w:r w:rsidRPr="003D4928">
        <w:t xml:space="preserve"> under FCC ID: Q3K-BFJET5X</w:t>
      </w:r>
      <w:r>
        <w:t>.</w:t>
      </w:r>
    </w:p>
  </w:footnote>
  <w:footnote w:id="4">
    <w:p w:rsidR="00A6019C" w:rsidP="00E6306E">
      <w:pPr>
        <w:pStyle w:val="FootnoteText"/>
      </w:pPr>
      <w:r>
        <w:rPr>
          <w:rStyle w:val="FootnoteReference"/>
        </w:rPr>
        <w:footnoteRef/>
      </w:r>
      <w:r>
        <w:t xml:space="preserve"> RADWIN Waiver Request at 2. RADWIN identifies the customers (and the state in which they operate) for which the waiver would apply. </w:t>
      </w:r>
      <w:r w:rsidRPr="00FC7B00">
        <w:rPr>
          <w:i/>
          <w:iCs/>
        </w:rPr>
        <w:t>See</w:t>
      </w:r>
      <w:r>
        <w:t xml:space="preserve"> RADWIN Waiver Request, Att. 1.</w:t>
      </w:r>
    </w:p>
  </w:footnote>
  <w:footnote w:id="5">
    <w:p w:rsidR="00A6019C" w:rsidP="00E6306E">
      <w:pPr>
        <w:pStyle w:val="FootnoteText"/>
      </w:pPr>
      <w:r>
        <w:rPr>
          <w:rStyle w:val="FootnoteReference"/>
        </w:rPr>
        <w:footnoteRef/>
      </w:r>
      <w:r>
        <w:t xml:space="preserve"> 47 CFR § 15.407(a)(1)(</w:t>
      </w:r>
      <w:r>
        <w:t>i</w:t>
      </w:r>
      <w:r>
        <w:t xml:space="preserve">), (a)(3).  </w:t>
      </w:r>
    </w:p>
  </w:footnote>
  <w:footnote w:id="6">
    <w:p w:rsidR="00A6019C" w:rsidRPr="00A07C46" w:rsidP="00E6306E">
      <w:pPr>
        <w:pStyle w:val="FootnoteText"/>
        <w:rPr>
          <w:i/>
          <w:iCs/>
        </w:rPr>
      </w:pPr>
      <w:r>
        <w:rPr>
          <w:rStyle w:val="FootnoteReference"/>
        </w:rPr>
        <w:footnoteRef/>
      </w:r>
      <w:r>
        <w:t xml:space="preserve"> </w:t>
      </w:r>
      <w:r>
        <w:rPr>
          <w:i/>
          <w:iCs/>
        </w:rPr>
        <w:t>Id.</w:t>
      </w:r>
    </w:p>
  </w:footnote>
  <w:footnote w:id="7">
    <w:p w:rsidR="00A6019C" w:rsidRPr="00A07C46" w:rsidP="00E6306E">
      <w:pPr>
        <w:pStyle w:val="FootnoteText"/>
      </w:pPr>
      <w:r>
        <w:rPr>
          <w:rStyle w:val="FootnoteReference"/>
        </w:rPr>
        <w:footnoteRef/>
      </w:r>
      <w:r>
        <w:t xml:space="preserve"> </w:t>
      </w:r>
      <w:r>
        <w:rPr>
          <w:i/>
          <w:iCs/>
        </w:rPr>
        <w:t>Id.</w:t>
      </w:r>
      <w:r>
        <w:t xml:space="preserve">  In the </w:t>
      </w:r>
      <w:r w:rsidRPr="00A07C46">
        <w:t>5.15-5.25 GHz</w:t>
      </w:r>
      <w:r>
        <w:t xml:space="preserve"> band, fixed point-to-point systems may use an antenna with a gain of up to 23 </w:t>
      </w:r>
      <w:r>
        <w:t>dBi</w:t>
      </w:r>
      <w:r>
        <w:t xml:space="preserve"> and up to 30 dBm transmitter power, i.e., an EIRP limit of 53 dBm.  In the</w:t>
      </w:r>
      <w:r w:rsidRPr="00A07C46">
        <w:t xml:space="preserve"> 5.725-5.85 GHz</w:t>
      </w:r>
      <w:r>
        <w:t xml:space="preserve"> band, fixed point-to-point systems may operate with up to 30 dBm transmitter power and no limit on antenna gain.</w:t>
      </w:r>
    </w:p>
  </w:footnote>
  <w:footnote w:id="8">
    <w:p w:rsidR="00A6019C" w:rsidP="00E6306E">
      <w:pPr>
        <w:pStyle w:val="FootnoteText"/>
      </w:pPr>
      <w:r>
        <w:rPr>
          <w:rStyle w:val="FootnoteReference"/>
        </w:rPr>
        <w:footnoteRef/>
      </w:r>
      <w:r>
        <w:t xml:space="preserve"> RADWIN Waiver Request at 4.</w:t>
      </w:r>
    </w:p>
  </w:footnote>
  <w:footnote w:id="9">
    <w:p w:rsidR="00A6019C" w:rsidP="00E6306E">
      <w:pPr>
        <w:pStyle w:val="FootnoteText"/>
      </w:pPr>
      <w:r>
        <w:rPr>
          <w:rStyle w:val="FootnoteReference"/>
        </w:rPr>
        <w:footnoteRef/>
      </w:r>
      <w:r>
        <w:t xml:space="preserve"> </w:t>
      </w:r>
      <w:r>
        <w:rPr>
          <w:i/>
          <w:iCs/>
        </w:rPr>
        <w:t>Id.</w:t>
      </w:r>
      <w:r w:rsidRPr="00734C7F">
        <w:t xml:space="preserve"> at </w:t>
      </w:r>
      <w:r>
        <w:t xml:space="preserve">3-5. </w:t>
      </w:r>
    </w:p>
  </w:footnote>
  <w:footnote w:id="10">
    <w:p w:rsidR="00A6019C" w:rsidP="00E6306E">
      <w:pPr>
        <w:pStyle w:val="FootnoteText"/>
      </w:pPr>
      <w:r>
        <w:rPr>
          <w:rStyle w:val="FootnoteReference"/>
        </w:rPr>
        <w:footnoteRef/>
      </w:r>
      <w:r>
        <w:t xml:space="preserve"> Letter from Adi </w:t>
      </w:r>
      <w:r>
        <w:t>Nativ</w:t>
      </w:r>
      <w:r>
        <w:t xml:space="preserve">, RADWIN, to Marlene H. Dortch, Secretary, FCC, ET Docket No. 20-128, at 2 (Jun. 4, 2020) (RADWIN Jun. 4 </w:t>
      </w:r>
      <w:r w:rsidRPr="00270E38">
        <w:rPr>
          <w:i/>
          <w:iCs/>
        </w:rPr>
        <w:t xml:space="preserve">ex </w:t>
      </w:r>
      <w:r w:rsidRPr="00270E38">
        <w:rPr>
          <w:i/>
          <w:iCs/>
        </w:rPr>
        <w:t>parte</w:t>
      </w:r>
      <w:r>
        <w:t xml:space="preserve">). </w:t>
      </w:r>
    </w:p>
  </w:footnote>
  <w:footnote w:id="11">
    <w:p w:rsidR="00A6019C" w:rsidP="00E6306E">
      <w:pPr>
        <w:pStyle w:val="FootnoteText"/>
      </w:pPr>
      <w:r>
        <w:rPr>
          <w:rStyle w:val="FootnoteReference"/>
        </w:rPr>
        <w:footnoteRef/>
      </w:r>
      <w:r>
        <w:rPr>
          <w:i/>
          <w:iCs/>
        </w:rPr>
        <w:t xml:space="preserve"> </w:t>
      </w:r>
      <w:r w:rsidRPr="00FC7B00">
        <w:rPr>
          <w:i/>
          <w:iCs/>
        </w:rPr>
        <w:t>Id.</w:t>
      </w:r>
      <w:r>
        <w:rPr>
          <w:i/>
          <w:iCs/>
        </w:rPr>
        <w:t xml:space="preserve"> </w:t>
      </w:r>
      <w:r w:rsidRPr="00FC7B00">
        <w:t>at</w:t>
      </w:r>
      <w:r>
        <w:t xml:space="preserve"> 1-2.</w:t>
      </w:r>
    </w:p>
  </w:footnote>
  <w:footnote w:id="12">
    <w:p w:rsidR="00A6019C" w:rsidP="00E6306E">
      <w:pPr>
        <w:pStyle w:val="FootnoteText"/>
      </w:pPr>
      <w:r>
        <w:rPr>
          <w:rStyle w:val="FootnoteReference"/>
        </w:rPr>
        <w:footnoteRef/>
      </w:r>
      <w:r>
        <w:t xml:space="preserve"> </w:t>
      </w:r>
      <w:r>
        <w:rPr>
          <w:i/>
          <w:iCs/>
        </w:rPr>
        <w:t>Id.</w:t>
      </w:r>
      <w:r>
        <w:t xml:space="preserve"> at 1.</w:t>
      </w:r>
    </w:p>
  </w:footnote>
  <w:footnote w:id="13">
    <w:p w:rsidR="00A6019C" w:rsidRPr="00B54191" w:rsidP="00E6306E">
      <w:pPr>
        <w:pStyle w:val="FootnoteText"/>
      </w:pPr>
      <w:r>
        <w:rPr>
          <w:rStyle w:val="FootnoteReference"/>
        </w:rPr>
        <w:footnoteRef/>
      </w:r>
      <w:r>
        <w:t xml:space="preserve"> </w:t>
      </w:r>
      <w:r>
        <w:rPr>
          <w:i/>
          <w:iCs/>
        </w:rPr>
        <w:t>Id</w:t>
      </w:r>
      <w:r>
        <w:t xml:space="preserve">.  </w:t>
      </w:r>
      <w:r w:rsidRPr="00B54191">
        <w:t xml:space="preserve">This list will be updated when customers contact RADWIN’s servers to make any changes to device settings while operating under the waiver.  </w:t>
      </w:r>
    </w:p>
  </w:footnote>
  <w:footnote w:id="14">
    <w:p w:rsidR="00A6019C" w:rsidRPr="00B54191" w:rsidP="00E6306E">
      <w:pPr>
        <w:pStyle w:val="FootnoteText"/>
        <w:rPr>
          <w:i/>
          <w:iCs/>
        </w:rPr>
      </w:pPr>
      <w:r>
        <w:rPr>
          <w:rStyle w:val="FootnoteReference"/>
        </w:rPr>
        <w:footnoteRef/>
      </w:r>
      <w:r>
        <w:t xml:space="preserve"> </w:t>
      </w:r>
      <w:r>
        <w:rPr>
          <w:i/>
          <w:iCs/>
        </w:rPr>
        <w:t>Id.</w:t>
      </w:r>
    </w:p>
  </w:footnote>
  <w:footnote w:id="15">
    <w:p w:rsidR="00A6019C" w:rsidRPr="00B54191" w:rsidP="00E6306E">
      <w:pPr>
        <w:pStyle w:val="FootnoteText"/>
      </w:pPr>
      <w:r>
        <w:rPr>
          <w:rStyle w:val="FootnoteReference"/>
        </w:rPr>
        <w:footnoteRef/>
      </w:r>
      <w:r>
        <w:t xml:space="preserve"> </w:t>
      </w:r>
      <w:r>
        <w:rPr>
          <w:i/>
          <w:iCs/>
        </w:rPr>
        <w:t>Id.</w:t>
      </w:r>
      <w:r>
        <w:t xml:space="preserve"> at 1-2.</w:t>
      </w:r>
    </w:p>
  </w:footnote>
  <w:footnote w:id="16">
    <w:p w:rsidR="00A6019C" w:rsidRPr="00B54191" w:rsidP="00E6306E">
      <w:pPr>
        <w:pStyle w:val="FootnoteText"/>
      </w:pPr>
      <w:r>
        <w:rPr>
          <w:rStyle w:val="FootnoteReference"/>
        </w:rPr>
        <w:footnoteRef/>
      </w:r>
      <w:r>
        <w:t xml:space="preserve"> </w:t>
      </w:r>
      <w:r>
        <w:rPr>
          <w:i/>
          <w:iCs/>
        </w:rPr>
        <w:t xml:space="preserve">Id. </w:t>
      </w:r>
      <w:r>
        <w:t>at 2.</w:t>
      </w:r>
    </w:p>
  </w:footnote>
  <w:footnote w:id="17">
    <w:p w:rsidR="00A6019C" w:rsidP="00E6306E">
      <w:pPr>
        <w:pStyle w:val="FootnoteText"/>
      </w:pPr>
      <w:r>
        <w:rPr>
          <w:rStyle w:val="FootnoteReference"/>
        </w:rPr>
        <w:footnoteRef/>
      </w:r>
      <w:r>
        <w:t xml:space="preserve"> </w:t>
      </w:r>
      <w:r w:rsidRPr="004002AC">
        <w:rPr>
          <w:i/>
        </w:rPr>
        <w:t xml:space="preserve">Office of Engineering </w:t>
      </w:r>
      <w:r>
        <w:rPr>
          <w:i/>
        </w:rPr>
        <w:t>a</w:t>
      </w:r>
      <w:r w:rsidRPr="004002AC">
        <w:rPr>
          <w:i/>
        </w:rPr>
        <w:t xml:space="preserve">nd Technology Seeks Comment </w:t>
      </w:r>
      <w:r>
        <w:rPr>
          <w:i/>
        </w:rPr>
        <w:t>o</w:t>
      </w:r>
      <w:r w:rsidRPr="004002AC">
        <w:rPr>
          <w:i/>
        </w:rPr>
        <w:t xml:space="preserve">n </w:t>
      </w:r>
      <w:r w:rsidRPr="002B20CC">
        <w:rPr>
          <w:i/>
        </w:rPr>
        <w:t xml:space="preserve">RADWIN Ltd.’s Request for Emergency Waiver </w:t>
      </w:r>
      <w:r>
        <w:rPr>
          <w:i/>
        </w:rPr>
        <w:t>o</w:t>
      </w:r>
      <w:r w:rsidRPr="002B20CC">
        <w:rPr>
          <w:i/>
        </w:rPr>
        <w:t>f Section 15.407(</w:t>
      </w:r>
      <w:r>
        <w:rPr>
          <w:i/>
        </w:rPr>
        <w:t>a</w:t>
      </w:r>
      <w:r w:rsidRPr="002B20CC">
        <w:rPr>
          <w:i/>
        </w:rPr>
        <w:t xml:space="preserve">) </w:t>
      </w:r>
      <w:r>
        <w:rPr>
          <w:i/>
        </w:rPr>
        <w:t>o</w:t>
      </w:r>
      <w:r w:rsidRPr="002B20CC">
        <w:rPr>
          <w:i/>
        </w:rPr>
        <w:t xml:space="preserve">f </w:t>
      </w:r>
      <w:r>
        <w:rPr>
          <w:i/>
        </w:rPr>
        <w:t>t</w:t>
      </w:r>
      <w:r w:rsidRPr="002B20CC">
        <w:rPr>
          <w:i/>
        </w:rPr>
        <w:t xml:space="preserve">he Rules </w:t>
      </w:r>
      <w:r>
        <w:rPr>
          <w:i/>
        </w:rPr>
        <w:t>f</w:t>
      </w:r>
      <w:r w:rsidRPr="002B20CC">
        <w:rPr>
          <w:i/>
        </w:rPr>
        <w:t xml:space="preserve">or Unlicensed National Information Infrastructure Devices </w:t>
      </w:r>
      <w:r>
        <w:rPr>
          <w:i/>
        </w:rPr>
        <w:t>i</w:t>
      </w:r>
      <w:r w:rsidRPr="002B20CC">
        <w:rPr>
          <w:i/>
        </w:rPr>
        <w:t xml:space="preserve">n </w:t>
      </w:r>
      <w:r>
        <w:rPr>
          <w:i/>
        </w:rPr>
        <w:t>t</w:t>
      </w:r>
      <w:r w:rsidRPr="002B20CC">
        <w:rPr>
          <w:i/>
        </w:rPr>
        <w:t>he 5.15-5.25 G</w:t>
      </w:r>
      <w:r>
        <w:rPr>
          <w:i/>
        </w:rPr>
        <w:t>H</w:t>
      </w:r>
      <w:r w:rsidRPr="002B20CC">
        <w:rPr>
          <w:i/>
        </w:rPr>
        <w:t>z and 5.725-5.85 G</w:t>
      </w:r>
      <w:r>
        <w:rPr>
          <w:i/>
        </w:rPr>
        <w:t>H</w:t>
      </w:r>
      <w:r w:rsidRPr="002B20CC">
        <w:rPr>
          <w:i/>
        </w:rPr>
        <w:t>z Bands</w:t>
      </w:r>
      <w:r>
        <w:t>, ET Docket No. 20-128, Public Notice, DA 20-497 (OET May 7, 2020).</w:t>
      </w:r>
    </w:p>
  </w:footnote>
  <w:footnote w:id="18">
    <w:p w:rsidR="00A6019C" w:rsidP="00E6306E">
      <w:pPr>
        <w:pStyle w:val="FootnoteText"/>
      </w:pPr>
      <w:r>
        <w:rPr>
          <w:rStyle w:val="FootnoteReference"/>
        </w:rPr>
        <w:footnoteRef/>
      </w:r>
      <w:r>
        <w:t xml:space="preserve"> </w:t>
      </w:r>
      <w:r w:rsidRPr="0056069B">
        <w:t>Big Wave Wireless</w:t>
      </w:r>
      <w:r>
        <w:t xml:space="preserve"> Comments at 1, </w:t>
      </w:r>
      <w:r w:rsidRPr="0056069B">
        <w:t>Pocke</w:t>
      </w:r>
      <w:r>
        <w:t>ti</w:t>
      </w:r>
      <w:r w:rsidRPr="0056069B">
        <w:t>Net</w:t>
      </w:r>
      <w:r w:rsidRPr="0056069B">
        <w:t xml:space="preserve"> Communications</w:t>
      </w:r>
      <w:r>
        <w:t xml:space="preserve"> Comments at 1, </w:t>
      </w:r>
      <w:r w:rsidRPr="0056069B">
        <w:t>Prairieburg</w:t>
      </w:r>
      <w:r w:rsidRPr="0056069B">
        <w:t xml:space="preserve"> Telephone</w:t>
      </w:r>
      <w:r>
        <w:t xml:space="preserve"> Comments at 1, </w:t>
      </w:r>
      <w:r w:rsidRPr="0056069B">
        <w:t>Rfwave</w:t>
      </w:r>
      <w:r>
        <w:t xml:space="preserve"> Comments at 1, </w:t>
      </w:r>
      <w:r w:rsidRPr="0056069B">
        <w:t>Valley Communications Association</w:t>
      </w:r>
      <w:r>
        <w:t xml:space="preserve"> Comments at 1, </w:t>
      </w:r>
      <w:r w:rsidRPr="0056069B">
        <w:t>Verso Networks</w:t>
      </w:r>
      <w:r>
        <w:t xml:space="preserve"> Comments at 1.</w:t>
      </w:r>
    </w:p>
  </w:footnote>
  <w:footnote w:id="19">
    <w:p w:rsidR="00A6019C" w:rsidP="00E6306E">
      <w:pPr>
        <w:pStyle w:val="FootnoteText"/>
      </w:pPr>
      <w:r>
        <w:rPr>
          <w:rStyle w:val="FootnoteReference"/>
        </w:rPr>
        <w:footnoteRef/>
      </w:r>
      <w:r>
        <w:t xml:space="preserve"> </w:t>
      </w:r>
      <w:r w:rsidRPr="0056069B">
        <w:t>Globalstar</w:t>
      </w:r>
      <w:r>
        <w:t xml:space="preserve"> Comments at 3</w:t>
      </w:r>
      <w:r w:rsidRPr="0056069B">
        <w:t>, 5G Automotive Association</w:t>
      </w:r>
      <w:r>
        <w:t xml:space="preserve"> Comments at 1-2</w:t>
      </w:r>
      <w:r w:rsidRPr="0056069B">
        <w:t xml:space="preserve">, NCTA </w:t>
      </w:r>
      <w:r>
        <w:t xml:space="preserve">Comments at 2, </w:t>
      </w:r>
      <w:r w:rsidRPr="0056069B">
        <w:t>WiMax</w:t>
      </w:r>
      <w:r>
        <w:t xml:space="preserve"> Forum Comments at 4.</w:t>
      </w:r>
    </w:p>
  </w:footnote>
  <w:footnote w:id="20">
    <w:p w:rsidR="00A6019C" w:rsidRPr="009906D0" w:rsidP="00E6306E">
      <w:pPr>
        <w:pStyle w:val="FootnoteText"/>
        <w:rPr>
          <w:i/>
          <w:iCs/>
        </w:rPr>
      </w:pPr>
      <w:r>
        <w:rPr>
          <w:rStyle w:val="FootnoteReference"/>
        </w:rPr>
        <w:footnoteRef/>
      </w:r>
      <w:r>
        <w:t xml:space="preserve"> </w:t>
      </w:r>
      <w:r>
        <w:rPr>
          <w:i/>
          <w:iCs/>
        </w:rPr>
        <w:t>Id.</w:t>
      </w:r>
    </w:p>
  </w:footnote>
  <w:footnote w:id="21">
    <w:p w:rsidR="00A6019C" w:rsidP="00E6306E">
      <w:pPr>
        <w:pStyle w:val="FootnoteText"/>
      </w:pPr>
      <w:r>
        <w:rPr>
          <w:rStyle w:val="FootnoteReference"/>
        </w:rPr>
        <w:footnoteRef/>
      </w:r>
      <w:r>
        <w:t xml:space="preserve"> </w:t>
      </w:r>
      <w:r>
        <w:t>Globalstar</w:t>
      </w:r>
      <w:r>
        <w:t xml:space="preserve"> Comments at 3.</w:t>
      </w:r>
    </w:p>
  </w:footnote>
  <w:footnote w:id="22">
    <w:p w:rsidR="00A6019C" w:rsidP="00E6306E">
      <w:pPr>
        <w:pStyle w:val="FootnoteText"/>
      </w:pPr>
      <w:r>
        <w:rPr>
          <w:rStyle w:val="FootnoteReference"/>
        </w:rPr>
        <w:footnoteRef/>
      </w:r>
      <w:r>
        <w:t xml:space="preserve"> </w:t>
      </w:r>
      <w:hyperlink r:id="rId1" w:tgtFrame="_top" w:history="1">
        <w:r>
          <w:t>47 CFR § 1.3</w:t>
        </w:r>
      </w:hyperlink>
      <w:r>
        <w:t xml:space="preserve">. </w:t>
      </w:r>
      <w:r>
        <w:rPr>
          <w:i/>
          <w:iCs/>
        </w:rPr>
        <w:t>See also</w:t>
      </w:r>
      <w:r>
        <w:rPr>
          <w:iCs/>
        </w:rPr>
        <w:t xml:space="preserve"> </w:t>
      </w:r>
      <w:hyperlink r:id="rId2" w:tgtFrame="_top" w:history="1">
        <w:r>
          <w:rPr>
            <w:i/>
            <w:iCs/>
          </w:rPr>
          <w:t>ICO Global Communications (Holdings) Limited v. FCC</w:t>
        </w:r>
        <w:r>
          <w:t>, 428 F.3d 264 (D.C. Cir. 2005)</w:t>
        </w:r>
      </w:hyperlink>
      <w:r>
        <w:t xml:space="preserve">; </w:t>
      </w:r>
      <w:hyperlink r:id="rId3" w:tgtFrame="_top" w:history="1">
        <w:r>
          <w:rPr>
            <w:i/>
            <w:iCs/>
          </w:rPr>
          <w:t>Northeast Cellular Telephone Co. v. FCC</w:t>
        </w:r>
        <w:r>
          <w:t>, 897 F.2d 1164 (D.C. Cir. 1990)</w:t>
        </w:r>
      </w:hyperlink>
      <w:r>
        <w:t xml:space="preserve">; </w:t>
      </w:r>
      <w:hyperlink r:id="rId4" w:tgtFrame="_top" w:history="1">
        <w:r>
          <w:rPr>
            <w:i/>
            <w:iCs/>
          </w:rPr>
          <w:t>WAIT Radio v. FCC</w:t>
        </w:r>
        <w:r>
          <w:t>, 418 F.2d 1153 (D.C. Cir. 1969)</w:t>
        </w:r>
      </w:hyperlink>
      <w:r>
        <w:t>.</w:t>
      </w:r>
    </w:p>
  </w:footnote>
  <w:footnote w:id="23">
    <w:p w:rsidR="00A6019C" w:rsidP="00E6306E">
      <w:pPr>
        <w:pStyle w:val="FootnoteText"/>
      </w:pPr>
      <w:r>
        <w:rPr>
          <w:rStyle w:val="FootnoteReference"/>
        </w:rPr>
        <w:footnoteRef/>
      </w:r>
      <w:r>
        <w:t xml:space="preserve"> </w:t>
      </w:r>
      <w:r>
        <w:rPr>
          <w:i/>
        </w:rPr>
        <w:t>Northeast Cellular</w:t>
      </w:r>
      <w:r>
        <w:t xml:space="preserve">, 897 F.2d at 1166; </w:t>
      </w:r>
      <w:r>
        <w:rPr>
          <w:i/>
        </w:rPr>
        <w:t>see also</w:t>
      </w:r>
      <w:r>
        <w:t xml:space="preserve"> </w:t>
      </w:r>
      <w:hyperlink r:id="rId5" w:tgtFrame="_top" w:history="1">
        <w:r>
          <w:rPr>
            <w:i/>
          </w:rPr>
          <w:t>ICO Global Communications</w:t>
        </w:r>
        <w:r>
          <w:t>, 428 F.3d at 269</w:t>
        </w:r>
      </w:hyperlink>
      <w:r>
        <w:t xml:space="preserve"> (quoting </w:t>
      </w:r>
      <w:r>
        <w:rPr>
          <w:i/>
        </w:rPr>
        <w:t>Northeast Cellular</w:t>
      </w:r>
      <w:r>
        <w:t xml:space="preserve">); </w:t>
      </w:r>
      <w:hyperlink r:id="rId6" w:tgtFrame="_top" w:history="1">
        <w:r>
          <w:rPr>
            <w:i/>
          </w:rPr>
          <w:t>WAIT Radio</w:t>
        </w:r>
        <w:r>
          <w:t>, 418 F.2d at 1157-59</w:t>
        </w:r>
      </w:hyperlink>
      <w:r>
        <w:t>.</w:t>
      </w:r>
    </w:p>
  </w:footnote>
  <w:footnote w:id="24">
    <w:p w:rsidR="00A6019C" w:rsidP="00E6306E">
      <w:pPr>
        <w:pStyle w:val="FootnoteText"/>
      </w:pPr>
      <w:r>
        <w:rPr>
          <w:rStyle w:val="FootnoteReference"/>
        </w:rPr>
        <w:footnoteRef/>
      </w:r>
      <w:r>
        <w:t xml:space="preserve"> </w:t>
      </w:r>
      <w:r w:rsidRPr="00865BAF">
        <w:rPr>
          <w:i/>
        </w:rPr>
        <w:t>See, e.g.</w:t>
      </w:r>
      <w:r w:rsidRPr="00865BAF">
        <w:t xml:space="preserve">, </w:t>
      </w:r>
      <w:hyperlink r:id="rId6" w:tgtFrame="_top" w:history="1">
        <w:r w:rsidRPr="00865BAF">
          <w:rPr>
            <w:i/>
          </w:rPr>
          <w:t>WAIT Radio</w:t>
        </w:r>
        <w:r w:rsidRPr="00865BAF">
          <w:t>, 418 F.2d at 1157</w:t>
        </w:r>
      </w:hyperlink>
      <w:r w:rsidRPr="00865BAF">
        <w:t xml:space="preserve">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865BAF">
        <w:rPr>
          <w:i/>
        </w:rPr>
        <w:t>Northeast Cellular</w:t>
      </w:r>
      <w:r w:rsidRPr="00865BAF">
        <w:t>, 897 F.2d at 1166 (stating that in granting a waiver, an agency must explain why deviation from the general rule better serves the public interest than would strict adherence to the rule).</w:t>
      </w:r>
    </w:p>
  </w:footnote>
  <w:footnote w:id="25">
    <w:p w:rsidR="00A6019C" w:rsidP="00E6306E">
      <w:pPr>
        <w:pStyle w:val="FootnoteText"/>
      </w:pPr>
      <w:r>
        <w:rPr>
          <w:rStyle w:val="FootnoteReference"/>
        </w:rPr>
        <w:footnoteRef/>
      </w:r>
      <w:r>
        <w:t xml:space="preserve"> RADWIN Waiver Request at 3.</w:t>
      </w:r>
    </w:p>
  </w:footnote>
  <w:footnote w:id="26">
    <w:p w:rsidR="00A6019C" w:rsidP="00E6306E">
      <w:pPr>
        <w:pStyle w:val="FootnoteText"/>
      </w:pPr>
      <w:r>
        <w:rPr>
          <w:rStyle w:val="FootnoteReference"/>
        </w:rPr>
        <w:footnoteRef/>
      </w:r>
      <w:r>
        <w:t xml:space="preserve"> </w:t>
      </w:r>
      <w:r w:rsidRPr="0056069B">
        <w:t>Globalstar</w:t>
      </w:r>
      <w:r>
        <w:t xml:space="preserve"> Comments at 3</w:t>
      </w:r>
      <w:r w:rsidRPr="0056069B">
        <w:t>, 5G Automotive Association</w:t>
      </w:r>
      <w:r>
        <w:t xml:space="preserve"> Comments at 1-2</w:t>
      </w:r>
      <w:r w:rsidRPr="0056069B">
        <w:t xml:space="preserve">, NCTA </w:t>
      </w:r>
      <w:r>
        <w:t xml:space="preserve">Comments at 2, </w:t>
      </w:r>
      <w:r w:rsidRPr="0056069B">
        <w:t>WiMax</w:t>
      </w:r>
      <w:r>
        <w:t xml:space="preserve"> Forum Comments at 4.</w:t>
      </w:r>
    </w:p>
  </w:footnote>
  <w:footnote w:id="27">
    <w:p w:rsidR="00A6019C" w:rsidP="00E6306E">
      <w:pPr>
        <w:pStyle w:val="FootnoteText"/>
      </w:pPr>
      <w:r>
        <w:rPr>
          <w:rStyle w:val="FootnoteReference"/>
        </w:rPr>
        <w:footnoteRef/>
      </w:r>
      <w:r>
        <w:t xml:space="preserve"> </w:t>
      </w:r>
      <w:r>
        <w:t>Globalstar</w:t>
      </w:r>
      <w:r>
        <w:t xml:space="preserve"> Comments at 3.</w:t>
      </w:r>
    </w:p>
  </w:footnote>
  <w:footnote w:id="28">
    <w:p w:rsidR="00A6019C" w:rsidP="00E6306E">
      <w:pPr>
        <w:pStyle w:val="FootnoteText"/>
      </w:pPr>
      <w:r>
        <w:rPr>
          <w:rStyle w:val="FootnoteReference"/>
        </w:rPr>
        <w:footnoteRef/>
      </w:r>
      <w:r>
        <w:t xml:space="preserve"> </w:t>
      </w:r>
      <w:r w:rsidRPr="00E20294">
        <w:t>FCC ID: Q3K-BFJET5X.</w:t>
      </w:r>
    </w:p>
  </w:footnote>
  <w:footnote w:id="29">
    <w:p w:rsidR="00A6019C" w:rsidRPr="004E2DCD" w:rsidP="00E6306E">
      <w:pPr>
        <w:pStyle w:val="FootnoteText"/>
      </w:pPr>
      <w:r w:rsidRPr="004E2DCD">
        <w:rPr>
          <w:rStyle w:val="FootnoteReference"/>
        </w:rPr>
        <w:footnoteRef/>
      </w:r>
      <w:r w:rsidRPr="004E2DCD">
        <w:t xml:space="preserve"> </w:t>
      </w:r>
      <w:r w:rsidRPr="00ED2999">
        <w:t xml:space="preserve">47 </w:t>
      </w:r>
      <w:r w:rsidRPr="004E2DCD">
        <w:t>CFR Section 1.924.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019C" w:rsidP="00810B6F">
    <w:pPr>
      <w:pStyle w:val="Header"/>
      <w:rPr>
        <w:b w:val="0"/>
      </w:rPr>
    </w:pPr>
    <w:r>
      <w:tab/>
      <w:t>Federal Communications Commission</w:t>
    </w:r>
    <w:r>
      <w:tab/>
      <w:t>DA 20-</w:t>
    </w:r>
    <w:r w:rsidR="00BC1D71">
      <w:t>750</w:t>
    </w:r>
  </w:p>
  <w:p w:rsidR="00A6019C">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A6019C">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019C" w:rsidP="00810B6F">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Pr>
        <w:spacing w:val="-2"/>
      </w:rPr>
      <w:t>DA 20-750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0764D3"/>
    <w:multiLevelType w:val="hybridMultilevel"/>
    <w:tmpl w:val="91E474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881C61"/>
    <w:multiLevelType w:val="hybridMultilevel"/>
    <w:tmpl w:val="FD32209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7"/>
    <w:lvlOverride w:ilvl="0">
      <w:startOverride w:val="1"/>
    </w:lvlOverride>
  </w:num>
  <w:num w:numId="9">
    <w:abstractNumId w:val="7"/>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1"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6E"/>
    <w:rsid w:val="00036039"/>
    <w:rsid w:val="00037F90"/>
    <w:rsid w:val="0004729A"/>
    <w:rsid w:val="00050AEB"/>
    <w:rsid w:val="00060182"/>
    <w:rsid w:val="000875BF"/>
    <w:rsid w:val="00096D8C"/>
    <w:rsid w:val="000C0B65"/>
    <w:rsid w:val="000E05FE"/>
    <w:rsid w:val="000E3D42"/>
    <w:rsid w:val="000E5FF7"/>
    <w:rsid w:val="00122BD5"/>
    <w:rsid w:val="00133F79"/>
    <w:rsid w:val="00194A66"/>
    <w:rsid w:val="001A33BC"/>
    <w:rsid w:val="001D6BCF"/>
    <w:rsid w:val="001E01CA"/>
    <w:rsid w:val="002066A3"/>
    <w:rsid w:val="00223028"/>
    <w:rsid w:val="00270E38"/>
    <w:rsid w:val="00275CF5"/>
    <w:rsid w:val="0028301F"/>
    <w:rsid w:val="00285017"/>
    <w:rsid w:val="002A2D2E"/>
    <w:rsid w:val="002B20CC"/>
    <w:rsid w:val="002C00E8"/>
    <w:rsid w:val="002D7587"/>
    <w:rsid w:val="00343749"/>
    <w:rsid w:val="003660ED"/>
    <w:rsid w:val="003B0550"/>
    <w:rsid w:val="003B694F"/>
    <w:rsid w:val="003D4928"/>
    <w:rsid w:val="003F171C"/>
    <w:rsid w:val="003F777A"/>
    <w:rsid w:val="004002AC"/>
    <w:rsid w:val="00402E8F"/>
    <w:rsid w:val="00412FC5"/>
    <w:rsid w:val="00422276"/>
    <w:rsid w:val="004242F1"/>
    <w:rsid w:val="0043101C"/>
    <w:rsid w:val="0043205B"/>
    <w:rsid w:val="00445A00"/>
    <w:rsid w:val="00451B0F"/>
    <w:rsid w:val="00455445"/>
    <w:rsid w:val="004C2EE3"/>
    <w:rsid w:val="004E25F0"/>
    <w:rsid w:val="004E2DCD"/>
    <w:rsid w:val="004E4A22"/>
    <w:rsid w:val="005039A0"/>
    <w:rsid w:val="00511968"/>
    <w:rsid w:val="0055614C"/>
    <w:rsid w:val="0056069B"/>
    <w:rsid w:val="00566D06"/>
    <w:rsid w:val="005E14C2"/>
    <w:rsid w:val="00607BA5"/>
    <w:rsid w:val="0061180A"/>
    <w:rsid w:val="00626EB6"/>
    <w:rsid w:val="00655D03"/>
    <w:rsid w:val="00657E94"/>
    <w:rsid w:val="00683388"/>
    <w:rsid w:val="00683F84"/>
    <w:rsid w:val="006A6A81"/>
    <w:rsid w:val="006F7393"/>
    <w:rsid w:val="0070224F"/>
    <w:rsid w:val="007115F7"/>
    <w:rsid w:val="0072360A"/>
    <w:rsid w:val="00734C7F"/>
    <w:rsid w:val="007436A2"/>
    <w:rsid w:val="00776DA8"/>
    <w:rsid w:val="00785689"/>
    <w:rsid w:val="0079754B"/>
    <w:rsid w:val="007A1E6D"/>
    <w:rsid w:val="007B0EB2"/>
    <w:rsid w:val="007C3F29"/>
    <w:rsid w:val="00810B6F"/>
    <w:rsid w:val="008118C1"/>
    <w:rsid w:val="00822CE0"/>
    <w:rsid w:val="00841AB1"/>
    <w:rsid w:val="00865BAF"/>
    <w:rsid w:val="008900C2"/>
    <w:rsid w:val="008C68F1"/>
    <w:rsid w:val="00921803"/>
    <w:rsid w:val="00926503"/>
    <w:rsid w:val="00955987"/>
    <w:rsid w:val="009726D8"/>
    <w:rsid w:val="009906D0"/>
    <w:rsid w:val="009D7308"/>
    <w:rsid w:val="009F76DB"/>
    <w:rsid w:val="00A07C46"/>
    <w:rsid w:val="00A32C3B"/>
    <w:rsid w:val="00A45F4F"/>
    <w:rsid w:val="00A600A9"/>
    <w:rsid w:val="00A6019C"/>
    <w:rsid w:val="00AA55B7"/>
    <w:rsid w:val="00AA5B9E"/>
    <w:rsid w:val="00AB2407"/>
    <w:rsid w:val="00AB53DF"/>
    <w:rsid w:val="00AD567E"/>
    <w:rsid w:val="00AD7C26"/>
    <w:rsid w:val="00B07E5C"/>
    <w:rsid w:val="00B33A9F"/>
    <w:rsid w:val="00B54191"/>
    <w:rsid w:val="00B811F7"/>
    <w:rsid w:val="00BA5DC6"/>
    <w:rsid w:val="00BA6196"/>
    <w:rsid w:val="00BC1D71"/>
    <w:rsid w:val="00BC6D8C"/>
    <w:rsid w:val="00C34006"/>
    <w:rsid w:val="00C36B4C"/>
    <w:rsid w:val="00C426B1"/>
    <w:rsid w:val="00C66160"/>
    <w:rsid w:val="00C721AC"/>
    <w:rsid w:val="00C90D6A"/>
    <w:rsid w:val="00CA247E"/>
    <w:rsid w:val="00CA6D21"/>
    <w:rsid w:val="00CC72B6"/>
    <w:rsid w:val="00D0218D"/>
    <w:rsid w:val="00D24260"/>
    <w:rsid w:val="00D25FB5"/>
    <w:rsid w:val="00D44223"/>
    <w:rsid w:val="00DA2529"/>
    <w:rsid w:val="00DB130A"/>
    <w:rsid w:val="00DB2EBB"/>
    <w:rsid w:val="00DC10A1"/>
    <w:rsid w:val="00DC655F"/>
    <w:rsid w:val="00DD0B59"/>
    <w:rsid w:val="00DD7EBD"/>
    <w:rsid w:val="00DE25AB"/>
    <w:rsid w:val="00DE4473"/>
    <w:rsid w:val="00DE7D3E"/>
    <w:rsid w:val="00DF62B6"/>
    <w:rsid w:val="00E07225"/>
    <w:rsid w:val="00E10181"/>
    <w:rsid w:val="00E20294"/>
    <w:rsid w:val="00E5409F"/>
    <w:rsid w:val="00E6306E"/>
    <w:rsid w:val="00EB0FDA"/>
    <w:rsid w:val="00ED2999"/>
    <w:rsid w:val="00EE6488"/>
    <w:rsid w:val="00EE7260"/>
    <w:rsid w:val="00EF492C"/>
    <w:rsid w:val="00F021FA"/>
    <w:rsid w:val="00F57A7B"/>
    <w:rsid w:val="00F62E97"/>
    <w:rsid w:val="00F64209"/>
    <w:rsid w:val="00F93BF5"/>
    <w:rsid w:val="00FC7B00"/>
    <w:rsid w:val="00FD0A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AA0354E-CD01-4B83-B55C-E5E83CA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06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2 Char,Footnote Text Char Char2 Char Char Char,Footnote Text Char1,Footnote Text Char1 Char2,Footnote Text Char1 Char2 Char Char,Footnote Text Char1 Char2 Char Char Char Char,fn,footnote text"/>
    <w:link w:val="FootnoteTextChar2"/>
    <w:rsid w:val="000E3D42"/>
    <w:pPr>
      <w:spacing w:after="120"/>
    </w:pPr>
  </w:style>
  <w:style w:type="character" w:styleId="FootnoteReference">
    <w:name w:val="footnote reference"/>
    <w:aliases w:val="Appel note de bas de p"/>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E6306E"/>
    <w:rPr>
      <w:rFonts w:ascii="Segoe UI" w:hAnsi="Segoe UI" w:cs="Segoe UI"/>
      <w:sz w:val="18"/>
      <w:szCs w:val="18"/>
    </w:rPr>
  </w:style>
  <w:style w:type="character" w:customStyle="1" w:styleId="BalloonTextChar">
    <w:name w:val="Balloon Text Char"/>
    <w:basedOn w:val="DefaultParagraphFont"/>
    <w:link w:val="BalloonText"/>
    <w:rsid w:val="00E6306E"/>
    <w:rPr>
      <w:rFonts w:ascii="Segoe UI" w:hAnsi="Segoe UI" w:cs="Segoe UI"/>
      <w:snapToGrid w:val="0"/>
      <w:kern w:val="28"/>
      <w:sz w:val="18"/>
      <w:szCs w:val="18"/>
    </w:rPr>
  </w:style>
  <w:style w:type="character" w:customStyle="1" w:styleId="FootnoteTextChar2">
    <w:name w:val="Footnote Text Char2"/>
    <w:aliases w:val="Footnote Text Char Char,Footnote Text Char Char2 Char Char,Footnote Text Char Char2 Char Char Char Char,Footnote Text Char1 Char,Footnote Text Char1 Char2 Char,Footnote Text Char1 Char2 Char Char Char,fn Char,footnote text Char"/>
    <w:link w:val="FootnoteText"/>
    <w:rsid w:val="00E6306E"/>
  </w:style>
  <w:style w:type="table" w:styleId="TableGrid">
    <w:name w:val="Table Grid"/>
    <w:basedOn w:val="TableNormal"/>
    <w:uiPriority w:val="39"/>
    <w:rsid w:val="00E6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6306E"/>
    <w:rPr>
      <w:sz w:val="16"/>
      <w:szCs w:val="16"/>
    </w:rPr>
  </w:style>
  <w:style w:type="paragraph" w:styleId="CommentText">
    <w:name w:val="annotation text"/>
    <w:basedOn w:val="Normal"/>
    <w:link w:val="CommentTextChar"/>
    <w:rsid w:val="00E6306E"/>
    <w:rPr>
      <w:sz w:val="20"/>
    </w:rPr>
  </w:style>
  <w:style w:type="character" w:customStyle="1" w:styleId="CommentTextChar">
    <w:name w:val="Comment Text Char"/>
    <w:basedOn w:val="DefaultParagraphFont"/>
    <w:link w:val="CommentText"/>
    <w:rsid w:val="00E6306E"/>
    <w:rPr>
      <w:snapToGrid w:val="0"/>
      <w:kern w:val="28"/>
    </w:rPr>
  </w:style>
  <w:style w:type="paragraph" w:styleId="CommentSubject">
    <w:name w:val="annotation subject"/>
    <w:basedOn w:val="CommentText"/>
    <w:next w:val="CommentText"/>
    <w:link w:val="CommentSubjectChar"/>
    <w:rsid w:val="00E6306E"/>
    <w:rPr>
      <w:b/>
      <w:bCs/>
    </w:rPr>
  </w:style>
  <w:style w:type="character" w:customStyle="1" w:styleId="CommentSubjectChar">
    <w:name w:val="Comment Subject Char"/>
    <w:basedOn w:val="CommentTextChar"/>
    <w:link w:val="CommentSubject"/>
    <w:rsid w:val="00E6306E"/>
    <w:rPr>
      <w:b/>
      <w:bCs/>
      <w:snapToGrid w:val="0"/>
      <w:kern w:val="28"/>
    </w:rPr>
  </w:style>
  <w:style w:type="paragraph" w:styleId="NoSpacing">
    <w:name w:val="No Spacing"/>
    <w:uiPriority w:val="1"/>
    <w:qFormat/>
    <w:rsid w:val="00E6306E"/>
    <w:rPr>
      <w:rFonts w:ascii="Calibri" w:eastAsia="Calibri" w:hAnsi="Calibri"/>
      <w:sz w:val="22"/>
      <w:szCs w:val="22"/>
    </w:rPr>
  </w:style>
  <w:style w:type="paragraph" w:styleId="ListParagraph">
    <w:name w:val="List Paragraph"/>
    <w:basedOn w:val="Normal"/>
    <w:uiPriority w:val="34"/>
    <w:qFormat/>
    <w:rsid w:val="00E6306E"/>
    <w:pPr>
      <w:ind w:left="720"/>
      <w:contextualSpacing/>
    </w:pPr>
  </w:style>
  <w:style w:type="paragraph" w:styleId="Revision">
    <w:name w:val="Revision"/>
    <w:hidden/>
    <w:uiPriority w:val="99"/>
    <w:semiHidden/>
    <w:rsid w:val="00E6306E"/>
    <w:rPr>
      <w:snapToGrid w:val="0"/>
      <w:kern w:val="28"/>
      <w:sz w:val="22"/>
    </w:rPr>
  </w:style>
  <w:style w:type="character" w:customStyle="1" w:styleId="HeaderChar">
    <w:name w:val="Header Char"/>
    <w:link w:val="Header"/>
    <w:rsid w:val="00E6306E"/>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sm@nsf.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