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75796D0F">
      <w:pPr>
        <w:jc w:val="right"/>
        <w:rPr>
          <w:sz w:val="24"/>
          <w:szCs w:val="24"/>
        </w:rPr>
      </w:pPr>
      <w:r w:rsidRPr="75796D0F">
        <w:rPr>
          <w:sz w:val="24"/>
          <w:szCs w:val="24"/>
        </w:rPr>
        <w:t xml:space="preserve"> </w:t>
      </w:r>
    </w:p>
    <w:p w:rsidR="005614FA" w:rsidP="005614FA">
      <w:pPr>
        <w:widowControl/>
        <w:suppressAutoHyphens/>
        <w:jc w:val="right"/>
        <w:rPr>
          <w:b/>
          <w:color w:val="000000"/>
        </w:rPr>
      </w:pPr>
      <w:bookmarkStart w:id="0" w:name="_GoBack"/>
      <w:r>
        <w:rPr>
          <w:b/>
          <w:color w:val="000000"/>
        </w:rPr>
        <w:t>DA 20-</w:t>
      </w:r>
      <w:r w:rsidR="006126AF">
        <w:rPr>
          <w:b/>
          <w:color w:val="000000"/>
        </w:rPr>
        <w:t>752</w:t>
      </w:r>
    </w:p>
    <w:p w:rsidR="005614FA" w:rsidP="005614FA">
      <w:pPr>
        <w:widowControl/>
        <w:suppressAutoHyphens/>
        <w:spacing w:after="240"/>
        <w:jc w:val="right"/>
        <w:rPr>
          <w:b/>
          <w:color w:val="000000"/>
        </w:rPr>
      </w:pPr>
      <w:r>
        <w:rPr>
          <w:b/>
          <w:color w:val="000000"/>
        </w:rPr>
        <w:t xml:space="preserve">Released:  </w:t>
      </w:r>
      <w:r w:rsidR="0004637E">
        <w:rPr>
          <w:b/>
          <w:color w:val="000000"/>
        </w:rPr>
        <w:t xml:space="preserve">July </w:t>
      </w:r>
      <w:r w:rsidR="009A685A">
        <w:rPr>
          <w:b/>
          <w:color w:val="000000"/>
        </w:rPr>
        <w:t>1</w:t>
      </w:r>
      <w:r w:rsidR="008275B8">
        <w:rPr>
          <w:b/>
          <w:color w:val="000000"/>
        </w:rPr>
        <w:t>6</w:t>
      </w:r>
      <w:r>
        <w:rPr>
          <w:b/>
          <w:color w:val="000000"/>
        </w:rPr>
        <w:t>, 2020</w:t>
      </w:r>
    </w:p>
    <w:p w:rsidR="00242F44" w:rsidP="005614FA">
      <w:pPr>
        <w:autoSpaceDE w:val="0"/>
        <w:autoSpaceDN w:val="0"/>
        <w:adjustRightInd w:val="0"/>
        <w:jc w:val="center"/>
        <w:rPr>
          <w:b/>
          <w:szCs w:val="22"/>
        </w:rPr>
      </w:pPr>
      <w:r>
        <w:rPr>
          <w:b/>
          <w:szCs w:val="22"/>
        </w:rPr>
        <w:t xml:space="preserve">DOMESTIC 214 </w:t>
      </w:r>
      <w:r w:rsidRPr="00307030" w:rsidR="00C31891">
        <w:rPr>
          <w:b/>
          <w:szCs w:val="22"/>
        </w:rPr>
        <w:t xml:space="preserve">APPLICATION </w:t>
      </w:r>
      <w:r w:rsidR="00C31891">
        <w:rPr>
          <w:b/>
          <w:szCs w:val="22"/>
        </w:rPr>
        <w:t>GRANTED</w:t>
      </w:r>
      <w:r w:rsidRPr="00307030" w:rsidR="00C31891">
        <w:rPr>
          <w:b/>
          <w:szCs w:val="22"/>
        </w:rPr>
        <w:t xml:space="preserve"> FOR </w:t>
      </w:r>
    </w:p>
    <w:p w:rsidR="0004637E" w:rsidP="005614FA">
      <w:pPr>
        <w:autoSpaceDE w:val="0"/>
        <w:autoSpaceDN w:val="0"/>
        <w:adjustRightInd w:val="0"/>
        <w:jc w:val="center"/>
        <w:rPr>
          <w:b/>
          <w:szCs w:val="22"/>
        </w:rPr>
      </w:pPr>
      <w:r w:rsidRPr="00307030">
        <w:rPr>
          <w:b/>
          <w:szCs w:val="22"/>
        </w:rPr>
        <w:t xml:space="preserve">THE TRANSFER OF CONTROL OF </w:t>
      </w:r>
    </w:p>
    <w:p w:rsidR="005614FA" w:rsidRPr="00307030" w:rsidP="005614FA">
      <w:pPr>
        <w:autoSpaceDE w:val="0"/>
        <w:autoSpaceDN w:val="0"/>
        <w:adjustRightInd w:val="0"/>
        <w:jc w:val="center"/>
        <w:rPr>
          <w:b/>
          <w:szCs w:val="22"/>
        </w:rPr>
      </w:pPr>
      <w:r w:rsidRPr="0004637E">
        <w:rPr>
          <w:b/>
          <w:szCs w:val="22"/>
        </w:rPr>
        <w:t>LOGMEIN, INC. TO LOGAN PARENT, LLC</w:t>
      </w:r>
    </w:p>
    <w:p w:rsidR="005614FA" w:rsidRPr="00307030" w:rsidP="005614FA">
      <w:pPr>
        <w:autoSpaceDE w:val="0"/>
        <w:autoSpaceDN w:val="0"/>
        <w:adjustRightInd w:val="0"/>
        <w:jc w:val="center"/>
        <w:rPr>
          <w:b/>
          <w:szCs w:val="22"/>
        </w:rPr>
      </w:pPr>
    </w:p>
    <w:p w:rsidR="005614FA" w:rsidRPr="00307030" w:rsidP="005614FA">
      <w:pPr>
        <w:autoSpaceDE w:val="0"/>
        <w:autoSpaceDN w:val="0"/>
        <w:adjustRightInd w:val="0"/>
        <w:jc w:val="center"/>
        <w:rPr>
          <w:b/>
          <w:szCs w:val="22"/>
        </w:rPr>
      </w:pPr>
      <w:r w:rsidRPr="00307030">
        <w:rPr>
          <w:b/>
          <w:szCs w:val="22"/>
        </w:rPr>
        <w:t>WC Docket No. 19-</w:t>
      </w:r>
      <w:r w:rsidR="00B43169">
        <w:rPr>
          <w:b/>
          <w:szCs w:val="22"/>
        </w:rPr>
        <w:t>39</w:t>
      </w:r>
      <w:r w:rsidR="0004637E">
        <w:rPr>
          <w:b/>
          <w:szCs w:val="22"/>
        </w:rPr>
        <w:t>6</w:t>
      </w:r>
      <w:r>
        <w:rPr>
          <w:b/>
          <w:szCs w:val="22"/>
        </w:rPr>
        <w:t xml:space="preserve"> </w:t>
      </w:r>
    </w:p>
    <w:bookmarkEnd w:id="0"/>
    <w:p w:rsidR="005614FA" w:rsidP="005614FA">
      <w:pPr>
        <w:widowControl/>
        <w:suppressAutoHyphens/>
        <w:rPr>
          <w:b/>
          <w:color w:val="000000"/>
        </w:rPr>
      </w:pPr>
    </w:p>
    <w:p w:rsidR="00D806AA" w:rsidP="00D806AA">
      <w:pPr>
        <w:widowControl/>
        <w:autoSpaceDE w:val="0"/>
        <w:autoSpaceDN w:val="0"/>
        <w:adjustRightInd w:val="0"/>
        <w:ind w:firstLine="720"/>
        <w:rPr>
          <w:snapToGrid/>
          <w:color w:val="231F20"/>
          <w:kern w:val="0"/>
          <w:szCs w:val="22"/>
        </w:rPr>
      </w:pPr>
      <w:r w:rsidRPr="00D806AA">
        <w:rPr>
          <w:snapToGrid/>
          <w:kern w:val="0"/>
          <w:szCs w:val="22"/>
        </w:rPr>
        <w:t xml:space="preserve">By this Public Notice, the Wireline Competition Bureau </w:t>
      </w:r>
      <w:r w:rsidR="000D50EB">
        <w:rPr>
          <w:snapToGrid/>
          <w:kern w:val="0"/>
          <w:szCs w:val="22"/>
        </w:rPr>
        <w:t xml:space="preserve">(Bureau) </w:t>
      </w:r>
      <w:r>
        <w:rPr>
          <w:snapToGrid/>
          <w:kern w:val="0"/>
          <w:szCs w:val="22"/>
        </w:rPr>
        <w:t>grant</w:t>
      </w:r>
      <w:r w:rsidRPr="00D806AA">
        <w:rPr>
          <w:snapToGrid/>
          <w:kern w:val="0"/>
          <w:szCs w:val="22"/>
        </w:rPr>
        <w:t>s</w:t>
      </w:r>
      <w:r>
        <w:rPr>
          <w:snapToGrid/>
          <w:kern w:val="0"/>
          <w:szCs w:val="22"/>
        </w:rPr>
        <w:t xml:space="preserve">, as conditioned, </w:t>
      </w:r>
      <w:r w:rsidR="00DF4E87">
        <w:rPr>
          <w:snapToGrid/>
          <w:kern w:val="0"/>
          <w:szCs w:val="22"/>
        </w:rPr>
        <w:t>an</w:t>
      </w:r>
      <w:r>
        <w:rPr>
          <w:snapToGrid/>
          <w:kern w:val="0"/>
          <w:szCs w:val="22"/>
        </w:rPr>
        <w:t xml:space="preserve"> </w:t>
      </w:r>
      <w:r w:rsidRPr="00D806AA">
        <w:rPr>
          <w:snapToGrid/>
          <w:kern w:val="0"/>
          <w:szCs w:val="22"/>
        </w:rPr>
        <w:t xml:space="preserve">application filed by </w:t>
      </w:r>
      <w:r w:rsidR="0004637E">
        <w:t xml:space="preserve">LogMeIn, Inc. (LogMeIn) and Logan Parent, LLC (Logan Parent) </w:t>
      </w:r>
      <w:r w:rsidRPr="00D806AA">
        <w:rPr>
          <w:snapToGrid/>
          <w:kern w:val="0"/>
          <w:szCs w:val="22"/>
        </w:rPr>
        <w:t>(collectively, Applicants), pursuant to section 214 of the Communications Act of 1934, as amended</w:t>
      </w:r>
      <w:r w:rsidR="00563C1F">
        <w:rPr>
          <w:snapToGrid/>
          <w:kern w:val="0"/>
          <w:szCs w:val="22"/>
        </w:rPr>
        <w:t xml:space="preserve"> (Act)</w:t>
      </w:r>
      <w:r w:rsidRPr="00D806AA">
        <w:rPr>
          <w:snapToGrid/>
          <w:kern w:val="0"/>
          <w:szCs w:val="22"/>
        </w:rPr>
        <w:t>, and sections 63.03-04 of the Commission’s rules, requesting approval for consent to transfer control of</w:t>
      </w:r>
      <w:r w:rsidR="0004637E">
        <w:rPr>
          <w:snapToGrid/>
          <w:kern w:val="0"/>
          <w:szCs w:val="22"/>
        </w:rPr>
        <w:t xml:space="preserve"> LogMeIn to Logan Parent</w:t>
      </w:r>
      <w:r w:rsidRPr="00D806AA">
        <w:rPr>
          <w:snapToGrid/>
          <w:kern w:val="0"/>
          <w:szCs w:val="22"/>
        </w:rPr>
        <w:t>.</w:t>
      </w:r>
      <w:bookmarkStart w:id="1" w:name="_Hlk19805232"/>
      <w:r>
        <w:rPr>
          <w:snapToGrid/>
          <w:color w:val="231F20"/>
          <w:kern w:val="0"/>
          <w:szCs w:val="22"/>
          <w:vertAlign w:val="superscript"/>
        </w:rPr>
        <w:footnoteReference w:id="3"/>
      </w:r>
      <w:bookmarkEnd w:id="1"/>
      <w:r w:rsidRPr="00D806AA">
        <w:rPr>
          <w:snapToGrid/>
          <w:color w:val="231F20"/>
          <w:kern w:val="0"/>
          <w:szCs w:val="22"/>
        </w:rPr>
        <w:t xml:space="preserve"> </w:t>
      </w:r>
    </w:p>
    <w:p w:rsidR="005614FA" w:rsidP="00A51758">
      <w:pPr>
        <w:autoSpaceDE w:val="0"/>
        <w:autoSpaceDN w:val="0"/>
        <w:adjustRightInd w:val="0"/>
        <w:rPr>
          <w:snapToGrid/>
          <w:kern w:val="0"/>
          <w:szCs w:val="22"/>
        </w:rPr>
      </w:pPr>
    </w:p>
    <w:p w:rsidR="005614FA" w:rsidP="005614FA">
      <w:pPr>
        <w:autoSpaceDE w:val="0"/>
        <w:autoSpaceDN w:val="0"/>
        <w:adjustRightInd w:val="0"/>
        <w:ind w:firstLine="720"/>
        <w:rPr>
          <w:szCs w:val="22"/>
        </w:rPr>
      </w:pPr>
      <w:r>
        <w:rPr>
          <w:color w:val="000000"/>
          <w:szCs w:val="24"/>
        </w:rPr>
        <w:t>On J</w:t>
      </w:r>
      <w:r w:rsidR="00A51758">
        <w:rPr>
          <w:color w:val="000000"/>
          <w:szCs w:val="24"/>
        </w:rPr>
        <w:t>anuary</w:t>
      </w:r>
      <w:r>
        <w:rPr>
          <w:color w:val="000000"/>
          <w:szCs w:val="24"/>
        </w:rPr>
        <w:t xml:space="preserve"> </w:t>
      </w:r>
      <w:r w:rsidR="00A51758">
        <w:rPr>
          <w:color w:val="000000"/>
          <w:szCs w:val="24"/>
        </w:rPr>
        <w:t>1</w:t>
      </w:r>
      <w:r w:rsidR="00C4665E">
        <w:rPr>
          <w:color w:val="000000"/>
          <w:szCs w:val="24"/>
        </w:rPr>
        <w:t>5</w:t>
      </w:r>
      <w:r>
        <w:rPr>
          <w:color w:val="000000"/>
          <w:szCs w:val="24"/>
        </w:rPr>
        <w:t>, 20</w:t>
      </w:r>
      <w:r w:rsidR="00A51758">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4"/>
      </w:r>
      <w:r>
        <w:rPr>
          <w:color w:val="000000"/>
          <w:szCs w:val="22"/>
        </w:rPr>
        <w:t xml:space="preserve">  </w:t>
      </w:r>
      <w:r w:rsidR="007C4371">
        <w:rPr>
          <w:color w:val="000000"/>
          <w:szCs w:val="22"/>
        </w:rPr>
        <w:t>We</w:t>
      </w:r>
      <w:r>
        <w:rPr>
          <w:szCs w:val="22"/>
        </w:rPr>
        <w:t xml:space="preserve"> did not receive comments or petitions in opposition to the Application.</w:t>
      </w:r>
    </w:p>
    <w:p w:rsidR="005614FA" w:rsidP="005614FA">
      <w:pPr>
        <w:autoSpaceDE w:val="0"/>
        <w:autoSpaceDN w:val="0"/>
        <w:adjustRightInd w:val="0"/>
        <w:rPr>
          <w:szCs w:val="22"/>
        </w:rPr>
      </w:pPr>
    </w:p>
    <w:p w:rsidR="0089722C" w:rsidP="005614FA">
      <w:pPr>
        <w:autoSpaceDE w:val="0"/>
        <w:autoSpaceDN w:val="0"/>
        <w:adjustRightInd w:val="0"/>
        <w:rPr>
          <w:szCs w:val="22"/>
        </w:rPr>
      </w:pPr>
      <w:r>
        <w:rPr>
          <w:szCs w:val="22"/>
        </w:rPr>
        <w:tab/>
      </w:r>
      <w:r>
        <w:t>LogMeIn, a publicly traded Delaware corporation, provides competitive telecommunications services and other services in multiple states through its wholly owned indirect subsidiaries:</w:t>
      </w:r>
      <w:r w:rsidR="00D53ADF">
        <w:t xml:space="preserve"> </w:t>
      </w:r>
      <w:r>
        <w:t xml:space="preserve"> GetGo Communications, LLC; Grasshopper Group, LLC; LogMeIn Audio LLC; and Jive Communications, Inc.</w:t>
      </w:r>
      <w:r>
        <w:rPr>
          <w:rStyle w:val="FootnoteReference"/>
        </w:rPr>
        <w:footnoteReference w:id="5"/>
      </w:r>
      <w:r>
        <w:t xml:space="preserve">  </w:t>
      </w:r>
    </w:p>
    <w:p w:rsidR="0089722C" w:rsidP="005614FA">
      <w:pPr>
        <w:autoSpaceDE w:val="0"/>
        <w:autoSpaceDN w:val="0"/>
        <w:adjustRightInd w:val="0"/>
        <w:rPr>
          <w:szCs w:val="22"/>
        </w:rPr>
      </w:pPr>
    </w:p>
    <w:p w:rsidR="00DC53B1" w:rsidP="00DC53B1">
      <w:pPr>
        <w:widowControl/>
        <w:autoSpaceDE w:val="0"/>
        <w:autoSpaceDN w:val="0"/>
        <w:adjustRightInd w:val="0"/>
        <w:rPr>
          <w:snapToGrid/>
          <w:kern w:val="0"/>
          <w:szCs w:val="22"/>
        </w:rPr>
      </w:pPr>
      <w:r>
        <w:rPr>
          <w:snapToGrid/>
          <w:kern w:val="0"/>
          <w:szCs w:val="22"/>
        </w:rPr>
        <w:tab/>
      </w:r>
      <w:r>
        <w:t xml:space="preserve">Logan Parent, a Delaware limited liability company, does not </w:t>
      </w:r>
      <w:r w:rsidR="007C4371">
        <w:t xml:space="preserve">currently </w:t>
      </w:r>
      <w:r>
        <w:t xml:space="preserve">provide any telecommunications services. </w:t>
      </w:r>
      <w:r w:rsidR="00885346">
        <w:t xml:space="preserve"> </w:t>
      </w:r>
      <w:r>
        <w:t>Following the consummation of th</w:t>
      </w:r>
      <w:r w:rsidR="00885346">
        <w:t>is</w:t>
      </w:r>
      <w:r>
        <w:t xml:space="preserve"> transaction, Logan Parent will be indirectly majority owned (51%) and controlled by the following Cayman Island</w:t>
      </w:r>
      <w:r w:rsidR="00AE47E9">
        <w:rPr>
          <w:snapToGrid/>
          <w:kern w:val="0"/>
          <w:szCs w:val="22"/>
        </w:rPr>
        <w:t xml:space="preserve"> </w:t>
      </w:r>
      <w:r w:rsidR="00AE47E9">
        <w:t>private equity funds: Francisco Partners V, L.P (31.73%); Francisco Partners V-A, L.P. (14.8%); and Francisco Partners V-B, L.P. (4.47%) (collectively, the FP V Funds).</w:t>
      </w:r>
      <w:r>
        <w:rPr>
          <w:rStyle w:val="FootnoteReference"/>
        </w:rPr>
        <w:footnoteReference w:id="6"/>
      </w:r>
      <w:r w:rsidR="00AE47E9">
        <w:t xml:space="preserve"> </w:t>
      </w:r>
      <w:r w:rsidR="0070486C">
        <w:t xml:space="preserve"> </w:t>
      </w:r>
      <w:r w:rsidR="00AE47E9">
        <w:t xml:space="preserve">Logan Parent will also be indirectly minority owned (49%) by the following Cayman and Delaware entities through their interest in Elliott Logan Aggregator, L.P., a Delaware holding company: </w:t>
      </w:r>
      <w:r w:rsidR="00885346">
        <w:t xml:space="preserve"> </w:t>
      </w:r>
      <w:r w:rsidR="00AE47E9">
        <w:t xml:space="preserve">Elliot International Limited (Cayman) (22.75%); Elliott International, L.P. (Cayman) (22.77%); Elliott Logan ICAV (Cayman) (22.77%); Elliott Co-Investment B-5 L.P. (Cayman) </w:t>
      </w:r>
      <w:r w:rsidR="00AE47E9">
        <w:t>(11.1%); Elliott Intermediate Co-Investment II L.P. (Cayman) (11.1%); and Elliott Associates, L.P. (Delaware limited partnership; 10.23%)</w:t>
      </w:r>
      <w:r w:rsidRPr="006F1183" w:rsidR="00AE47E9">
        <w:rPr>
          <w:szCs w:val="22"/>
        </w:rPr>
        <w:t>.</w:t>
      </w:r>
      <w:r>
        <w:rPr>
          <w:rStyle w:val="FootnoteReference"/>
          <w:szCs w:val="22"/>
        </w:rPr>
        <w:footnoteReference w:id="7"/>
      </w:r>
      <w:r w:rsidRPr="006F1183" w:rsidR="00AE47E9">
        <w:rPr>
          <w:szCs w:val="22"/>
        </w:rPr>
        <w:t xml:space="preserve"> </w:t>
      </w:r>
      <w:r w:rsidRPr="006F1183" w:rsidR="0070486C">
        <w:rPr>
          <w:szCs w:val="22"/>
        </w:rPr>
        <w:t xml:space="preserve"> </w:t>
      </w:r>
    </w:p>
    <w:p w:rsidR="005614FA" w:rsidRPr="0054650E" w:rsidP="00885346">
      <w:pPr>
        <w:widowControl/>
        <w:autoSpaceDE w:val="0"/>
        <w:autoSpaceDN w:val="0"/>
        <w:adjustRightInd w:val="0"/>
        <w:rPr>
          <w:snapToGrid/>
          <w:kern w:val="0"/>
          <w:szCs w:val="22"/>
        </w:rPr>
      </w:pPr>
    </w:p>
    <w:p w:rsidR="00044FC2" w:rsidRPr="00A663DB" w:rsidP="0054650E">
      <w:pPr>
        <w:pStyle w:val="Default"/>
        <w:ind w:firstLine="720"/>
        <w:rPr>
          <w:color w:val="212121"/>
          <w:sz w:val="22"/>
          <w:szCs w:val="22"/>
        </w:rPr>
      </w:pPr>
      <w:r w:rsidRPr="00A663DB">
        <w:rPr>
          <w:sz w:val="22"/>
          <w:szCs w:val="22"/>
        </w:rPr>
        <w:t>On J</w:t>
      </w:r>
      <w:r w:rsidRPr="00A663DB" w:rsidR="00023E9D">
        <w:rPr>
          <w:sz w:val="22"/>
          <w:szCs w:val="22"/>
        </w:rPr>
        <w:t>anuary</w:t>
      </w:r>
      <w:r w:rsidRPr="00A663DB">
        <w:rPr>
          <w:sz w:val="22"/>
          <w:szCs w:val="22"/>
        </w:rPr>
        <w:t xml:space="preserve"> </w:t>
      </w:r>
      <w:r w:rsidRPr="00A663DB" w:rsidR="00023E9D">
        <w:rPr>
          <w:sz w:val="22"/>
          <w:szCs w:val="22"/>
        </w:rPr>
        <w:t>2</w:t>
      </w:r>
      <w:r w:rsidRPr="00A663DB">
        <w:rPr>
          <w:sz w:val="22"/>
          <w:szCs w:val="22"/>
        </w:rPr>
        <w:t>1, 20</w:t>
      </w:r>
      <w:r w:rsidRPr="00A663DB" w:rsidR="00023E9D">
        <w:rPr>
          <w:sz w:val="22"/>
          <w:szCs w:val="22"/>
        </w:rPr>
        <w:t>20</w:t>
      </w:r>
      <w:r w:rsidRPr="00A663DB">
        <w:rPr>
          <w:sz w:val="22"/>
          <w:szCs w:val="22"/>
        </w:rPr>
        <w:t xml:space="preserve">, the </w:t>
      </w:r>
      <w:r w:rsidRPr="00A663DB" w:rsidR="0092692D">
        <w:rPr>
          <w:sz w:val="22"/>
          <w:szCs w:val="22"/>
        </w:rPr>
        <w:t xml:space="preserve">U.S. </w:t>
      </w:r>
      <w:r w:rsidRPr="00A663DB">
        <w:rPr>
          <w:sz w:val="22"/>
          <w:szCs w:val="22"/>
        </w:rPr>
        <w:t xml:space="preserve">Department of Justice (DOJ), with the concurrence of the </w:t>
      </w:r>
      <w:r w:rsidRPr="00A663DB" w:rsidR="000D50EB">
        <w:rPr>
          <w:sz w:val="22"/>
          <w:szCs w:val="22"/>
        </w:rPr>
        <w:t xml:space="preserve">U.S. </w:t>
      </w:r>
      <w:r w:rsidRPr="00A663DB">
        <w:rPr>
          <w:sz w:val="22"/>
          <w:szCs w:val="22"/>
        </w:rPr>
        <w:t xml:space="preserve">Department of Homeland Security and the </w:t>
      </w:r>
      <w:r w:rsidRPr="00A663DB" w:rsidR="000D50EB">
        <w:rPr>
          <w:sz w:val="22"/>
          <w:szCs w:val="22"/>
        </w:rPr>
        <w:t xml:space="preserve">U.S. </w:t>
      </w:r>
      <w:r w:rsidRPr="00A663DB">
        <w:rPr>
          <w:sz w:val="22"/>
          <w:szCs w:val="22"/>
        </w:rPr>
        <w:t xml:space="preserve">Department of Defense (collectively, </w:t>
      </w:r>
      <w:r w:rsidRPr="00A663DB" w:rsidR="00412582">
        <w:rPr>
          <w:sz w:val="22"/>
          <w:szCs w:val="22"/>
        </w:rPr>
        <w:t>the A</w:t>
      </w:r>
      <w:r w:rsidRPr="00A663DB">
        <w:rPr>
          <w:sz w:val="22"/>
          <w:szCs w:val="22"/>
        </w:rPr>
        <w:t>gencies), filed a letter requesting that the Commission defer action on the Application while they reviewed potential national security, law enforcement, and public safety issues.</w:t>
      </w:r>
      <w:r>
        <w:rPr>
          <w:rStyle w:val="FootnoteReference"/>
          <w:color w:val="000000"/>
          <w:szCs w:val="22"/>
        </w:rPr>
        <w:footnoteReference w:id="8"/>
      </w:r>
      <w:r w:rsidRPr="00A663DB">
        <w:rPr>
          <w:sz w:val="22"/>
          <w:szCs w:val="22"/>
        </w:rPr>
        <w:t xml:space="preserve">  We deferred action in response to this request</w:t>
      </w:r>
      <w:r w:rsidRPr="00A663DB" w:rsidR="00563C1F">
        <w:rPr>
          <w:sz w:val="22"/>
          <w:szCs w:val="22"/>
        </w:rPr>
        <w:t xml:space="preserve"> from the Agencies</w:t>
      </w:r>
      <w:r w:rsidRPr="00A663DB">
        <w:rPr>
          <w:sz w:val="22"/>
          <w:szCs w:val="22"/>
        </w:rPr>
        <w:t xml:space="preserve">.  </w:t>
      </w:r>
      <w:r w:rsidRPr="00A663DB">
        <w:rPr>
          <w:color w:val="212121"/>
          <w:sz w:val="22"/>
          <w:szCs w:val="22"/>
        </w:rPr>
        <w:t xml:space="preserve">On </w:t>
      </w:r>
      <w:r w:rsidRPr="00A663DB">
        <w:rPr>
          <w:color w:val="212121"/>
          <w:sz w:val="22"/>
          <w:szCs w:val="22"/>
        </w:rPr>
        <w:t>June 30</w:t>
      </w:r>
      <w:r w:rsidRPr="00A663DB">
        <w:rPr>
          <w:color w:val="212121"/>
          <w:sz w:val="22"/>
          <w:szCs w:val="22"/>
        </w:rPr>
        <w:t>, 2020, DOJ submitted a Petition to Adopt Conditions to Authorizations and Licenses (DOJ Petition).</w:t>
      </w:r>
      <w:r>
        <w:rPr>
          <w:rStyle w:val="FootnoteReference"/>
          <w:szCs w:val="22"/>
        </w:rPr>
        <w:footnoteReference w:id="9"/>
      </w:r>
      <w:r w:rsidRPr="00A663DB">
        <w:rPr>
          <w:color w:val="212121"/>
          <w:sz w:val="22"/>
          <w:szCs w:val="22"/>
        </w:rPr>
        <w:t>  In its petition, DOJ advises the Commission that it has no objection to the Commission approving the Application</w:t>
      </w:r>
      <w:r w:rsidRPr="00A663DB" w:rsidR="00F96438">
        <w:rPr>
          <w:color w:val="212121"/>
          <w:sz w:val="22"/>
          <w:szCs w:val="22"/>
        </w:rPr>
        <w:t>,</w:t>
      </w:r>
      <w:r w:rsidRPr="00A663DB">
        <w:rPr>
          <w:color w:val="212121"/>
          <w:sz w:val="22"/>
          <w:szCs w:val="22"/>
        </w:rPr>
        <w:t xml:space="preserve"> </w:t>
      </w:r>
      <w:r w:rsidRPr="00A663DB" w:rsidR="000009A3">
        <w:rPr>
          <w:color w:val="212121"/>
          <w:sz w:val="22"/>
          <w:szCs w:val="22"/>
        </w:rPr>
        <w:t>“</w:t>
      </w:r>
      <w:r w:rsidRPr="00A663DB">
        <w:rPr>
          <w:sz w:val="22"/>
          <w:szCs w:val="22"/>
        </w:rPr>
        <w:t>provided that the Commission conditions its approval on the assurances of LogMeIn, Inc. (</w:t>
      </w:r>
      <w:r w:rsidRPr="00A663DB" w:rsidR="00D53ADF">
        <w:rPr>
          <w:sz w:val="22"/>
          <w:szCs w:val="22"/>
        </w:rPr>
        <w:t>‘</w:t>
      </w:r>
      <w:r w:rsidRPr="00A663DB">
        <w:rPr>
          <w:sz w:val="22"/>
          <w:szCs w:val="22"/>
        </w:rPr>
        <w:t>LogMeIn</w:t>
      </w:r>
      <w:r w:rsidRPr="00A663DB" w:rsidR="00D53ADF">
        <w:rPr>
          <w:sz w:val="22"/>
          <w:szCs w:val="22"/>
        </w:rPr>
        <w:t>’</w:t>
      </w:r>
      <w:r w:rsidRPr="00A663DB">
        <w:rPr>
          <w:sz w:val="22"/>
          <w:szCs w:val="22"/>
        </w:rPr>
        <w:t>) and Logan Parent, LLC (</w:t>
      </w:r>
      <w:r w:rsidRPr="00A663DB" w:rsidR="00D53ADF">
        <w:rPr>
          <w:sz w:val="22"/>
          <w:szCs w:val="22"/>
        </w:rPr>
        <w:t>‘</w:t>
      </w:r>
      <w:r w:rsidRPr="00A663DB">
        <w:rPr>
          <w:sz w:val="22"/>
          <w:szCs w:val="22"/>
        </w:rPr>
        <w:t>Logan</w:t>
      </w:r>
      <w:r w:rsidRPr="00A663DB" w:rsidR="00D53ADF">
        <w:rPr>
          <w:sz w:val="22"/>
          <w:szCs w:val="22"/>
        </w:rPr>
        <w:t>’</w:t>
      </w:r>
      <w:r w:rsidRPr="00A663DB">
        <w:rPr>
          <w:sz w:val="22"/>
          <w:szCs w:val="22"/>
        </w:rPr>
        <w:t>), and to abide by the commitments and undertakings set forth in the June 30, 2020 Letter of Agreement (</w:t>
      </w:r>
      <w:r w:rsidRPr="00A663DB" w:rsidR="00D53ADF">
        <w:rPr>
          <w:sz w:val="22"/>
          <w:szCs w:val="22"/>
        </w:rPr>
        <w:t>‘</w:t>
      </w:r>
      <w:r w:rsidRPr="00A663DB">
        <w:rPr>
          <w:sz w:val="22"/>
          <w:szCs w:val="22"/>
        </w:rPr>
        <w:t>LOA</w:t>
      </w:r>
      <w:r w:rsidRPr="00A663DB" w:rsidR="00D53ADF">
        <w:rPr>
          <w:sz w:val="22"/>
          <w:szCs w:val="22"/>
        </w:rPr>
        <w:t>’</w:t>
      </w:r>
      <w:r w:rsidRPr="00A663DB">
        <w:rPr>
          <w:sz w:val="22"/>
          <w:szCs w:val="22"/>
        </w:rPr>
        <w:t>).”</w:t>
      </w:r>
      <w:r>
        <w:rPr>
          <w:rStyle w:val="FootnoteReference"/>
          <w:szCs w:val="22"/>
        </w:rPr>
        <w:footnoteReference w:id="10"/>
      </w:r>
    </w:p>
    <w:p w:rsidR="005614FA" w:rsidRPr="00A663DB" w:rsidP="005614F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5614FA" w:rsidRPr="0054650E" w:rsidP="005614FA">
      <w:pPr>
        <w:widowControl/>
        <w:ind w:firstLine="720"/>
        <w:rPr>
          <w:rFonts w:ascii="Arial" w:hAnsi="Arial" w:cs="Arial"/>
          <w:color w:val="212121"/>
          <w:szCs w:val="22"/>
        </w:rPr>
      </w:pPr>
      <w:r w:rsidRPr="0054650E">
        <w:rPr>
          <w:color w:val="000000"/>
          <w:szCs w:val="22"/>
        </w:rPr>
        <w:t xml:space="preserve">In accordance with the request of DOJ and in the absence of any objection from the </w:t>
      </w:r>
      <w:r w:rsidRPr="0054650E" w:rsidR="007D3761">
        <w:rPr>
          <w:color w:val="000000"/>
          <w:szCs w:val="22"/>
        </w:rPr>
        <w:t>Applicants</w:t>
      </w:r>
      <w:r w:rsidRPr="0054650E" w:rsidR="003E7B6C">
        <w:rPr>
          <w:color w:val="000000"/>
          <w:szCs w:val="22"/>
        </w:rPr>
        <w:t>,</w:t>
      </w:r>
      <w:r w:rsidRPr="0054650E" w:rsidR="007D3761">
        <w:rPr>
          <w:color w:val="000000"/>
          <w:szCs w:val="22"/>
        </w:rPr>
        <w:t xml:space="preserve"> </w:t>
      </w:r>
      <w:r w:rsidRPr="0054650E">
        <w:rPr>
          <w:color w:val="000000"/>
          <w:szCs w:val="22"/>
        </w:rPr>
        <w:t xml:space="preserve">we grant the DOJ </w:t>
      </w:r>
      <w:r w:rsidRPr="0054650E">
        <w:rPr>
          <w:color w:val="212121"/>
          <w:szCs w:val="22"/>
        </w:rPr>
        <w:t>Petition, and,</w:t>
      </w:r>
      <w:r w:rsidRPr="0054650E">
        <w:rPr>
          <w:color w:val="000000"/>
          <w:szCs w:val="22"/>
        </w:rPr>
        <w:t xml:space="preserve"> accordingly, we condition grant of the Application</w:t>
      </w:r>
      <w:r w:rsidRPr="0054650E">
        <w:rPr>
          <w:color w:val="212121"/>
          <w:szCs w:val="22"/>
        </w:rPr>
        <w:t xml:space="preserve"> on compliance by </w:t>
      </w:r>
      <w:r w:rsidR="0054650E">
        <w:rPr>
          <w:color w:val="212121"/>
          <w:szCs w:val="22"/>
        </w:rPr>
        <w:t>Applicants</w:t>
      </w:r>
      <w:r w:rsidRPr="0054650E">
        <w:rPr>
          <w:color w:val="212121"/>
          <w:szCs w:val="22"/>
        </w:rPr>
        <w:t xml:space="preserve"> with the commitments and undertaking</w:t>
      </w:r>
      <w:r w:rsidRPr="0054650E" w:rsidR="004903BF">
        <w:rPr>
          <w:color w:val="212121"/>
          <w:szCs w:val="22"/>
        </w:rPr>
        <w:t>s</w:t>
      </w:r>
      <w:r w:rsidRPr="0054650E">
        <w:rPr>
          <w:color w:val="212121"/>
          <w:szCs w:val="22"/>
        </w:rPr>
        <w:t xml:space="preserve"> set out in the </w:t>
      </w:r>
      <w:r w:rsidR="0054650E">
        <w:rPr>
          <w:color w:val="212121"/>
          <w:szCs w:val="22"/>
        </w:rPr>
        <w:t>LOA</w:t>
      </w:r>
      <w:r w:rsidRPr="0054650E">
        <w:rPr>
          <w:color w:val="212121"/>
          <w:szCs w:val="22"/>
        </w:rPr>
        <w:t>.</w:t>
      </w:r>
      <w:r>
        <w:rPr>
          <w:rStyle w:val="FootnoteReference"/>
          <w:szCs w:val="22"/>
        </w:rPr>
        <w:footnoteReference w:id="11"/>
      </w:r>
      <w:r w:rsidRPr="0054650E">
        <w:rPr>
          <w:color w:val="212121"/>
          <w:szCs w:val="22"/>
        </w:rPr>
        <w:t xml:space="preserve">  A failure to comply with and/or remain in compliance with any of the provisions of the LOA shall constitute a failure to meet a condition of th</w:t>
      </w:r>
      <w:r w:rsidRPr="0054650E" w:rsidR="003B366F">
        <w:rPr>
          <w:color w:val="212121"/>
          <w:szCs w:val="22"/>
        </w:rPr>
        <w:t>i</w:t>
      </w:r>
      <w:r w:rsidRPr="0054650E">
        <w:rPr>
          <w:color w:val="212121"/>
          <w:szCs w:val="22"/>
        </w:rPr>
        <w:t>s authorization and thus grounds for declaring the underlying authorizations and licenses terminated without further action on the part of the Commission.  Failure to meet a condition of th</w:t>
      </w:r>
      <w:r w:rsidRPr="0054650E" w:rsidR="007F5818">
        <w:rPr>
          <w:color w:val="212121"/>
          <w:szCs w:val="22"/>
        </w:rPr>
        <w:t>i</w:t>
      </w:r>
      <w:r w:rsidRPr="0054650E">
        <w:rPr>
          <w:color w:val="212121"/>
          <w:szCs w:val="22"/>
        </w:rPr>
        <w:t>s authorization may also result in monetary sanctions or other enforcement action by the Commission.</w:t>
      </w:r>
      <w:r w:rsidRPr="0054650E">
        <w:rPr>
          <w:rFonts w:ascii="Arial" w:hAnsi="Arial" w:cs="Arial"/>
          <w:color w:val="212121"/>
          <w:szCs w:val="22"/>
        </w:rPr>
        <w:t xml:space="preserve">  </w:t>
      </w:r>
    </w:p>
    <w:p w:rsidR="00A663DB" w:rsidP="005614FA">
      <w:pPr>
        <w:widowControl/>
        <w:autoSpaceDE w:val="0"/>
        <w:autoSpaceDN w:val="0"/>
        <w:adjustRightInd w:val="0"/>
        <w:rPr>
          <w:b/>
          <w:color w:val="212121"/>
          <w:szCs w:val="22"/>
          <w:u w:val="single"/>
        </w:rPr>
      </w:pPr>
    </w:p>
    <w:p w:rsidR="00A663DB" w:rsidP="005614FA">
      <w:pPr>
        <w:widowControl/>
        <w:autoSpaceDE w:val="0"/>
        <w:autoSpaceDN w:val="0"/>
        <w:adjustRightInd w:val="0"/>
        <w:rPr>
          <w:b/>
          <w:color w:val="212121"/>
          <w:szCs w:val="22"/>
          <w:u w:val="single"/>
        </w:rPr>
      </w:pPr>
    </w:p>
    <w:p w:rsidR="00A663DB" w:rsidP="005614FA">
      <w:pPr>
        <w:widowControl/>
        <w:autoSpaceDE w:val="0"/>
        <w:autoSpaceDN w:val="0"/>
        <w:adjustRightInd w:val="0"/>
        <w:rPr>
          <w:b/>
          <w:color w:val="212121"/>
          <w:szCs w:val="22"/>
          <w:u w:val="single"/>
        </w:rPr>
      </w:pPr>
    </w:p>
    <w:p w:rsidR="00A663DB" w:rsidP="005614FA">
      <w:pPr>
        <w:widowControl/>
        <w:autoSpaceDE w:val="0"/>
        <w:autoSpaceDN w:val="0"/>
        <w:adjustRightInd w:val="0"/>
        <w:rPr>
          <w:b/>
          <w:color w:val="212121"/>
          <w:szCs w:val="22"/>
          <w:u w:val="single"/>
        </w:rPr>
      </w:pPr>
    </w:p>
    <w:p w:rsidR="00A663DB" w:rsidP="005614FA">
      <w:pPr>
        <w:widowControl/>
        <w:autoSpaceDE w:val="0"/>
        <w:autoSpaceDN w:val="0"/>
        <w:adjustRightInd w:val="0"/>
        <w:rPr>
          <w:b/>
          <w:color w:val="212121"/>
          <w:szCs w:val="22"/>
          <w:u w:val="single"/>
        </w:rPr>
      </w:pPr>
    </w:p>
    <w:p w:rsidR="00A663DB" w:rsidP="005614FA">
      <w:pPr>
        <w:widowControl/>
        <w:autoSpaceDE w:val="0"/>
        <w:autoSpaceDN w:val="0"/>
        <w:adjustRightInd w:val="0"/>
        <w:rPr>
          <w:b/>
          <w:color w:val="212121"/>
          <w:szCs w:val="22"/>
          <w:u w:val="single"/>
        </w:rPr>
      </w:pPr>
    </w:p>
    <w:p w:rsidR="005614FA" w:rsidP="005614FA">
      <w:pPr>
        <w:widowControl/>
        <w:autoSpaceDE w:val="0"/>
        <w:autoSpaceDN w:val="0"/>
        <w:adjustRightInd w:val="0"/>
        <w:rPr>
          <w:b/>
          <w:color w:val="212121"/>
          <w:szCs w:val="22"/>
          <w:u w:val="single"/>
        </w:rPr>
      </w:pPr>
      <w:r w:rsidRPr="001330FF">
        <w:rPr>
          <w:b/>
          <w:color w:val="212121"/>
          <w:szCs w:val="22"/>
          <w:u w:val="single"/>
        </w:rPr>
        <w:t xml:space="preserve">Grant of </w:t>
      </w:r>
      <w:r>
        <w:rPr>
          <w:b/>
          <w:color w:val="212121"/>
          <w:szCs w:val="22"/>
          <w:u w:val="single"/>
        </w:rPr>
        <w:t>Application, Subject to Condition</w:t>
      </w:r>
    </w:p>
    <w:p w:rsidR="00A663DB" w:rsidP="00A663DB">
      <w:pPr>
        <w:widowControl/>
        <w:autoSpaceDE w:val="0"/>
        <w:autoSpaceDN w:val="0"/>
        <w:adjustRightInd w:val="0"/>
        <w:rPr>
          <w:b/>
          <w:color w:val="212121"/>
          <w:szCs w:val="22"/>
          <w:u w:val="single"/>
        </w:rPr>
      </w:pPr>
    </w:p>
    <w:p w:rsidR="005614FA" w:rsidP="00A663DB">
      <w:pPr>
        <w:widowControl/>
        <w:autoSpaceDE w:val="0"/>
        <w:autoSpaceDN w:val="0"/>
        <w:adjustRightInd w:val="0"/>
        <w:ind w:firstLine="720"/>
        <w:rPr>
          <w:color w:val="000000"/>
          <w:szCs w:val="22"/>
        </w:rPr>
      </w:pPr>
      <w:r w:rsidRPr="00DB54CA">
        <w:rPr>
          <w:color w:val="000000"/>
        </w:rPr>
        <w:t>We find, upon consideration of the record, that the proposed transfer will serve the public interest, convenience, and necessity</w:t>
      </w:r>
      <w:r w:rsidRPr="00F66D37">
        <w:t>.</w:t>
      </w:r>
      <w:r>
        <w:rPr>
          <w:rStyle w:val="FootnoteReference"/>
        </w:rPr>
        <w:footnoteReference w:id="12"/>
      </w:r>
      <w:r w:rsidRPr="00F66D37">
        <w:t xml:space="preserve">  </w:t>
      </w:r>
      <w:r>
        <w:rPr>
          <w:color w:val="000000"/>
          <w:szCs w:val="22"/>
        </w:rPr>
        <w:t>This grant of the Applicatio</w:t>
      </w:r>
      <w:r w:rsidR="00A40309">
        <w:rPr>
          <w:color w:val="000000"/>
          <w:szCs w:val="22"/>
        </w:rPr>
        <w:t>n</w:t>
      </w:r>
      <w:r>
        <w:rPr>
          <w:color w:val="000000"/>
          <w:szCs w:val="22"/>
        </w:rPr>
        <w:t xml:space="preserve"> and </w:t>
      </w:r>
      <w:r w:rsidR="003B06B7">
        <w:rPr>
          <w:color w:val="000000"/>
          <w:szCs w:val="22"/>
        </w:rPr>
        <w:t xml:space="preserve">the DOJ </w:t>
      </w:r>
      <w:r w:rsidR="00A663DB">
        <w:rPr>
          <w:color w:val="000000"/>
          <w:szCs w:val="22"/>
        </w:rPr>
        <w:t>Pet</w:t>
      </w:r>
      <w:r>
        <w:rPr>
          <w:color w:val="000000"/>
          <w:szCs w:val="22"/>
        </w:rPr>
        <w:t xml:space="preserve">ition is conditioned as set out in this Public Notice. </w:t>
      </w:r>
    </w:p>
    <w:p w:rsidR="00D13707" w:rsidRPr="00D12B3C" w:rsidP="005614FA">
      <w:pPr>
        <w:widowControl/>
        <w:autoSpaceDE w:val="0"/>
        <w:autoSpaceDN w:val="0"/>
        <w:adjustRightInd w:val="0"/>
        <w:ind w:firstLine="720"/>
        <w:rPr>
          <w:rFonts w:ascii="TimesNewRomanPSMT" w:hAnsi="TimesNewRomanPSMT" w:cs="TimesNewRomanPSMT"/>
          <w:snapToGrid/>
          <w:kern w:val="0"/>
          <w:szCs w:val="22"/>
        </w:rPr>
      </w:pPr>
    </w:p>
    <w:p w:rsidR="005614FA" w:rsidRPr="00D6557E" w:rsidP="00D6557E">
      <w:pPr>
        <w:pStyle w:val="ParaNum"/>
        <w:numPr>
          <w:ilvl w:val="0"/>
          <w:numId w:val="0"/>
        </w:numPr>
        <w:spacing w:after="0"/>
        <w:ind w:firstLine="720"/>
      </w:pPr>
      <w:r w:rsidRPr="008338CE">
        <w:t xml:space="preserve">Pursuant to sections 214 of the </w:t>
      </w:r>
      <w:r w:rsidR="000009A3">
        <w:t>Act</w:t>
      </w:r>
      <w:r w:rsidRPr="008338CE">
        <w:t xml:space="preserve">, 47 U.S.C. §§ 214 and sections </w:t>
      </w:r>
      <w:r w:rsidRPr="008338CE" w:rsidR="001975FA">
        <w:t>0.91, 0.291</w:t>
      </w:r>
      <w:r w:rsidRPr="008338CE" w:rsidR="00AB2109">
        <w:t xml:space="preserve">, </w:t>
      </w:r>
      <w:r w:rsidRPr="008338CE">
        <w:t>63.</w:t>
      </w:r>
      <w:r w:rsidRPr="008338CE" w:rsidR="00413423">
        <w:t>03</w:t>
      </w:r>
      <w:r w:rsidRPr="008338CE" w:rsidR="00AB2109">
        <w:t>, and 63.</w:t>
      </w:r>
      <w:r w:rsidRPr="008338CE">
        <w:t xml:space="preserve">04 of the Commission’s rules, 47 CFR §§ </w:t>
      </w:r>
      <w:r w:rsidRPr="008338CE" w:rsidR="00276C04">
        <w:t xml:space="preserve">0.91, 0.291, </w:t>
      </w:r>
      <w:r w:rsidRPr="008338CE">
        <w:t>63.</w:t>
      </w:r>
      <w:r w:rsidRPr="008338CE" w:rsidR="00EB2C44">
        <w:t>03</w:t>
      </w:r>
      <w:r w:rsidRPr="008338CE" w:rsidR="00276C04">
        <w:t xml:space="preserve">, and </w:t>
      </w:r>
      <w:r w:rsidRPr="008338CE" w:rsidR="00C01B19">
        <w:t>63.</w:t>
      </w:r>
      <w:r w:rsidRPr="008338CE">
        <w:t xml:space="preserve">04, we grant the Application and </w:t>
      </w:r>
      <w:r w:rsidR="00470E9D">
        <w:t xml:space="preserve">the </w:t>
      </w:r>
      <w:r w:rsidR="00536CF8">
        <w:t xml:space="preserve">DOJ </w:t>
      </w:r>
      <w:r w:rsidRPr="008338CE">
        <w:t xml:space="preserve">Petition </w:t>
      </w:r>
      <w:r w:rsidR="00A03FAC">
        <w:t xml:space="preserve">with the </w:t>
      </w:r>
      <w:r w:rsidRPr="008338CE">
        <w:t>condition</w:t>
      </w:r>
      <w:r w:rsidR="00861958">
        <w:t xml:space="preserve"> described above</w:t>
      </w:r>
      <w:r w:rsidRPr="008338CE">
        <w:t>.</w:t>
      </w:r>
      <w:r w:rsidRPr="00C7200D">
        <w:t xml:space="preserve"> </w:t>
      </w:r>
      <w:r w:rsidR="00D6557E">
        <w:t xml:space="preserve"> </w:t>
      </w: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5614FA" w:rsidP="005614FA">
      <w:pPr>
        <w:widowControl/>
        <w:ind w:firstLine="720"/>
        <w:rPr>
          <w:color w:val="000000"/>
        </w:rPr>
      </w:pPr>
    </w:p>
    <w:p w:rsidR="005614FA" w:rsidRPr="000505D6" w:rsidP="000505D6">
      <w:pPr>
        <w:widowControl/>
        <w:spacing w:after="240"/>
        <w:ind w:firstLine="720"/>
        <w:rPr>
          <w:szCs w:val="22"/>
        </w:rPr>
      </w:pPr>
      <w:r>
        <w:rPr>
          <w:szCs w:val="22"/>
        </w:rPr>
        <w:t xml:space="preserve">For further information, please contact </w:t>
      </w:r>
      <w:r w:rsidR="00C27859">
        <w:rPr>
          <w:szCs w:val="22"/>
        </w:rPr>
        <w:t>Gregory Kwan</w:t>
      </w:r>
      <w:r>
        <w:rPr>
          <w:szCs w:val="22"/>
        </w:rPr>
        <w:t>, Wireline Competition Bureau, (202) 418-1191</w:t>
      </w:r>
      <w:r w:rsidR="00EF5E4D">
        <w:rPr>
          <w:szCs w:val="22"/>
        </w:rPr>
        <w:t>.</w:t>
      </w:r>
    </w:p>
    <w:p w:rsidR="005614FA" w:rsidP="005614FA">
      <w:pPr>
        <w:rPr>
          <w:b/>
          <w:color w:val="000000"/>
          <w:szCs w:val="22"/>
        </w:rPr>
      </w:pPr>
    </w:p>
    <w:p w:rsidR="00930ECF" w:rsidRPr="00930ECF" w:rsidP="002B0207">
      <w:pPr>
        <w:jc w:val="center"/>
        <w:rPr>
          <w:sz w:val="24"/>
        </w:rPr>
      </w:pPr>
      <w:r w:rsidRPr="00D8472B">
        <w:rPr>
          <w:b/>
          <w:color w:val="000000"/>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EF4">
      <w:r>
        <w:separator/>
      </w:r>
    </w:p>
  </w:footnote>
  <w:footnote w:type="continuationSeparator" w:id="1">
    <w:p w:rsidR="005C7EF4">
      <w:pPr>
        <w:rPr>
          <w:sz w:val="20"/>
        </w:rPr>
      </w:pPr>
      <w:r>
        <w:rPr>
          <w:sz w:val="20"/>
        </w:rPr>
        <w:t xml:space="preserve">(Continued from previous page)  </w:t>
      </w:r>
      <w:r>
        <w:rPr>
          <w:sz w:val="20"/>
        </w:rPr>
        <w:separator/>
      </w:r>
    </w:p>
  </w:footnote>
  <w:footnote w:type="continuationNotice" w:id="2">
    <w:p w:rsidR="005C7EF4" w:rsidP="00910F12">
      <w:pPr>
        <w:jc w:val="right"/>
        <w:rPr>
          <w:sz w:val="20"/>
        </w:rPr>
      </w:pPr>
      <w:r>
        <w:rPr>
          <w:sz w:val="20"/>
        </w:rPr>
        <w:t>(continued….)</w:t>
      </w:r>
    </w:p>
  </w:footnote>
  <w:footnote w:id="3">
    <w:p w:rsidR="00D806AA" w:rsidRPr="00204D99" w:rsidP="00F11F96">
      <w:pPr>
        <w:pStyle w:val="FootnoteText"/>
      </w:pPr>
      <w:r w:rsidRPr="00A7404D">
        <w:rPr>
          <w:rStyle w:val="FootnoteReference"/>
          <w:sz w:val="20"/>
        </w:rPr>
        <w:footnoteRef/>
      </w:r>
      <w:r w:rsidRPr="00A7404D">
        <w:t xml:space="preserve"> </w:t>
      </w:r>
      <w:bookmarkStart w:id="2" w:name="_Hlk37410251"/>
      <w:r w:rsidRPr="00A7404D">
        <w:rPr>
          <w:i/>
        </w:rPr>
        <w:t>See</w:t>
      </w:r>
      <w:r w:rsidRPr="00A7404D">
        <w:t xml:space="preserve"> 47 U.S.C. § 214; 47 CFR §§ 63.03-04.  </w:t>
      </w:r>
      <w:bookmarkEnd w:id="2"/>
      <w:r w:rsidRPr="0004637E" w:rsidR="0004637E">
        <w:t>Domestic 214 Application of LogMeIn, Inc. and Logan Parent, LLC</w:t>
      </w:r>
      <w:r w:rsidR="00AD62E9">
        <w:t xml:space="preserve"> </w:t>
      </w:r>
      <w:r w:rsidR="00A663DB">
        <w:t>f</w:t>
      </w:r>
      <w:r w:rsidRPr="0004637E" w:rsidR="0004637E">
        <w:t xml:space="preserve">or Consent to Transfer Control, WC Docket No. 19-396 (filed Dec. 30, 2019) (Application). </w:t>
      </w:r>
      <w:r w:rsidR="005A4610">
        <w:t xml:space="preserve"> </w:t>
      </w:r>
      <w:r w:rsidRPr="00A7404D" w:rsidR="00016BF1">
        <w:t>A</w:t>
      </w:r>
      <w:r w:rsidR="00016BF1">
        <w:t xml:space="preserve"> grant</w:t>
      </w:r>
      <w:r w:rsidRPr="00A7404D" w:rsidR="00016BF1">
        <w:t xml:space="preserve"> o</w:t>
      </w:r>
      <w:r w:rsidR="00016BF1">
        <w:t>f</w:t>
      </w:r>
      <w:r w:rsidRPr="00A7404D" w:rsidR="00016BF1">
        <w:t xml:space="preserve"> th</w:t>
      </w:r>
      <w:r w:rsidR="00016BF1">
        <w:t>e</w:t>
      </w:r>
      <w:r w:rsidRPr="00A7404D" w:rsidR="00016BF1">
        <w:t xml:space="preserve"> domestic section 214 application is without prejudice to Commission action on other related, pending applications.  </w:t>
      </w:r>
    </w:p>
  </w:footnote>
  <w:footnote w:id="4">
    <w:p w:rsidR="005614FA" w:rsidP="001F1CB2">
      <w:pPr>
        <w:pStyle w:val="FootnoteText"/>
      </w:pPr>
      <w:r>
        <w:rPr>
          <w:rStyle w:val="FootnoteReference"/>
        </w:rPr>
        <w:footnoteRef/>
      </w:r>
      <w:r>
        <w:t xml:space="preserve"> </w:t>
      </w:r>
      <w:r w:rsidR="00A51758">
        <w:rPr>
          <w:i/>
        </w:rPr>
        <w:t>Domestic Section 214 Application</w:t>
      </w:r>
      <w:r w:rsidRPr="004928F5">
        <w:rPr>
          <w:i/>
        </w:rPr>
        <w:t xml:space="preserve"> Filed for the Transfer of Control of</w:t>
      </w:r>
      <w:r>
        <w:rPr>
          <w:i/>
        </w:rPr>
        <w:t xml:space="preserve"> </w:t>
      </w:r>
      <w:r w:rsidR="00C4665E">
        <w:rPr>
          <w:i/>
        </w:rPr>
        <w:t>LogMeIn, Inc. to Logan Parent, LLC</w:t>
      </w:r>
      <w:r>
        <w:t>, WC Docket No. 19-</w:t>
      </w:r>
      <w:r w:rsidR="00C4665E">
        <w:t>396</w:t>
      </w:r>
      <w:r>
        <w:t xml:space="preserve">, Public Notice, DA </w:t>
      </w:r>
      <w:r w:rsidR="00A51758">
        <w:t>20</w:t>
      </w:r>
      <w:r>
        <w:t>-</w:t>
      </w:r>
      <w:r w:rsidR="00C4665E">
        <w:t>78</w:t>
      </w:r>
      <w:r w:rsidRPr="008670A1">
        <w:t xml:space="preserve"> </w:t>
      </w:r>
      <w:r>
        <w:t>(WCB 20</w:t>
      </w:r>
      <w:r w:rsidR="00A51758">
        <w:t>20</w:t>
      </w:r>
      <w:r>
        <w:t xml:space="preserve">).     </w:t>
      </w:r>
    </w:p>
  </w:footnote>
  <w:footnote w:id="5">
    <w:p w:rsidR="0089722C">
      <w:pPr>
        <w:pStyle w:val="FootnoteText"/>
      </w:pPr>
      <w:r>
        <w:rPr>
          <w:rStyle w:val="FootnoteReference"/>
        </w:rPr>
        <w:footnoteRef/>
      </w:r>
      <w:r>
        <w:t xml:space="preserve"> Application at 2-4.</w:t>
      </w:r>
      <w:r w:rsidR="00EB08CE">
        <w:t xml:space="preserve">  </w:t>
      </w:r>
      <w:r w:rsidRPr="00EB08CE" w:rsidR="00EB08CE">
        <w:t>GetGo Communications, LLC wholly owns GetGo Communications Virginia LLC, a Virginia limited liability company that provides competitive telecommunications services in Virginia.</w:t>
      </w:r>
      <w:r w:rsidR="00EB08CE">
        <w:t xml:space="preserve">  </w:t>
      </w:r>
      <w:r w:rsidR="00EB08CE">
        <w:rPr>
          <w:i/>
          <w:iCs/>
        </w:rPr>
        <w:t xml:space="preserve">Id. </w:t>
      </w:r>
      <w:r w:rsidR="00EB08CE">
        <w:t>at 2-3.</w:t>
      </w:r>
    </w:p>
  </w:footnote>
  <w:footnote w:id="6">
    <w:p w:rsidR="00AE47E9">
      <w:pPr>
        <w:pStyle w:val="FootnoteText"/>
      </w:pPr>
      <w:r>
        <w:rPr>
          <w:rStyle w:val="FootnoteReference"/>
        </w:rPr>
        <w:footnoteRef/>
      </w:r>
      <w:r>
        <w:t xml:space="preserve"> </w:t>
      </w:r>
      <w:r w:rsidR="00885346">
        <w:rPr>
          <w:i/>
          <w:iCs/>
        </w:rPr>
        <w:t xml:space="preserve">Id. </w:t>
      </w:r>
      <w:r w:rsidR="0070486C">
        <w:t xml:space="preserve">at </w:t>
      </w:r>
      <w:r w:rsidR="00885346">
        <w:t>4</w:t>
      </w:r>
      <w:r w:rsidR="0070486C">
        <w:t xml:space="preserve">.  </w:t>
      </w:r>
      <w:r w:rsidRPr="0070486C" w:rsidR="0070486C">
        <w:t>The general partner for the FP V Funds is Francisco Partners GP V Management, LLC (FP V Management), also a Cayman entity which, in turn, is controlled by two U.S. citizens.</w:t>
      </w:r>
      <w:r w:rsidR="0070486C">
        <w:t xml:space="preserve">  Applicants provided a more detailed description of Logan Parent’s ownership in the Application.</w:t>
      </w:r>
      <w:r w:rsidR="00EB08CE">
        <w:t xml:space="preserve"> </w:t>
      </w:r>
      <w:r w:rsidR="0070486C">
        <w:t xml:space="preserve"> </w:t>
      </w:r>
      <w:r w:rsidR="00885346">
        <w:rPr>
          <w:i/>
          <w:iCs/>
        </w:rPr>
        <w:t>Id.</w:t>
      </w:r>
      <w:r w:rsidR="0070486C">
        <w:t xml:space="preserve"> at 11-16.</w:t>
      </w:r>
    </w:p>
  </w:footnote>
  <w:footnote w:id="7">
    <w:p w:rsidR="0070486C">
      <w:pPr>
        <w:pStyle w:val="FootnoteText"/>
      </w:pPr>
      <w:r>
        <w:rPr>
          <w:rStyle w:val="FootnoteReference"/>
        </w:rPr>
        <w:footnoteRef/>
      </w:r>
      <w:r>
        <w:t xml:space="preserve"> </w:t>
      </w:r>
      <w:r w:rsidR="00885346">
        <w:rPr>
          <w:i/>
          <w:iCs/>
        </w:rPr>
        <w:t xml:space="preserve">Id. </w:t>
      </w:r>
      <w:r w:rsidR="00885346">
        <w:t xml:space="preserve">at 5.  </w:t>
      </w:r>
      <w:r w:rsidRPr="0070486C">
        <w:t xml:space="preserve">The Elliott Funds’ voting interests in Logan Parent will ultimately be controlled by Elliott Advisors Holdings LLC, a </w:t>
      </w:r>
      <w:r w:rsidRPr="00EB08CE">
        <w:t>Delaware limited liability company which, in turn, is controlled by Paul Singer, a U.S, citizen.</w:t>
      </w:r>
      <w:r w:rsidRPr="00EB08CE" w:rsidR="00885346">
        <w:t xml:space="preserve">  </w:t>
      </w:r>
      <w:r w:rsidRPr="00EB08CE" w:rsidR="00885346">
        <w:rPr>
          <w:i/>
          <w:iCs/>
        </w:rPr>
        <w:t>Id.</w:t>
      </w:r>
      <w:r w:rsidRPr="00EB08CE">
        <w:t xml:space="preserve"> </w:t>
      </w:r>
      <w:r w:rsidRPr="00EB08CE" w:rsidR="00EB08CE">
        <w:t>Applicants state that neither Logan Parent, nor any of its owners, hold an attributable interest in any domestic provider of telecommunications services.</w:t>
      </w:r>
      <w:r w:rsidRPr="00EB08CE" w:rsidR="00EB08CE">
        <w:rPr>
          <w:i/>
          <w:iCs/>
        </w:rPr>
        <w:t xml:space="preserve">  Id. </w:t>
      </w:r>
      <w:r w:rsidRPr="00EB08CE" w:rsidR="00EB08CE">
        <w:t>at 7.</w:t>
      </w:r>
    </w:p>
  </w:footnote>
  <w:footnote w:id="8">
    <w:p w:rsidR="005614FA" w:rsidRPr="000009A3" w:rsidP="001F1CB2">
      <w:pPr>
        <w:pStyle w:val="FootnoteText"/>
        <w:rPr>
          <w:color w:val="000000"/>
        </w:rPr>
      </w:pPr>
      <w:r>
        <w:rPr>
          <w:rStyle w:val="FootnoteReference"/>
          <w:color w:val="000000"/>
        </w:rPr>
        <w:footnoteRef/>
      </w:r>
      <w:r>
        <w:rPr>
          <w:color w:val="000000"/>
        </w:rPr>
        <w:t xml:space="preserve">  Letter from </w:t>
      </w:r>
      <w:r w:rsidR="0052214B">
        <w:rPr>
          <w:color w:val="000000"/>
        </w:rPr>
        <w:t>Christopher R. Clements</w:t>
      </w:r>
      <w:r>
        <w:rPr>
          <w:color w:val="000000"/>
        </w:rPr>
        <w:t xml:space="preserve">, U.S. Department of Justice, to Marlene H. Dortch, FCC, WC Docket No. </w:t>
      </w:r>
      <w:bookmarkStart w:id="3" w:name="_Hlk22153464"/>
      <w:r>
        <w:rPr>
          <w:color w:val="000000"/>
        </w:rPr>
        <w:t>19-</w:t>
      </w:r>
      <w:r w:rsidR="00595381">
        <w:rPr>
          <w:color w:val="000000"/>
        </w:rPr>
        <w:t>39</w:t>
      </w:r>
      <w:bookmarkEnd w:id="3"/>
      <w:r w:rsidR="004A660E">
        <w:rPr>
          <w:color w:val="000000"/>
        </w:rPr>
        <w:t>6</w:t>
      </w:r>
      <w:r w:rsidR="00577BFF">
        <w:rPr>
          <w:color w:val="000000"/>
        </w:rPr>
        <w:t xml:space="preserve">; </w:t>
      </w:r>
      <w:bookmarkStart w:id="4" w:name="_Hlk45098165"/>
      <w:r w:rsidR="004A660E">
        <w:t>ITC-T/C-20191230-00203; ITC-T/C-20191230-00204; ITC-T/C-20191230-00205; and ITC-T/C-20191230-00206</w:t>
      </w:r>
      <w:r w:rsidRPr="00620DBB">
        <w:rPr>
          <w:color w:val="000000"/>
        </w:rPr>
        <w:t xml:space="preserve"> </w:t>
      </w:r>
      <w:bookmarkEnd w:id="4"/>
      <w:r>
        <w:rPr>
          <w:color w:val="000000"/>
        </w:rPr>
        <w:t>(</w:t>
      </w:r>
      <w:r w:rsidR="0052214B">
        <w:rPr>
          <w:color w:val="000000"/>
        </w:rPr>
        <w:t>filed Jan. 21, 2020</w:t>
      </w:r>
      <w:r w:rsidRPr="000009A3">
        <w:rPr>
          <w:color w:val="000000"/>
        </w:rPr>
        <w:t>)</w:t>
      </w:r>
      <w:r w:rsidRPr="000009A3" w:rsidR="00413423">
        <w:rPr>
          <w:color w:val="000000"/>
        </w:rPr>
        <w:t xml:space="preserve"> (</w:t>
      </w:r>
      <w:r w:rsidRPr="000009A3" w:rsidR="00413423">
        <w:t>on file in WC Docket No. 19-</w:t>
      </w:r>
      <w:r w:rsidRPr="000009A3" w:rsidR="00DC44DE">
        <w:t>39</w:t>
      </w:r>
      <w:r w:rsidR="00044FC2">
        <w:t>6</w:t>
      </w:r>
      <w:r w:rsidRPr="000009A3" w:rsidR="00413423">
        <w:t>)</w:t>
      </w:r>
      <w:r w:rsidRPr="000009A3">
        <w:rPr>
          <w:color w:val="000000"/>
        </w:rPr>
        <w:t>.</w:t>
      </w:r>
    </w:p>
  </w:footnote>
  <w:footnote w:id="9">
    <w:p w:rsidR="000009A3" w:rsidRPr="000009A3" w:rsidP="000009A3">
      <w:pPr>
        <w:pStyle w:val="FootnoteText"/>
      </w:pPr>
      <w:r w:rsidRPr="000009A3">
        <w:rPr>
          <w:rStyle w:val="FootnoteReference"/>
          <w:sz w:val="20"/>
        </w:rPr>
        <w:footnoteRef/>
      </w:r>
      <w:r w:rsidRPr="000009A3">
        <w:t xml:space="preserve"> </w:t>
      </w:r>
      <w:r w:rsidRPr="000009A3">
        <w:rPr>
          <w:color w:val="000000"/>
        </w:rPr>
        <w:t>Petition to Adopt Conditions to Authorizations and Licenses,</w:t>
      </w:r>
      <w:r w:rsidRPr="000009A3">
        <w:rPr>
          <w:b/>
          <w:bCs/>
        </w:rPr>
        <w:t xml:space="preserve"> </w:t>
      </w:r>
      <w:bookmarkStart w:id="5" w:name="_Hlk45098583"/>
      <w:r w:rsidRPr="000009A3">
        <w:rPr>
          <w:color w:val="000000"/>
        </w:rPr>
        <w:t>WC Docket No. 19-</w:t>
      </w:r>
      <w:r w:rsidRPr="000009A3" w:rsidR="00A92F17">
        <w:rPr>
          <w:color w:val="000000"/>
        </w:rPr>
        <w:t>39</w:t>
      </w:r>
      <w:r w:rsidR="00044FC2">
        <w:rPr>
          <w:color w:val="000000"/>
        </w:rPr>
        <w:t xml:space="preserve">6; </w:t>
      </w:r>
      <w:r w:rsidR="00044FC2">
        <w:t>ITC-T/C-20191230-00203; ITC-T/C-20191230-00204; ITC-T/C-20191230-00205; and ITC-T/C-20191230-00206</w:t>
      </w:r>
      <w:r w:rsidRPr="00620DBB" w:rsidR="00044FC2">
        <w:rPr>
          <w:color w:val="000000"/>
        </w:rPr>
        <w:t xml:space="preserve"> </w:t>
      </w:r>
      <w:bookmarkEnd w:id="5"/>
      <w:r w:rsidRPr="000009A3">
        <w:rPr>
          <w:color w:val="000000"/>
        </w:rPr>
        <w:t>(filed</w:t>
      </w:r>
      <w:r w:rsidR="00044FC2">
        <w:rPr>
          <w:color w:val="000000"/>
        </w:rPr>
        <w:t xml:space="preserve"> June 30</w:t>
      </w:r>
      <w:r w:rsidRPr="000009A3">
        <w:rPr>
          <w:color w:val="000000"/>
        </w:rPr>
        <w:t>, 2020) (DOJ Petition)</w:t>
      </w:r>
      <w:r w:rsidRPr="000009A3" w:rsidR="00413423">
        <w:rPr>
          <w:color w:val="000000"/>
        </w:rPr>
        <w:t xml:space="preserve"> (</w:t>
      </w:r>
      <w:r w:rsidRPr="000009A3" w:rsidR="00413423">
        <w:t>on file in WC Docket No. 19-</w:t>
      </w:r>
      <w:r w:rsidRPr="000009A3" w:rsidR="00725674">
        <w:t>39</w:t>
      </w:r>
      <w:r w:rsidR="00684738">
        <w:t>6</w:t>
      </w:r>
      <w:r w:rsidRPr="000009A3" w:rsidR="00413423">
        <w:t>)</w:t>
      </w:r>
      <w:r w:rsidRPr="000009A3">
        <w:rPr>
          <w:color w:val="000000"/>
        </w:rPr>
        <w:t>.</w:t>
      </w:r>
    </w:p>
  </w:footnote>
  <w:footnote w:id="10">
    <w:p w:rsidR="00044FC2" w:rsidRPr="00044FC2">
      <w:pPr>
        <w:pStyle w:val="FootnoteText"/>
      </w:pPr>
      <w:r>
        <w:rPr>
          <w:rStyle w:val="FootnoteReference"/>
        </w:rPr>
        <w:footnoteRef/>
      </w:r>
      <w:r>
        <w:t xml:space="preserve"> </w:t>
      </w:r>
      <w:r w:rsidR="00C27859">
        <w:t>DOJ Petition</w:t>
      </w:r>
      <w:r>
        <w:rPr>
          <w:i/>
          <w:iCs/>
        </w:rPr>
        <w:t xml:space="preserve"> </w:t>
      </w:r>
      <w:r>
        <w:t>at 1</w:t>
      </w:r>
      <w:r w:rsidR="00C27859">
        <w:t xml:space="preserve">; </w:t>
      </w:r>
      <w:r w:rsidR="00C27859">
        <w:rPr>
          <w:i/>
          <w:iCs/>
        </w:rPr>
        <w:t xml:space="preserve">see also </w:t>
      </w:r>
      <w:r>
        <w:t>Letter from Andrew Kowal, President, Logan Parent, LLC</w:t>
      </w:r>
      <w:r w:rsidR="00A663DB">
        <w:t>,</w:t>
      </w:r>
      <w:r>
        <w:t xml:space="preserve"> to the Assistant Attorney General for National Security, United States Department of Justice, </w:t>
      </w:r>
      <w:r w:rsidRPr="00044FC2">
        <w:t>WC Docket No. 19-396; ITC-T/C-20191230-00203; ITC-T/C-20191230-00204; ITC-T/C-20191230-00205; and ITC-T/C-20191230-00206</w:t>
      </w:r>
      <w:r w:rsidR="006B5D0A">
        <w:t xml:space="preserve"> (dated June 30, 2020) (on file in WC Docket No. 19-396)</w:t>
      </w:r>
      <w:r w:rsidR="006B5D0A">
        <w:rPr>
          <w:color w:val="000000"/>
        </w:rPr>
        <w:t>.</w:t>
      </w:r>
      <w:r w:rsidRPr="008670A1" w:rsidR="006B5D0A">
        <w:rPr>
          <w:color w:val="000000"/>
          <w:highlight w:val="yellow"/>
        </w:rPr>
        <w:t xml:space="preserve">  </w:t>
      </w:r>
    </w:p>
  </w:footnote>
  <w:footnote w:id="11">
    <w:p w:rsidR="005614FA" w:rsidRPr="00EE0028" w:rsidP="001F1CB2">
      <w:pPr>
        <w:widowControl/>
        <w:autoSpaceDE w:val="0"/>
        <w:autoSpaceDN w:val="0"/>
        <w:adjustRightInd w:val="0"/>
        <w:spacing w:after="120"/>
      </w:pPr>
      <w:r>
        <w:rPr>
          <w:rStyle w:val="FootnoteReference"/>
        </w:rPr>
        <w:footnoteRef/>
      </w:r>
      <w:r>
        <w:t xml:space="preserve"> </w:t>
      </w:r>
      <w:r w:rsidRPr="00C27859">
        <w:rPr>
          <w:i/>
          <w:iCs/>
          <w:snapToGrid/>
          <w:kern w:val="0"/>
          <w:sz w:val="20"/>
        </w:rPr>
        <w:t>Applications</w:t>
      </w:r>
      <w:r>
        <w:rPr>
          <w:rFonts w:ascii="TimesNewRomanPS-ItalicMT" w:hAnsi="TimesNewRomanPS-ItalicMT" w:cs="TimesNewRomanPS-ItalicMT"/>
          <w:i/>
          <w:iCs/>
          <w:snapToGrid/>
          <w:kern w:val="0"/>
          <w:sz w:val="20"/>
        </w:rPr>
        <w:t xml:space="preserve"> of T-Mobile US, Inc. and Sprint Corporation for Consent to Transfer Control of Licenses and Authorizations, et al.</w:t>
      </w:r>
      <w:r>
        <w:rPr>
          <w:rFonts w:ascii="TimesNewRomanPSMT" w:hAnsi="TimesNewRomanPSMT" w:cs="TimesNewRomanPSMT"/>
          <w:snapToGrid/>
          <w:kern w:val="0"/>
          <w:sz w:val="20"/>
        </w:rPr>
        <w:t>, WT Docket 18-197, Memorandum Opinion and Order, Declaratory Ruling, and Order of Proposed Modification, 34 FCC Rcd 10578, 10732-33, para. 349</w:t>
      </w:r>
      <w:r w:rsidR="00E72298">
        <w:rPr>
          <w:rFonts w:ascii="TimesNewRomanPSMT" w:hAnsi="TimesNewRomanPSMT" w:cs="TimesNewRomanPSMT"/>
          <w:snapToGrid/>
          <w:kern w:val="0"/>
          <w:sz w:val="20"/>
        </w:rPr>
        <w:t xml:space="preserve"> (2019</w:t>
      </w:r>
      <w:r w:rsidR="00E72298">
        <w:rPr>
          <w:rFonts w:ascii="TimesNewRomanPSMT" w:hAnsi="TimesNewRomanPSMT" w:cs="TimesNewRomanPSMT"/>
          <w:snapToGrid/>
          <w:kern w:val="0"/>
          <w:sz w:val="20"/>
        </w:rPr>
        <w:t>)</w:t>
      </w:r>
      <w:r w:rsidR="000009A3">
        <w:rPr>
          <w:rFonts w:ascii="TimesNewRomanPSMT" w:hAnsi="TimesNewRomanPSMT" w:cs="TimesNewRomanPSMT"/>
          <w:snapToGrid/>
          <w:kern w:val="0"/>
          <w:sz w:val="20"/>
        </w:rPr>
        <w:t xml:space="preserve">; </w:t>
      </w:r>
      <w:r>
        <w:rPr>
          <w:color w:val="000000"/>
        </w:rPr>
        <w:t xml:space="preserve"> </w:t>
      </w:r>
      <w:r w:rsidR="000009A3">
        <w:rPr>
          <w:rFonts w:ascii="TimesNewRomanPS-ItalicMT" w:hAnsi="TimesNewRomanPS-ItalicMT" w:cs="TimesNewRomanPS-ItalicMT"/>
          <w:i/>
          <w:iCs/>
          <w:snapToGrid/>
          <w:kern w:val="0"/>
          <w:sz w:val="20"/>
        </w:rPr>
        <w:t>Rules</w:t>
      </w:r>
      <w:r w:rsidR="000009A3">
        <w:rPr>
          <w:rFonts w:ascii="TimesNewRomanPS-ItalicMT" w:hAnsi="TimesNewRomanPS-ItalicMT" w:cs="TimesNewRomanPS-ItalicMT"/>
          <w:i/>
          <w:iCs/>
          <w:snapToGrid/>
          <w:kern w:val="0"/>
          <w:sz w:val="20"/>
        </w:rPr>
        <w:t xml:space="preserve"> and Policies on Foreign Participation in the U.S. Telecommunications Market; Market Entry and Regulation of Foreign-Affiliated Entities</w:t>
      </w:r>
      <w:r w:rsidR="000009A3">
        <w:rPr>
          <w:rFonts w:ascii="TimesNewRomanPSMT" w:hAnsi="TimesNewRomanPSMT" w:cs="TimesNewRomanPSMT"/>
          <w:snapToGrid/>
          <w:kern w:val="0"/>
          <w:sz w:val="20"/>
        </w:rPr>
        <w:t>, Report and Order and Order on Reconsideration, 12 FCC Rcd 23891, 23918-21, paras. 59-66 (1997) (</w:t>
      </w:r>
      <w:r w:rsidR="000009A3">
        <w:rPr>
          <w:rFonts w:ascii="TimesNewRomanPS-ItalicMT" w:hAnsi="TimesNewRomanPS-ItalicMT" w:cs="TimesNewRomanPS-ItalicMT"/>
          <w:i/>
          <w:iCs/>
          <w:snapToGrid/>
          <w:kern w:val="0"/>
          <w:sz w:val="20"/>
        </w:rPr>
        <w:t>Foreign Participation Order</w:t>
      </w:r>
      <w:r w:rsidR="000009A3">
        <w:rPr>
          <w:rFonts w:ascii="TimesNewRomanPSMT" w:hAnsi="TimesNewRomanPSMT" w:cs="TimesNewRomanPSMT"/>
          <w:snapToGrid/>
          <w:kern w:val="0"/>
          <w:sz w:val="20"/>
        </w:rPr>
        <w:t xml:space="preserve">), </w:t>
      </w:r>
      <w:r w:rsidR="000009A3">
        <w:rPr>
          <w:rFonts w:ascii="TimesNewRomanPS-ItalicMT" w:hAnsi="TimesNewRomanPS-ItalicMT" w:cs="TimesNewRomanPS-ItalicMT"/>
          <w:i/>
          <w:iCs/>
          <w:snapToGrid/>
          <w:kern w:val="0"/>
          <w:sz w:val="20"/>
        </w:rPr>
        <w:t>recon. denied</w:t>
      </w:r>
      <w:r w:rsidR="000009A3">
        <w:rPr>
          <w:rFonts w:ascii="TimesNewRomanPSMT" w:hAnsi="TimesNewRomanPSMT" w:cs="TimesNewRomanPSMT"/>
          <w:snapToGrid/>
          <w:kern w:val="0"/>
          <w:sz w:val="20"/>
        </w:rPr>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000009A3">
        <w:rPr>
          <w:color w:val="000000"/>
        </w:rPr>
        <w:t xml:space="preserve">.  </w:t>
      </w:r>
      <w:r>
        <w:rPr>
          <w:color w:val="000000"/>
        </w:rPr>
        <w:t xml:space="preserve"> </w:t>
      </w:r>
    </w:p>
  </w:footnote>
  <w:footnote w:id="12">
    <w:p w:rsidR="00353A57">
      <w:pPr>
        <w:pStyle w:val="FootnoteText"/>
      </w:pPr>
      <w:r>
        <w:rPr>
          <w:rStyle w:val="FootnoteReference"/>
        </w:rPr>
        <w:footnoteRef/>
      </w:r>
      <w:r>
        <w:t xml:space="preserve"> </w:t>
      </w:r>
      <w:r w:rsidRPr="00A7404D" w:rsidR="00377C00">
        <w:rPr>
          <w:i/>
        </w:rPr>
        <w:t>See</w:t>
      </w:r>
      <w:r w:rsidRPr="00A7404D" w:rsidR="00377C00">
        <w:t xml:space="preserve"> 47 U.S.C. § 214</w:t>
      </w:r>
      <w:r w:rsidR="00E70C9B">
        <w:t>(a)</w:t>
      </w:r>
      <w:r w:rsidRPr="00A7404D" w:rsidR="00377C00">
        <w:t xml:space="preserve">; 47 CFR § 63.03.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75796D0F" w:rsidR="00C31891">
      <w:rPr>
        <w:rFonts w:ascii="Arial" w:hAnsi="Arial" w:cs="Arial"/>
        <w:b/>
        <w:bCs/>
        <w:sz w:val="96"/>
        <w:szCs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09A3"/>
    <w:rsid w:val="000072CE"/>
    <w:rsid w:val="00013A8B"/>
    <w:rsid w:val="00016BF1"/>
    <w:rsid w:val="00021252"/>
    <w:rsid w:val="00021445"/>
    <w:rsid w:val="00023E9D"/>
    <w:rsid w:val="000326B7"/>
    <w:rsid w:val="00036039"/>
    <w:rsid w:val="00037F90"/>
    <w:rsid w:val="00044FC2"/>
    <w:rsid w:val="0004637E"/>
    <w:rsid w:val="000505D6"/>
    <w:rsid w:val="000654FE"/>
    <w:rsid w:val="0007304F"/>
    <w:rsid w:val="000875BF"/>
    <w:rsid w:val="00090879"/>
    <w:rsid w:val="00096D8C"/>
    <w:rsid w:val="000A719C"/>
    <w:rsid w:val="000B206F"/>
    <w:rsid w:val="000C0B65"/>
    <w:rsid w:val="000D50EB"/>
    <w:rsid w:val="000E3D42"/>
    <w:rsid w:val="000E5884"/>
    <w:rsid w:val="000E6601"/>
    <w:rsid w:val="000F248A"/>
    <w:rsid w:val="000F70F5"/>
    <w:rsid w:val="000F7336"/>
    <w:rsid w:val="000F7AFB"/>
    <w:rsid w:val="00114C73"/>
    <w:rsid w:val="00122BD5"/>
    <w:rsid w:val="001330FF"/>
    <w:rsid w:val="001415BA"/>
    <w:rsid w:val="001539F3"/>
    <w:rsid w:val="001541A8"/>
    <w:rsid w:val="00154EB8"/>
    <w:rsid w:val="00164FFA"/>
    <w:rsid w:val="00181174"/>
    <w:rsid w:val="001975FA"/>
    <w:rsid w:val="001979D9"/>
    <w:rsid w:val="001A0E9C"/>
    <w:rsid w:val="001A6361"/>
    <w:rsid w:val="001B158F"/>
    <w:rsid w:val="001D6BCF"/>
    <w:rsid w:val="001E01CA"/>
    <w:rsid w:val="001F1CB2"/>
    <w:rsid w:val="001F1FF1"/>
    <w:rsid w:val="001F3582"/>
    <w:rsid w:val="00204D99"/>
    <w:rsid w:val="002060D9"/>
    <w:rsid w:val="00206137"/>
    <w:rsid w:val="002078DE"/>
    <w:rsid w:val="00215AF2"/>
    <w:rsid w:val="0021655B"/>
    <w:rsid w:val="00224DB8"/>
    <w:rsid w:val="0022664E"/>
    <w:rsid w:val="00226822"/>
    <w:rsid w:val="00227E61"/>
    <w:rsid w:val="002334CD"/>
    <w:rsid w:val="00240A9F"/>
    <w:rsid w:val="00242F44"/>
    <w:rsid w:val="00245087"/>
    <w:rsid w:val="002456F6"/>
    <w:rsid w:val="0025072B"/>
    <w:rsid w:val="0025082C"/>
    <w:rsid w:val="00254E19"/>
    <w:rsid w:val="002572DC"/>
    <w:rsid w:val="00260594"/>
    <w:rsid w:val="00264313"/>
    <w:rsid w:val="00276C04"/>
    <w:rsid w:val="00280975"/>
    <w:rsid w:val="00285017"/>
    <w:rsid w:val="002A03DD"/>
    <w:rsid w:val="002A2D2E"/>
    <w:rsid w:val="002A6D6A"/>
    <w:rsid w:val="002B0207"/>
    <w:rsid w:val="002C1AF9"/>
    <w:rsid w:val="002D447E"/>
    <w:rsid w:val="002D62DD"/>
    <w:rsid w:val="002D7A48"/>
    <w:rsid w:val="002F2339"/>
    <w:rsid w:val="002F7221"/>
    <w:rsid w:val="00307030"/>
    <w:rsid w:val="0031328E"/>
    <w:rsid w:val="0032799C"/>
    <w:rsid w:val="00327A84"/>
    <w:rsid w:val="00343749"/>
    <w:rsid w:val="00353A57"/>
    <w:rsid w:val="00357D50"/>
    <w:rsid w:val="003602FC"/>
    <w:rsid w:val="00377C00"/>
    <w:rsid w:val="00381FE8"/>
    <w:rsid w:val="003925DC"/>
    <w:rsid w:val="00395F38"/>
    <w:rsid w:val="0039668F"/>
    <w:rsid w:val="003A3FC6"/>
    <w:rsid w:val="003A49D1"/>
    <w:rsid w:val="003B0550"/>
    <w:rsid w:val="003B06B7"/>
    <w:rsid w:val="003B28FF"/>
    <w:rsid w:val="003B366F"/>
    <w:rsid w:val="003B694F"/>
    <w:rsid w:val="003C2436"/>
    <w:rsid w:val="003C47B1"/>
    <w:rsid w:val="003C589A"/>
    <w:rsid w:val="003E7B6C"/>
    <w:rsid w:val="003F171C"/>
    <w:rsid w:val="00402A03"/>
    <w:rsid w:val="00403231"/>
    <w:rsid w:val="00412582"/>
    <w:rsid w:val="00412FC5"/>
    <w:rsid w:val="00413423"/>
    <w:rsid w:val="00422276"/>
    <w:rsid w:val="004242F1"/>
    <w:rsid w:val="004243FE"/>
    <w:rsid w:val="00445A00"/>
    <w:rsid w:val="00451B0F"/>
    <w:rsid w:val="0046125F"/>
    <w:rsid w:val="00462520"/>
    <w:rsid w:val="00466B8E"/>
    <w:rsid w:val="0046783E"/>
    <w:rsid w:val="00470E9D"/>
    <w:rsid w:val="00487524"/>
    <w:rsid w:val="004876D1"/>
    <w:rsid w:val="004903BF"/>
    <w:rsid w:val="004928F5"/>
    <w:rsid w:val="004943CA"/>
    <w:rsid w:val="00496106"/>
    <w:rsid w:val="004A660E"/>
    <w:rsid w:val="004B091D"/>
    <w:rsid w:val="004C12D0"/>
    <w:rsid w:val="004C2EE3"/>
    <w:rsid w:val="004C3FFB"/>
    <w:rsid w:val="004D22C3"/>
    <w:rsid w:val="004E4A22"/>
    <w:rsid w:val="004F4239"/>
    <w:rsid w:val="00511968"/>
    <w:rsid w:val="00516C98"/>
    <w:rsid w:val="0052214B"/>
    <w:rsid w:val="00525F91"/>
    <w:rsid w:val="00536CF8"/>
    <w:rsid w:val="0054650E"/>
    <w:rsid w:val="00550354"/>
    <w:rsid w:val="0055614C"/>
    <w:rsid w:val="005614FA"/>
    <w:rsid w:val="00563C1F"/>
    <w:rsid w:val="00577322"/>
    <w:rsid w:val="00577BFF"/>
    <w:rsid w:val="00581C61"/>
    <w:rsid w:val="00595381"/>
    <w:rsid w:val="005A3062"/>
    <w:rsid w:val="005A4610"/>
    <w:rsid w:val="005C680A"/>
    <w:rsid w:val="005C7EF4"/>
    <w:rsid w:val="005D0403"/>
    <w:rsid w:val="005E5F6A"/>
    <w:rsid w:val="005E74A9"/>
    <w:rsid w:val="00607BA5"/>
    <w:rsid w:val="006126AF"/>
    <w:rsid w:val="00620DBB"/>
    <w:rsid w:val="00620F82"/>
    <w:rsid w:val="00621457"/>
    <w:rsid w:val="00626EB6"/>
    <w:rsid w:val="006275B0"/>
    <w:rsid w:val="00631B71"/>
    <w:rsid w:val="006353A3"/>
    <w:rsid w:val="00642E7B"/>
    <w:rsid w:val="00643878"/>
    <w:rsid w:val="00655D03"/>
    <w:rsid w:val="00664AB4"/>
    <w:rsid w:val="00683F84"/>
    <w:rsid w:val="00684738"/>
    <w:rsid w:val="006A6A81"/>
    <w:rsid w:val="006B5D0A"/>
    <w:rsid w:val="006B6F46"/>
    <w:rsid w:val="006C47FA"/>
    <w:rsid w:val="006D40DD"/>
    <w:rsid w:val="006D760F"/>
    <w:rsid w:val="006E26AF"/>
    <w:rsid w:val="006E57B3"/>
    <w:rsid w:val="006F1183"/>
    <w:rsid w:val="006F7393"/>
    <w:rsid w:val="00701094"/>
    <w:rsid w:val="0070224F"/>
    <w:rsid w:val="00703BB5"/>
    <w:rsid w:val="0070486C"/>
    <w:rsid w:val="007115F7"/>
    <w:rsid w:val="00725674"/>
    <w:rsid w:val="00726F80"/>
    <w:rsid w:val="007668C8"/>
    <w:rsid w:val="00780E7D"/>
    <w:rsid w:val="00785689"/>
    <w:rsid w:val="0079754B"/>
    <w:rsid w:val="007A1E6D"/>
    <w:rsid w:val="007B72F9"/>
    <w:rsid w:val="007C2228"/>
    <w:rsid w:val="007C4371"/>
    <w:rsid w:val="007C674D"/>
    <w:rsid w:val="007D3761"/>
    <w:rsid w:val="007D6054"/>
    <w:rsid w:val="007F0DBB"/>
    <w:rsid w:val="007F29ED"/>
    <w:rsid w:val="007F5818"/>
    <w:rsid w:val="00801FDC"/>
    <w:rsid w:val="008068FD"/>
    <w:rsid w:val="00822CE0"/>
    <w:rsid w:val="00825E7D"/>
    <w:rsid w:val="008275B8"/>
    <w:rsid w:val="0083155B"/>
    <w:rsid w:val="008338CE"/>
    <w:rsid w:val="00837C62"/>
    <w:rsid w:val="00841404"/>
    <w:rsid w:val="00841AB1"/>
    <w:rsid w:val="00845944"/>
    <w:rsid w:val="00851E64"/>
    <w:rsid w:val="0086068D"/>
    <w:rsid w:val="00861958"/>
    <w:rsid w:val="008670A1"/>
    <w:rsid w:val="00880549"/>
    <w:rsid w:val="00885346"/>
    <w:rsid w:val="00890537"/>
    <w:rsid w:val="008928B0"/>
    <w:rsid w:val="00892BEE"/>
    <w:rsid w:val="0089722C"/>
    <w:rsid w:val="008C22FD"/>
    <w:rsid w:val="008C2513"/>
    <w:rsid w:val="00910F12"/>
    <w:rsid w:val="0091539A"/>
    <w:rsid w:val="0091650F"/>
    <w:rsid w:val="00925ACF"/>
    <w:rsid w:val="00926397"/>
    <w:rsid w:val="00926503"/>
    <w:rsid w:val="0092692D"/>
    <w:rsid w:val="00926C1D"/>
    <w:rsid w:val="00930ECF"/>
    <w:rsid w:val="0093267F"/>
    <w:rsid w:val="00943407"/>
    <w:rsid w:val="00943B23"/>
    <w:rsid w:val="0095053C"/>
    <w:rsid w:val="009713DD"/>
    <w:rsid w:val="00976129"/>
    <w:rsid w:val="009801F8"/>
    <w:rsid w:val="009838BC"/>
    <w:rsid w:val="009A65B8"/>
    <w:rsid w:val="009A685A"/>
    <w:rsid w:val="009B3988"/>
    <w:rsid w:val="009B63B0"/>
    <w:rsid w:val="009C448A"/>
    <w:rsid w:val="009C73EF"/>
    <w:rsid w:val="009D36AB"/>
    <w:rsid w:val="009E0A80"/>
    <w:rsid w:val="009F1761"/>
    <w:rsid w:val="00A03FAC"/>
    <w:rsid w:val="00A06E7E"/>
    <w:rsid w:val="00A13DDC"/>
    <w:rsid w:val="00A164EA"/>
    <w:rsid w:val="00A351CE"/>
    <w:rsid w:val="00A40309"/>
    <w:rsid w:val="00A45F4F"/>
    <w:rsid w:val="00A51758"/>
    <w:rsid w:val="00A600A9"/>
    <w:rsid w:val="00A61E25"/>
    <w:rsid w:val="00A6263A"/>
    <w:rsid w:val="00A663DB"/>
    <w:rsid w:val="00A7404D"/>
    <w:rsid w:val="00A84BCC"/>
    <w:rsid w:val="00A866AC"/>
    <w:rsid w:val="00A92F17"/>
    <w:rsid w:val="00A950E2"/>
    <w:rsid w:val="00AA55B7"/>
    <w:rsid w:val="00AA5B9E"/>
    <w:rsid w:val="00AB2109"/>
    <w:rsid w:val="00AB2407"/>
    <w:rsid w:val="00AB53DF"/>
    <w:rsid w:val="00AB61ED"/>
    <w:rsid w:val="00AB7889"/>
    <w:rsid w:val="00AD50D4"/>
    <w:rsid w:val="00AD62E9"/>
    <w:rsid w:val="00AE47E9"/>
    <w:rsid w:val="00B07E5C"/>
    <w:rsid w:val="00B326E3"/>
    <w:rsid w:val="00B36901"/>
    <w:rsid w:val="00B43169"/>
    <w:rsid w:val="00B44339"/>
    <w:rsid w:val="00B47261"/>
    <w:rsid w:val="00B7124D"/>
    <w:rsid w:val="00B73C0C"/>
    <w:rsid w:val="00B74EB4"/>
    <w:rsid w:val="00B811F7"/>
    <w:rsid w:val="00B82285"/>
    <w:rsid w:val="00B84BD2"/>
    <w:rsid w:val="00B959E6"/>
    <w:rsid w:val="00BA1383"/>
    <w:rsid w:val="00BA5DC6"/>
    <w:rsid w:val="00BA6196"/>
    <w:rsid w:val="00BB4022"/>
    <w:rsid w:val="00BC6D8C"/>
    <w:rsid w:val="00BD1F31"/>
    <w:rsid w:val="00BD38DB"/>
    <w:rsid w:val="00C01B19"/>
    <w:rsid w:val="00C07140"/>
    <w:rsid w:val="00C14E8F"/>
    <w:rsid w:val="00C16AF2"/>
    <w:rsid w:val="00C24DD2"/>
    <w:rsid w:val="00C27859"/>
    <w:rsid w:val="00C31891"/>
    <w:rsid w:val="00C34006"/>
    <w:rsid w:val="00C35272"/>
    <w:rsid w:val="00C360F5"/>
    <w:rsid w:val="00C367FB"/>
    <w:rsid w:val="00C426B1"/>
    <w:rsid w:val="00C4665E"/>
    <w:rsid w:val="00C50A2E"/>
    <w:rsid w:val="00C70F5B"/>
    <w:rsid w:val="00C7200D"/>
    <w:rsid w:val="00C7222F"/>
    <w:rsid w:val="00C82B6B"/>
    <w:rsid w:val="00C90D6A"/>
    <w:rsid w:val="00CB14D4"/>
    <w:rsid w:val="00CC6A10"/>
    <w:rsid w:val="00CC72B6"/>
    <w:rsid w:val="00CD5655"/>
    <w:rsid w:val="00CE359D"/>
    <w:rsid w:val="00CF1A56"/>
    <w:rsid w:val="00D0218D"/>
    <w:rsid w:val="00D04868"/>
    <w:rsid w:val="00D12B3C"/>
    <w:rsid w:val="00D13707"/>
    <w:rsid w:val="00D216CD"/>
    <w:rsid w:val="00D238CC"/>
    <w:rsid w:val="00D351CC"/>
    <w:rsid w:val="00D51481"/>
    <w:rsid w:val="00D53ADF"/>
    <w:rsid w:val="00D6557E"/>
    <w:rsid w:val="00D76953"/>
    <w:rsid w:val="00D806AA"/>
    <w:rsid w:val="00D8081B"/>
    <w:rsid w:val="00D8472B"/>
    <w:rsid w:val="00D851AB"/>
    <w:rsid w:val="00D90DAC"/>
    <w:rsid w:val="00DA07AA"/>
    <w:rsid w:val="00DA2529"/>
    <w:rsid w:val="00DA455F"/>
    <w:rsid w:val="00DA77F0"/>
    <w:rsid w:val="00DB130A"/>
    <w:rsid w:val="00DB54CA"/>
    <w:rsid w:val="00DC10A1"/>
    <w:rsid w:val="00DC44DE"/>
    <w:rsid w:val="00DC53B1"/>
    <w:rsid w:val="00DC655F"/>
    <w:rsid w:val="00DD0336"/>
    <w:rsid w:val="00DD0F22"/>
    <w:rsid w:val="00DD7EBD"/>
    <w:rsid w:val="00DE4B07"/>
    <w:rsid w:val="00DF1B24"/>
    <w:rsid w:val="00DF4E87"/>
    <w:rsid w:val="00DF62B6"/>
    <w:rsid w:val="00E07225"/>
    <w:rsid w:val="00E155B7"/>
    <w:rsid w:val="00E15AD6"/>
    <w:rsid w:val="00E15F88"/>
    <w:rsid w:val="00E50F11"/>
    <w:rsid w:val="00E5409F"/>
    <w:rsid w:val="00E63E9C"/>
    <w:rsid w:val="00E65904"/>
    <w:rsid w:val="00E70C9B"/>
    <w:rsid w:val="00E72298"/>
    <w:rsid w:val="00E87847"/>
    <w:rsid w:val="00E96B4B"/>
    <w:rsid w:val="00EB08CE"/>
    <w:rsid w:val="00EB2C44"/>
    <w:rsid w:val="00EC0185"/>
    <w:rsid w:val="00ED05B6"/>
    <w:rsid w:val="00ED33DB"/>
    <w:rsid w:val="00ED6F96"/>
    <w:rsid w:val="00EE0028"/>
    <w:rsid w:val="00EE6ADD"/>
    <w:rsid w:val="00EF5E4D"/>
    <w:rsid w:val="00F021FA"/>
    <w:rsid w:val="00F03EE6"/>
    <w:rsid w:val="00F11F96"/>
    <w:rsid w:val="00F14D69"/>
    <w:rsid w:val="00F1632C"/>
    <w:rsid w:val="00F311FC"/>
    <w:rsid w:val="00F37BD3"/>
    <w:rsid w:val="00F446CC"/>
    <w:rsid w:val="00F57ACA"/>
    <w:rsid w:val="00F62E97"/>
    <w:rsid w:val="00F64209"/>
    <w:rsid w:val="00F65711"/>
    <w:rsid w:val="00F66D37"/>
    <w:rsid w:val="00F72B31"/>
    <w:rsid w:val="00F73399"/>
    <w:rsid w:val="00F93BF5"/>
    <w:rsid w:val="00F96438"/>
    <w:rsid w:val="00F96F63"/>
    <w:rsid w:val="00FA3284"/>
    <w:rsid w:val="00FB3EDD"/>
    <w:rsid w:val="00FC392C"/>
    <w:rsid w:val="00FC565D"/>
    <w:rsid w:val="00FF7A37"/>
    <w:rsid w:val="75796D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32E55C-0470-4B11-BBBD-46DF7681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