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C10C5" w:rsidP="004B4000" w14:paraId="34BA1922" w14:textId="77777777">
      <w:pPr>
        <w:tabs>
          <w:tab w:val="left" w:pos="-1440"/>
          <w:tab w:val="left" w:pos="-720"/>
          <w:tab w:val="left" w:pos="4788"/>
          <w:tab w:val="left" w:pos="5760"/>
          <w:tab w:val="left" w:pos="6480"/>
        </w:tabs>
        <w:suppressAutoHyphens/>
        <w:outlineLvl w:val="0"/>
        <w:rPr>
          <w:sz w:val="22"/>
          <w:szCs w:val="22"/>
        </w:rPr>
      </w:pPr>
      <w:r w:rsidRPr="00756029">
        <w:rPr>
          <w:sz w:val="22"/>
          <w:szCs w:val="22"/>
        </w:rPr>
        <w:t xml:space="preserve">                                                  </w:t>
      </w:r>
      <w:r w:rsidRPr="00756029">
        <w:rPr>
          <w:sz w:val="22"/>
          <w:szCs w:val="22"/>
        </w:rPr>
        <w:tab/>
      </w:r>
      <w:r w:rsidRPr="00756029">
        <w:rPr>
          <w:sz w:val="22"/>
          <w:szCs w:val="22"/>
        </w:rPr>
        <w:tab/>
      </w:r>
    </w:p>
    <w:p w:rsidR="00D53D29" w:rsidRPr="00303D1B" w:rsidP="004B4000" w14:paraId="7708BB28" w14:textId="2995D658">
      <w:pPr>
        <w:ind w:left="5760" w:firstLine="720"/>
        <w:rPr>
          <w:b/>
        </w:rPr>
      </w:pPr>
      <w:r w:rsidRPr="00303D1B">
        <w:rPr>
          <w:b/>
        </w:rPr>
        <w:t xml:space="preserve">DA </w:t>
      </w:r>
      <w:r w:rsidR="00EB0017">
        <w:rPr>
          <w:b/>
        </w:rPr>
        <w:t>20-753</w:t>
      </w:r>
    </w:p>
    <w:p w:rsidR="00D53D29" w:rsidP="004B4000" w14:paraId="2500F6E0" w14:textId="0B8562E7">
      <w:pPr>
        <w:rPr>
          <w:b/>
        </w:rPr>
      </w:pPr>
      <w:r w:rsidRPr="00303D1B">
        <w:rPr>
          <w:b/>
        </w:rPr>
        <w:tab/>
      </w:r>
      <w:r w:rsidRPr="00303D1B">
        <w:rPr>
          <w:b/>
        </w:rPr>
        <w:tab/>
      </w:r>
      <w:r w:rsidRPr="00303D1B">
        <w:rPr>
          <w:b/>
        </w:rPr>
        <w:tab/>
      </w:r>
      <w:r w:rsidRPr="00303D1B">
        <w:rPr>
          <w:b/>
        </w:rPr>
        <w:tab/>
      </w:r>
      <w:r w:rsidRPr="00303D1B">
        <w:rPr>
          <w:b/>
        </w:rPr>
        <w:tab/>
      </w:r>
      <w:r w:rsidRPr="00303D1B">
        <w:rPr>
          <w:b/>
        </w:rPr>
        <w:tab/>
      </w:r>
      <w:r w:rsidRPr="00303D1B">
        <w:rPr>
          <w:b/>
        </w:rPr>
        <w:tab/>
      </w:r>
      <w:r w:rsidRPr="00303D1B">
        <w:rPr>
          <w:b/>
        </w:rPr>
        <w:tab/>
      </w:r>
      <w:r w:rsidRPr="00303D1B">
        <w:rPr>
          <w:b/>
        </w:rPr>
        <w:tab/>
        <w:t>Released:</w:t>
      </w:r>
    </w:p>
    <w:p w:rsidR="00D53D29" w:rsidP="004B4000" w14:paraId="537CD51E" w14:textId="77777777">
      <w:pPr>
        <w:tabs>
          <w:tab w:val="left" w:pos="-1440"/>
          <w:tab w:val="left" w:pos="-720"/>
          <w:tab w:val="left" w:pos="4788"/>
          <w:tab w:val="left" w:pos="5760"/>
          <w:tab w:val="left" w:pos="6480"/>
        </w:tabs>
        <w:suppressAutoHyphens/>
        <w:outlineLvl w:val="0"/>
        <w:rPr>
          <w:sz w:val="22"/>
          <w:szCs w:val="22"/>
        </w:rPr>
      </w:pPr>
      <w:r>
        <w:rPr>
          <w:sz w:val="22"/>
          <w:szCs w:val="22"/>
        </w:rPr>
        <w:tab/>
      </w:r>
      <w:r>
        <w:rPr>
          <w:sz w:val="22"/>
          <w:szCs w:val="22"/>
        </w:rPr>
        <w:tab/>
      </w:r>
      <w:r w:rsidR="00847E7C">
        <w:rPr>
          <w:sz w:val="22"/>
          <w:szCs w:val="22"/>
        </w:rPr>
        <w:tab/>
      </w:r>
      <w:bookmarkStart w:id="0" w:name="_Hlk11318551"/>
    </w:p>
    <w:p w:rsidR="003508DD" w:rsidP="003508DD" w14:paraId="7ABA1E08" w14:textId="200FFF65">
      <w:pPr>
        <w:ind w:left="5040" w:firstLine="720"/>
        <w:jc w:val="both"/>
      </w:pPr>
      <w:r>
        <w:rPr>
          <w:i/>
        </w:rPr>
        <w:tab/>
      </w:r>
      <w:bookmarkEnd w:id="0"/>
      <w:r w:rsidRPr="7286DE66">
        <w:rPr>
          <w:color w:val="000000" w:themeColor="text1"/>
        </w:rPr>
        <w:t>In Reply Refer To:</w:t>
      </w:r>
    </w:p>
    <w:p w:rsidR="003508DD" w:rsidP="003508DD" w14:paraId="511F05ED" w14:textId="56EDC871">
      <w:pPr>
        <w:ind w:left="5760" w:firstLine="720"/>
        <w:jc w:val="both"/>
      </w:pPr>
      <w:r>
        <w:rPr>
          <w:color w:val="000000" w:themeColor="text1"/>
        </w:rPr>
        <w:t>1800B3-LEE</w:t>
      </w:r>
    </w:p>
    <w:p w:rsidR="003508DD" w:rsidP="003508DD" w14:paraId="7E45EBB7" w14:textId="5CF65D32">
      <w:pPr>
        <w:rPr>
          <w:color w:val="000000" w:themeColor="text1"/>
          <w:sz w:val="22"/>
          <w:szCs w:val="22"/>
        </w:rPr>
      </w:pPr>
      <w:r w:rsidRPr="003508DD">
        <w:rPr>
          <w:color w:val="000000" w:themeColor="text1"/>
          <w:sz w:val="22"/>
          <w:szCs w:val="22"/>
        </w:rPr>
        <w:t>WIN Radio Broadcasting Corporation</w:t>
      </w:r>
    </w:p>
    <w:p w:rsidR="00F0420C" w:rsidRPr="00182C31" w:rsidP="003508DD" w14:paraId="42F97966" w14:textId="77777777">
      <w:pPr>
        <w:rPr>
          <w:color w:val="000000" w:themeColor="text1"/>
          <w:sz w:val="22"/>
          <w:szCs w:val="22"/>
        </w:rPr>
      </w:pPr>
      <w:r w:rsidRPr="00182C31">
        <w:rPr>
          <w:color w:val="000000" w:themeColor="text1"/>
          <w:sz w:val="22"/>
          <w:szCs w:val="22"/>
        </w:rPr>
        <w:t>c/o J. Geoffrey Bentley, Esq.</w:t>
      </w:r>
    </w:p>
    <w:p w:rsidR="003508DD" w:rsidRPr="003508DD" w:rsidP="003508DD" w14:paraId="5B70CF21" w14:textId="77B327C7">
      <w:pPr>
        <w:rPr>
          <w:color w:val="000000" w:themeColor="text1"/>
          <w:sz w:val="22"/>
          <w:szCs w:val="22"/>
        </w:rPr>
      </w:pPr>
      <w:r w:rsidRPr="003508DD">
        <w:rPr>
          <w:color w:val="000000" w:themeColor="text1"/>
          <w:sz w:val="22"/>
          <w:szCs w:val="22"/>
        </w:rPr>
        <w:t>2700 Copper Creek Road</w:t>
      </w:r>
    </w:p>
    <w:p w:rsidR="003508DD" w:rsidRPr="003508DD" w:rsidP="003508DD" w14:paraId="11C70460" w14:textId="686CFFE2">
      <w:pPr>
        <w:rPr>
          <w:color w:val="000000" w:themeColor="text1"/>
          <w:sz w:val="22"/>
          <w:szCs w:val="22"/>
        </w:rPr>
      </w:pPr>
      <w:r w:rsidRPr="003508DD">
        <w:rPr>
          <w:color w:val="000000" w:themeColor="text1"/>
          <w:sz w:val="22"/>
          <w:szCs w:val="22"/>
        </w:rPr>
        <w:t>Oak Hill, V</w:t>
      </w:r>
      <w:r w:rsidR="001C6224">
        <w:rPr>
          <w:color w:val="000000" w:themeColor="text1"/>
          <w:sz w:val="22"/>
          <w:szCs w:val="22"/>
        </w:rPr>
        <w:t>A</w:t>
      </w:r>
      <w:r w:rsidRPr="003508DD">
        <w:rPr>
          <w:color w:val="000000" w:themeColor="text1"/>
          <w:sz w:val="22"/>
          <w:szCs w:val="22"/>
        </w:rPr>
        <w:t xml:space="preserve"> 20171</w:t>
      </w:r>
    </w:p>
    <w:p w:rsidR="003508DD" w:rsidRPr="003508DD" w:rsidP="003508DD" w14:paraId="1AFF931F" w14:textId="77777777">
      <w:pPr>
        <w:rPr>
          <w:color w:val="000000" w:themeColor="text1"/>
          <w:sz w:val="22"/>
          <w:szCs w:val="22"/>
        </w:rPr>
      </w:pPr>
    </w:p>
    <w:p w:rsidR="003508DD" w:rsidRPr="003508DD" w:rsidP="003508DD" w14:paraId="59BBC13C" w14:textId="38A16009">
      <w:pPr>
        <w:rPr>
          <w:color w:val="000000" w:themeColor="text1"/>
          <w:sz w:val="22"/>
          <w:szCs w:val="22"/>
        </w:rPr>
      </w:pPr>
      <w:r w:rsidRPr="003508DD">
        <w:rPr>
          <w:color w:val="000000" w:themeColor="text1"/>
          <w:sz w:val="22"/>
          <w:szCs w:val="22"/>
        </w:rPr>
        <w:t>James A. Koerner</w:t>
      </w:r>
      <w:r w:rsidR="001C6224">
        <w:rPr>
          <w:color w:val="000000" w:themeColor="text1"/>
          <w:sz w:val="22"/>
          <w:szCs w:val="22"/>
        </w:rPr>
        <w:t>, Esq.</w:t>
      </w:r>
    </w:p>
    <w:p w:rsidR="003508DD" w:rsidRPr="003508DD" w:rsidP="003508DD" w14:paraId="12F104C0" w14:textId="77777777">
      <w:pPr>
        <w:rPr>
          <w:color w:val="000000" w:themeColor="text1"/>
          <w:sz w:val="22"/>
          <w:szCs w:val="22"/>
        </w:rPr>
      </w:pPr>
      <w:r w:rsidRPr="003508DD">
        <w:rPr>
          <w:color w:val="000000" w:themeColor="text1"/>
          <w:sz w:val="22"/>
          <w:szCs w:val="22"/>
        </w:rPr>
        <w:t xml:space="preserve">Koerner &amp; </w:t>
      </w:r>
      <w:r w:rsidRPr="003508DD">
        <w:rPr>
          <w:color w:val="000000" w:themeColor="text1"/>
          <w:sz w:val="22"/>
          <w:szCs w:val="22"/>
        </w:rPr>
        <w:t>Olender</w:t>
      </w:r>
      <w:r w:rsidRPr="003508DD">
        <w:rPr>
          <w:color w:val="000000" w:themeColor="text1"/>
          <w:sz w:val="22"/>
          <w:szCs w:val="22"/>
        </w:rPr>
        <w:t>, P.C.</w:t>
      </w:r>
    </w:p>
    <w:p w:rsidR="003508DD" w:rsidRPr="003508DD" w:rsidP="003508DD" w14:paraId="434FE715" w14:textId="77777777">
      <w:pPr>
        <w:rPr>
          <w:color w:val="000000" w:themeColor="text1"/>
          <w:sz w:val="22"/>
          <w:szCs w:val="22"/>
        </w:rPr>
      </w:pPr>
      <w:r w:rsidRPr="003508DD">
        <w:rPr>
          <w:color w:val="000000" w:themeColor="text1"/>
          <w:sz w:val="22"/>
          <w:szCs w:val="22"/>
        </w:rPr>
        <w:t>7020 Richard Drive</w:t>
      </w:r>
    </w:p>
    <w:p w:rsidR="003508DD" w:rsidRPr="003508DD" w:rsidP="003508DD" w14:paraId="6B60E658" w14:textId="77777777">
      <w:pPr>
        <w:rPr>
          <w:color w:val="000000" w:themeColor="text1"/>
          <w:sz w:val="22"/>
          <w:szCs w:val="22"/>
        </w:rPr>
      </w:pPr>
      <w:r w:rsidRPr="003508DD">
        <w:rPr>
          <w:color w:val="000000" w:themeColor="text1"/>
          <w:sz w:val="22"/>
          <w:szCs w:val="22"/>
        </w:rPr>
        <w:t>Bethesda, MD 20817</w:t>
      </w:r>
    </w:p>
    <w:p w:rsidR="003508DD" w:rsidRPr="003508DD" w:rsidP="003508DD" w14:paraId="7F71B660" w14:textId="77777777">
      <w:pPr>
        <w:ind w:left="4320" w:firstLine="720"/>
        <w:rPr>
          <w:sz w:val="22"/>
          <w:szCs w:val="22"/>
        </w:rPr>
      </w:pPr>
      <w:r w:rsidRPr="003508DD">
        <w:rPr>
          <w:b/>
          <w:bCs/>
          <w:color w:val="000000" w:themeColor="text1"/>
          <w:sz w:val="22"/>
          <w:szCs w:val="22"/>
        </w:rPr>
        <w:t xml:space="preserve">In re:     Universal Broadcasting of </w:t>
      </w:r>
    </w:p>
    <w:p w:rsidR="003508DD" w:rsidRPr="003508DD" w:rsidP="003508DD" w14:paraId="486E7D2E" w14:textId="77777777">
      <w:pPr>
        <w:ind w:left="5760"/>
        <w:rPr>
          <w:sz w:val="22"/>
          <w:szCs w:val="22"/>
        </w:rPr>
      </w:pPr>
      <w:r w:rsidRPr="003508DD">
        <w:rPr>
          <w:b/>
          <w:bCs/>
          <w:color w:val="000000" w:themeColor="text1"/>
          <w:sz w:val="22"/>
          <w:szCs w:val="22"/>
        </w:rPr>
        <w:t xml:space="preserve">  New York, Inc. </w:t>
      </w:r>
    </w:p>
    <w:p w:rsidR="003508DD" w:rsidRPr="003508DD" w:rsidP="003508DD" w14:paraId="51C534BD" w14:textId="77777777">
      <w:pPr>
        <w:ind w:left="5040" w:firstLine="720"/>
        <w:rPr>
          <w:b/>
          <w:bCs/>
          <w:color w:val="000000" w:themeColor="text1"/>
          <w:sz w:val="22"/>
          <w:szCs w:val="22"/>
        </w:rPr>
      </w:pPr>
      <w:r w:rsidRPr="003508DD">
        <w:rPr>
          <w:b/>
          <w:bCs/>
          <w:color w:val="000000" w:themeColor="text1"/>
          <w:sz w:val="22"/>
          <w:szCs w:val="22"/>
        </w:rPr>
        <w:t xml:space="preserve">  WTHE(AM), Mineola, NY</w:t>
      </w:r>
    </w:p>
    <w:p w:rsidR="003508DD" w:rsidRPr="003508DD" w:rsidP="003508DD" w14:paraId="15850723" w14:textId="77777777">
      <w:pPr>
        <w:ind w:left="5040" w:firstLine="720"/>
        <w:rPr>
          <w:color w:val="000000" w:themeColor="text1"/>
          <w:sz w:val="22"/>
          <w:szCs w:val="22"/>
        </w:rPr>
      </w:pPr>
      <w:r w:rsidRPr="003508DD">
        <w:rPr>
          <w:color w:val="000000" w:themeColor="text1"/>
          <w:sz w:val="22"/>
          <w:szCs w:val="22"/>
        </w:rPr>
        <w:t xml:space="preserve">  Facility ID No. 68957</w:t>
      </w:r>
    </w:p>
    <w:p w:rsidR="003508DD" w:rsidRPr="003508DD" w:rsidP="003508DD" w14:paraId="2B6F8057" w14:textId="77777777">
      <w:pPr>
        <w:ind w:left="5040" w:firstLine="720"/>
        <w:rPr>
          <w:color w:val="000000" w:themeColor="text1"/>
          <w:sz w:val="22"/>
          <w:szCs w:val="22"/>
        </w:rPr>
      </w:pPr>
      <w:r w:rsidRPr="003508DD">
        <w:rPr>
          <w:color w:val="000000" w:themeColor="text1"/>
          <w:sz w:val="22"/>
          <w:szCs w:val="22"/>
        </w:rPr>
        <w:t xml:space="preserve">  File No. BA</w:t>
      </w:r>
      <w:bookmarkStart w:id="1" w:name="_GoBack"/>
      <w:bookmarkEnd w:id="1"/>
      <w:r w:rsidRPr="003508DD">
        <w:rPr>
          <w:color w:val="000000" w:themeColor="text1"/>
          <w:sz w:val="22"/>
          <w:szCs w:val="22"/>
        </w:rPr>
        <w:t>L-20190207AAE</w:t>
      </w:r>
    </w:p>
    <w:p w:rsidR="003508DD" w:rsidRPr="003508DD" w:rsidP="003508DD" w14:paraId="33E764C1" w14:textId="77777777">
      <w:pPr>
        <w:ind w:left="5040" w:firstLine="720"/>
        <w:rPr>
          <w:b/>
          <w:bCs/>
          <w:color w:val="000000" w:themeColor="text1"/>
          <w:sz w:val="22"/>
          <w:szCs w:val="22"/>
        </w:rPr>
      </w:pPr>
    </w:p>
    <w:p w:rsidR="003508DD" w:rsidRPr="003508DD" w:rsidP="003508DD" w14:paraId="4F111E26" w14:textId="77777777">
      <w:pPr>
        <w:ind w:left="5040" w:firstLine="720"/>
        <w:rPr>
          <w:sz w:val="22"/>
          <w:szCs w:val="22"/>
        </w:rPr>
      </w:pPr>
      <w:r w:rsidRPr="003508DD">
        <w:rPr>
          <w:b/>
          <w:bCs/>
          <w:color w:val="000000" w:themeColor="text1"/>
          <w:sz w:val="22"/>
          <w:szCs w:val="22"/>
        </w:rPr>
        <w:t xml:space="preserve">  Petition for Reconsideration</w:t>
      </w:r>
    </w:p>
    <w:p w:rsidR="003508DD" w:rsidRPr="003508DD" w:rsidP="003508DD" w14:paraId="5EBE7012" w14:textId="21EE186E">
      <w:pPr>
        <w:rPr>
          <w:color w:val="000000" w:themeColor="text1"/>
          <w:sz w:val="22"/>
          <w:szCs w:val="22"/>
        </w:rPr>
      </w:pPr>
      <w:r w:rsidRPr="003508DD">
        <w:rPr>
          <w:color w:val="000000" w:themeColor="text1"/>
          <w:sz w:val="22"/>
          <w:szCs w:val="22"/>
        </w:rPr>
        <w:t xml:space="preserve">Dear </w:t>
      </w:r>
      <w:r w:rsidR="00332DCE">
        <w:rPr>
          <w:color w:val="000000" w:themeColor="text1"/>
          <w:sz w:val="22"/>
          <w:szCs w:val="22"/>
        </w:rPr>
        <w:t>Counsel</w:t>
      </w:r>
      <w:r w:rsidRPr="003508DD">
        <w:rPr>
          <w:color w:val="000000" w:themeColor="text1"/>
          <w:sz w:val="22"/>
          <w:szCs w:val="22"/>
        </w:rPr>
        <w:t>:</w:t>
      </w:r>
    </w:p>
    <w:p w:rsidR="003508DD" w:rsidRPr="003508DD" w:rsidP="003508DD" w14:paraId="4ADE3B54" w14:textId="77777777">
      <w:pPr>
        <w:rPr>
          <w:color w:val="000000" w:themeColor="text1"/>
          <w:sz w:val="22"/>
          <w:szCs w:val="22"/>
        </w:rPr>
      </w:pPr>
      <w:r w:rsidRPr="003508DD">
        <w:rPr>
          <w:color w:val="000000" w:themeColor="text1"/>
          <w:sz w:val="22"/>
          <w:szCs w:val="22"/>
        </w:rPr>
        <w:t xml:space="preserve"> </w:t>
      </w:r>
    </w:p>
    <w:p w:rsidR="003508DD" w:rsidP="003508DD" w14:paraId="4A96E8B8" w14:textId="79234110">
      <w:pPr>
        <w:ind w:firstLine="720"/>
        <w:rPr>
          <w:color w:val="000000" w:themeColor="text1"/>
          <w:sz w:val="22"/>
          <w:szCs w:val="22"/>
        </w:rPr>
      </w:pPr>
      <w:r w:rsidRPr="003508DD">
        <w:rPr>
          <w:color w:val="000000" w:themeColor="text1"/>
          <w:sz w:val="22"/>
          <w:szCs w:val="22"/>
        </w:rPr>
        <w:t>We have before us the Petition for Reconsideration (Petition) filed on December 6, 2019, by WIN Radio Broadcasting Corporation (WIN)</w:t>
      </w:r>
      <w:r w:rsidR="00386095">
        <w:rPr>
          <w:color w:val="000000" w:themeColor="text1"/>
          <w:sz w:val="22"/>
          <w:szCs w:val="22"/>
        </w:rPr>
        <w:t>,</w:t>
      </w:r>
      <w:r w:rsidRPr="003508DD">
        <w:rPr>
          <w:color w:val="000000" w:themeColor="text1"/>
          <w:sz w:val="22"/>
          <w:szCs w:val="22"/>
        </w:rPr>
        <w:t xml:space="preserve"> which seeks reconsideration of the Media Bureau (Bureau) decision</w:t>
      </w:r>
      <w:r>
        <w:rPr>
          <w:rStyle w:val="FootnoteReference"/>
          <w:color w:val="000000" w:themeColor="text1"/>
          <w:sz w:val="22"/>
          <w:szCs w:val="22"/>
        </w:rPr>
        <w:footnoteReference w:id="3"/>
      </w:r>
      <w:r w:rsidRPr="003508DD">
        <w:rPr>
          <w:color w:val="000000" w:themeColor="text1"/>
          <w:sz w:val="22"/>
          <w:szCs w:val="22"/>
        </w:rPr>
        <w:t xml:space="preserve"> that reinstated the expired license for Station WTHE(AM), Mineola, New York (Station)</w:t>
      </w:r>
      <w:r>
        <w:rPr>
          <w:color w:val="000000" w:themeColor="text1"/>
          <w:sz w:val="22"/>
          <w:szCs w:val="22"/>
        </w:rPr>
        <w:t xml:space="preserve"> and granted the application for consent to assign the Station’s license </w:t>
      </w:r>
      <w:r w:rsidR="00622BA6">
        <w:rPr>
          <w:color w:val="000000" w:themeColor="text1"/>
          <w:sz w:val="22"/>
          <w:szCs w:val="22"/>
        </w:rPr>
        <w:t xml:space="preserve">from Universal Broadcasting of New York, Inc. (Universal) </w:t>
      </w:r>
      <w:r>
        <w:rPr>
          <w:color w:val="000000" w:themeColor="text1"/>
          <w:sz w:val="22"/>
          <w:szCs w:val="22"/>
        </w:rPr>
        <w:t>to Cantic Nuevo Ministry, Inc</w:t>
      </w:r>
      <w:r w:rsidRPr="003508DD">
        <w:rPr>
          <w:color w:val="000000" w:themeColor="text1"/>
          <w:sz w:val="22"/>
          <w:szCs w:val="22"/>
        </w:rPr>
        <w:t>.</w:t>
      </w:r>
      <w:r>
        <w:rPr>
          <w:rStyle w:val="FootnoteReference"/>
          <w:color w:val="000000" w:themeColor="text1"/>
          <w:sz w:val="22"/>
          <w:szCs w:val="22"/>
        </w:rPr>
        <w:footnoteReference w:id="4"/>
      </w:r>
      <w:r w:rsidRPr="003508DD">
        <w:rPr>
          <w:color w:val="000000" w:themeColor="text1"/>
          <w:sz w:val="22"/>
          <w:szCs w:val="22"/>
        </w:rPr>
        <w:t xml:space="preserve">  For the reasons set forth below, we deny the Petition. </w:t>
      </w:r>
    </w:p>
    <w:p w:rsidR="003508DD" w:rsidRPr="003508DD" w:rsidP="003508DD" w14:paraId="7B0F1475" w14:textId="77777777">
      <w:pPr>
        <w:ind w:firstLine="720"/>
        <w:rPr>
          <w:sz w:val="22"/>
          <w:szCs w:val="22"/>
        </w:rPr>
      </w:pPr>
    </w:p>
    <w:p w:rsidR="003508DD" w:rsidRPr="003508DD" w:rsidP="003508DD" w14:paraId="1A6AC791" w14:textId="4C770CBF">
      <w:pPr>
        <w:ind w:firstLine="720"/>
        <w:rPr>
          <w:sz w:val="22"/>
          <w:szCs w:val="22"/>
        </w:rPr>
      </w:pPr>
      <w:r w:rsidRPr="003508DD">
        <w:rPr>
          <w:b/>
          <w:bCs/>
          <w:color w:val="000000" w:themeColor="text1"/>
          <w:sz w:val="22"/>
          <w:szCs w:val="22"/>
        </w:rPr>
        <w:t>Background</w:t>
      </w:r>
      <w:r w:rsidRPr="003508DD">
        <w:rPr>
          <w:color w:val="000000" w:themeColor="text1"/>
          <w:sz w:val="22"/>
          <w:szCs w:val="22"/>
        </w:rPr>
        <w:t xml:space="preserve">.  On January 25, 2018, the Station went silent due to the loss of </w:t>
      </w:r>
      <w:r w:rsidR="00386095">
        <w:rPr>
          <w:color w:val="000000" w:themeColor="text1"/>
          <w:sz w:val="22"/>
          <w:szCs w:val="22"/>
        </w:rPr>
        <w:t>its</w:t>
      </w:r>
      <w:r w:rsidRPr="003508DD" w:rsidR="00386095">
        <w:rPr>
          <w:color w:val="000000" w:themeColor="text1"/>
          <w:sz w:val="22"/>
          <w:szCs w:val="22"/>
        </w:rPr>
        <w:t xml:space="preserve"> </w:t>
      </w:r>
      <w:r w:rsidRPr="003508DD">
        <w:rPr>
          <w:color w:val="000000" w:themeColor="text1"/>
          <w:sz w:val="22"/>
          <w:szCs w:val="22"/>
        </w:rPr>
        <w:t>transmitter site.</w:t>
      </w:r>
      <w:r>
        <w:rPr>
          <w:rStyle w:val="FootnoteReference"/>
          <w:color w:val="000000" w:themeColor="text1"/>
          <w:sz w:val="22"/>
          <w:szCs w:val="22"/>
        </w:rPr>
        <w:footnoteReference w:id="5"/>
      </w:r>
      <w:r w:rsidRPr="003508DD">
        <w:rPr>
          <w:color w:val="000000" w:themeColor="text1"/>
          <w:sz w:val="22"/>
          <w:szCs w:val="22"/>
        </w:rPr>
        <w:t xml:space="preserve">  By letter dated February 16, 2018, the Bureau granted the Station a silent authority STA until August 16, 2018</w:t>
      </w:r>
      <w:r w:rsidR="00386095">
        <w:rPr>
          <w:color w:val="000000" w:themeColor="text1"/>
          <w:sz w:val="22"/>
          <w:szCs w:val="22"/>
        </w:rPr>
        <w:t>,</w:t>
      </w:r>
      <w:r w:rsidRPr="003508DD">
        <w:rPr>
          <w:color w:val="000000" w:themeColor="text1"/>
          <w:sz w:val="22"/>
          <w:szCs w:val="22"/>
        </w:rPr>
        <w:t xml:space="preserve"> and warned Universal that the Station’s license would expire pursuant to section 312(g) of the Communications Act of 1934, as amended (Act)</w:t>
      </w:r>
      <w:r w:rsidR="00386095">
        <w:rPr>
          <w:color w:val="000000" w:themeColor="text1"/>
          <w:sz w:val="22"/>
          <w:szCs w:val="22"/>
        </w:rPr>
        <w:t>,</w:t>
      </w:r>
      <w:r w:rsidRPr="003508DD">
        <w:rPr>
          <w:color w:val="000000" w:themeColor="text1"/>
          <w:sz w:val="22"/>
          <w:szCs w:val="22"/>
        </w:rPr>
        <w:t xml:space="preserve"> if the Station failed to resume operation by January 26, 2019.</w:t>
      </w:r>
      <w:r>
        <w:rPr>
          <w:rStyle w:val="FootnoteReference"/>
          <w:color w:val="000000" w:themeColor="text1"/>
          <w:sz w:val="22"/>
          <w:szCs w:val="22"/>
        </w:rPr>
        <w:footnoteReference w:id="6"/>
      </w:r>
      <w:r w:rsidRPr="003508DD">
        <w:rPr>
          <w:color w:val="000000" w:themeColor="text1"/>
          <w:sz w:val="22"/>
          <w:szCs w:val="22"/>
        </w:rPr>
        <w:t xml:space="preserve"> </w:t>
      </w:r>
    </w:p>
    <w:p w:rsidR="003508DD" w:rsidRPr="003508DD" w:rsidP="003508DD" w14:paraId="0D76CEA9" w14:textId="0E30C665">
      <w:pPr>
        <w:ind w:firstLine="720"/>
        <w:rPr>
          <w:rStyle w:val="EndnoteReference"/>
          <w:color w:val="000000" w:themeColor="text1"/>
          <w:sz w:val="22"/>
          <w:szCs w:val="22"/>
        </w:rPr>
      </w:pPr>
      <w:r w:rsidRPr="003508DD">
        <w:rPr>
          <w:color w:val="000000" w:themeColor="text1"/>
          <w:sz w:val="22"/>
          <w:szCs w:val="22"/>
        </w:rPr>
        <w:t>Due to a lapse in government funding, the Commission suspended most operations, including the processing of STA applications, on January 3, 2019.</w:t>
      </w:r>
      <w:r>
        <w:rPr>
          <w:rStyle w:val="FootnoteReference"/>
          <w:color w:val="000000" w:themeColor="text1"/>
          <w:sz w:val="22"/>
          <w:szCs w:val="22"/>
        </w:rPr>
        <w:footnoteReference w:id="7"/>
      </w:r>
      <w:r w:rsidRPr="003508DD">
        <w:rPr>
          <w:color w:val="000000" w:themeColor="text1"/>
          <w:sz w:val="22"/>
          <w:szCs w:val="22"/>
        </w:rPr>
        <w:t xml:space="preserve">  On January 15, 2019, Universal (a) filed an STA application for low-power operation with a long-wire dipole antenna, (b) filed a resumption of operations notice with the Commission, stating that the Station had resumed operation with an emergency antenna, as described in the STA application, and (c) sent an email to a Bureau staff member requesting authority to continue operation with an emergency antenna pursuant to section 73.1680 of the Commission’s rules (Rules).</w:t>
      </w:r>
      <w:r>
        <w:rPr>
          <w:rStyle w:val="FootnoteReference"/>
          <w:color w:val="000000" w:themeColor="text1"/>
          <w:sz w:val="22"/>
          <w:szCs w:val="22"/>
        </w:rPr>
        <w:footnoteReference w:id="8"/>
      </w:r>
    </w:p>
    <w:p w:rsidR="003508DD" w:rsidP="003508DD" w14:paraId="0C85ED36" w14:textId="77777777">
      <w:pPr>
        <w:ind w:firstLine="720"/>
        <w:rPr>
          <w:color w:val="000000" w:themeColor="text1"/>
          <w:sz w:val="22"/>
          <w:szCs w:val="22"/>
        </w:rPr>
      </w:pPr>
    </w:p>
    <w:p w:rsidR="003508DD" w:rsidRPr="003508DD" w:rsidP="003508DD" w14:paraId="21E2D9BA" w14:textId="271F4862">
      <w:pPr>
        <w:ind w:firstLine="720"/>
        <w:rPr>
          <w:color w:val="000000" w:themeColor="text1"/>
          <w:sz w:val="22"/>
          <w:szCs w:val="22"/>
        </w:rPr>
      </w:pPr>
      <w:r w:rsidRPr="003508DD">
        <w:rPr>
          <w:color w:val="000000" w:themeColor="text1"/>
          <w:sz w:val="22"/>
          <w:szCs w:val="22"/>
        </w:rPr>
        <w:t>Because of the lapse in appropriations, no Bureau staff member reviewed Universal’s submissions until after</w:t>
      </w:r>
      <w:r w:rsidR="0015094F">
        <w:rPr>
          <w:color w:val="000000" w:themeColor="text1"/>
          <w:sz w:val="22"/>
          <w:szCs w:val="22"/>
        </w:rPr>
        <w:t xml:space="preserve"> </w:t>
      </w:r>
      <w:r w:rsidRPr="003508DD">
        <w:rPr>
          <w:color w:val="000000" w:themeColor="text1"/>
          <w:sz w:val="22"/>
          <w:szCs w:val="22"/>
        </w:rPr>
        <w:t>the Commission resumed normal operations on January 26, 2019.</w:t>
      </w:r>
      <w:r>
        <w:rPr>
          <w:rStyle w:val="FootnoteReference"/>
          <w:color w:val="000000" w:themeColor="text1"/>
          <w:sz w:val="22"/>
          <w:szCs w:val="22"/>
        </w:rPr>
        <w:footnoteReference w:id="9"/>
      </w:r>
      <w:r w:rsidRPr="003508DD">
        <w:rPr>
          <w:color w:val="000000" w:themeColor="text1"/>
          <w:sz w:val="22"/>
          <w:szCs w:val="22"/>
        </w:rPr>
        <w:t xml:space="preserve">  By letter dated February 1, 2019, the Bureau granted the STA application</w:t>
      </w:r>
      <w:r w:rsidR="00BA2018">
        <w:rPr>
          <w:color w:val="000000" w:themeColor="text1"/>
          <w:sz w:val="22"/>
          <w:szCs w:val="22"/>
        </w:rPr>
        <w:t xml:space="preserve"> authorizing </w:t>
      </w:r>
      <w:r w:rsidR="00CF7884">
        <w:rPr>
          <w:color w:val="000000" w:themeColor="text1"/>
          <w:sz w:val="22"/>
          <w:szCs w:val="22"/>
        </w:rPr>
        <w:t>Universal’s low-power operation.</w:t>
      </w:r>
      <w:r>
        <w:rPr>
          <w:rStyle w:val="FootnoteReference"/>
          <w:color w:val="000000" w:themeColor="text1"/>
          <w:sz w:val="22"/>
          <w:szCs w:val="22"/>
        </w:rPr>
        <w:footnoteReference w:id="10"/>
      </w:r>
      <w:r w:rsidRPr="003508DD">
        <w:rPr>
          <w:color w:val="000000" w:themeColor="text1"/>
          <w:sz w:val="22"/>
          <w:szCs w:val="22"/>
        </w:rPr>
        <w:t xml:space="preserve">  On February 5, 2019, Universal </w:t>
      </w:r>
      <w:r w:rsidR="00386095">
        <w:rPr>
          <w:color w:val="000000" w:themeColor="text1"/>
          <w:sz w:val="22"/>
          <w:szCs w:val="22"/>
        </w:rPr>
        <w:t>suspended operation of</w:t>
      </w:r>
      <w:r w:rsidRPr="003508DD" w:rsidR="00386095">
        <w:rPr>
          <w:color w:val="000000" w:themeColor="text1"/>
          <w:sz w:val="22"/>
          <w:szCs w:val="22"/>
        </w:rPr>
        <w:t xml:space="preserve"> </w:t>
      </w:r>
      <w:r w:rsidRPr="003508DD">
        <w:rPr>
          <w:color w:val="000000" w:themeColor="text1"/>
          <w:sz w:val="22"/>
          <w:szCs w:val="22"/>
        </w:rPr>
        <w:t>the Station due to municipal regulatory action and shortly thereafter filed an STA application for silent authority.</w:t>
      </w:r>
      <w:r>
        <w:rPr>
          <w:rStyle w:val="FootnoteReference"/>
          <w:color w:val="000000" w:themeColor="text1"/>
          <w:sz w:val="22"/>
          <w:szCs w:val="22"/>
        </w:rPr>
        <w:footnoteReference w:id="11"/>
      </w:r>
      <w:r w:rsidRPr="003508DD">
        <w:rPr>
          <w:color w:val="000000" w:themeColor="text1"/>
          <w:sz w:val="22"/>
          <w:szCs w:val="22"/>
        </w:rPr>
        <w:t xml:space="preserve">  On February 7, 2019, Universal filed </w:t>
      </w:r>
      <w:r w:rsidR="0015094F">
        <w:rPr>
          <w:color w:val="000000" w:themeColor="text1"/>
          <w:sz w:val="22"/>
          <w:szCs w:val="22"/>
        </w:rPr>
        <w:t>the Assignment Application</w:t>
      </w:r>
      <w:r w:rsidRPr="003508DD">
        <w:rPr>
          <w:color w:val="000000" w:themeColor="text1"/>
          <w:sz w:val="22"/>
          <w:szCs w:val="22"/>
        </w:rPr>
        <w:t xml:space="preserve"> seeking Commission approval of the assignment of the Station’s license to </w:t>
      </w:r>
      <w:r w:rsidRPr="003508DD">
        <w:rPr>
          <w:color w:val="000000" w:themeColor="text1"/>
          <w:sz w:val="22"/>
          <w:szCs w:val="22"/>
        </w:rPr>
        <w:t>Cantico</w:t>
      </w:r>
      <w:r w:rsidRPr="003508DD">
        <w:rPr>
          <w:color w:val="000000" w:themeColor="text1"/>
          <w:sz w:val="22"/>
          <w:szCs w:val="22"/>
        </w:rPr>
        <w:t xml:space="preserve"> Nuevo Ministry, Inc.</w:t>
      </w:r>
    </w:p>
    <w:p w:rsidR="003508DD" w:rsidP="003508DD" w14:paraId="13473735" w14:textId="77777777">
      <w:pPr>
        <w:ind w:firstLine="720"/>
        <w:rPr>
          <w:color w:val="000000" w:themeColor="text1"/>
          <w:sz w:val="22"/>
          <w:szCs w:val="22"/>
        </w:rPr>
      </w:pPr>
    </w:p>
    <w:p w:rsidR="003508DD" w:rsidRPr="00394F73" w:rsidP="003508DD" w14:paraId="16C76E1E" w14:textId="3E726F15">
      <w:pPr>
        <w:ind w:firstLine="720"/>
        <w:rPr>
          <w:color w:val="000000" w:themeColor="text1"/>
          <w:sz w:val="22"/>
          <w:szCs w:val="22"/>
          <w:u w:val="single"/>
        </w:rPr>
      </w:pPr>
      <w:r w:rsidRPr="003508DD">
        <w:rPr>
          <w:color w:val="000000" w:themeColor="text1"/>
          <w:sz w:val="22"/>
          <w:szCs w:val="22"/>
        </w:rPr>
        <w:t xml:space="preserve">On March 11, 2019, WIN filed a petition to deny the Assignment Application, alleging that because the Station did not resume operation </w:t>
      </w:r>
      <w:r w:rsidRPr="003508DD" w:rsidR="0097776D">
        <w:rPr>
          <w:color w:val="000000" w:themeColor="text1"/>
          <w:sz w:val="22"/>
          <w:szCs w:val="22"/>
        </w:rPr>
        <w:t xml:space="preserve">with authorized facilities </w:t>
      </w:r>
      <w:r w:rsidRPr="003508DD">
        <w:rPr>
          <w:color w:val="000000" w:themeColor="text1"/>
          <w:sz w:val="22"/>
          <w:szCs w:val="22"/>
        </w:rPr>
        <w:t xml:space="preserve">by January 26, 2019, the license expired pursuant to section 312(g), and therefore the </w:t>
      </w:r>
      <w:r w:rsidR="0097776D">
        <w:rPr>
          <w:color w:val="000000" w:themeColor="text1"/>
          <w:sz w:val="22"/>
          <w:szCs w:val="22"/>
        </w:rPr>
        <w:t>Assignment A</w:t>
      </w:r>
      <w:r w:rsidRPr="003508DD">
        <w:rPr>
          <w:color w:val="000000" w:themeColor="text1"/>
          <w:sz w:val="22"/>
          <w:szCs w:val="22"/>
        </w:rPr>
        <w:t>pplication should be dismissed.</w:t>
      </w:r>
      <w:r>
        <w:rPr>
          <w:rStyle w:val="FootnoteReference"/>
          <w:color w:val="000000" w:themeColor="text1"/>
          <w:sz w:val="22"/>
          <w:szCs w:val="22"/>
        </w:rPr>
        <w:footnoteReference w:id="12"/>
      </w:r>
      <w:r w:rsidRPr="003508DD">
        <w:rPr>
          <w:color w:val="000000" w:themeColor="text1"/>
          <w:sz w:val="22"/>
          <w:szCs w:val="22"/>
        </w:rPr>
        <w:t xml:space="preserve">  In its </w:t>
      </w:r>
      <w:r w:rsidR="0087205D">
        <w:rPr>
          <w:color w:val="000000" w:themeColor="text1"/>
          <w:sz w:val="22"/>
          <w:szCs w:val="22"/>
        </w:rPr>
        <w:t>o</w:t>
      </w:r>
      <w:r w:rsidRPr="003508DD">
        <w:rPr>
          <w:color w:val="000000" w:themeColor="text1"/>
          <w:sz w:val="22"/>
          <w:szCs w:val="22"/>
        </w:rPr>
        <w:t>pposition</w:t>
      </w:r>
      <w:r w:rsidR="0087205D">
        <w:rPr>
          <w:color w:val="000000" w:themeColor="text1"/>
          <w:sz w:val="22"/>
          <w:szCs w:val="22"/>
        </w:rPr>
        <w:t xml:space="preserve"> to the petition to deny</w:t>
      </w:r>
      <w:r w:rsidRPr="003508DD">
        <w:rPr>
          <w:color w:val="000000" w:themeColor="text1"/>
          <w:sz w:val="22"/>
          <w:szCs w:val="22"/>
        </w:rPr>
        <w:t>, Universal argued that the Bureau implicitly extended or reinstated the Station’s license as a matter of “equity and fairness”</w:t>
      </w:r>
      <w:r>
        <w:rPr>
          <w:rStyle w:val="FootnoteReference"/>
          <w:color w:val="000000" w:themeColor="text1"/>
          <w:sz w:val="22"/>
          <w:szCs w:val="22"/>
        </w:rPr>
        <w:footnoteReference w:id="13"/>
      </w:r>
      <w:r w:rsidRPr="003508DD">
        <w:rPr>
          <w:color w:val="000000" w:themeColor="text1"/>
          <w:sz w:val="22"/>
          <w:szCs w:val="22"/>
        </w:rPr>
        <w:t xml:space="preserve"> in the STA grant and the only reason it was not approved prior to the deadline was the government shutdown, which was beyond Universal’s control.  In the </w:t>
      </w:r>
      <w:r w:rsidRPr="003508DD">
        <w:rPr>
          <w:i/>
          <w:iCs/>
          <w:color w:val="000000" w:themeColor="text1"/>
          <w:sz w:val="22"/>
          <w:szCs w:val="22"/>
        </w:rPr>
        <w:t>Bureau Order</w:t>
      </w:r>
      <w:r w:rsidRPr="003508DD">
        <w:rPr>
          <w:color w:val="000000" w:themeColor="text1"/>
          <w:sz w:val="22"/>
          <w:szCs w:val="22"/>
        </w:rPr>
        <w:t>, the Bureau granted in part and denied in part</w:t>
      </w:r>
      <w:r w:rsidRPr="00770EB5" w:rsidR="00770EB5">
        <w:rPr>
          <w:color w:val="000000" w:themeColor="text1"/>
          <w:sz w:val="22"/>
          <w:szCs w:val="22"/>
        </w:rPr>
        <w:t xml:space="preserve"> </w:t>
      </w:r>
      <w:r w:rsidR="00770EB5">
        <w:rPr>
          <w:color w:val="000000" w:themeColor="text1"/>
          <w:sz w:val="22"/>
          <w:szCs w:val="22"/>
        </w:rPr>
        <w:t>WIN’s</w:t>
      </w:r>
      <w:r w:rsidRPr="003508DD" w:rsidR="00770EB5">
        <w:rPr>
          <w:color w:val="000000" w:themeColor="text1"/>
          <w:sz w:val="22"/>
          <w:szCs w:val="22"/>
        </w:rPr>
        <w:t xml:space="preserve"> petition</w:t>
      </w:r>
      <w:r w:rsidR="00770EB5">
        <w:rPr>
          <w:color w:val="000000" w:themeColor="text1"/>
          <w:sz w:val="22"/>
          <w:szCs w:val="22"/>
        </w:rPr>
        <w:t xml:space="preserve"> to deny</w:t>
      </w:r>
      <w:r w:rsidRPr="003508DD">
        <w:rPr>
          <w:color w:val="000000" w:themeColor="text1"/>
          <w:sz w:val="22"/>
          <w:szCs w:val="22"/>
        </w:rPr>
        <w:t xml:space="preserve">, </w:t>
      </w:r>
      <w:r w:rsidR="00BA2018">
        <w:rPr>
          <w:color w:val="000000" w:themeColor="text1"/>
          <w:sz w:val="22"/>
          <w:szCs w:val="22"/>
        </w:rPr>
        <w:t>reinstated the license and entered into a Consent Decree with Universal to authorize the assignment of the Station license.</w:t>
      </w:r>
      <w:r>
        <w:rPr>
          <w:rStyle w:val="FootnoteReference"/>
          <w:color w:val="000000" w:themeColor="text1"/>
          <w:sz w:val="22"/>
          <w:szCs w:val="22"/>
        </w:rPr>
        <w:footnoteReference w:id="14"/>
      </w:r>
      <w:r w:rsidR="00BA2018">
        <w:rPr>
          <w:color w:val="000000" w:themeColor="text1"/>
          <w:sz w:val="22"/>
          <w:szCs w:val="22"/>
        </w:rPr>
        <w:t xml:space="preserve">  The Bureau found </w:t>
      </w:r>
      <w:r w:rsidRPr="003508DD">
        <w:rPr>
          <w:color w:val="000000" w:themeColor="text1"/>
          <w:sz w:val="22"/>
          <w:szCs w:val="22"/>
        </w:rPr>
        <w:t xml:space="preserve">that </w:t>
      </w:r>
      <w:r w:rsidR="00BA2018">
        <w:rPr>
          <w:color w:val="000000" w:themeColor="text1"/>
          <w:sz w:val="22"/>
          <w:szCs w:val="22"/>
        </w:rPr>
        <w:t xml:space="preserve">Universal resumed operations using unauthorized facilities that </w:t>
      </w:r>
      <w:r w:rsidRPr="003508DD">
        <w:rPr>
          <w:color w:val="000000" w:themeColor="text1"/>
          <w:sz w:val="22"/>
          <w:szCs w:val="22"/>
        </w:rPr>
        <w:t>did not prevent license expiration</w:t>
      </w:r>
      <w:r w:rsidR="00BA2018">
        <w:rPr>
          <w:color w:val="000000" w:themeColor="text1"/>
          <w:sz w:val="22"/>
          <w:szCs w:val="22"/>
        </w:rPr>
        <w:t xml:space="preserve">. </w:t>
      </w:r>
      <w:r w:rsidRPr="003508DD">
        <w:rPr>
          <w:color w:val="000000" w:themeColor="text1"/>
          <w:sz w:val="22"/>
          <w:szCs w:val="22"/>
        </w:rPr>
        <w:t xml:space="preserve"> </w:t>
      </w:r>
      <w:r w:rsidR="00BA2018">
        <w:rPr>
          <w:color w:val="000000" w:themeColor="text1"/>
          <w:sz w:val="22"/>
          <w:szCs w:val="22"/>
        </w:rPr>
        <w:t xml:space="preserve">The Bureau </w:t>
      </w:r>
      <w:r w:rsidR="007B3F6F">
        <w:rPr>
          <w:color w:val="000000" w:themeColor="text1"/>
          <w:sz w:val="22"/>
          <w:szCs w:val="22"/>
        </w:rPr>
        <w:t>went on to conclude</w:t>
      </w:r>
      <w:r w:rsidR="00BA2018">
        <w:rPr>
          <w:color w:val="000000" w:themeColor="text1"/>
          <w:sz w:val="22"/>
          <w:szCs w:val="22"/>
        </w:rPr>
        <w:t xml:space="preserve"> </w:t>
      </w:r>
      <w:r w:rsidRPr="003508DD">
        <w:rPr>
          <w:color w:val="000000" w:themeColor="text1"/>
          <w:sz w:val="22"/>
          <w:szCs w:val="22"/>
        </w:rPr>
        <w:t xml:space="preserve">license reinstatement was appropriate </w:t>
      </w:r>
      <w:r w:rsidR="00BA2018">
        <w:rPr>
          <w:color w:val="000000" w:themeColor="text1"/>
          <w:sz w:val="22"/>
          <w:szCs w:val="22"/>
        </w:rPr>
        <w:t xml:space="preserve">as a matter of equity and fairness under section 312(g) </w:t>
      </w:r>
      <w:r w:rsidRPr="003508DD">
        <w:rPr>
          <w:color w:val="000000" w:themeColor="text1"/>
          <w:sz w:val="22"/>
          <w:szCs w:val="22"/>
        </w:rPr>
        <w:t>due to unique circumstances beyond Universal’s control</w:t>
      </w:r>
      <w:r w:rsidR="007B3F6F">
        <w:rPr>
          <w:color w:val="000000" w:themeColor="text1"/>
          <w:sz w:val="22"/>
          <w:szCs w:val="22"/>
        </w:rPr>
        <w:t xml:space="preserve">. </w:t>
      </w:r>
      <w:r w:rsidRPr="003508DD">
        <w:rPr>
          <w:color w:val="000000" w:themeColor="text1"/>
          <w:sz w:val="22"/>
          <w:szCs w:val="22"/>
        </w:rPr>
        <w:t xml:space="preserve"> </w:t>
      </w:r>
      <w:r w:rsidR="007B3F6F">
        <w:rPr>
          <w:color w:val="000000" w:themeColor="text1"/>
          <w:sz w:val="22"/>
          <w:szCs w:val="22"/>
        </w:rPr>
        <w:t xml:space="preserve">Specifically, the Bureau determined </w:t>
      </w:r>
      <w:r w:rsidRPr="003508DD">
        <w:rPr>
          <w:color w:val="000000" w:themeColor="text1"/>
          <w:sz w:val="22"/>
          <w:szCs w:val="22"/>
        </w:rPr>
        <w:t xml:space="preserve">the government shutdown </w:t>
      </w:r>
      <w:r w:rsidR="007B3F6F">
        <w:rPr>
          <w:color w:val="000000" w:themeColor="text1"/>
          <w:sz w:val="22"/>
          <w:szCs w:val="22"/>
        </w:rPr>
        <w:t xml:space="preserve">had prevented Universal from obtaining a timely grant of its STA request.  It also found </w:t>
      </w:r>
      <w:r w:rsidRPr="003508DD">
        <w:rPr>
          <w:color w:val="000000" w:themeColor="text1"/>
          <w:sz w:val="22"/>
          <w:szCs w:val="22"/>
        </w:rPr>
        <w:t>WIN’s exclusive lease of Universal’s transmission tower from the owner</w:t>
      </w:r>
      <w:r w:rsidR="007B3F6F">
        <w:rPr>
          <w:color w:val="000000" w:themeColor="text1"/>
          <w:sz w:val="22"/>
          <w:szCs w:val="22"/>
        </w:rPr>
        <w:t xml:space="preserve"> prevented Universal from resuming operations with its authorized facilities</w:t>
      </w:r>
      <w:r w:rsidR="00743B78">
        <w:rPr>
          <w:color w:val="000000" w:themeColor="text1"/>
          <w:sz w:val="22"/>
          <w:szCs w:val="22"/>
        </w:rPr>
        <w:t xml:space="preserve"> or with STA facilities from that site</w:t>
      </w:r>
      <w:r w:rsidRPr="003508DD">
        <w:rPr>
          <w:color w:val="000000" w:themeColor="text1"/>
          <w:sz w:val="22"/>
          <w:szCs w:val="22"/>
        </w:rPr>
        <w:t>.</w:t>
      </w:r>
      <w:r>
        <w:rPr>
          <w:rStyle w:val="FootnoteReference"/>
          <w:color w:val="000000" w:themeColor="text1"/>
          <w:sz w:val="22"/>
          <w:szCs w:val="22"/>
        </w:rPr>
        <w:footnoteReference w:id="15"/>
      </w:r>
      <w:r w:rsidRPr="003508DD">
        <w:rPr>
          <w:color w:val="000000" w:themeColor="text1"/>
          <w:sz w:val="22"/>
          <w:szCs w:val="22"/>
        </w:rPr>
        <w:t xml:space="preserve"> </w:t>
      </w:r>
      <w:r w:rsidR="003C2A5D">
        <w:rPr>
          <w:color w:val="000000" w:themeColor="text1"/>
          <w:sz w:val="22"/>
          <w:szCs w:val="22"/>
        </w:rPr>
        <w:t xml:space="preserve"> The </w:t>
      </w:r>
      <w:r w:rsidRPr="00653854" w:rsidR="003C2A5D">
        <w:rPr>
          <w:i/>
          <w:iCs/>
          <w:color w:val="000000" w:themeColor="text1"/>
          <w:sz w:val="22"/>
          <w:szCs w:val="22"/>
        </w:rPr>
        <w:t>Bureau Order</w:t>
      </w:r>
      <w:r w:rsidRPr="00653854" w:rsidR="003C2A5D">
        <w:rPr>
          <w:color w:val="000000" w:themeColor="text1"/>
          <w:sz w:val="22"/>
          <w:szCs w:val="22"/>
        </w:rPr>
        <w:t xml:space="preserve"> also adopted a consent decree </w:t>
      </w:r>
      <w:r w:rsidRPr="00653854" w:rsidR="003C2A5D">
        <w:rPr>
          <w:color w:val="000000" w:themeColor="text1"/>
          <w:sz w:val="22"/>
          <w:szCs w:val="22"/>
        </w:rPr>
        <w:t>(Consent Decree) in which Universal agreed to make a civil payment of $5,000 to the U.S. Treasury for its unauthorized operation of the Station and failure to seek extension of its silent authority STA.</w:t>
      </w:r>
      <w:r>
        <w:rPr>
          <w:rStyle w:val="FootnoteReference"/>
          <w:color w:val="000000" w:themeColor="text1"/>
          <w:sz w:val="22"/>
          <w:szCs w:val="22"/>
        </w:rPr>
        <w:footnoteReference w:id="16"/>
      </w:r>
    </w:p>
    <w:p w:rsidR="003508DD" w:rsidP="003508DD" w14:paraId="440C5D82" w14:textId="77777777">
      <w:pPr>
        <w:ind w:firstLine="720"/>
        <w:rPr>
          <w:color w:val="000000" w:themeColor="text1"/>
          <w:sz w:val="22"/>
          <w:szCs w:val="22"/>
        </w:rPr>
      </w:pPr>
    </w:p>
    <w:p w:rsidR="00897898" w:rsidP="003508DD" w14:paraId="3843A38E" w14:textId="1967E630">
      <w:pPr>
        <w:ind w:firstLine="720"/>
        <w:rPr>
          <w:color w:val="000000" w:themeColor="text1"/>
          <w:sz w:val="22"/>
          <w:szCs w:val="22"/>
        </w:rPr>
      </w:pPr>
      <w:r w:rsidRPr="003508DD">
        <w:rPr>
          <w:color w:val="000000" w:themeColor="text1"/>
          <w:sz w:val="22"/>
          <w:szCs w:val="22"/>
        </w:rPr>
        <w:t xml:space="preserve">In the Petition, WIN again requests the Bureau find that Universal’s failure to </w:t>
      </w:r>
      <w:r w:rsidR="0087205D">
        <w:rPr>
          <w:color w:val="000000" w:themeColor="text1"/>
          <w:sz w:val="22"/>
          <w:szCs w:val="22"/>
        </w:rPr>
        <w:t>resume authorized operations before January 26, 2019,</w:t>
      </w:r>
      <w:r w:rsidRPr="003508DD">
        <w:rPr>
          <w:color w:val="000000" w:themeColor="text1"/>
          <w:sz w:val="22"/>
          <w:szCs w:val="22"/>
        </w:rPr>
        <w:t xml:space="preserve"> was not due to reasons beyond its control.</w:t>
      </w:r>
      <w:r>
        <w:rPr>
          <w:rStyle w:val="FootnoteReference"/>
          <w:color w:val="000000" w:themeColor="text1"/>
          <w:sz w:val="22"/>
          <w:szCs w:val="22"/>
        </w:rPr>
        <w:footnoteReference w:id="17"/>
      </w:r>
      <w:r w:rsidRPr="003508DD">
        <w:rPr>
          <w:color w:val="000000" w:themeColor="text1"/>
          <w:sz w:val="22"/>
          <w:szCs w:val="22"/>
        </w:rPr>
        <w:t xml:space="preserve">  WIN states that Universal lost access to </w:t>
      </w:r>
      <w:r>
        <w:rPr>
          <w:color w:val="000000" w:themeColor="text1"/>
          <w:sz w:val="22"/>
          <w:szCs w:val="22"/>
        </w:rPr>
        <w:t>its</w:t>
      </w:r>
      <w:r w:rsidRPr="003508DD">
        <w:rPr>
          <w:color w:val="000000" w:themeColor="text1"/>
          <w:sz w:val="22"/>
          <w:szCs w:val="22"/>
        </w:rPr>
        <w:t xml:space="preserve"> </w:t>
      </w:r>
      <w:r w:rsidRPr="003508DD">
        <w:rPr>
          <w:color w:val="000000" w:themeColor="text1"/>
          <w:sz w:val="22"/>
          <w:szCs w:val="22"/>
        </w:rPr>
        <w:t>transmission tower for failure to pay property taxes and, consequently, the tower was sold at auction.</w:t>
      </w:r>
      <w:r>
        <w:rPr>
          <w:rStyle w:val="FootnoteReference"/>
          <w:color w:val="000000" w:themeColor="text1"/>
          <w:sz w:val="22"/>
          <w:szCs w:val="22"/>
        </w:rPr>
        <w:footnoteReference w:id="18"/>
      </w:r>
      <w:r w:rsidRPr="003508DD">
        <w:rPr>
          <w:color w:val="000000" w:themeColor="text1"/>
          <w:sz w:val="22"/>
          <w:szCs w:val="22"/>
        </w:rPr>
        <w:t xml:space="preserve">  </w:t>
      </w:r>
      <w:r>
        <w:rPr>
          <w:color w:val="000000" w:themeColor="text1"/>
          <w:sz w:val="22"/>
          <w:szCs w:val="22"/>
        </w:rPr>
        <w:t xml:space="preserve">WIN argues that </w:t>
      </w:r>
      <w:r w:rsidRPr="003508DD">
        <w:rPr>
          <w:color w:val="000000" w:themeColor="text1"/>
          <w:sz w:val="22"/>
          <w:szCs w:val="22"/>
        </w:rPr>
        <w:t xml:space="preserve">Universal’s control over </w:t>
      </w:r>
      <w:r w:rsidR="00770EB5">
        <w:rPr>
          <w:color w:val="000000" w:themeColor="text1"/>
          <w:sz w:val="22"/>
          <w:szCs w:val="22"/>
        </w:rPr>
        <w:t>its</w:t>
      </w:r>
      <w:r w:rsidRPr="003508DD" w:rsidR="00770EB5">
        <w:rPr>
          <w:color w:val="000000" w:themeColor="text1"/>
          <w:sz w:val="22"/>
          <w:szCs w:val="22"/>
        </w:rPr>
        <w:t xml:space="preserve"> </w:t>
      </w:r>
      <w:r w:rsidRPr="003508DD">
        <w:rPr>
          <w:color w:val="000000" w:themeColor="text1"/>
          <w:sz w:val="22"/>
          <w:szCs w:val="22"/>
        </w:rPr>
        <w:t xml:space="preserve">payment or non-payment of property taxes makes the tower loss well within Universal’s control.  Additionally, WIN </w:t>
      </w:r>
      <w:r>
        <w:rPr>
          <w:color w:val="000000" w:themeColor="text1"/>
          <w:sz w:val="22"/>
          <w:szCs w:val="22"/>
        </w:rPr>
        <w:t>raises</w:t>
      </w:r>
      <w:r w:rsidRPr="003508DD">
        <w:rPr>
          <w:color w:val="000000" w:themeColor="text1"/>
          <w:sz w:val="22"/>
          <w:szCs w:val="22"/>
        </w:rPr>
        <w:t xml:space="preserve"> </w:t>
      </w:r>
      <w:r w:rsidRPr="003508DD">
        <w:rPr>
          <w:color w:val="000000" w:themeColor="text1"/>
          <w:sz w:val="22"/>
          <w:szCs w:val="22"/>
        </w:rPr>
        <w:t xml:space="preserve">a new </w:t>
      </w:r>
      <w:r>
        <w:rPr>
          <w:color w:val="000000" w:themeColor="text1"/>
          <w:sz w:val="22"/>
          <w:szCs w:val="22"/>
        </w:rPr>
        <w:t>argument—</w:t>
      </w:r>
      <w:r w:rsidRPr="003508DD">
        <w:rPr>
          <w:color w:val="000000" w:themeColor="text1"/>
          <w:sz w:val="22"/>
          <w:szCs w:val="22"/>
        </w:rPr>
        <w:t xml:space="preserve">that, due to the </w:t>
      </w:r>
      <w:r w:rsidR="005D22B4">
        <w:rPr>
          <w:color w:val="000000" w:themeColor="text1"/>
          <w:sz w:val="22"/>
          <w:szCs w:val="22"/>
        </w:rPr>
        <w:t xml:space="preserve">negotiated </w:t>
      </w:r>
      <w:r w:rsidRPr="003508DD">
        <w:rPr>
          <w:color w:val="000000" w:themeColor="text1"/>
          <w:sz w:val="22"/>
          <w:szCs w:val="22"/>
        </w:rPr>
        <w:t xml:space="preserve">$5,000 civil penalty payment </w:t>
      </w:r>
      <w:r w:rsidR="005D22B4">
        <w:rPr>
          <w:color w:val="000000" w:themeColor="text1"/>
          <w:sz w:val="22"/>
          <w:szCs w:val="22"/>
        </w:rPr>
        <w:t>and</w:t>
      </w:r>
      <w:r w:rsidRPr="003508DD">
        <w:rPr>
          <w:color w:val="000000" w:themeColor="text1"/>
          <w:sz w:val="22"/>
          <w:szCs w:val="22"/>
        </w:rPr>
        <w:t xml:space="preserve"> consent decree, the </w:t>
      </w:r>
      <w:r>
        <w:rPr>
          <w:color w:val="000000" w:themeColor="text1"/>
          <w:sz w:val="22"/>
          <w:szCs w:val="22"/>
        </w:rPr>
        <w:t>Bureau</w:t>
      </w:r>
      <w:r w:rsidRPr="003508DD">
        <w:rPr>
          <w:color w:val="000000" w:themeColor="text1"/>
          <w:sz w:val="22"/>
          <w:szCs w:val="22"/>
        </w:rPr>
        <w:t xml:space="preserve"> </w:t>
      </w:r>
      <w:r w:rsidRPr="003508DD">
        <w:rPr>
          <w:color w:val="000000" w:themeColor="text1"/>
          <w:sz w:val="22"/>
          <w:szCs w:val="22"/>
        </w:rPr>
        <w:t>“knowingly participated in</w:t>
      </w:r>
      <w:r w:rsidR="00A57F39">
        <w:rPr>
          <w:color w:val="000000" w:themeColor="text1"/>
          <w:sz w:val="22"/>
          <w:szCs w:val="22"/>
        </w:rPr>
        <w:t xml:space="preserve"> </w:t>
      </w:r>
      <w:r w:rsidRPr="003508DD">
        <w:rPr>
          <w:color w:val="000000" w:themeColor="text1"/>
          <w:sz w:val="22"/>
          <w:szCs w:val="22"/>
        </w:rPr>
        <w:t>.</w:t>
      </w:r>
      <w:r w:rsidR="00A57F39">
        <w:rPr>
          <w:color w:val="000000" w:themeColor="text1"/>
          <w:sz w:val="22"/>
          <w:szCs w:val="22"/>
        </w:rPr>
        <w:t xml:space="preserve"> </w:t>
      </w:r>
      <w:r w:rsidRPr="003508DD">
        <w:rPr>
          <w:color w:val="000000" w:themeColor="text1"/>
          <w:sz w:val="22"/>
          <w:szCs w:val="22"/>
        </w:rPr>
        <w:t>.</w:t>
      </w:r>
      <w:r w:rsidR="00A57F39">
        <w:rPr>
          <w:color w:val="000000" w:themeColor="text1"/>
          <w:sz w:val="22"/>
          <w:szCs w:val="22"/>
        </w:rPr>
        <w:t xml:space="preserve"> </w:t>
      </w:r>
      <w:r w:rsidRPr="003508DD">
        <w:rPr>
          <w:color w:val="000000" w:themeColor="text1"/>
          <w:sz w:val="22"/>
          <w:szCs w:val="22"/>
        </w:rPr>
        <w:t>.</w:t>
      </w:r>
      <w:r w:rsidR="00A57F39">
        <w:rPr>
          <w:color w:val="000000" w:themeColor="text1"/>
          <w:sz w:val="22"/>
          <w:szCs w:val="22"/>
        </w:rPr>
        <w:t xml:space="preserve"> </w:t>
      </w:r>
      <w:r w:rsidRPr="003508DD">
        <w:rPr>
          <w:color w:val="000000" w:themeColor="text1"/>
          <w:sz w:val="22"/>
          <w:szCs w:val="22"/>
        </w:rPr>
        <w:t xml:space="preserve">a blatant violation of the </w:t>
      </w:r>
      <w:r w:rsidRPr="003508DD">
        <w:rPr>
          <w:i/>
          <w:iCs/>
          <w:color w:val="000000" w:themeColor="text1"/>
          <w:sz w:val="22"/>
          <w:szCs w:val="22"/>
        </w:rPr>
        <w:t xml:space="preserve">ex </w:t>
      </w:r>
      <w:r w:rsidRPr="003508DD">
        <w:rPr>
          <w:i/>
          <w:iCs/>
          <w:color w:val="000000" w:themeColor="text1"/>
          <w:sz w:val="22"/>
          <w:szCs w:val="22"/>
        </w:rPr>
        <w:t>parte</w:t>
      </w:r>
      <w:r w:rsidRPr="003508DD">
        <w:rPr>
          <w:color w:val="000000" w:themeColor="text1"/>
          <w:sz w:val="22"/>
          <w:szCs w:val="22"/>
        </w:rPr>
        <w:t xml:space="preserve"> rules”</w:t>
      </w:r>
      <w:r>
        <w:rPr>
          <w:rStyle w:val="FootnoteReference"/>
          <w:color w:val="000000" w:themeColor="text1"/>
          <w:sz w:val="22"/>
          <w:szCs w:val="22"/>
        </w:rPr>
        <w:footnoteReference w:id="19"/>
      </w:r>
      <w:r w:rsidRPr="003508DD">
        <w:rPr>
          <w:color w:val="000000" w:themeColor="text1"/>
          <w:sz w:val="22"/>
          <w:szCs w:val="22"/>
        </w:rPr>
        <w:t xml:space="preserve"> and “violated [WIN’s] rights under the [Administrative Procedures Act</w:t>
      </w:r>
      <w:r>
        <w:rPr>
          <w:color w:val="000000" w:themeColor="text1"/>
          <w:sz w:val="22"/>
          <w:szCs w:val="22"/>
        </w:rPr>
        <w:t xml:space="preserve"> (APA)</w:t>
      </w:r>
      <w:r w:rsidRPr="003508DD">
        <w:rPr>
          <w:color w:val="000000" w:themeColor="text1"/>
          <w:sz w:val="22"/>
          <w:szCs w:val="22"/>
        </w:rPr>
        <w:t>].”</w:t>
      </w:r>
      <w:r>
        <w:rPr>
          <w:rStyle w:val="FootnoteReference"/>
          <w:color w:val="000000" w:themeColor="text1"/>
          <w:sz w:val="22"/>
          <w:szCs w:val="22"/>
        </w:rPr>
        <w:footnoteReference w:id="20"/>
      </w:r>
      <w:r w:rsidRPr="003508DD">
        <w:rPr>
          <w:color w:val="000000" w:themeColor="text1"/>
          <w:sz w:val="22"/>
          <w:szCs w:val="22"/>
        </w:rPr>
        <w:t xml:space="preserve">  </w:t>
      </w:r>
      <w:r w:rsidR="007D5AE7">
        <w:rPr>
          <w:color w:val="000000" w:themeColor="text1"/>
          <w:sz w:val="22"/>
          <w:szCs w:val="22"/>
        </w:rPr>
        <w:t>WIN assumes</w:t>
      </w:r>
      <w:r w:rsidR="008434D6">
        <w:rPr>
          <w:color w:val="000000" w:themeColor="text1"/>
          <w:sz w:val="22"/>
          <w:szCs w:val="22"/>
        </w:rPr>
        <w:t xml:space="preserve"> the settlement discussions between the Bureau and Universal </w:t>
      </w:r>
      <w:r w:rsidR="0080436C">
        <w:rPr>
          <w:color w:val="000000" w:themeColor="text1"/>
          <w:sz w:val="22"/>
          <w:szCs w:val="22"/>
        </w:rPr>
        <w:t xml:space="preserve">were “explicitly </w:t>
      </w:r>
      <w:r w:rsidR="007D5AE7">
        <w:rPr>
          <w:color w:val="000000" w:themeColor="text1"/>
          <w:sz w:val="22"/>
          <w:szCs w:val="22"/>
        </w:rPr>
        <w:t>directed to the merits of</w:t>
      </w:r>
      <w:r w:rsidR="0080436C">
        <w:rPr>
          <w:color w:val="000000" w:themeColor="text1"/>
          <w:sz w:val="22"/>
          <w:szCs w:val="22"/>
        </w:rPr>
        <w:t xml:space="preserve"> a contested application” and therefore </w:t>
      </w:r>
      <w:r w:rsidR="008434D6">
        <w:rPr>
          <w:color w:val="000000" w:themeColor="text1"/>
          <w:sz w:val="22"/>
          <w:szCs w:val="22"/>
        </w:rPr>
        <w:t xml:space="preserve">violated WIN’s rights under the APA because </w:t>
      </w:r>
      <w:r w:rsidR="0080436C">
        <w:rPr>
          <w:color w:val="000000" w:themeColor="text1"/>
          <w:sz w:val="22"/>
          <w:szCs w:val="22"/>
        </w:rPr>
        <w:t>WIN, as a</w:t>
      </w:r>
      <w:r w:rsidR="00130478">
        <w:rPr>
          <w:color w:val="000000" w:themeColor="text1"/>
          <w:sz w:val="22"/>
          <w:szCs w:val="22"/>
        </w:rPr>
        <w:t>n alleged</w:t>
      </w:r>
      <w:r w:rsidR="0080436C">
        <w:rPr>
          <w:color w:val="000000" w:themeColor="text1"/>
          <w:sz w:val="22"/>
          <w:szCs w:val="22"/>
        </w:rPr>
        <w:t xml:space="preserve"> party, did not receive </w:t>
      </w:r>
      <w:r w:rsidR="007D5AE7">
        <w:rPr>
          <w:color w:val="000000" w:themeColor="text1"/>
          <w:sz w:val="22"/>
          <w:szCs w:val="22"/>
        </w:rPr>
        <w:t>“service, notice, or any other disclosure of the contents.”</w:t>
      </w:r>
      <w:r>
        <w:rPr>
          <w:rStyle w:val="FootnoteReference"/>
          <w:color w:val="000000" w:themeColor="text1"/>
          <w:sz w:val="22"/>
          <w:szCs w:val="22"/>
        </w:rPr>
        <w:footnoteReference w:id="21"/>
      </w:r>
      <w:r w:rsidR="007D5AE7">
        <w:rPr>
          <w:color w:val="000000" w:themeColor="text1"/>
          <w:sz w:val="22"/>
          <w:szCs w:val="22"/>
        </w:rPr>
        <w:t xml:space="preserve">  </w:t>
      </w:r>
    </w:p>
    <w:p w:rsidR="00897898" w:rsidP="003508DD" w14:paraId="3EE415E7" w14:textId="77777777">
      <w:pPr>
        <w:ind w:firstLine="720"/>
        <w:rPr>
          <w:color w:val="000000" w:themeColor="text1"/>
          <w:sz w:val="22"/>
          <w:szCs w:val="22"/>
        </w:rPr>
      </w:pPr>
    </w:p>
    <w:p w:rsidR="003508DD" w:rsidRPr="003508DD" w:rsidP="003508DD" w14:paraId="7BD83B8D" w14:textId="21A81A07">
      <w:pPr>
        <w:ind w:firstLine="720"/>
        <w:rPr>
          <w:rStyle w:val="EndnoteReference"/>
          <w:color w:val="000000" w:themeColor="text1"/>
          <w:sz w:val="22"/>
          <w:szCs w:val="22"/>
        </w:rPr>
      </w:pPr>
      <w:r w:rsidRPr="003508DD">
        <w:rPr>
          <w:color w:val="000000" w:themeColor="text1"/>
          <w:sz w:val="22"/>
          <w:szCs w:val="22"/>
        </w:rPr>
        <w:t xml:space="preserve">Universal, in </w:t>
      </w:r>
      <w:r w:rsidR="007E7636">
        <w:rPr>
          <w:color w:val="000000" w:themeColor="text1"/>
          <w:sz w:val="22"/>
          <w:szCs w:val="22"/>
        </w:rPr>
        <w:t>its</w:t>
      </w:r>
      <w:r w:rsidRPr="003508DD" w:rsidR="007E7636">
        <w:rPr>
          <w:color w:val="000000" w:themeColor="text1"/>
          <w:sz w:val="22"/>
          <w:szCs w:val="22"/>
        </w:rPr>
        <w:t xml:space="preserve"> </w:t>
      </w:r>
      <w:r w:rsidRPr="00394F73">
        <w:rPr>
          <w:color w:val="000000" w:themeColor="text1"/>
          <w:sz w:val="22"/>
          <w:szCs w:val="22"/>
        </w:rPr>
        <w:t>Opposition</w:t>
      </w:r>
      <w:r w:rsidRPr="003508DD">
        <w:rPr>
          <w:color w:val="000000" w:themeColor="text1"/>
          <w:sz w:val="22"/>
          <w:szCs w:val="22"/>
        </w:rPr>
        <w:t>, argues that WIN does not meet the standing requirements for a petition for reconsideration.</w:t>
      </w:r>
      <w:r>
        <w:rPr>
          <w:rStyle w:val="FootnoteReference"/>
          <w:color w:val="000000" w:themeColor="text1"/>
          <w:sz w:val="22"/>
          <w:szCs w:val="22"/>
        </w:rPr>
        <w:footnoteReference w:id="22"/>
      </w:r>
      <w:r w:rsidRPr="003508DD">
        <w:rPr>
          <w:color w:val="000000" w:themeColor="text1"/>
          <w:sz w:val="22"/>
          <w:szCs w:val="22"/>
        </w:rPr>
        <w:t xml:space="preserve"> </w:t>
      </w:r>
      <w:r w:rsidR="00332DCE">
        <w:rPr>
          <w:color w:val="000000" w:themeColor="text1"/>
          <w:sz w:val="22"/>
          <w:szCs w:val="22"/>
        </w:rPr>
        <w:t xml:space="preserve"> </w:t>
      </w:r>
      <w:r w:rsidR="00897898">
        <w:rPr>
          <w:color w:val="000000" w:themeColor="text1"/>
          <w:sz w:val="22"/>
          <w:szCs w:val="22"/>
        </w:rPr>
        <w:t>Universal</w:t>
      </w:r>
      <w:r w:rsidRPr="003508DD" w:rsidR="00897898">
        <w:rPr>
          <w:color w:val="000000" w:themeColor="text1"/>
          <w:sz w:val="22"/>
          <w:szCs w:val="22"/>
        </w:rPr>
        <w:t xml:space="preserve"> </w:t>
      </w:r>
      <w:r w:rsidRPr="003508DD">
        <w:rPr>
          <w:color w:val="000000" w:themeColor="text1"/>
          <w:sz w:val="22"/>
          <w:szCs w:val="22"/>
        </w:rPr>
        <w:t>also state</w:t>
      </w:r>
      <w:r w:rsidR="00332DCE">
        <w:rPr>
          <w:color w:val="000000" w:themeColor="text1"/>
          <w:sz w:val="22"/>
          <w:szCs w:val="22"/>
        </w:rPr>
        <w:t>s</w:t>
      </w:r>
      <w:r w:rsidRPr="003508DD">
        <w:rPr>
          <w:color w:val="000000" w:themeColor="text1"/>
          <w:sz w:val="22"/>
          <w:szCs w:val="22"/>
        </w:rPr>
        <w:t xml:space="preserve"> that </w:t>
      </w:r>
      <w:r w:rsidR="00252EF0">
        <w:rPr>
          <w:color w:val="000000" w:themeColor="text1"/>
          <w:sz w:val="22"/>
          <w:szCs w:val="22"/>
        </w:rPr>
        <w:t>WIN is not a party to the Conse</w:t>
      </w:r>
      <w:r w:rsidR="001021F4">
        <w:rPr>
          <w:color w:val="000000" w:themeColor="text1"/>
          <w:sz w:val="22"/>
          <w:szCs w:val="22"/>
        </w:rPr>
        <w:t>nt Decree and any</w:t>
      </w:r>
      <w:r w:rsidR="00252EF0">
        <w:rPr>
          <w:color w:val="000000" w:themeColor="text1"/>
          <w:sz w:val="22"/>
          <w:szCs w:val="22"/>
        </w:rPr>
        <w:t xml:space="preserve"> </w:t>
      </w:r>
      <w:r w:rsidR="00784666">
        <w:rPr>
          <w:color w:val="000000" w:themeColor="text1"/>
          <w:sz w:val="22"/>
          <w:szCs w:val="22"/>
        </w:rPr>
        <w:t>settlement discussions “dealt strictly with the details of the Consent Decree</w:t>
      </w:r>
      <w:r w:rsidR="00252EF0">
        <w:rPr>
          <w:color w:val="000000" w:themeColor="text1"/>
          <w:sz w:val="22"/>
          <w:szCs w:val="22"/>
        </w:rPr>
        <w:t>.</w:t>
      </w:r>
      <w:r w:rsidR="00784666">
        <w:rPr>
          <w:color w:val="000000" w:themeColor="text1"/>
          <w:sz w:val="22"/>
          <w:szCs w:val="22"/>
        </w:rPr>
        <w:t>”</w:t>
      </w:r>
      <w:r>
        <w:rPr>
          <w:rStyle w:val="FootnoteReference"/>
          <w:color w:val="000000" w:themeColor="text1"/>
          <w:sz w:val="22"/>
          <w:szCs w:val="22"/>
        </w:rPr>
        <w:footnoteReference w:id="23"/>
      </w:r>
      <w:r w:rsidR="00252EF0">
        <w:rPr>
          <w:color w:val="000000" w:themeColor="text1"/>
          <w:sz w:val="22"/>
          <w:szCs w:val="22"/>
        </w:rPr>
        <w:t xml:space="preserve">  </w:t>
      </w:r>
      <w:r w:rsidRPr="003508DD">
        <w:rPr>
          <w:color w:val="000000" w:themeColor="text1"/>
          <w:sz w:val="22"/>
          <w:szCs w:val="22"/>
        </w:rPr>
        <w:t xml:space="preserve">In </w:t>
      </w:r>
      <w:r w:rsidR="00897898">
        <w:rPr>
          <w:color w:val="000000" w:themeColor="text1"/>
          <w:sz w:val="22"/>
          <w:szCs w:val="22"/>
        </w:rPr>
        <w:t>its</w:t>
      </w:r>
      <w:r w:rsidRPr="003508DD" w:rsidR="00897898">
        <w:rPr>
          <w:color w:val="000000" w:themeColor="text1"/>
          <w:sz w:val="22"/>
          <w:szCs w:val="22"/>
        </w:rPr>
        <w:t xml:space="preserve"> </w:t>
      </w:r>
      <w:r w:rsidR="00897898">
        <w:rPr>
          <w:color w:val="000000" w:themeColor="text1"/>
          <w:sz w:val="22"/>
          <w:szCs w:val="22"/>
        </w:rPr>
        <w:t>R</w:t>
      </w:r>
      <w:r w:rsidRPr="003508DD">
        <w:rPr>
          <w:color w:val="000000" w:themeColor="text1"/>
          <w:sz w:val="22"/>
          <w:szCs w:val="22"/>
        </w:rPr>
        <w:t xml:space="preserve">eply, WIN restates </w:t>
      </w:r>
      <w:r w:rsidR="00332DCE">
        <w:rPr>
          <w:color w:val="000000" w:themeColor="text1"/>
          <w:sz w:val="22"/>
          <w:szCs w:val="22"/>
        </w:rPr>
        <w:t>its claim</w:t>
      </w:r>
      <w:r w:rsidRPr="003508DD">
        <w:rPr>
          <w:color w:val="000000" w:themeColor="text1"/>
          <w:sz w:val="22"/>
          <w:szCs w:val="22"/>
        </w:rPr>
        <w:t xml:space="preserve"> that Universal’s tower loss was within Universal’s control due to nonpayment of taxes.</w:t>
      </w:r>
      <w:r>
        <w:rPr>
          <w:rStyle w:val="FootnoteReference"/>
          <w:color w:val="000000" w:themeColor="text1"/>
          <w:sz w:val="22"/>
          <w:szCs w:val="22"/>
        </w:rPr>
        <w:footnoteReference w:id="24"/>
      </w:r>
      <w:r w:rsidRPr="003508DD">
        <w:rPr>
          <w:color w:val="000000" w:themeColor="text1"/>
          <w:sz w:val="22"/>
          <w:szCs w:val="22"/>
        </w:rPr>
        <w:t xml:space="preserve">  Additionally, WIN </w:t>
      </w:r>
      <w:r w:rsidR="00626CF6">
        <w:rPr>
          <w:color w:val="000000" w:themeColor="text1"/>
          <w:sz w:val="22"/>
          <w:szCs w:val="22"/>
        </w:rPr>
        <w:t>repeats</w:t>
      </w:r>
      <w:r w:rsidR="006E53DC">
        <w:rPr>
          <w:color w:val="000000" w:themeColor="text1"/>
          <w:sz w:val="22"/>
          <w:szCs w:val="22"/>
        </w:rPr>
        <w:t xml:space="preserve"> its argument that negotiation of the Consent Decree confirms </w:t>
      </w:r>
      <w:r w:rsidRPr="003508DD">
        <w:rPr>
          <w:color w:val="000000" w:themeColor="text1"/>
          <w:sz w:val="22"/>
          <w:szCs w:val="22"/>
        </w:rPr>
        <w:t xml:space="preserve">“these </w:t>
      </w:r>
      <w:r w:rsidRPr="003508DD">
        <w:rPr>
          <w:i/>
          <w:color w:val="000000" w:themeColor="text1"/>
          <w:sz w:val="22"/>
          <w:szCs w:val="22"/>
        </w:rPr>
        <w:t xml:space="preserve">ex </w:t>
      </w:r>
      <w:r w:rsidRPr="003508DD">
        <w:rPr>
          <w:i/>
          <w:color w:val="000000" w:themeColor="text1"/>
          <w:sz w:val="22"/>
          <w:szCs w:val="22"/>
        </w:rPr>
        <w:t>parte</w:t>
      </w:r>
      <w:r w:rsidRPr="003508DD">
        <w:rPr>
          <w:color w:val="000000" w:themeColor="text1"/>
          <w:sz w:val="22"/>
          <w:szCs w:val="22"/>
        </w:rPr>
        <w:t xml:space="preserve"> communications</w:t>
      </w:r>
      <w:r w:rsidR="007E7636">
        <w:rPr>
          <w:color w:val="000000" w:themeColor="text1"/>
          <w:sz w:val="22"/>
          <w:szCs w:val="22"/>
        </w:rPr>
        <w:t xml:space="preserve">. . . </w:t>
      </w:r>
      <w:r w:rsidRPr="003508DD">
        <w:rPr>
          <w:color w:val="000000" w:themeColor="text1"/>
          <w:sz w:val="22"/>
          <w:szCs w:val="22"/>
        </w:rPr>
        <w:t>were somehow material to the staff’s decision.”</w:t>
      </w:r>
      <w:r>
        <w:rPr>
          <w:rStyle w:val="FootnoteReference"/>
          <w:color w:val="000000" w:themeColor="text1"/>
          <w:sz w:val="22"/>
          <w:szCs w:val="22"/>
        </w:rPr>
        <w:footnoteReference w:id="25"/>
      </w:r>
      <w:r w:rsidRPr="003508DD">
        <w:rPr>
          <w:color w:val="000000" w:themeColor="text1"/>
          <w:sz w:val="22"/>
          <w:szCs w:val="22"/>
        </w:rPr>
        <w:t xml:space="preserve">  According to WIN, “conditioning the effectiveness of the consent on compliance with the Consent Decree confirms that </w:t>
      </w:r>
      <w:r w:rsidRPr="003508DD">
        <w:rPr>
          <w:i/>
          <w:color w:val="000000" w:themeColor="text1"/>
          <w:sz w:val="22"/>
          <w:szCs w:val="22"/>
        </w:rPr>
        <w:t>but for</w:t>
      </w:r>
      <w:r w:rsidRPr="003508DD">
        <w:rPr>
          <w:color w:val="000000" w:themeColor="text1"/>
          <w:sz w:val="22"/>
          <w:szCs w:val="22"/>
        </w:rPr>
        <w:t xml:space="preserve"> the illegal </w:t>
      </w:r>
      <w:r w:rsidRPr="003508DD">
        <w:rPr>
          <w:i/>
          <w:color w:val="000000" w:themeColor="text1"/>
          <w:sz w:val="22"/>
          <w:szCs w:val="22"/>
        </w:rPr>
        <w:t xml:space="preserve">ex </w:t>
      </w:r>
      <w:r w:rsidRPr="003508DD">
        <w:rPr>
          <w:i/>
          <w:color w:val="000000" w:themeColor="text1"/>
          <w:sz w:val="22"/>
          <w:szCs w:val="22"/>
        </w:rPr>
        <w:t>parte</w:t>
      </w:r>
      <w:r w:rsidRPr="003508DD">
        <w:rPr>
          <w:color w:val="000000" w:themeColor="text1"/>
          <w:sz w:val="22"/>
          <w:szCs w:val="22"/>
        </w:rPr>
        <w:t xml:space="preserve"> communications, the application would not have been approved.”</w:t>
      </w:r>
      <w:r>
        <w:rPr>
          <w:rStyle w:val="FootnoteReference"/>
          <w:color w:val="000000" w:themeColor="text1"/>
          <w:sz w:val="22"/>
          <w:szCs w:val="22"/>
        </w:rPr>
        <w:footnoteReference w:id="26"/>
      </w:r>
      <w:r w:rsidRPr="003508DD">
        <w:rPr>
          <w:color w:val="000000" w:themeColor="text1"/>
          <w:sz w:val="22"/>
          <w:szCs w:val="22"/>
        </w:rPr>
        <w:t xml:space="preserve">  </w:t>
      </w:r>
      <w:r w:rsidRPr="00626CF6" w:rsidR="008B4ADC">
        <w:rPr>
          <w:color w:val="000000" w:themeColor="text1"/>
          <w:sz w:val="22"/>
          <w:szCs w:val="22"/>
        </w:rPr>
        <w:t>Based on its assertion that</w:t>
      </w:r>
      <w:r w:rsidRPr="003508DD">
        <w:rPr>
          <w:color w:val="000000" w:themeColor="text1"/>
          <w:sz w:val="22"/>
          <w:szCs w:val="22"/>
        </w:rPr>
        <w:t xml:space="preserve"> it is a party to the </w:t>
      </w:r>
      <w:r w:rsidR="00273915">
        <w:rPr>
          <w:color w:val="000000" w:themeColor="text1"/>
          <w:sz w:val="22"/>
          <w:szCs w:val="22"/>
        </w:rPr>
        <w:t>proceeding</w:t>
      </w:r>
      <w:r w:rsidRPr="00626CF6" w:rsidR="00BB52CA">
        <w:rPr>
          <w:color w:val="000000" w:themeColor="text1"/>
          <w:sz w:val="22"/>
          <w:szCs w:val="22"/>
        </w:rPr>
        <w:t xml:space="preserve">, </w:t>
      </w:r>
      <w:r w:rsidR="00626CF6">
        <w:rPr>
          <w:color w:val="000000" w:themeColor="text1"/>
          <w:sz w:val="22"/>
          <w:szCs w:val="22"/>
        </w:rPr>
        <w:t>WIN</w:t>
      </w:r>
      <w:r w:rsidR="008B4ADC">
        <w:rPr>
          <w:color w:val="000000" w:themeColor="text1"/>
          <w:sz w:val="22"/>
          <w:szCs w:val="22"/>
        </w:rPr>
        <w:t xml:space="preserve"> </w:t>
      </w:r>
      <w:r w:rsidR="00BB52CA">
        <w:rPr>
          <w:color w:val="000000" w:themeColor="text1"/>
          <w:sz w:val="22"/>
          <w:szCs w:val="22"/>
        </w:rPr>
        <w:t xml:space="preserve">argues it should have been able to participate in the settlement discussions to resolve the </w:t>
      </w:r>
      <w:r w:rsidRPr="003508DD">
        <w:rPr>
          <w:color w:val="000000" w:themeColor="text1"/>
          <w:sz w:val="22"/>
          <w:szCs w:val="22"/>
        </w:rPr>
        <w:t xml:space="preserve">enforcement </w:t>
      </w:r>
      <w:r w:rsidR="00003811">
        <w:rPr>
          <w:color w:val="000000" w:themeColor="text1"/>
          <w:sz w:val="22"/>
          <w:szCs w:val="22"/>
        </w:rPr>
        <w:t xml:space="preserve">issue </w:t>
      </w:r>
      <w:r w:rsidR="00BB52CA">
        <w:rPr>
          <w:color w:val="000000" w:themeColor="text1"/>
          <w:sz w:val="22"/>
          <w:szCs w:val="22"/>
        </w:rPr>
        <w:t>addressed i</w:t>
      </w:r>
      <w:r w:rsidR="00A1107E">
        <w:rPr>
          <w:color w:val="000000" w:themeColor="text1"/>
          <w:sz w:val="22"/>
          <w:szCs w:val="22"/>
        </w:rPr>
        <w:t>n</w:t>
      </w:r>
      <w:r w:rsidR="00003811">
        <w:rPr>
          <w:color w:val="000000" w:themeColor="text1"/>
          <w:sz w:val="22"/>
          <w:szCs w:val="22"/>
        </w:rPr>
        <w:t xml:space="preserve"> the Consent Decree</w:t>
      </w:r>
      <w:r w:rsidR="00BB52CA">
        <w:rPr>
          <w:color w:val="000000" w:themeColor="text1"/>
          <w:sz w:val="22"/>
          <w:szCs w:val="22"/>
        </w:rPr>
        <w:t>—specifically, Universal’s unauthorized operations and failure to se</w:t>
      </w:r>
      <w:r w:rsidR="00A1107E">
        <w:rPr>
          <w:color w:val="000000" w:themeColor="text1"/>
          <w:sz w:val="22"/>
          <w:szCs w:val="22"/>
        </w:rPr>
        <w:t>e</w:t>
      </w:r>
      <w:r w:rsidR="00BB52CA">
        <w:rPr>
          <w:color w:val="000000" w:themeColor="text1"/>
          <w:sz w:val="22"/>
          <w:szCs w:val="22"/>
        </w:rPr>
        <w:t>k extension of its silent STA</w:t>
      </w:r>
      <w:r w:rsidRPr="00626CF6" w:rsidR="00B071BD">
        <w:rPr>
          <w:color w:val="000000" w:themeColor="text1"/>
          <w:sz w:val="22"/>
          <w:szCs w:val="22"/>
        </w:rPr>
        <w:t xml:space="preserve">.  </w:t>
      </w:r>
      <w:r w:rsidR="00626CF6">
        <w:rPr>
          <w:color w:val="000000" w:themeColor="text1"/>
          <w:sz w:val="22"/>
          <w:szCs w:val="22"/>
        </w:rPr>
        <w:t>WIN</w:t>
      </w:r>
      <w:r w:rsidRPr="00626CF6" w:rsidR="00B071BD">
        <w:rPr>
          <w:color w:val="000000" w:themeColor="text1"/>
          <w:sz w:val="22"/>
          <w:szCs w:val="22"/>
        </w:rPr>
        <w:t xml:space="preserve"> further contends that</w:t>
      </w:r>
      <w:r w:rsidR="00626CF6">
        <w:rPr>
          <w:color w:val="000000" w:themeColor="text1"/>
          <w:sz w:val="22"/>
          <w:szCs w:val="22"/>
        </w:rPr>
        <w:t>,</w:t>
      </w:r>
      <w:r w:rsidRPr="00626CF6" w:rsidR="00B071BD">
        <w:rPr>
          <w:color w:val="000000" w:themeColor="text1"/>
          <w:sz w:val="22"/>
          <w:szCs w:val="22"/>
        </w:rPr>
        <w:t xml:space="preserve"> b</w:t>
      </w:r>
      <w:r w:rsidR="00BB52CA">
        <w:rPr>
          <w:color w:val="000000" w:themeColor="text1"/>
          <w:sz w:val="22"/>
          <w:szCs w:val="22"/>
        </w:rPr>
        <w:t xml:space="preserve">ecause it </w:t>
      </w:r>
      <w:r w:rsidRPr="003508DD">
        <w:rPr>
          <w:color w:val="000000" w:themeColor="text1"/>
          <w:sz w:val="22"/>
          <w:szCs w:val="22"/>
        </w:rPr>
        <w:t xml:space="preserve">did not receive any notice of the communications </w:t>
      </w:r>
      <w:r w:rsidR="006E53DC">
        <w:rPr>
          <w:color w:val="000000" w:themeColor="text1"/>
          <w:sz w:val="22"/>
          <w:szCs w:val="22"/>
        </w:rPr>
        <w:t xml:space="preserve">between the Bureau and Universal </w:t>
      </w:r>
      <w:r w:rsidRPr="003508DD">
        <w:rPr>
          <w:color w:val="000000" w:themeColor="text1"/>
          <w:sz w:val="22"/>
          <w:szCs w:val="22"/>
        </w:rPr>
        <w:t xml:space="preserve">or information about the substance </w:t>
      </w:r>
      <w:r w:rsidR="006E53DC">
        <w:rPr>
          <w:color w:val="000000" w:themeColor="text1"/>
          <w:sz w:val="22"/>
          <w:szCs w:val="22"/>
        </w:rPr>
        <w:t xml:space="preserve">of that communication </w:t>
      </w:r>
      <w:r w:rsidR="00332DCE">
        <w:rPr>
          <w:color w:val="000000" w:themeColor="text1"/>
          <w:sz w:val="22"/>
          <w:szCs w:val="22"/>
        </w:rPr>
        <w:t xml:space="preserve">until </w:t>
      </w:r>
      <w:r w:rsidRPr="003508DD">
        <w:rPr>
          <w:color w:val="000000" w:themeColor="text1"/>
          <w:sz w:val="22"/>
          <w:szCs w:val="22"/>
        </w:rPr>
        <w:t>afterwards, the Commission violated section 554 of the APA.</w:t>
      </w:r>
      <w:r>
        <w:rPr>
          <w:rStyle w:val="FootnoteReference"/>
          <w:color w:val="000000" w:themeColor="text1"/>
          <w:sz w:val="22"/>
          <w:szCs w:val="22"/>
        </w:rPr>
        <w:footnoteReference w:id="27"/>
      </w:r>
    </w:p>
    <w:p w:rsidR="003508DD" w:rsidP="003508DD" w14:paraId="32BEEFE0" w14:textId="77777777">
      <w:pPr>
        <w:ind w:firstLine="720"/>
        <w:rPr>
          <w:b/>
          <w:bCs/>
          <w:color w:val="000000" w:themeColor="text1"/>
          <w:sz w:val="22"/>
          <w:szCs w:val="22"/>
        </w:rPr>
      </w:pPr>
    </w:p>
    <w:p w:rsidR="003508DD" w:rsidRPr="003508DD" w:rsidP="003508DD" w14:paraId="31719B71" w14:textId="461EA9CB">
      <w:pPr>
        <w:ind w:firstLine="720"/>
        <w:rPr>
          <w:color w:val="000000" w:themeColor="text1"/>
          <w:sz w:val="22"/>
          <w:szCs w:val="22"/>
          <w:vertAlign w:val="superscript"/>
        </w:rPr>
      </w:pPr>
      <w:r w:rsidRPr="003508DD">
        <w:rPr>
          <w:b/>
          <w:bCs/>
          <w:color w:val="000000" w:themeColor="text1"/>
          <w:sz w:val="22"/>
          <w:szCs w:val="22"/>
        </w:rPr>
        <w:t>Discussion</w:t>
      </w:r>
      <w:r w:rsidRPr="003508DD">
        <w:rPr>
          <w:color w:val="000000" w:themeColor="text1"/>
          <w:sz w:val="22"/>
          <w:szCs w:val="22"/>
        </w:rPr>
        <w:t>.  The Commission will consider a petition for reconsideration only when the petitioner shows either a material error in the Commission's original order or raises additional facts not known or existing at the time of the petitioner's last opportunity to present such matters.</w:t>
      </w:r>
      <w:r>
        <w:rPr>
          <w:rStyle w:val="FootnoteReference"/>
          <w:color w:val="000000" w:themeColor="text1"/>
          <w:sz w:val="22"/>
          <w:szCs w:val="22"/>
        </w:rPr>
        <w:footnoteReference w:id="28"/>
      </w:r>
      <w:r w:rsidR="005B53DA">
        <w:rPr>
          <w:color w:val="000000" w:themeColor="text1"/>
          <w:sz w:val="22"/>
          <w:szCs w:val="22"/>
        </w:rPr>
        <w:t xml:space="preserve">  WIN has failed to satisfy this require</w:t>
      </w:r>
      <w:r w:rsidR="001228E8">
        <w:rPr>
          <w:color w:val="000000" w:themeColor="text1"/>
          <w:sz w:val="22"/>
          <w:szCs w:val="22"/>
        </w:rPr>
        <w:t>ment, and thus we deny the Petition.</w:t>
      </w:r>
    </w:p>
    <w:p w:rsidR="000212BB" w:rsidP="00081AFB" w14:paraId="7F0A467D" w14:textId="77777777">
      <w:pPr>
        <w:rPr>
          <w:color w:val="000000" w:themeColor="text1"/>
          <w:sz w:val="22"/>
          <w:szCs w:val="22"/>
        </w:rPr>
      </w:pPr>
    </w:p>
    <w:p w:rsidR="003508DD" w:rsidRPr="003508DD" w:rsidP="00653854" w14:paraId="3466F920" w14:textId="32E88B40">
      <w:pPr>
        <w:ind w:firstLine="720"/>
        <w:rPr>
          <w:color w:val="000000" w:themeColor="text1"/>
          <w:sz w:val="22"/>
          <w:szCs w:val="22"/>
        </w:rPr>
      </w:pPr>
      <w:r>
        <w:rPr>
          <w:color w:val="000000" w:themeColor="text1"/>
          <w:sz w:val="22"/>
          <w:szCs w:val="22"/>
        </w:rPr>
        <w:t>WIN’s first argument</w:t>
      </w:r>
      <w:r w:rsidR="00081AFB">
        <w:rPr>
          <w:color w:val="000000" w:themeColor="text1"/>
          <w:sz w:val="22"/>
          <w:szCs w:val="22"/>
        </w:rPr>
        <w:t xml:space="preserve">—that Universal’s </w:t>
      </w:r>
      <w:r w:rsidRPr="003508DD" w:rsidR="00081AFB">
        <w:rPr>
          <w:color w:val="000000" w:themeColor="text1"/>
          <w:sz w:val="22"/>
          <w:szCs w:val="22"/>
        </w:rPr>
        <w:t xml:space="preserve">failure to </w:t>
      </w:r>
      <w:r w:rsidR="00081AFB">
        <w:rPr>
          <w:color w:val="000000" w:themeColor="text1"/>
          <w:sz w:val="22"/>
          <w:szCs w:val="22"/>
        </w:rPr>
        <w:t>resume authorized operations before January 26, 2019,</w:t>
      </w:r>
      <w:r w:rsidRPr="003508DD" w:rsidR="00081AFB">
        <w:rPr>
          <w:color w:val="000000" w:themeColor="text1"/>
          <w:sz w:val="22"/>
          <w:szCs w:val="22"/>
        </w:rPr>
        <w:t xml:space="preserve"> was not due to reasons beyond its control</w:t>
      </w:r>
      <w:r w:rsidR="00081AFB">
        <w:rPr>
          <w:color w:val="000000" w:themeColor="text1"/>
          <w:sz w:val="22"/>
          <w:szCs w:val="22"/>
        </w:rPr>
        <w:t>—</w:t>
      </w:r>
      <w:r>
        <w:rPr>
          <w:color w:val="000000" w:themeColor="text1"/>
          <w:sz w:val="22"/>
          <w:szCs w:val="22"/>
        </w:rPr>
        <w:t xml:space="preserve">is merely a repetition of its petition to deny, </w:t>
      </w:r>
      <w:r w:rsidR="00570225">
        <w:rPr>
          <w:color w:val="000000" w:themeColor="text1"/>
          <w:sz w:val="22"/>
          <w:szCs w:val="22"/>
        </w:rPr>
        <w:t xml:space="preserve">an argument that was already addressed in the </w:t>
      </w:r>
      <w:r w:rsidRPr="00081AFB" w:rsidR="00570225">
        <w:rPr>
          <w:i/>
          <w:color w:val="000000" w:themeColor="text1"/>
          <w:sz w:val="22"/>
          <w:szCs w:val="22"/>
        </w:rPr>
        <w:t>Bureau Order</w:t>
      </w:r>
      <w:r w:rsidR="00570225">
        <w:rPr>
          <w:color w:val="000000" w:themeColor="text1"/>
          <w:sz w:val="22"/>
          <w:szCs w:val="22"/>
        </w:rPr>
        <w:t xml:space="preserve">, and it is </w:t>
      </w:r>
      <w:r w:rsidRPr="00570225" w:rsidR="00570225">
        <w:rPr>
          <w:color w:val="000000" w:themeColor="text1"/>
          <w:sz w:val="22"/>
          <w:szCs w:val="22"/>
        </w:rPr>
        <w:t xml:space="preserve">“well established that </w:t>
      </w:r>
      <w:r w:rsidRPr="00081AFB" w:rsidR="00570225">
        <w:rPr>
          <w:sz w:val="22"/>
          <w:szCs w:val="22"/>
        </w:rPr>
        <w:t xml:space="preserve">reconsideration will not be granted merely for the purpose of again debating matters on which the staff </w:t>
      </w:r>
      <w:r w:rsidRPr="00570225" w:rsidR="00570225">
        <w:rPr>
          <w:sz w:val="22"/>
          <w:szCs w:val="22"/>
        </w:rPr>
        <w:t>has once deliberated and spoken</w:t>
      </w:r>
      <w:r w:rsidRPr="00081AFB" w:rsidR="00570225">
        <w:rPr>
          <w:sz w:val="22"/>
          <w:szCs w:val="22"/>
        </w:rPr>
        <w:t>.”</w:t>
      </w:r>
      <w:r>
        <w:rPr>
          <w:rStyle w:val="FootnoteReference"/>
          <w:sz w:val="22"/>
          <w:szCs w:val="22"/>
        </w:rPr>
        <w:footnoteReference w:id="29"/>
      </w:r>
      <w:r w:rsidRPr="00081AFB" w:rsidR="00570225">
        <w:rPr>
          <w:i/>
          <w:sz w:val="22"/>
          <w:szCs w:val="22"/>
        </w:rPr>
        <w:t xml:space="preserve">  </w:t>
      </w:r>
      <w:r w:rsidR="006C004F">
        <w:rPr>
          <w:sz w:val="22"/>
          <w:szCs w:val="22"/>
        </w:rPr>
        <w:t xml:space="preserve">However, we will restate the Bureau’s findings in this instance.  </w:t>
      </w:r>
      <w:r w:rsidRPr="003508DD">
        <w:rPr>
          <w:color w:val="000000" w:themeColor="text1"/>
          <w:sz w:val="22"/>
          <w:szCs w:val="22"/>
        </w:rPr>
        <w:t>Pursuant to section 312(g) of the Act, if a broadcast station fails to transmit</w:t>
      </w:r>
      <w:r w:rsidR="00132018">
        <w:rPr>
          <w:color w:val="000000" w:themeColor="text1"/>
          <w:sz w:val="22"/>
          <w:szCs w:val="22"/>
        </w:rPr>
        <w:t xml:space="preserve"> </w:t>
      </w:r>
      <w:r w:rsidRPr="003508DD">
        <w:rPr>
          <w:color w:val="000000" w:themeColor="text1"/>
          <w:sz w:val="22"/>
          <w:szCs w:val="22"/>
        </w:rPr>
        <w:t>broadcast signals with its authorized facilities for any consecutive 12-month period, then the station license granted for the operation of that broadcast station expires at the end of that period, unless extended or reinstated by Commission action.</w:t>
      </w:r>
      <w:r>
        <w:rPr>
          <w:rStyle w:val="FootnoteReference"/>
          <w:color w:val="000000" w:themeColor="text1"/>
          <w:sz w:val="22"/>
          <w:szCs w:val="22"/>
        </w:rPr>
        <w:footnoteReference w:id="30"/>
      </w:r>
      <w:r w:rsidRPr="003508DD">
        <w:rPr>
          <w:color w:val="000000" w:themeColor="text1"/>
          <w:sz w:val="22"/>
          <w:szCs w:val="22"/>
        </w:rPr>
        <w:t xml:space="preserve"> </w:t>
      </w:r>
      <w:r w:rsidR="00332DCE">
        <w:rPr>
          <w:color w:val="000000" w:themeColor="text1"/>
          <w:sz w:val="22"/>
          <w:szCs w:val="22"/>
        </w:rPr>
        <w:t xml:space="preserve"> </w:t>
      </w:r>
      <w:r w:rsidRPr="003508DD">
        <w:rPr>
          <w:color w:val="000000" w:themeColor="text1"/>
          <w:sz w:val="22"/>
          <w:szCs w:val="22"/>
        </w:rPr>
        <w:t xml:space="preserve">In </w:t>
      </w:r>
      <w:r w:rsidRPr="003508DD">
        <w:rPr>
          <w:i/>
          <w:iCs/>
          <w:color w:val="000000" w:themeColor="text1"/>
          <w:sz w:val="22"/>
          <w:szCs w:val="22"/>
        </w:rPr>
        <w:t>Eagle Broadcasting Group, Ltd. v. FCC</w:t>
      </w:r>
      <w:r w:rsidRPr="003508DD">
        <w:rPr>
          <w:color w:val="000000" w:themeColor="text1"/>
          <w:sz w:val="22"/>
          <w:szCs w:val="22"/>
        </w:rPr>
        <w:t xml:space="preserve">, a case the Petitioner cited in </w:t>
      </w:r>
      <w:r w:rsidR="00E92359">
        <w:rPr>
          <w:color w:val="000000" w:themeColor="text1"/>
          <w:sz w:val="22"/>
          <w:szCs w:val="22"/>
        </w:rPr>
        <w:t xml:space="preserve">its </w:t>
      </w:r>
      <w:r w:rsidRPr="003508DD">
        <w:rPr>
          <w:color w:val="000000" w:themeColor="text1"/>
          <w:sz w:val="22"/>
          <w:szCs w:val="22"/>
        </w:rPr>
        <w:t>own Petition to Deny,</w:t>
      </w:r>
      <w:r>
        <w:rPr>
          <w:rStyle w:val="FootnoteReference"/>
          <w:color w:val="000000" w:themeColor="text1"/>
          <w:sz w:val="22"/>
          <w:szCs w:val="22"/>
        </w:rPr>
        <w:footnoteReference w:id="31"/>
      </w:r>
      <w:r w:rsidRPr="003508DD">
        <w:rPr>
          <w:color w:val="000000" w:themeColor="text1"/>
          <w:sz w:val="22"/>
          <w:szCs w:val="22"/>
        </w:rPr>
        <w:t xml:space="preserve"> the court noted that “Congress amended § 312(g) by adding language giving the Commission discretion to ‘extend or reinstate’ a license in order to, inter alia, ‘promote equity and fairness.’”</w:t>
      </w:r>
      <w:r>
        <w:rPr>
          <w:rStyle w:val="FootnoteReference"/>
          <w:color w:val="000000" w:themeColor="text1"/>
          <w:sz w:val="22"/>
          <w:szCs w:val="22"/>
        </w:rPr>
        <w:footnoteReference w:id="32"/>
      </w:r>
      <w:r w:rsidRPr="003508DD">
        <w:rPr>
          <w:color w:val="000000" w:themeColor="text1"/>
          <w:sz w:val="22"/>
          <w:szCs w:val="22"/>
        </w:rPr>
        <w:t xml:space="preserve"> </w:t>
      </w:r>
      <w:r w:rsidR="00332DCE">
        <w:rPr>
          <w:color w:val="000000" w:themeColor="text1"/>
          <w:sz w:val="22"/>
          <w:szCs w:val="22"/>
        </w:rPr>
        <w:t xml:space="preserve"> </w:t>
      </w:r>
      <w:r w:rsidRPr="003508DD">
        <w:rPr>
          <w:color w:val="000000" w:themeColor="text1"/>
          <w:sz w:val="22"/>
          <w:szCs w:val="22"/>
        </w:rPr>
        <w:t xml:space="preserve">In the </w:t>
      </w:r>
      <w:r w:rsidRPr="003508DD">
        <w:rPr>
          <w:i/>
          <w:iCs/>
          <w:color w:val="000000" w:themeColor="text1"/>
          <w:sz w:val="22"/>
          <w:szCs w:val="22"/>
        </w:rPr>
        <w:t>Bureau Order</w:t>
      </w:r>
      <w:r w:rsidRPr="003508DD">
        <w:rPr>
          <w:color w:val="000000" w:themeColor="text1"/>
          <w:sz w:val="22"/>
          <w:szCs w:val="22"/>
        </w:rPr>
        <w:t>, we found that “WIN’s lease of the Station’s licensed transmitter site [was] a complicating factor beyond Universal’s control that supports relief under the ‘equity and fairness’ provision of section 312(g).”</w:t>
      </w:r>
      <w:r>
        <w:rPr>
          <w:rStyle w:val="FootnoteReference"/>
          <w:color w:val="000000" w:themeColor="text1"/>
          <w:sz w:val="22"/>
          <w:szCs w:val="22"/>
        </w:rPr>
        <w:footnoteReference w:id="33"/>
      </w:r>
      <w:r w:rsidR="00C12DD3">
        <w:rPr>
          <w:color w:val="000000" w:themeColor="text1"/>
          <w:sz w:val="22"/>
          <w:szCs w:val="22"/>
        </w:rPr>
        <w:t xml:space="preserve"> </w:t>
      </w:r>
      <w:r w:rsidRPr="003508DD">
        <w:rPr>
          <w:color w:val="000000" w:themeColor="text1"/>
          <w:sz w:val="22"/>
          <w:szCs w:val="22"/>
        </w:rPr>
        <w:t xml:space="preserve"> We also acknowledged that the 2019 government shutdown prohibited Universal from receiving an STA before </w:t>
      </w:r>
      <w:r w:rsidR="00132018">
        <w:rPr>
          <w:color w:val="000000" w:themeColor="text1"/>
          <w:sz w:val="22"/>
          <w:szCs w:val="22"/>
        </w:rPr>
        <w:t>its</w:t>
      </w:r>
      <w:r w:rsidRPr="003508DD" w:rsidR="00132018">
        <w:rPr>
          <w:color w:val="000000" w:themeColor="text1"/>
          <w:sz w:val="22"/>
          <w:szCs w:val="22"/>
        </w:rPr>
        <w:t xml:space="preserve"> </w:t>
      </w:r>
      <w:r w:rsidRPr="003508DD">
        <w:rPr>
          <w:color w:val="000000" w:themeColor="text1"/>
          <w:sz w:val="22"/>
          <w:szCs w:val="22"/>
        </w:rPr>
        <w:t xml:space="preserve">license’s 312(g) expiration, a </w:t>
      </w:r>
      <w:r w:rsidR="00E92359">
        <w:rPr>
          <w:color w:val="000000" w:themeColor="text1"/>
          <w:sz w:val="22"/>
          <w:szCs w:val="22"/>
        </w:rPr>
        <w:t xml:space="preserve"> “</w:t>
      </w:r>
      <w:r w:rsidRPr="003508DD">
        <w:rPr>
          <w:color w:val="000000" w:themeColor="text1"/>
          <w:sz w:val="22"/>
          <w:szCs w:val="22"/>
        </w:rPr>
        <w:t>compelling factor beyond Universal’s control.”</w:t>
      </w:r>
      <w:r>
        <w:rPr>
          <w:rStyle w:val="FootnoteReference"/>
          <w:color w:val="000000" w:themeColor="text1"/>
          <w:sz w:val="22"/>
          <w:szCs w:val="22"/>
        </w:rPr>
        <w:footnoteReference w:id="34"/>
      </w:r>
      <w:r w:rsidRPr="003508DD">
        <w:rPr>
          <w:color w:val="000000" w:themeColor="text1"/>
          <w:sz w:val="22"/>
          <w:szCs w:val="22"/>
        </w:rPr>
        <w:t xml:space="preserve"> </w:t>
      </w:r>
      <w:r w:rsidR="00332DCE">
        <w:rPr>
          <w:color w:val="000000" w:themeColor="text1"/>
          <w:sz w:val="22"/>
          <w:szCs w:val="22"/>
        </w:rPr>
        <w:t xml:space="preserve"> </w:t>
      </w:r>
      <w:r w:rsidRPr="003508DD">
        <w:rPr>
          <w:color w:val="000000" w:themeColor="text1"/>
          <w:sz w:val="22"/>
          <w:szCs w:val="22"/>
        </w:rPr>
        <w:t xml:space="preserve">We see no evidence of material error in these findings.  Moreover, WIN is incorrect that Universal’s loss of its site was the true reason the </w:t>
      </w:r>
      <w:r w:rsidR="00332DCE">
        <w:rPr>
          <w:color w:val="000000" w:themeColor="text1"/>
          <w:sz w:val="22"/>
          <w:szCs w:val="22"/>
        </w:rPr>
        <w:t>S</w:t>
      </w:r>
      <w:r w:rsidRPr="003508DD">
        <w:rPr>
          <w:color w:val="000000" w:themeColor="text1"/>
          <w:sz w:val="22"/>
          <w:szCs w:val="22"/>
        </w:rPr>
        <w:t>tation did not resume operations.  But for the closure of the Commission, Universal would have been granted a timely STA to resume operations at an authorized site.</w:t>
      </w:r>
    </w:p>
    <w:p w:rsidR="003508DD" w:rsidP="003508DD" w14:paraId="0FEFF899" w14:textId="77777777">
      <w:pPr>
        <w:ind w:firstLine="720"/>
        <w:rPr>
          <w:color w:val="000000" w:themeColor="text1"/>
          <w:sz w:val="22"/>
          <w:szCs w:val="22"/>
        </w:rPr>
      </w:pPr>
    </w:p>
    <w:p w:rsidR="003508DD" w:rsidRPr="003508DD" w:rsidP="003508DD" w14:paraId="6D701777" w14:textId="5B5F2F71">
      <w:pPr>
        <w:ind w:firstLine="720"/>
        <w:rPr>
          <w:color w:val="000000" w:themeColor="text1"/>
          <w:sz w:val="22"/>
          <w:szCs w:val="22"/>
        </w:rPr>
      </w:pPr>
      <w:r w:rsidRPr="003508DD">
        <w:rPr>
          <w:color w:val="000000" w:themeColor="text1"/>
          <w:sz w:val="22"/>
          <w:szCs w:val="22"/>
        </w:rPr>
        <w:t xml:space="preserve">WIN also argues that the Bureau violated the Commission’s </w:t>
      </w:r>
      <w:r w:rsidRPr="003508DD">
        <w:rPr>
          <w:i/>
          <w:iCs/>
          <w:color w:val="000000" w:themeColor="text1"/>
          <w:sz w:val="22"/>
          <w:szCs w:val="22"/>
        </w:rPr>
        <w:t xml:space="preserve">ex </w:t>
      </w:r>
      <w:r w:rsidRPr="003508DD">
        <w:rPr>
          <w:i/>
          <w:iCs/>
          <w:color w:val="000000" w:themeColor="text1"/>
          <w:sz w:val="22"/>
          <w:szCs w:val="22"/>
        </w:rPr>
        <w:t>parte</w:t>
      </w:r>
      <w:r w:rsidRPr="003508DD">
        <w:rPr>
          <w:color w:val="000000" w:themeColor="text1"/>
          <w:sz w:val="22"/>
          <w:szCs w:val="22"/>
        </w:rPr>
        <w:t xml:space="preserve"> rules through settlement discussions resulting in the </w:t>
      </w:r>
      <w:r w:rsidR="003C2A5D">
        <w:rPr>
          <w:color w:val="000000" w:themeColor="text1"/>
          <w:sz w:val="22"/>
          <w:szCs w:val="22"/>
        </w:rPr>
        <w:t>C</w:t>
      </w:r>
      <w:r w:rsidRPr="003508DD">
        <w:rPr>
          <w:color w:val="000000" w:themeColor="text1"/>
          <w:sz w:val="22"/>
          <w:szCs w:val="22"/>
        </w:rPr>
        <w:t xml:space="preserve">onsent </w:t>
      </w:r>
      <w:r w:rsidR="003C2A5D">
        <w:rPr>
          <w:color w:val="000000" w:themeColor="text1"/>
          <w:sz w:val="22"/>
          <w:szCs w:val="22"/>
        </w:rPr>
        <w:t>D</w:t>
      </w:r>
      <w:r w:rsidRPr="003508DD">
        <w:rPr>
          <w:color w:val="000000" w:themeColor="text1"/>
          <w:sz w:val="22"/>
          <w:szCs w:val="22"/>
        </w:rPr>
        <w:t>ecree.</w:t>
      </w:r>
      <w:r w:rsidR="00132018">
        <w:rPr>
          <w:color w:val="000000" w:themeColor="text1"/>
          <w:sz w:val="22"/>
          <w:szCs w:val="22"/>
        </w:rPr>
        <w:t xml:space="preserve"> </w:t>
      </w:r>
      <w:r w:rsidRPr="003508DD">
        <w:rPr>
          <w:color w:val="000000" w:themeColor="text1"/>
          <w:sz w:val="22"/>
          <w:szCs w:val="22"/>
        </w:rPr>
        <w:t xml:space="preserve"> Because this argument could not have been made previously, we will consider it now.  The DC Circuit Court of Appeals has held that the Commission’s decision to enter into a consent decree for an enforcement action is unreviewable except in limited circumstances.</w:t>
      </w:r>
      <w:r>
        <w:rPr>
          <w:rStyle w:val="FootnoteReference"/>
          <w:color w:val="000000" w:themeColor="text1"/>
          <w:sz w:val="22"/>
          <w:szCs w:val="22"/>
        </w:rPr>
        <w:footnoteReference w:id="35"/>
      </w:r>
      <w:r w:rsidR="00485F07">
        <w:rPr>
          <w:color w:val="000000" w:themeColor="text1"/>
          <w:sz w:val="22"/>
          <w:szCs w:val="22"/>
        </w:rPr>
        <w:t xml:space="preserve"> </w:t>
      </w:r>
      <w:r w:rsidRPr="003508DD">
        <w:rPr>
          <w:color w:val="000000" w:themeColor="text1"/>
          <w:sz w:val="22"/>
          <w:szCs w:val="22"/>
        </w:rPr>
        <w:t xml:space="preserve"> Like in the present case, the petitioners in </w:t>
      </w:r>
      <w:r w:rsidRPr="003508DD">
        <w:rPr>
          <w:i/>
          <w:iCs/>
          <w:color w:val="000000" w:themeColor="text1"/>
          <w:sz w:val="22"/>
          <w:szCs w:val="22"/>
        </w:rPr>
        <w:t>New York State Dept. of Law</w:t>
      </w:r>
      <w:r w:rsidRPr="003508DD">
        <w:rPr>
          <w:color w:val="000000" w:themeColor="text1"/>
          <w:sz w:val="22"/>
          <w:szCs w:val="22"/>
        </w:rPr>
        <w:t xml:space="preserve"> claimed that the Commission violated its </w:t>
      </w:r>
      <w:r w:rsidRPr="003508DD">
        <w:rPr>
          <w:i/>
          <w:iCs/>
          <w:color w:val="000000" w:themeColor="text1"/>
          <w:sz w:val="22"/>
          <w:szCs w:val="22"/>
        </w:rPr>
        <w:t xml:space="preserve">ex </w:t>
      </w:r>
      <w:r w:rsidRPr="003508DD">
        <w:rPr>
          <w:i/>
          <w:iCs/>
          <w:color w:val="000000" w:themeColor="text1"/>
          <w:sz w:val="22"/>
          <w:szCs w:val="22"/>
        </w:rPr>
        <w:t>parte</w:t>
      </w:r>
      <w:r w:rsidRPr="003508DD">
        <w:rPr>
          <w:color w:val="000000" w:themeColor="text1"/>
          <w:sz w:val="22"/>
          <w:szCs w:val="22"/>
        </w:rPr>
        <w:t xml:space="preserve"> rules by participating in settlement discussions.</w:t>
      </w:r>
      <w:r>
        <w:rPr>
          <w:rStyle w:val="FootnoteReference"/>
          <w:color w:val="000000" w:themeColor="text1"/>
          <w:sz w:val="22"/>
          <w:szCs w:val="22"/>
        </w:rPr>
        <w:footnoteReference w:id="36"/>
      </w:r>
      <w:r w:rsidRPr="003508DD">
        <w:rPr>
          <w:color w:val="000000" w:themeColor="text1"/>
          <w:sz w:val="22"/>
          <w:szCs w:val="22"/>
        </w:rPr>
        <w:t xml:space="preserve">  The court explained </w:t>
      </w:r>
      <w:r w:rsidRPr="003508DD">
        <w:rPr>
          <w:color w:val="000000" w:themeColor="text1"/>
          <w:sz w:val="22"/>
          <w:szCs w:val="22"/>
        </w:rPr>
        <w:t>that settlement “communications fall within an exception to the ban that permits ex </w:t>
      </w:r>
      <w:r w:rsidRPr="003508DD">
        <w:rPr>
          <w:color w:val="000000" w:themeColor="text1"/>
          <w:sz w:val="22"/>
          <w:szCs w:val="22"/>
        </w:rPr>
        <w:t>parte</w:t>
      </w:r>
      <w:r w:rsidRPr="003508DD">
        <w:rPr>
          <w:color w:val="000000" w:themeColor="text1"/>
          <w:sz w:val="22"/>
          <w:szCs w:val="22"/>
        </w:rPr>
        <w:t> communications initiated by the FCC for the resolution of issues in a proceeding that has not been designated for a hearing.”</w:t>
      </w:r>
      <w:r>
        <w:rPr>
          <w:rStyle w:val="FootnoteReference"/>
          <w:color w:val="000000" w:themeColor="text1"/>
          <w:sz w:val="22"/>
          <w:szCs w:val="22"/>
        </w:rPr>
        <w:footnoteReference w:id="37"/>
      </w:r>
      <w:r w:rsidRPr="003508DD">
        <w:rPr>
          <w:color w:val="000000" w:themeColor="text1"/>
          <w:sz w:val="22"/>
          <w:szCs w:val="22"/>
        </w:rPr>
        <w:t xml:space="preserve">  Since the settlement discussions were “requested by the Commission or staff for the clarification or adduction of evidence or for the resolution of issues, [where] the proceeding .</w:t>
      </w:r>
      <w:r w:rsidR="00132018">
        <w:rPr>
          <w:color w:val="000000" w:themeColor="text1"/>
          <w:sz w:val="22"/>
          <w:szCs w:val="22"/>
        </w:rPr>
        <w:t xml:space="preserve"> </w:t>
      </w:r>
      <w:r w:rsidRPr="003508DD">
        <w:rPr>
          <w:color w:val="000000" w:themeColor="text1"/>
          <w:sz w:val="22"/>
          <w:szCs w:val="22"/>
        </w:rPr>
        <w:t>.</w:t>
      </w:r>
      <w:r w:rsidR="00132018">
        <w:rPr>
          <w:color w:val="000000" w:themeColor="text1"/>
          <w:sz w:val="22"/>
          <w:szCs w:val="22"/>
        </w:rPr>
        <w:t xml:space="preserve"> </w:t>
      </w:r>
      <w:r w:rsidRPr="003508DD">
        <w:rPr>
          <w:color w:val="000000" w:themeColor="text1"/>
          <w:sz w:val="22"/>
          <w:szCs w:val="22"/>
        </w:rPr>
        <w:t xml:space="preserve">. ha[d] not been designated for a hearing,” the court concluded that the communications fell under an exception and did not violate the </w:t>
      </w:r>
      <w:r w:rsidRPr="003508DD">
        <w:rPr>
          <w:i/>
          <w:iCs/>
          <w:color w:val="000000" w:themeColor="text1"/>
          <w:sz w:val="22"/>
          <w:szCs w:val="22"/>
        </w:rPr>
        <w:t xml:space="preserve">ex </w:t>
      </w:r>
      <w:r w:rsidRPr="003508DD">
        <w:rPr>
          <w:i/>
          <w:iCs/>
          <w:color w:val="000000" w:themeColor="text1"/>
          <w:sz w:val="22"/>
          <w:szCs w:val="22"/>
        </w:rPr>
        <w:t>parte</w:t>
      </w:r>
      <w:r w:rsidRPr="003508DD">
        <w:rPr>
          <w:i/>
          <w:iCs/>
          <w:color w:val="000000" w:themeColor="text1"/>
          <w:sz w:val="22"/>
          <w:szCs w:val="22"/>
        </w:rPr>
        <w:t xml:space="preserve"> </w:t>
      </w:r>
      <w:r w:rsidRPr="003508DD">
        <w:rPr>
          <w:color w:val="000000" w:themeColor="text1"/>
          <w:sz w:val="22"/>
          <w:szCs w:val="22"/>
        </w:rPr>
        <w:t>rules.</w:t>
      </w:r>
      <w:r>
        <w:rPr>
          <w:rStyle w:val="FootnoteReference"/>
          <w:color w:val="000000" w:themeColor="text1"/>
          <w:sz w:val="22"/>
          <w:szCs w:val="22"/>
        </w:rPr>
        <w:footnoteReference w:id="38"/>
      </w:r>
      <w:r w:rsidRPr="003508DD">
        <w:rPr>
          <w:color w:val="000000" w:themeColor="text1"/>
          <w:sz w:val="22"/>
          <w:szCs w:val="22"/>
        </w:rPr>
        <w:t xml:space="preserve">  The Commission has since held, in multiple proceedings, that under </w:t>
      </w:r>
      <w:r w:rsidR="00394F73">
        <w:rPr>
          <w:color w:val="000000" w:themeColor="text1"/>
          <w:sz w:val="22"/>
          <w:szCs w:val="22"/>
        </w:rPr>
        <w:t>se</w:t>
      </w:r>
      <w:r w:rsidR="003C2A5D">
        <w:rPr>
          <w:color w:val="000000" w:themeColor="text1"/>
          <w:sz w:val="22"/>
          <w:szCs w:val="22"/>
        </w:rPr>
        <w:t>ction</w:t>
      </w:r>
      <w:r w:rsidRPr="003508DD">
        <w:rPr>
          <w:color w:val="000000" w:themeColor="text1"/>
          <w:sz w:val="22"/>
          <w:szCs w:val="22"/>
        </w:rPr>
        <w:t xml:space="preserve"> 1.1204(a)(10), in restricted and permit-but-disclose proceedings, settlement discussions </w:t>
      </w:r>
      <w:r w:rsidR="00132018">
        <w:rPr>
          <w:color w:val="000000" w:themeColor="text1"/>
          <w:sz w:val="22"/>
          <w:szCs w:val="22"/>
        </w:rPr>
        <w:t>are</w:t>
      </w:r>
      <w:r w:rsidRPr="003508DD">
        <w:rPr>
          <w:color w:val="000000" w:themeColor="text1"/>
          <w:sz w:val="22"/>
          <w:szCs w:val="22"/>
        </w:rPr>
        <w:t xml:space="preserve"> exempt from the</w:t>
      </w:r>
      <w:r w:rsidR="00DA24AE">
        <w:rPr>
          <w:color w:val="000000" w:themeColor="text1"/>
          <w:sz w:val="22"/>
          <w:szCs w:val="22"/>
        </w:rPr>
        <w:t xml:space="preserve"> restriction</w:t>
      </w:r>
      <w:r w:rsidR="0080436C">
        <w:rPr>
          <w:color w:val="000000" w:themeColor="text1"/>
          <w:sz w:val="22"/>
          <w:szCs w:val="22"/>
        </w:rPr>
        <w:t>s</w:t>
      </w:r>
      <w:r w:rsidR="00DA24AE">
        <w:rPr>
          <w:color w:val="000000" w:themeColor="text1"/>
          <w:sz w:val="22"/>
          <w:szCs w:val="22"/>
        </w:rPr>
        <w:t xml:space="preserve"> on</w:t>
      </w:r>
      <w:r w:rsidRPr="003508DD">
        <w:rPr>
          <w:color w:val="000000" w:themeColor="text1"/>
          <w:sz w:val="22"/>
          <w:szCs w:val="22"/>
        </w:rPr>
        <w:t xml:space="preserve"> </w:t>
      </w:r>
      <w:r w:rsidRPr="003508DD">
        <w:rPr>
          <w:i/>
          <w:color w:val="000000" w:themeColor="text1"/>
          <w:sz w:val="22"/>
          <w:szCs w:val="22"/>
        </w:rPr>
        <w:t xml:space="preserve">ex </w:t>
      </w:r>
      <w:r w:rsidRPr="003508DD">
        <w:rPr>
          <w:i/>
          <w:color w:val="000000" w:themeColor="text1"/>
          <w:sz w:val="22"/>
          <w:szCs w:val="22"/>
        </w:rPr>
        <w:t>parte</w:t>
      </w:r>
      <w:r w:rsidRPr="003508DD">
        <w:rPr>
          <w:color w:val="000000" w:themeColor="text1"/>
          <w:sz w:val="22"/>
          <w:szCs w:val="22"/>
        </w:rPr>
        <w:t xml:space="preserve"> </w:t>
      </w:r>
      <w:r w:rsidR="00DA24AE">
        <w:rPr>
          <w:color w:val="000000" w:themeColor="text1"/>
          <w:sz w:val="22"/>
          <w:szCs w:val="22"/>
        </w:rPr>
        <w:t>communications</w:t>
      </w:r>
      <w:r w:rsidRPr="003508DD" w:rsidR="00DA24AE">
        <w:rPr>
          <w:color w:val="000000" w:themeColor="text1"/>
          <w:sz w:val="22"/>
          <w:szCs w:val="22"/>
        </w:rPr>
        <w:t xml:space="preserve"> </w:t>
      </w:r>
      <w:r w:rsidRPr="003508DD">
        <w:rPr>
          <w:color w:val="000000" w:themeColor="text1"/>
          <w:sz w:val="22"/>
          <w:szCs w:val="22"/>
        </w:rPr>
        <w:t>when the discussions do not include new information on the merits.</w:t>
      </w:r>
      <w:r>
        <w:rPr>
          <w:rStyle w:val="FootnoteReference"/>
          <w:color w:val="000000" w:themeColor="text1"/>
          <w:sz w:val="22"/>
          <w:szCs w:val="22"/>
        </w:rPr>
        <w:footnoteReference w:id="39"/>
      </w:r>
      <w:r w:rsidRPr="003508DD">
        <w:rPr>
          <w:color w:val="000000" w:themeColor="text1"/>
          <w:sz w:val="22"/>
          <w:szCs w:val="22"/>
        </w:rPr>
        <w:t xml:space="preserve">  Whether the proceeding in this case is considered restricted or permit-but-disclose, the subject matter of the settlement discussions only included “information relating to how [the] proceeding should or could be settled</w:t>
      </w:r>
      <w:r w:rsidR="00DA24AE">
        <w:rPr>
          <w:color w:val="000000" w:themeColor="text1"/>
          <w:sz w:val="22"/>
          <w:szCs w:val="22"/>
        </w:rPr>
        <w:t>,</w:t>
      </w:r>
      <w:r w:rsidRPr="003508DD">
        <w:rPr>
          <w:color w:val="000000" w:themeColor="text1"/>
          <w:sz w:val="22"/>
          <w:szCs w:val="22"/>
        </w:rPr>
        <w:t xml:space="preserve">” and therefore the </w:t>
      </w:r>
      <w:r w:rsidR="00A246EE">
        <w:rPr>
          <w:color w:val="000000" w:themeColor="text1"/>
          <w:sz w:val="22"/>
          <w:szCs w:val="22"/>
        </w:rPr>
        <w:t>Consent Decree negotiations were permitted communications</w:t>
      </w:r>
      <w:r w:rsidRPr="003508DD">
        <w:rPr>
          <w:color w:val="000000" w:themeColor="text1"/>
          <w:sz w:val="22"/>
          <w:szCs w:val="22"/>
        </w:rPr>
        <w:t>.</w:t>
      </w:r>
      <w:r>
        <w:rPr>
          <w:rStyle w:val="FootnoteReference"/>
          <w:color w:val="000000" w:themeColor="text1"/>
          <w:sz w:val="22"/>
          <w:szCs w:val="22"/>
        </w:rPr>
        <w:footnoteReference w:id="40"/>
      </w:r>
      <w:r w:rsidRPr="003508DD">
        <w:rPr>
          <w:color w:val="000000" w:themeColor="text1"/>
          <w:sz w:val="22"/>
          <w:szCs w:val="22"/>
        </w:rPr>
        <w:t xml:space="preserve">  The settlement discussions resulting in th</w:t>
      </w:r>
      <w:r w:rsidR="00A246EE">
        <w:rPr>
          <w:color w:val="000000" w:themeColor="text1"/>
          <w:sz w:val="22"/>
          <w:szCs w:val="22"/>
        </w:rPr>
        <w:t>e</w:t>
      </w:r>
      <w:r w:rsidRPr="003508DD">
        <w:rPr>
          <w:color w:val="000000" w:themeColor="text1"/>
          <w:sz w:val="22"/>
          <w:szCs w:val="22"/>
        </w:rPr>
        <w:t xml:space="preserve"> </w:t>
      </w:r>
      <w:r w:rsidR="00A246EE">
        <w:rPr>
          <w:color w:val="000000" w:themeColor="text1"/>
          <w:sz w:val="22"/>
          <w:szCs w:val="22"/>
        </w:rPr>
        <w:t>C</w:t>
      </w:r>
      <w:r w:rsidRPr="003508DD">
        <w:rPr>
          <w:color w:val="000000" w:themeColor="text1"/>
          <w:sz w:val="22"/>
          <w:szCs w:val="22"/>
        </w:rPr>
        <w:t xml:space="preserve">onsent </w:t>
      </w:r>
      <w:r w:rsidR="00A246EE">
        <w:rPr>
          <w:color w:val="000000" w:themeColor="text1"/>
          <w:sz w:val="22"/>
          <w:szCs w:val="22"/>
        </w:rPr>
        <w:t>D</w:t>
      </w:r>
      <w:r w:rsidRPr="003508DD">
        <w:rPr>
          <w:color w:val="000000" w:themeColor="text1"/>
          <w:sz w:val="22"/>
          <w:szCs w:val="22"/>
        </w:rPr>
        <w:t xml:space="preserve">ecree </w:t>
      </w:r>
      <w:r w:rsidR="00A246EE">
        <w:rPr>
          <w:color w:val="000000" w:themeColor="text1"/>
          <w:sz w:val="22"/>
          <w:szCs w:val="22"/>
        </w:rPr>
        <w:t>complied with</w:t>
      </w:r>
      <w:r w:rsidRPr="003508DD">
        <w:rPr>
          <w:color w:val="000000" w:themeColor="text1"/>
          <w:sz w:val="22"/>
          <w:szCs w:val="22"/>
        </w:rPr>
        <w:t xml:space="preserve"> the </w:t>
      </w:r>
      <w:r w:rsidRPr="00A246EE">
        <w:rPr>
          <w:i/>
          <w:iCs/>
          <w:color w:val="000000" w:themeColor="text1"/>
          <w:sz w:val="22"/>
          <w:szCs w:val="22"/>
        </w:rPr>
        <w:t xml:space="preserve">ex </w:t>
      </w:r>
      <w:r w:rsidRPr="00A246EE">
        <w:rPr>
          <w:i/>
          <w:iCs/>
          <w:color w:val="000000" w:themeColor="text1"/>
          <w:sz w:val="22"/>
          <w:szCs w:val="22"/>
        </w:rPr>
        <w:t>parte</w:t>
      </w:r>
      <w:r w:rsidRPr="003508DD">
        <w:rPr>
          <w:color w:val="000000" w:themeColor="text1"/>
          <w:sz w:val="22"/>
          <w:szCs w:val="22"/>
        </w:rPr>
        <w:t xml:space="preserve"> rules</w:t>
      </w:r>
      <w:r w:rsidR="00A246EE">
        <w:rPr>
          <w:color w:val="000000" w:themeColor="text1"/>
          <w:sz w:val="22"/>
          <w:szCs w:val="22"/>
        </w:rPr>
        <w:t xml:space="preserve">, </w:t>
      </w:r>
      <w:r w:rsidR="00DF7E98">
        <w:rPr>
          <w:color w:val="000000" w:themeColor="text1"/>
          <w:sz w:val="22"/>
          <w:szCs w:val="22"/>
        </w:rPr>
        <w:t xml:space="preserve">and </w:t>
      </w:r>
      <w:r w:rsidR="00A246EE">
        <w:rPr>
          <w:color w:val="000000" w:themeColor="text1"/>
          <w:sz w:val="22"/>
          <w:szCs w:val="22"/>
        </w:rPr>
        <w:t xml:space="preserve">thus </w:t>
      </w:r>
      <w:r w:rsidR="00DF7E98">
        <w:rPr>
          <w:color w:val="000000" w:themeColor="text1"/>
          <w:sz w:val="22"/>
          <w:szCs w:val="22"/>
        </w:rPr>
        <w:t>WIN’s argument is without merit</w:t>
      </w:r>
      <w:r w:rsidRPr="003508DD">
        <w:rPr>
          <w:color w:val="000000" w:themeColor="text1"/>
          <w:sz w:val="22"/>
          <w:szCs w:val="22"/>
        </w:rPr>
        <w:t>.</w:t>
      </w:r>
    </w:p>
    <w:p w:rsidR="003508DD" w:rsidP="003508DD" w14:paraId="7673C59A" w14:textId="77777777">
      <w:pPr>
        <w:ind w:firstLine="720"/>
        <w:rPr>
          <w:color w:val="000000" w:themeColor="text1"/>
          <w:sz w:val="22"/>
          <w:szCs w:val="22"/>
        </w:rPr>
      </w:pPr>
    </w:p>
    <w:p w:rsidR="003508DD" w:rsidRPr="003508DD" w:rsidP="003508DD" w14:paraId="00411E14" w14:textId="29049A5B">
      <w:pPr>
        <w:ind w:firstLine="720"/>
        <w:rPr>
          <w:color w:val="000000" w:themeColor="text1"/>
          <w:sz w:val="22"/>
          <w:szCs w:val="22"/>
        </w:rPr>
      </w:pPr>
      <w:r w:rsidRPr="003508DD">
        <w:rPr>
          <w:color w:val="000000" w:themeColor="text1"/>
          <w:sz w:val="22"/>
          <w:szCs w:val="22"/>
        </w:rPr>
        <w:t xml:space="preserve">Finally, WIN suggests that </w:t>
      </w:r>
      <w:r w:rsidR="00DF7E98">
        <w:rPr>
          <w:color w:val="000000" w:themeColor="text1"/>
          <w:sz w:val="22"/>
          <w:szCs w:val="22"/>
        </w:rPr>
        <w:t>its</w:t>
      </w:r>
      <w:r w:rsidRPr="003508DD" w:rsidR="00DF7E98">
        <w:rPr>
          <w:color w:val="000000" w:themeColor="text1"/>
          <w:sz w:val="22"/>
          <w:szCs w:val="22"/>
        </w:rPr>
        <w:t xml:space="preserve"> </w:t>
      </w:r>
      <w:r w:rsidRPr="003508DD">
        <w:rPr>
          <w:color w:val="000000" w:themeColor="text1"/>
          <w:sz w:val="22"/>
          <w:szCs w:val="22"/>
        </w:rPr>
        <w:t>lack of notice or chance to participate in the settlement negotiations violates section 554 of the APA.</w:t>
      </w:r>
      <w:r>
        <w:rPr>
          <w:rStyle w:val="FootnoteReference"/>
          <w:color w:val="000000" w:themeColor="text1"/>
          <w:sz w:val="22"/>
          <w:szCs w:val="22"/>
        </w:rPr>
        <w:footnoteReference w:id="41"/>
      </w:r>
      <w:r w:rsidRPr="003508DD">
        <w:rPr>
          <w:color w:val="000000" w:themeColor="text1"/>
          <w:sz w:val="22"/>
          <w:szCs w:val="22"/>
        </w:rPr>
        <w:t xml:space="preserve">  Section 554 of the APA “applies</w:t>
      </w:r>
      <w:r w:rsidR="006625E3">
        <w:rPr>
          <w:color w:val="000000" w:themeColor="text1"/>
          <w:sz w:val="22"/>
          <w:szCs w:val="22"/>
        </w:rPr>
        <w:t xml:space="preserve"> . . . </w:t>
      </w:r>
      <w:r w:rsidRPr="003508DD">
        <w:rPr>
          <w:color w:val="000000" w:themeColor="text1"/>
          <w:sz w:val="22"/>
          <w:szCs w:val="22"/>
        </w:rPr>
        <w:t>in every case of adjudication required by statute to be determined on the record after opportunity for an agency hearing.”</w:t>
      </w:r>
      <w:r>
        <w:rPr>
          <w:rStyle w:val="FootnoteReference"/>
          <w:color w:val="000000" w:themeColor="text1"/>
          <w:sz w:val="22"/>
          <w:szCs w:val="22"/>
        </w:rPr>
        <w:footnoteReference w:id="42"/>
      </w:r>
      <w:r w:rsidRPr="003508DD">
        <w:rPr>
          <w:color w:val="000000" w:themeColor="text1"/>
          <w:sz w:val="22"/>
          <w:szCs w:val="22"/>
        </w:rPr>
        <w:t xml:space="preserve">  In the present case, the statute at issue, </w:t>
      </w:r>
      <w:r w:rsidR="00DF7E98">
        <w:rPr>
          <w:color w:val="000000" w:themeColor="text1"/>
          <w:sz w:val="22"/>
          <w:szCs w:val="22"/>
        </w:rPr>
        <w:t xml:space="preserve">section </w:t>
      </w:r>
      <w:r w:rsidRPr="003508DD">
        <w:rPr>
          <w:color w:val="000000" w:themeColor="text1"/>
          <w:sz w:val="22"/>
          <w:szCs w:val="22"/>
        </w:rPr>
        <w:t>312(g), does not require a hearing for the Commission to “extend or reinstate [a] station license.”</w:t>
      </w:r>
      <w:r>
        <w:rPr>
          <w:rStyle w:val="FootnoteReference"/>
          <w:color w:val="000000" w:themeColor="text1"/>
          <w:sz w:val="22"/>
          <w:szCs w:val="22"/>
        </w:rPr>
        <w:footnoteReference w:id="43"/>
      </w:r>
      <w:r w:rsidRPr="003508DD">
        <w:rPr>
          <w:color w:val="000000" w:themeColor="text1"/>
          <w:sz w:val="22"/>
          <w:szCs w:val="22"/>
        </w:rPr>
        <w:t xml:space="preserve">  As in </w:t>
      </w:r>
      <w:r w:rsidRPr="003508DD">
        <w:rPr>
          <w:i/>
          <w:iCs/>
          <w:color w:val="000000" w:themeColor="text1"/>
          <w:sz w:val="22"/>
          <w:szCs w:val="22"/>
        </w:rPr>
        <w:t>New York State Dept. of Law</w:t>
      </w:r>
      <w:r w:rsidRPr="003508DD">
        <w:rPr>
          <w:color w:val="000000" w:themeColor="text1"/>
          <w:sz w:val="22"/>
          <w:szCs w:val="22"/>
        </w:rPr>
        <w:t>, WIN has “cited no statute requiring the FCC to conduct this proceeding on the record or after a hearing,”</w:t>
      </w:r>
      <w:r>
        <w:rPr>
          <w:rStyle w:val="FootnoteReference"/>
          <w:color w:val="000000" w:themeColor="text1"/>
          <w:sz w:val="22"/>
          <w:szCs w:val="22"/>
        </w:rPr>
        <w:footnoteReference w:id="44"/>
      </w:r>
      <w:r w:rsidRPr="003508DD">
        <w:rPr>
          <w:color w:val="000000" w:themeColor="text1"/>
          <w:sz w:val="22"/>
          <w:szCs w:val="22"/>
        </w:rPr>
        <w:t xml:space="preserve"> and so “the FCC's decision to conduct</w:t>
      </w:r>
      <w:r w:rsidR="006625E3">
        <w:rPr>
          <w:color w:val="000000" w:themeColor="text1"/>
          <w:sz w:val="22"/>
          <w:szCs w:val="22"/>
        </w:rPr>
        <w:t xml:space="preserve"> . . . </w:t>
      </w:r>
      <w:r w:rsidRPr="003508DD">
        <w:rPr>
          <w:color w:val="000000" w:themeColor="text1"/>
          <w:sz w:val="22"/>
          <w:szCs w:val="22"/>
        </w:rPr>
        <w:t>settlement negotiations in private [is] fully consistent with the discretion it is granted under the APA.”</w:t>
      </w:r>
      <w:r>
        <w:rPr>
          <w:rStyle w:val="FootnoteReference"/>
          <w:color w:val="000000" w:themeColor="text1"/>
          <w:sz w:val="22"/>
          <w:szCs w:val="22"/>
        </w:rPr>
        <w:footnoteReference w:id="45"/>
      </w:r>
    </w:p>
    <w:p w:rsidR="003508DD" w:rsidP="003508DD" w14:paraId="43F2D1C7" w14:textId="77777777">
      <w:pPr>
        <w:ind w:firstLine="720"/>
        <w:rPr>
          <w:color w:val="000000" w:themeColor="text1"/>
          <w:sz w:val="22"/>
          <w:szCs w:val="22"/>
        </w:rPr>
      </w:pPr>
    </w:p>
    <w:p w:rsidR="003508DD" w:rsidRPr="003508DD" w:rsidP="003508DD" w14:paraId="5D2BA3D4" w14:textId="30A25F64">
      <w:pPr>
        <w:ind w:firstLine="720"/>
        <w:rPr>
          <w:color w:val="000000" w:themeColor="text1"/>
          <w:sz w:val="22"/>
          <w:szCs w:val="22"/>
        </w:rPr>
      </w:pPr>
      <w:r w:rsidRPr="003508DD">
        <w:rPr>
          <w:color w:val="000000" w:themeColor="text1"/>
          <w:sz w:val="22"/>
          <w:szCs w:val="22"/>
        </w:rPr>
        <w:t xml:space="preserve">WIN fails to show a material error in the </w:t>
      </w:r>
      <w:r w:rsidRPr="00653854" w:rsidR="00A246EE">
        <w:rPr>
          <w:i/>
          <w:iCs/>
          <w:color w:val="000000" w:themeColor="text1"/>
          <w:sz w:val="22"/>
          <w:szCs w:val="22"/>
        </w:rPr>
        <w:t>Bureau</w:t>
      </w:r>
      <w:r w:rsidRPr="00653854" w:rsidR="006625E3">
        <w:rPr>
          <w:i/>
          <w:iCs/>
          <w:color w:val="000000" w:themeColor="text1"/>
          <w:sz w:val="22"/>
          <w:szCs w:val="22"/>
        </w:rPr>
        <w:t xml:space="preserve"> O</w:t>
      </w:r>
      <w:r w:rsidRPr="00653854">
        <w:rPr>
          <w:i/>
          <w:iCs/>
          <w:color w:val="000000" w:themeColor="text1"/>
          <w:sz w:val="22"/>
          <w:szCs w:val="22"/>
        </w:rPr>
        <w:t>rder</w:t>
      </w:r>
      <w:r w:rsidRPr="003508DD">
        <w:rPr>
          <w:color w:val="000000" w:themeColor="text1"/>
          <w:sz w:val="22"/>
          <w:szCs w:val="22"/>
        </w:rPr>
        <w:t xml:space="preserve">.  WIN’s new claim that the Commission violated the </w:t>
      </w:r>
      <w:r w:rsidRPr="005641A4">
        <w:rPr>
          <w:i/>
          <w:iCs/>
          <w:color w:val="000000" w:themeColor="text1"/>
          <w:sz w:val="22"/>
          <w:szCs w:val="22"/>
        </w:rPr>
        <w:t xml:space="preserve">ex </w:t>
      </w:r>
      <w:r w:rsidRPr="005641A4">
        <w:rPr>
          <w:i/>
          <w:iCs/>
          <w:color w:val="000000" w:themeColor="text1"/>
          <w:sz w:val="22"/>
          <w:szCs w:val="22"/>
        </w:rPr>
        <w:t>parte</w:t>
      </w:r>
      <w:r w:rsidRPr="003508DD">
        <w:rPr>
          <w:color w:val="000000" w:themeColor="text1"/>
          <w:sz w:val="22"/>
          <w:szCs w:val="22"/>
        </w:rPr>
        <w:t xml:space="preserve"> rules and the APA by engaging in settlement discussions</w:t>
      </w:r>
      <w:r w:rsidR="00A246EE">
        <w:rPr>
          <w:color w:val="000000" w:themeColor="text1"/>
          <w:sz w:val="22"/>
          <w:szCs w:val="22"/>
        </w:rPr>
        <w:t xml:space="preserve"> with Univers</w:t>
      </w:r>
      <w:r w:rsidR="005641A4">
        <w:rPr>
          <w:color w:val="000000" w:themeColor="text1"/>
          <w:sz w:val="22"/>
          <w:szCs w:val="22"/>
        </w:rPr>
        <w:t>al is based on flawed interpretations of applicable law</w:t>
      </w:r>
      <w:r w:rsidRPr="003508DD">
        <w:rPr>
          <w:color w:val="000000" w:themeColor="text1"/>
          <w:sz w:val="22"/>
          <w:szCs w:val="22"/>
        </w:rPr>
        <w:t xml:space="preserve">.  Accordingly, we </w:t>
      </w:r>
      <w:r w:rsidR="000F097F">
        <w:rPr>
          <w:color w:val="000000" w:themeColor="text1"/>
          <w:sz w:val="22"/>
          <w:szCs w:val="22"/>
        </w:rPr>
        <w:t>affirm the</w:t>
      </w:r>
      <w:r w:rsidRPr="003508DD" w:rsidR="000F097F">
        <w:rPr>
          <w:color w:val="000000" w:themeColor="text1"/>
          <w:sz w:val="22"/>
          <w:szCs w:val="22"/>
        </w:rPr>
        <w:t xml:space="preserve"> </w:t>
      </w:r>
      <w:r w:rsidRPr="003508DD">
        <w:rPr>
          <w:color w:val="000000" w:themeColor="text1"/>
          <w:sz w:val="22"/>
          <w:szCs w:val="22"/>
        </w:rPr>
        <w:t xml:space="preserve">use </w:t>
      </w:r>
      <w:r w:rsidR="000F097F">
        <w:rPr>
          <w:color w:val="000000" w:themeColor="text1"/>
          <w:sz w:val="22"/>
          <w:szCs w:val="22"/>
        </w:rPr>
        <w:t xml:space="preserve">of </w:t>
      </w:r>
      <w:r w:rsidRPr="003508DD">
        <w:rPr>
          <w:color w:val="000000" w:themeColor="text1"/>
          <w:sz w:val="22"/>
          <w:szCs w:val="22"/>
        </w:rPr>
        <w:t xml:space="preserve">our discretion under </w:t>
      </w:r>
      <w:r w:rsidR="000F097F">
        <w:rPr>
          <w:color w:val="000000" w:themeColor="text1"/>
          <w:sz w:val="22"/>
          <w:szCs w:val="22"/>
        </w:rPr>
        <w:t>s</w:t>
      </w:r>
      <w:r w:rsidRPr="003508DD">
        <w:rPr>
          <w:color w:val="000000" w:themeColor="text1"/>
          <w:sz w:val="22"/>
          <w:szCs w:val="22"/>
        </w:rPr>
        <w:t>ection 312(g) to reinstate the Station’s license and will deny the Petition.</w:t>
      </w:r>
    </w:p>
    <w:p w:rsidR="003508DD" w:rsidP="003508DD" w14:paraId="5E9FC168" w14:textId="77777777">
      <w:pPr>
        <w:ind w:firstLine="720"/>
        <w:rPr>
          <w:b/>
          <w:bCs/>
          <w:color w:val="000000" w:themeColor="text1"/>
          <w:sz w:val="22"/>
          <w:szCs w:val="22"/>
        </w:rPr>
      </w:pPr>
    </w:p>
    <w:p w:rsidR="00EB0017" w14:paraId="5E4332BF" w14:textId="77777777">
      <w:pPr>
        <w:rPr>
          <w:b/>
          <w:bCs/>
          <w:color w:val="000000" w:themeColor="text1"/>
          <w:sz w:val="22"/>
          <w:szCs w:val="22"/>
        </w:rPr>
      </w:pPr>
      <w:r>
        <w:rPr>
          <w:b/>
          <w:bCs/>
          <w:color w:val="000000" w:themeColor="text1"/>
          <w:sz w:val="22"/>
          <w:szCs w:val="22"/>
        </w:rPr>
        <w:br w:type="page"/>
      </w:r>
    </w:p>
    <w:p w:rsidR="003508DD" w:rsidRPr="003508DD" w:rsidP="003508DD" w14:paraId="6E38EF8E" w14:textId="073A2FAA">
      <w:pPr>
        <w:ind w:firstLine="720"/>
        <w:rPr>
          <w:color w:val="000000" w:themeColor="text1"/>
          <w:sz w:val="22"/>
          <w:szCs w:val="22"/>
        </w:rPr>
      </w:pPr>
      <w:r w:rsidRPr="003508DD">
        <w:rPr>
          <w:b/>
          <w:bCs/>
          <w:color w:val="000000" w:themeColor="text1"/>
          <w:sz w:val="22"/>
          <w:szCs w:val="22"/>
        </w:rPr>
        <w:t>Conclusion</w:t>
      </w:r>
      <w:r w:rsidRPr="003508DD">
        <w:rPr>
          <w:color w:val="000000" w:themeColor="text1"/>
          <w:sz w:val="22"/>
          <w:szCs w:val="22"/>
        </w:rPr>
        <w:t>.  For the reasons set forth above, IT IS ORDERED that the Petition for Reconsideration filed by WIN Radio Broadcasting Corporation on December 6, 2019, IS DENIED.</w:t>
      </w:r>
    </w:p>
    <w:p w:rsidR="0049675A" w:rsidP="003508DD" w14:paraId="7498C53D" w14:textId="77D30B44">
      <w:pPr>
        <w:tabs>
          <w:tab w:val="left" w:pos="-1440"/>
          <w:tab w:val="left" w:pos="-720"/>
          <w:tab w:val="left" w:pos="4788"/>
          <w:tab w:val="left" w:pos="5760"/>
          <w:tab w:val="left" w:pos="6480"/>
        </w:tabs>
        <w:suppressAutoHyphens/>
        <w:outlineLvl w:val="0"/>
        <w:rPr>
          <w:szCs w:val="22"/>
        </w:rPr>
      </w:pPr>
    </w:p>
    <w:p w:rsidR="005E280E" w:rsidP="004B4000" w14:paraId="690B5A2B" w14:textId="5B2D5167">
      <w:pPr>
        <w:widowControl w:val="0"/>
        <w:rPr>
          <w:szCs w:val="22"/>
        </w:rPr>
      </w:pPr>
      <w:r>
        <w:rPr>
          <w:szCs w:val="22"/>
        </w:rPr>
        <w:t xml:space="preserve"> </w:t>
      </w:r>
      <w:r w:rsidR="00AA2686">
        <w:rPr>
          <w:szCs w:val="22"/>
        </w:rPr>
        <w:t xml:space="preserve"> </w:t>
      </w:r>
    </w:p>
    <w:p w:rsidR="006F0D9F" w:rsidRPr="00756029" w:rsidP="004B4000" w14:paraId="534D3F1F" w14:textId="4F96C32F">
      <w:pPr>
        <w:pStyle w:val="ParaNum"/>
        <w:keepNext/>
        <w:keepLines/>
        <w:numPr>
          <w:ilvl w:val="0"/>
          <w:numId w:val="0"/>
        </w:numPr>
        <w:tabs>
          <w:tab w:val="left" w:pos="0"/>
          <w:tab w:val="clear" w:pos="1440"/>
        </w:tabs>
        <w:jc w:val="left"/>
        <w:rPr>
          <w:szCs w:val="22"/>
        </w:rPr>
      </w:pPr>
      <w:r>
        <w:rPr>
          <w:szCs w:val="22"/>
        </w:rPr>
        <w:tab/>
      </w:r>
      <w:r w:rsidRPr="00FB65BB" w:rsidR="00FB65BB">
        <w:rPr>
          <w:szCs w:val="22"/>
        </w:rPr>
        <w:t xml:space="preserve"> </w:t>
      </w:r>
      <w:r w:rsidRPr="00756029" w:rsidR="006947D9">
        <w:rPr>
          <w:szCs w:val="22"/>
        </w:rPr>
        <w:tab/>
      </w:r>
      <w:r w:rsidR="0049675A">
        <w:rPr>
          <w:szCs w:val="22"/>
        </w:rPr>
        <w:tab/>
      </w:r>
      <w:r w:rsidRPr="00756029" w:rsidR="00FD3BE6">
        <w:rPr>
          <w:szCs w:val="22"/>
        </w:rPr>
        <w:tab/>
      </w:r>
      <w:r w:rsidRPr="00756029" w:rsidR="00FD3BE6">
        <w:rPr>
          <w:szCs w:val="22"/>
        </w:rPr>
        <w:tab/>
      </w:r>
      <w:r w:rsidRPr="00756029" w:rsidR="00FD3BE6">
        <w:rPr>
          <w:szCs w:val="22"/>
        </w:rPr>
        <w:tab/>
      </w:r>
      <w:r w:rsidRPr="00756029" w:rsidR="00FD3BE6">
        <w:rPr>
          <w:szCs w:val="22"/>
        </w:rPr>
        <w:tab/>
        <w:t>Sincerely,</w:t>
      </w:r>
    </w:p>
    <w:p w:rsidR="00E5589E" w:rsidRPr="00756029" w:rsidP="004B4000" w14:paraId="60B19D0A" w14:textId="77777777">
      <w:pPr>
        <w:keepNext/>
        <w:keepLines/>
        <w:tabs>
          <w:tab w:val="left" w:pos="0"/>
          <w:tab w:val="left" w:pos="270"/>
        </w:tabs>
        <w:suppressAutoHyphens/>
        <w:rPr>
          <w:sz w:val="22"/>
          <w:szCs w:val="22"/>
        </w:rPr>
      </w:pPr>
    </w:p>
    <w:p w:rsidR="006F0D9F" w:rsidRPr="00756029" w:rsidP="004B4000" w14:paraId="18E26A0B" w14:textId="77777777">
      <w:pPr>
        <w:keepNext/>
        <w:keepLines/>
        <w:tabs>
          <w:tab w:val="left" w:pos="0"/>
        </w:tabs>
        <w:suppressAutoHyphens/>
        <w:outlineLvl w:val="0"/>
        <w:rPr>
          <w:sz w:val="22"/>
          <w:szCs w:val="22"/>
        </w:rPr>
      </w:pP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002A4B3D">
        <w:rPr>
          <w:sz w:val="22"/>
          <w:szCs w:val="22"/>
        </w:rPr>
        <w:t>Albert Shuldiner</w:t>
      </w:r>
    </w:p>
    <w:p w:rsidR="006F0D9F" w:rsidRPr="00756029" w:rsidP="004B4000" w14:paraId="410AE091" w14:textId="77777777">
      <w:pPr>
        <w:keepNext/>
        <w:keepLines/>
        <w:tabs>
          <w:tab w:val="left" w:pos="0"/>
        </w:tabs>
        <w:suppressAutoHyphens/>
        <w:rPr>
          <w:sz w:val="22"/>
          <w:szCs w:val="22"/>
        </w:rPr>
      </w:pP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t>Chief, Audio Division</w:t>
      </w:r>
    </w:p>
    <w:p w:rsidR="00B644BF" w:rsidP="004B4000" w14:paraId="5955F9D5" w14:textId="7318F9D4">
      <w:pPr>
        <w:tabs>
          <w:tab w:val="left" w:pos="0"/>
        </w:tabs>
        <w:suppressAutoHyphens/>
        <w:rPr>
          <w:sz w:val="22"/>
          <w:szCs w:val="22"/>
        </w:rPr>
      </w:pP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t>Media Bureau</w:t>
      </w:r>
    </w:p>
    <w:p w:rsidR="003975D7" w:rsidP="004B4000" w14:paraId="20352132" w14:textId="77777777">
      <w:pPr>
        <w:tabs>
          <w:tab w:val="left" w:pos="0"/>
        </w:tabs>
        <w:suppressAutoHyphens/>
        <w:rPr>
          <w:sz w:val="22"/>
          <w:szCs w:val="22"/>
        </w:rPr>
      </w:pPr>
    </w:p>
    <w:p w:rsidR="003975D7" w:rsidRPr="00756029" w:rsidP="004B4000" w14:paraId="2A233F24" w14:textId="1EA985D2">
      <w:pPr>
        <w:tabs>
          <w:tab w:val="left" w:pos="0"/>
        </w:tabs>
        <w:suppressAutoHyphens/>
        <w:rPr>
          <w:sz w:val="22"/>
          <w:szCs w:val="22"/>
        </w:rPr>
      </w:pPr>
    </w:p>
    <w:sectPr w:rsidSect="006F0D9F">
      <w:footerReference w:type="even" r:id="rId5"/>
      <w:footerReference w:type="default" r:id="rId6"/>
      <w:headerReference w:type="first" r:id="rId7"/>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A2" w14:paraId="4A3D32E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20A2" w14:paraId="28D65A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A2" w14:paraId="2BFB67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F07">
      <w:rPr>
        <w:rStyle w:val="PageNumber"/>
        <w:noProof/>
      </w:rPr>
      <w:t>4</w:t>
    </w:r>
    <w:r>
      <w:rPr>
        <w:rStyle w:val="PageNumber"/>
      </w:rPr>
      <w:fldChar w:fldCharType="end"/>
    </w:r>
  </w:p>
  <w:p w:rsidR="00C220A2" w14:paraId="66BE1F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1E15" w14:paraId="4E6BAF0F" w14:textId="77777777">
      <w:r>
        <w:separator/>
      </w:r>
    </w:p>
  </w:footnote>
  <w:footnote w:type="continuationSeparator" w:id="1">
    <w:p w:rsidR="00FE1E15" w14:paraId="54453F4F" w14:textId="77777777">
      <w:r>
        <w:continuationSeparator/>
      </w:r>
    </w:p>
  </w:footnote>
  <w:footnote w:type="continuationNotice" w:id="2">
    <w:p w:rsidR="00FE1E15" w14:paraId="6865A371" w14:textId="77777777"/>
  </w:footnote>
  <w:footnote w:id="3">
    <w:p w:rsidR="003508DD" w:rsidRPr="00DF1722" w:rsidP="00622BA6" w14:paraId="395B25EE" w14:textId="4264913D">
      <w:pPr>
        <w:pStyle w:val="FootnoteText"/>
        <w:spacing w:after="120"/>
      </w:pPr>
      <w:r w:rsidRPr="00DF1722">
        <w:rPr>
          <w:rStyle w:val="FootnoteReference"/>
        </w:rPr>
        <w:footnoteRef/>
      </w:r>
      <w:r w:rsidRPr="00DF1722">
        <w:t xml:space="preserve"> </w:t>
      </w:r>
      <w:r w:rsidRPr="00DF1722">
        <w:rPr>
          <w:i/>
          <w:iCs/>
        </w:rPr>
        <w:t>Universal Broadcasting of New York, Inc.</w:t>
      </w:r>
      <w:r w:rsidRPr="00DF1722">
        <w:t xml:space="preserve">, Memorandum Opinion and Order, </w:t>
      </w:r>
      <w:bookmarkStart w:id="2" w:name="_Hlk45255535"/>
      <w:r w:rsidRPr="00DF1722">
        <w:t xml:space="preserve">34 FCC </w:t>
      </w:r>
      <w:r w:rsidRPr="00DF1722">
        <w:t>Rcd</w:t>
      </w:r>
      <w:r w:rsidRPr="00DF1722">
        <w:t xml:space="preserve"> 10319 </w:t>
      </w:r>
      <w:bookmarkEnd w:id="2"/>
      <w:r w:rsidRPr="00DF1722">
        <w:t>(MB 20</w:t>
      </w:r>
      <w:r w:rsidR="00F20F7B">
        <w:t>19</w:t>
      </w:r>
      <w:r w:rsidRPr="00DF1722">
        <w:t>) (</w:t>
      </w:r>
      <w:r w:rsidRPr="00DF1722">
        <w:rPr>
          <w:i/>
          <w:iCs/>
        </w:rPr>
        <w:t>Bureau Order</w:t>
      </w:r>
      <w:r w:rsidRPr="00DF1722">
        <w:t>).</w:t>
      </w:r>
    </w:p>
  </w:footnote>
  <w:footnote w:id="4">
    <w:p w:rsidR="00622BA6" w:rsidP="00622BA6" w14:paraId="2E733AB1" w14:textId="32E3CC90">
      <w:pPr>
        <w:pStyle w:val="FootnoteText"/>
        <w:spacing w:after="120"/>
      </w:pPr>
      <w:r>
        <w:rPr>
          <w:rStyle w:val="FootnoteReference"/>
        </w:rPr>
        <w:footnoteRef/>
      </w:r>
      <w:r>
        <w:t xml:space="preserve"> Petition for Reconsideration of WIN Radio Broadcasting Corporation (filed December 6, 2019) (Petition).  Universal filed an Opposition on December 13, 2019 (Opposition) and WIN filed a Reply on December 27, 019 (Reply).</w:t>
      </w:r>
    </w:p>
  </w:footnote>
  <w:footnote w:id="5">
    <w:p w:rsidR="003508DD" w:rsidRPr="00DF1722" w:rsidP="00622BA6" w14:paraId="78CAE75C" w14:textId="77777777">
      <w:pPr>
        <w:pStyle w:val="FootnoteText"/>
        <w:spacing w:after="120"/>
      </w:pPr>
      <w:r w:rsidRPr="00DF1722">
        <w:rPr>
          <w:rStyle w:val="FootnoteReference"/>
        </w:rPr>
        <w:footnoteRef/>
      </w:r>
      <w:r w:rsidRPr="00DF1722">
        <w:t xml:space="preserve"> </w:t>
      </w:r>
      <w:r w:rsidRPr="00DF1722">
        <w:rPr>
          <w:i/>
          <w:iCs/>
        </w:rPr>
        <w:t xml:space="preserve">See </w:t>
      </w:r>
      <w:r w:rsidRPr="00DF1722">
        <w:t xml:space="preserve">File No. </w:t>
      </w:r>
      <w:r w:rsidRPr="00DF1722">
        <w:rPr>
          <w:rFonts w:eastAsia="Times"/>
        </w:rPr>
        <w:t>BLSTA-20180131AFL.</w:t>
      </w:r>
    </w:p>
  </w:footnote>
  <w:footnote w:id="6">
    <w:p w:rsidR="003508DD" w:rsidRPr="00DF1722" w:rsidP="00622BA6" w14:paraId="1B1AB4B4" w14:textId="753988B2">
      <w:pPr>
        <w:spacing w:after="120"/>
      </w:pPr>
      <w:r w:rsidRPr="00DF1722">
        <w:rPr>
          <w:rStyle w:val="FootnoteReference"/>
        </w:rPr>
        <w:footnoteRef/>
      </w:r>
      <w:r w:rsidRPr="00DF1722">
        <w:t xml:space="preserve"> </w:t>
      </w:r>
      <w:r w:rsidRPr="00DF1722">
        <w:rPr>
          <w:rFonts w:eastAsia="Times"/>
        </w:rPr>
        <w:t xml:space="preserve">Letter from Lisa Scanlan, </w:t>
      </w:r>
      <w:r>
        <w:rPr>
          <w:rFonts w:eastAsia="Times"/>
        </w:rPr>
        <w:t xml:space="preserve">Deputy Chief, </w:t>
      </w:r>
      <w:r w:rsidRPr="00DF1722">
        <w:rPr>
          <w:rFonts w:eastAsia="Times"/>
        </w:rPr>
        <w:t xml:space="preserve">Audio Division, </w:t>
      </w:r>
      <w:r>
        <w:rPr>
          <w:rFonts w:eastAsia="Times"/>
        </w:rPr>
        <w:t xml:space="preserve">FCC </w:t>
      </w:r>
      <w:r w:rsidRPr="00DF1722">
        <w:rPr>
          <w:rFonts w:eastAsia="Times"/>
        </w:rPr>
        <w:t xml:space="preserve">Media Bureau, to Richard A. Helmick (Feb. 16, 2018) (citing 47 </w:t>
      </w:r>
      <w:bookmarkStart w:id="3" w:name="_Hlk45255169"/>
      <w:r w:rsidRPr="00DF1722">
        <w:rPr>
          <w:rFonts w:eastAsia="Times"/>
        </w:rPr>
        <w:t xml:space="preserve">U.S.C. § </w:t>
      </w:r>
      <w:bookmarkEnd w:id="3"/>
      <w:r w:rsidRPr="00DF1722">
        <w:rPr>
          <w:rFonts w:eastAsia="Times"/>
        </w:rPr>
        <w:t>312(g) (“if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except that the Commission may extend or reinstate such station license if the holder of the station license prevails in an administrative or judicial appeal, the applicable law changes, or for any other reason to promote equity and fairness”)).</w:t>
      </w:r>
    </w:p>
  </w:footnote>
  <w:footnote w:id="7">
    <w:p w:rsidR="003508DD" w:rsidRPr="00DF1722" w:rsidP="00622BA6" w14:paraId="6A930FAA" w14:textId="77777777">
      <w:pPr>
        <w:pStyle w:val="FootnoteText"/>
        <w:spacing w:after="120"/>
      </w:pPr>
      <w:r w:rsidRPr="00DF1722">
        <w:rPr>
          <w:rStyle w:val="FootnoteReference"/>
        </w:rPr>
        <w:footnoteRef/>
      </w:r>
      <w:r w:rsidRPr="00DF1722">
        <w:t xml:space="preserve"> </w:t>
      </w:r>
      <w:r w:rsidRPr="00DF1722">
        <w:rPr>
          <w:rFonts w:eastAsia="Times"/>
          <w:i/>
          <w:iCs/>
        </w:rPr>
        <w:t>See Impact of Potential Lapse in Funding on Commission Operations</w:t>
      </w:r>
      <w:r w:rsidRPr="00DF1722">
        <w:rPr>
          <w:rFonts w:eastAsia="Times"/>
        </w:rPr>
        <w:t xml:space="preserve">, Public Notice, 34 FCC </w:t>
      </w:r>
      <w:r w:rsidRPr="00DF1722">
        <w:rPr>
          <w:rFonts w:eastAsia="Times"/>
        </w:rPr>
        <w:t>Rcd</w:t>
      </w:r>
      <w:r w:rsidRPr="00DF1722">
        <w:rPr>
          <w:rFonts w:eastAsia="Times"/>
        </w:rPr>
        <w:t xml:space="preserve"> 1 (OGC 2019) (Partial Closure Notice).</w:t>
      </w:r>
    </w:p>
  </w:footnote>
  <w:footnote w:id="8">
    <w:p w:rsidR="003508DD" w:rsidRPr="00DF1722" w:rsidP="00622BA6" w14:paraId="26CCE864" w14:textId="58EE5A43">
      <w:pPr>
        <w:pStyle w:val="FootnoteText"/>
        <w:spacing w:after="120"/>
      </w:pPr>
      <w:r w:rsidRPr="00DF1722">
        <w:rPr>
          <w:rStyle w:val="FootnoteReference"/>
        </w:rPr>
        <w:footnoteRef/>
      </w:r>
      <w:r w:rsidRPr="00DF1722">
        <w:t xml:space="preserve"> </w:t>
      </w:r>
      <w:r w:rsidRPr="00DF1722">
        <w:rPr>
          <w:rFonts w:eastAsia="Times"/>
        </w:rPr>
        <w:t>Opposition, Attach. B-D.</w:t>
      </w:r>
    </w:p>
  </w:footnote>
  <w:footnote w:id="9">
    <w:p w:rsidR="003508DD" w:rsidRPr="00DF1722" w:rsidP="00622BA6" w14:paraId="1DFC12EE" w14:textId="77777777">
      <w:pPr>
        <w:pStyle w:val="FootnoteText"/>
        <w:spacing w:after="120"/>
      </w:pPr>
      <w:r w:rsidRPr="00DF1722">
        <w:rPr>
          <w:rStyle w:val="FootnoteReference"/>
        </w:rPr>
        <w:footnoteRef/>
      </w:r>
      <w:r w:rsidRPr="00DF1722">
        <w:t xml:space="preserve"> </w:t>
      </w:r>
      <w:r w:rsidRPr="00DF1722">
        <w:rPr>
          <w:rFonts w:eastAsia="Times"/>
          <w:i/>
          <w:iCs/>
        </w:rPr>
        <w:t>See Revisions to Filing and Other Deadlines Following Resumption of Normal Commission Operations</w:t>
      </w:r>
      <w:r w:rsidRPr="00DF1722">
        <w:rPr>
          <w:rFonts w:eastAsia="Times"/>
        </w:rPr>
        <w:t xml:space="preserve">, Public Notice, 34 FCC </w:t>
      </w:r>
      <w:r w:rsidRPr="00DF1722">
        <w:rPr>
          <w:rFonts w:eastAsia="Times"/>
        </w:rPr>
        <w:t>Rcd</w:t>
      </w:r>
      <w:r w:rsidRPr="00DF1722">
        <w:rPr>
          <w:rFonts w:eastAsia="Times"/>
        </w:rPr>
        <w:t xml:space="preserve"> 99 (OGC 2019).</w:t>
      </w:r>
    </w:p>
  </w:footnote>
  <w:footnote w:id="10">
    <w:p w:rsidR="003508DD" w:rsidRPr="00DF1722" w:rsidP="00622BA6" w14:paraId="6A6EFCB1" w14:textId="2818836B">
      <w:pPr>
        <w:pStyle w:val="FootnoteText"/>
        <w:spacing w:after="120"/>
      </w:pPr>
      <w:r w:rsidRPr="00DF1722">
        <w:rPr>
          <w:rStyle w:val="FootnoteReference"/>
        </w:rPr>
        <w:footnoteRef/>
      </w:r>
      <w:r w:rsidRPr="00DF1722">
        <w:t xml:space="preserve"> </w:t>
      </w:r>
      <w:r w:rsidRPr="00DF1722">
        <w:rPr>
          <w:rFonts w:eastAsia="Times"/>
          <w:i/>
        </w:rPr>
        <w:t>See</w:t>
      </w:r>
      <w:r w:rsidRPr="00DF1722">
        <w:rPr>
          <w:rFonts w:eastAsia="Times"/>
        </w:rPr>
        <w:t xml:space="preserve"> BSTA-201901</w:t>
      </w:r>
      <w:r w:rsidR="0015094F">
        <w:rPr>
          <w:rFonts w:eastAsia="Times"/>
        </w:rPr>
        <w:t>15</w:t>
      </w:r>
      <w:r w:rsidRPr="00DF1722">
        <w:rPr>
          <w:rFonts w:eastAsia="Times"/>
        </w:rPr>
        <w:t>AAR and Opposition, Attach. E.</w:t>
      </w:r>
    </w:p>
  </w:footnote>
  <w:footnote w:id="11">
    <w:p w:rsidR="003508DD" w:rsidRPr="00DF1722" w:rsidP="00622BA6" w14:paraId="3EE0F009" w14:textId="0E28384D">
      <w:pPr>
        <w:pStyle w:val="FootnoteText"/>
        <w:spacing w:after="120"/>
      </w:pPr>
      <w:r w:rsidRPr="00DF1722">
        <w:rPr>
          <w:rStyle w:val="FootnoteReference"/>
        </w:rPr>
        <w:footnoteRef/>
      </w:r>
      <w:r w:rsidRPr="00DF1722">
        <w:t xml:space="preserve"> </w:t>
      </w:r>
      <w:r w:rsidRPr="00DF1722">
        <w:rPr>
          <w:rFonts w:eastAsia="Times"/>
        </w:rPr>
        <w:t>S</w:t>
      </w:r>
      <w:r w:rsidRPr="00DF1722">
        <w:rPr>
          <w:rFonts w:eastAsia="Times"/>
          <w:i/>
        </w:rPr>
        <w:t>ee</w:t>
      </w:r>
      <w:r w:rsidRPr="00DF1722">
        <w:rPr>
          <w:rFonts w:eastAsia="Times"/>
        </w:rPr>
        <w:t xml:space="preserve"> Petition at 1-2 and Reply at 1-2.</w:t>
      </w:r>
    </w:p>
  </w:footnote>
  <w:footnote w:id="12">
    <w:p w:rsidR="003508DD" w:rsidRPr="00782EF4" w:rsidP="00622BA6" w14:paraId="56656C06" w14:textId="3C124675">
      <w:pPr>
        <w:spacing w:after="120"/>
      </w:pPr>
      <w:r w:rsidRPr="00DF1722">
        <w:rPr>
          <w:rStyle w:val="FootnoteReference"/>
        </w:rPr>
        <w:footnoteRef/>
      </w:r>
      <w:r w:rsidRPr="00DF1722">
        <w:t xml:space="preserve"> </w:t>
      </w:r>
      <w:r w:rsidRPr="00DF1722">
        <w:rPr>
          <w:rFonts w:eastAsia="Times"/>
        </w:rPr>
        <w:t>WIN also suggests that Universal’s original explanation for going silent, that it was evicted from its transmitter site, was “less than candid, bordering on untruthful” because the Station’s transmitter site “was sold at auction by the local taxing authority, for failure to pay accumulated property taxes.”</w:t>
      </w:r>
      <w:r w:rsidR="00332DCE">
        <w:rPr>
          <w:rFonts w:eastAsia="Times"/>
        </w:rPr>
        <w:t xml:space="preserve"> </w:t>
      </w:r>
      <w:r w:rsidRPr="00DF1722">
        <w:rPr>
          <w:rFonts w:eastAsia="Times"/>
        </w:rPr>
        <w:t xml:space="preserve"> Petition at 3.</w:t>
      </w:r>
      <w:r w:rsidR="00332DCE">
        <w:rPr>
          <w:rFonts w:eastAsia="Times"/>
        </w:rPr>
        <w:t xml:space="preserve"> </w:t>
      </w:r>
      <w:r w:rsidRPr="00DF1722">
        <w:rPr>
          <w:rFonts w:eastAsia="Times"/>
        </w:rPr>
        <w:t xml:space="preserve"> We find no meaningful difference in those explanations in the context of our silent authority determinations, nor can we discern any motive </w:t>
      </w:r>
      <w:r w:rsidRPr="00782EF4">
        <w:rPr>
          <w:rFonts w:eastAsia="Times"/>
        </w:rPr>
        <w:t xml:space="preserve">for Universal to deceive us on this issue. </w:t>
      </w:r>
      <w:r w:rsidR="00332DCE">
        <w:rPr>
          <w:rFonts w:eastAsia="Times"/>
        </w:rPr>
        <w:t xml:space="preserve"> </w:t>
      </w:r>
      <w:r w:rsidRPr="00782EF4">
        <w:rPr>
          <w:rFonts w:eastAsia="Times"/>
        </w:rPr>
        <w:t>Accordingly, we reject WIN’s claim.</w:t>
      </w:r>
    </w:p>
  </w:footnote>
  <w:footnote w:id="13">
    <w:p w:rsidR="003508DD" w:rsidRPr="00782EF4" w:rsidP="00622BA6" w14:paraId="0BEE0B75" w14:textId="3C700970">
      <w:pPr>
        <w:pStyle w:val="FootnoteText"/>
        <w:spacing w:after="120"/>
      </w:pPr>
      <w:r w:rsidRPr="00782EF4">
        <w:rPr>
          <w:rStyle w:val="FootnoteReference"/>
        </w:rPr>
        <w:footnoteRef/>
      </w:r>
      <w:r w:rsidRPr="00782EF4">
        <w:t xml:space="preserve"> </w:t>
      </w:r>
      <w:r w:rsidRPr="00782EF4">
        <w:rPr>
          <w:rFonts w:eastAsia="Times"/>
          <w:i/>
        </w:rPr>
        <w:t xml:space="preserve">See </w:t>
      </w:r>
      <w:r w:rsidRPr="00782EF4">
        <w:rPr>
          <w:rFonts w:eastAsia="Times"/>
        </w:rPr>
        <w:t xml:space="preserve">note </w:t>
      </w:r>
      <w:r w:rsidR="00332DCE">
        <w:rPr>
          <w:rFonts w:eastAsia="Times"/>
        </w:rPr>
        <w:t>4</w:t>
      </w:r>
      <w:r w:rsidRPr="00782EF4">
        <w:rPr>
          <w:rFonts w:eastAsia="Times"/>
        </w:rPr>
        <w:t xml:space="preserve"> supra, quoting section 312(g).</w:t>
      </w:r>
    </w:p>
  </w:footnote>
  <w:footnote w:id="14">
    <w:p w:rsidR="00907F17" w:rsidRPr="00F20F7B" w:rsidP="00182C31" w14:paraId="7A3C5A9B" w14:textId="22B1DF01">
      <w:pPr>
        <w:pStyle w:val="FootnoteText"/>
        <w:spacing w:after="120"/>
      </w:pPr>
      <w:r>
        <w:rPr>
          <w:rStyle w:val="FootnoteReference"/>
        </w:rPr>
        <w:footnoteRef/>
      </w:r>
      <w:r>
        <w:t xml:space="preserve"> </w:t>
      </w:r>
      <w:r w:rsidR="00182C31">
        <w:rPr>
          <w:i/>
          <w:iCs/>
        </w:rPr>
        <w:t xml:space="preserve">See generally </w:t>
      </w:r>
      <w:r w:rsidRPr="00DF1722" w:rsidR="00F20F7B">
        <w:rPr>
          <w:i/>
          <w:iCs/>
        </w:rPr>
        <w:t>Bureau Order</w:t>
      </w:r>
      <w:r w:rsidR="00182C31">
        <w:t xml:space="preserve">, 34 FCC </w:t>
      </w:r>
      <w:r w:rsidR="00182C31">
        <w:t>Rcd</w:t>
      </w:r>
      <w:r w:rsidR="00182C31">
        <w:t xml:space="preserve"> at 10219-20, para. 1</w:t>
      </w:r>
      <w:r w:rsidR="00F20F7B">
        <w:rPr>
          <w:iCs/>
        </w:rPr>
        <w:t>.</w:t>
      </w:r>
    </w:p>
  </w:footnote>
  <w:footnote w:id="15">
    <w:p w:rsidR="00F20F7B" w:rsidP="00182C31" w14:paraId="76F061EE" w14:textId="1CC4FD5C">
      <w:pPr>
        <w:pStyle w:val="FootnoteText"/>
        <w:spacing w:after="120"/>
      </w:pPr>
      <w:r>
        <w:rPr>
          <w:rStyle w:val="FootnoteReference"/>
        </w:rPr>
        <w:footnoteRef/>
      </w:r>
      <w:r>
        <w:t xml:space="preserve"> </w:t>
      </w:r>
      <w:r w:rsidRPr="00182C31">
        <w:rPr>
          <w:i/>
        </w:rPr>
        <w:t>Id</w:t>
      </w:r>
      <w:r w:rsidR="00182C31">
        <w:rPr>
          <w:i/>
        </w:rPr>
        <w:t>.</w:t>
      </w:r>
      <w:r>
        <w:t xml:space="preserve"> at </w:t>
      </w:r>
      <w:r w:rsidR="00182C31">
        <w:t>10322</w:t>
      </w:r>
      <w:r w:rsidR="00882A82">
        <w:t>, para. 11.</w:t>
      </w:r>
    </w:p>
  </w:footnote>
  <w:footnote w:id="16">
    <w:p w:rsidR="007C0E5D" w:rsidP="00182C31" w14:paraId="28A854C4" w14:textId="4C387DA6">
      <w:pPr>
        <w:pStyle w:val="FootnoteText"/>
        <w:spacing w:after="120"/>
      </w:pPr>
      <w:r>
        <w:rPr>
          <w:rStyle w:val="FootnoteReference"/>
        </w:rPr>
        <w:footnoteRef/>
      </w:r>
      <w:r>
        <w:t xml:space="preserve"> </w:t>
      </w:r>
      <w:r w:rsidRPr="008725FF">
        <w:rPr>
          <w:i/>
        </w:rPr>
        <w:t>Id</w:t>
      </w:r>
      <w:r>
        <w:t xml:space="preserve"> at </w:t>
      </w:r>
      <w:r w:rsidR="00BB52CA">
        <w:t>10323, para. 13</w:t>
      </w:r>
      <w:r>
        <w:t>.</w:t>
      </w:r>
    </w:p>
  </w:footnote>
  <w:footnote w:id="17">
    <w:p w:rsidR="003508DD" w:rsidRPr="00782EF4" w:rsidP="007C0E5D" w14:paraId="463A42D9" w14:textId="3804AA81">
      <w:pPr>
        <w:pStyle w:val="FootnoteText"/>
        <w:spacing w:after="120"/>
      </w:pPr>
      <w:r w:rsidRPr="00782EF4">
        <w:rPr>
          <w:rStyle w:val="FootnoteReference"/>
        </w:rPr>
        <w:footnoteRef/>
      </w:r>
      <w:r w:rsidRPr="00782EF4">
        <w:t xml:space="preserve"> </w:t>
      </w:r>
      <w:r w:rsidRPr="00782EF4">
        <w:rPr>
          <w:rFonts w:eastAsia="Calibri"/>
        </w:rPr>
        <w:t>Petition at 2.</w:t>
      </w:r>
    </w:p>
  </w:footnote>
  <w:footnote w:id="18">
    <w:p w:rsidR="003508DD" w:rsidP="00622BA6" w14:paraId="44235347" w14:textId="260DEA1C">
      <w:pPr>
        <w:pStyle w:val="FootnoteText"/>
        <w:spacing w:after="120"/>
      </w:pPr>
      <w:r w:rsidRPr="00782EF4">
        <w:rPr>
          <w:rStyle w:val="FootnoteReference"/>
        </w:rPr>
        <w:footnoteRef/>
      </w:r>
      <w:r w:rsidRPr="00782EF4">
        <w:t xml:space="preserve"> Petition at 6.</w:t>
      </w:r>
    </w:p>
  </w:footnote>
  <w:footnote w:id="19">
    <w:p w:rsidR="003508DD" w:rsidRPr="00DF1722" w:rsidP="00622BA6" w14:paraId="1A3E9978" w14:textId="241A32E3">
      <w:pPr>
        <w:pStyle w:val="FootnoteText"/>
        <w:spacing w:after="120"/>
      </w:pPr>
      <w:r w:rsidRPr="00DF1722">
        <w:rPr>
          <w:rStyle w:val="FootnoteReference"/>
        </w:rPr>
        <w:footnoteRef/>
      </w:r>
      <w:r w:rsidRPr="00DF1722">
        <w:t xml:space="preserve"> </w:t>
      </w:r>
      <w:r w:rsidRPr="00DF1722">
        <w:rPr>
          <w:rFonts w:eastAsia="Calibri"/>
        </w:rPr>
        <w:t>Petition at 4.</w:t>
      </w:r>
    </w:p>
  </w:footnote>
  <w:footnote w:id="20">
    <w:p w:rsidR="003508DD" w:rsidRPr="00DF1722" w:rsidP="00622BA6" w14:paraId="6E925FCA" w14:textId="1C1EF50D">
      <w:pPr>
        <w:pStyle w:val="FootnoteText"/>
        <w:spacing w:after="120"/>
      </w:pPr>
      <w:r w:rsidRPr="00DF1722">
        <w:rPr>
          <w:rStyle w:val="FootnoteReference"/>
        </w:rPr>
        <w:footnoteRef/>
      </w:r>
      <w:r w:rsidRPr="00DF1722">
        <w:t xml:space="preserve"> Reply at 3.</w:t>
      </w:r>
    </w:p>
  </w:footnote>
  <w:footnote w:id="21">
    <w:p w:rsidR="007D5AE7" w:rsidP="00182C31" w14:paraId="450FF796" w14:textId="4C41B1F0">
      <w:pPr>
        <w:pStyle w:val="FootnoteText"/>
        <w:spacing w:after="120"/>
      </w:pPr>
      <w:r>
        <w:rPr>
          <w:rStyle w:val="FootnoteReference"/>
        </w:rPr>
        <w:footnoteRef/>
      </w:r>
      <w:r>
        <w:t xml:space="preserve"> Petition at 3.</w:t>
      </w:r>
    </w:p>
  </w:footnote>
  <w:footnote w:id="22">
    <w:p w:rsidR="003508DD" w:rsidRPr="009B4208" w:rsidP="00FC61A5" w14:paraId="0071C85D" w14:textId="3D6BB249">
      <w:pPr>
        <w:pStyle w:val="EndnoteText"/>
        <w:spacing w:after="120"/>
      </w:pPr>
      <w:r w:rsidRPr="009B4208">
        <w:rPr>
          <w:rStyle w:val="FootnoteReference"/>
        </w:rPr>
        <w:footnoteRef/>
      </w:r>
      <w:r w:rsidRPr="009B4208">
        <w:t xml:space="preserve"> Opposition at 2.</w:t>
      </w:r>
      <w:r w:rsidR="005D22B4">
        <w:t xml:space="preserve">  </w:t>
      </w:r>
      <w:r w:rsidR="001021F4">
        <w:t>Universal points out that for reconsideration to be granted, the petitioner needs to show “a material error or omission in the original order or [raise] additional facts not known or existing” at the time.  Since WIN, Universal argues, failed to show any material error or r</w:t>
      </w:r>
      <w:r w:rsidR="00164BF5">
        <w:t xml:space="preserve">aise additional facts regarding </w:t>
      </w:r>
      <w:r w:rsidR="005D3235">
        <w:t>the expiration of the Station’s license under</w:t>
      </w:r>
      <w:r w:rsidR="00164BF5">
        <w:t xml:space="preserve"> </w:t>
      </w:r>
      <w:r w:rsidRPr="00626CF6" w:rsidR="008B4ADC">
        <w:t>section</w:t>
      </w:r>
      <w:r w:rsidR="008B4ADC">
        <w:t xml:space="preserve"> </w:t>
      </w:r>
      <w:r w:rsidR="00164BF5">
        <w:t>312(g), WIN lacks sufficient standing for reconsideration.</w:t>
      </w:r>
    </w:p>
  </w:footnote>
  <w:footnote w:id="23">
    <w:p w:rsidR="00252EF0" w:rsidP="00182C31" w14:paraId="05BA49F4" w14:textId="5F3B8A75">
      <w:pPr>
        <w:pStyle w:val="FootnoteText"/>
        <w:spacing w:after="120"/>
      </w:pPr>
      <w:r>
        <w:rPr>
          <w:rStyle w:val="FootnoteReference"/>
        </w:rPr>
        <w:footnoteRef/>
      </w:r>
      <w:r>
        <w:t xml:space="preserve"> </w:t>
      </w:r>
      <w:r w:rsidRPr="009B4208">
        <w:rPr>
          <w:rFonts w:eastAsia="Calibri"/>
          <w:i/>
        </w:rPr>
        <w:t>Id</w:t>
      </w:r>
      <w:r w:rsidRPr="009B4208">
        <w:rPr>
          <w:rFonts w:eastAsia="Calibri"/>
        </w:rPr>
        <w:t>.</w:t>
      </w:r>
    </w:p>
  </w:footnote>
  <w:footnote w:id="24">
    <w:p w:rsidR="003508DD" w:rsidRPr="009B4208" w:rsidP="00622BA6" w14:paraId="7B588AF9" w14:textId="5A47D283">
      <w:pPr>
        <w:pStyle w:val="FootnoteText"/>
        <w:spacing w:after="120"/>
      </w:pPr>
      <w:r w:rsidRPr="009B4208">
        <w:rPr>
          <w:rStyle w:val="FootnoteReference"/>
        </w:rPr>
        <w:footnoteRef/>
      </w:r>
      <w:r w:rsidRPr="009B4208">
        <w:t xml:space="preserve"> Reply at 2.</w:t>
      </w:r>
    </w:p>
  </w:footnote>
  <w:footnote w:id="25">
    <w:p w:rsidR="003508DD" w:rsidRPr="009B4208" w:rsidP="00622BA6" w14:paraId="0ED8716D" w14:textId="77777777">
      <w:pPr>
        <w:pStyle w:val="FootnoteText"/>
        <w:spacing w:after="120"/>
      </w:pPr>
      <w:r w:rsidRPr="009B4208">
        <w:rPr>
          <w:rStyle w:val="FootnoteReference"/>
        </w:rPr>
        <w:footnoteRef/>
      </w:r>
      <w:r w:rsidRPr="009B4208">
        <w:t xml:space="preserve"> </w:t>
      </w:r>
      <w:r w:rsidRPr="00394F73">
        <w:rPr>
          <w:i/>
          <w:iCs/>
        </w:rPr>
        <w:t>Id.</w:t>
      </w:r>
    </w:p>
  </w:footnote>
  <w:footnote w:id="26">
    <w:p w:rsidR="003508DD" w:rsidRPr="009B4208" w:rsidP="00622BA6" w14:paraId="20842151" w14:textId="08164C71">
      <w:pPr>
        <w:pStyle w:val="FootnoteText"/>
        <w:spacing w:after="120"/>
      </w:pPr>
      <w:r w:rsidRPr="009B4208">
        <w:rPr>
          <w:rStyle w:val="FootnoteReference"/>
        </w:rPr>
        <w:footnoteRef/>
      </w:r>
      <w:r w:rsidRPr="009B4208">
        <w:t xml:space="preserve"> </w:t>
      </w:r>
      <w:r w:rsidRPr="00394F73">
        <w:rPr>
          <w:i/>
          <w:iCs/>
        </w:rPr>
        <w:t>Id</w:t>
      </w:r>
      <w:r w:rsidRPr="00394F73" w:rsidR="00E92359">
        <w:rPr>
          <w:i/>
          <w:iCs/>
        </w:rPr>
        <w:t>.</w:t>
      </w:r>
      <w:r w:rsidRPr="009B4208">
        <w:t xml:space="preserve"> at 2-3.</w:t>
      </w:r>
    </w:p>
  </w:footnote>
  <w:footnote w:id="27">
    <w:p w:rsidR="003508DD" w:rsidRPr="009B4208" w:rsidP="00622BA6" w14:paraId="07FED52E" w14:textId="752F0ACC">
      <w:pPr>
        <w:pStyle w:val="FootnoteText"/>
        <w:spacing w:after="120"/>
      </w:pPr>
      <w:r w:rsidRPr="009B4208">
        <w:rPr>
          <w:rStyle w:val="FootnoteReference"/>
        </w:rPr>
        <w:footnoteRef/>
      </w:r>
      <w:r w:rsidRPr="009B4208">
        <w:t xml:space="preserve"> </w:t>
      </w:r>
      <w:r w:rsidRPr="00394F73">
        <w:rPr>
          <w:i/>
          <w:iCs/>
        </w:rPr>
        <w:t>Id</w:t>
      </w:r>
      <w:r w:rsidR="00E92359">
        <w:t>.</w:t>
      </w:r>
      <w:r w:rsidRPr="009B4208">
        <w:t xml:space="preserve"> at 3</w:t>
      </w:r>
      <w:r w:rsidR="00081AFB">
        <w:t xml:space="preserve"> (citing </w:t>
      </w:r>
      <w:r w:rsidR="00182C31">
        <w:t xml:space="preserve">47 </w:t>
      </w:r>
      <w:r w:rsidRPr="00DF1722" w:rsidR="00182C31">
        <w:rPr>
          <w:rFonts w:eastAsia="Times"/>
        </w:rPr>
        <w:t xml:space="preserve">U.S.C. § </w:t>
      </w:r>
      <w:r w:rsidR="00B36718">
        <w:t>554</w:t>
      </w:r>
      <w:r w:rsidR="00CE7252">
        <w:t>(d)(1)</w:t>
      </w:r>
      <w:r w:rsidR="00B36718">
        <w:t xml:space="preserve"> </w:t>
      </w:r>
      <w:r w:rsidR="00182C31">
        <w:t>(</w:t>
      </w:r>
      <w:r w:rsidR="00B36718">
        <w:t xml:space="preserve">“except to the extent required for the disposition of ex </w:t>
      </w:r>
      <w:r w:rsidR="00B36718">
        <w:t>parte</w:t>
      </w:r>
      <w:r w:rsidR="00B36718">
        <w:t xml:space="preserve"> matters as authorized by law, an agency employee may </w:t>
      </w:r>
      <w:r w:rsidRPr="00626CF6" w:rsidR="00B36718">
        <w:t>not</w:t>
      </w:r>
      <w:r w:rsidRPr="00626CF6" w:rsidR="008B4ADC">
        <w:t xml:space="preserve"> . . .</w:t>
      </w:r>
      <w:r w:rsidR="008B4ADC">
        <w:t xml:space="preserve"> </w:t>
      </w:r>
      <w:r w:rsidR="00B36718">
        <w:t>consult a person or party on a fact in issue, unless on notice and opportunity for all parties to participate.”</w:t>
      </w:r>
      <w:r w:rsidR="00182C31">
        <w:t>))</w:t>
      </w:r>
      <w:r w:rsidR="001E43EB">
        <w:t xml:space="preserve">.  </w:t>
      </w:r>
      <w:r w:rsidR="00B36718">
        <w:t xml:space="preserve">As WIN has not received any notice of the settlement discussions and the substance of the discussions was not included in the record, WIN argues the FCC violated </w:t>
      </w:r>
      <w:r w:rsidR="00182C31">
        <w:t>WIN’s</w:t>
      </w:r>
      <w:r w:rsidR="00B36718">
        <w:t xml:space="preserve"> rights under the APA.</w:t>
      </w:r>
    </w:p>
  </w:footnote>
  <w:footnote w:id="28">
    <w:p w:rsidR="003508DD" w:rsidRPr="00DF1722" w:rsidP="00622BA6" w14:paraId="5644F464" w14:textId="4C6622F1">
      <w:pPr>
        <w:pStyle w:val="FootnoteText"/>
        <w:spacing w:after="120"/>
      </w:pPr>
      <w:r w:rsidRPr="009B4208">
        <w:rPr>
          <w:rStyle w:val="FootnoteReference"/>
        </w:rPr>
        <w:footnoteRef/>
      </w:r>
      <w:r w:rsidRPr="009B4208">
        <w:t xml:space="preserve"> </w:t>
      </w:r>
      <w:r w:rsidRPr="009B4208">
        <w:rPr>
          <w:color w:val="000000" w:themeColor="text1"/>
        </w:rPr>
        <w:t>47 CFR § 1</w:t>
      </w:r>
      <w:r w:rsidRPr="00DF1722">
        <w:rPr>
          <w:color w:val="000000" w:themeColor="text1"/>
        </w:rPr>
        <w:t xml:space="preserve">.106(c); </w:t>
      </w:r>
      <w:r w:rsidRPr="00DF1722">
        <w:rPr>
          <w:i/>
          <w:iCs/>
          <w:color w:val="000000" w:themeColor="text1"/>
        </w:rPr>
        <w:t>WWIZ, Inc.</w:t>
      </w:r>
      <w:r w:rsidRPr="00DF1722">
        <w:rPr>
          <w:color w:val="000000" w:themeColor="text1"/>
        </w:rPr>
        <w:t>, Memorandum Opinion and Order, 37 FCC 685, 686, para.  2 (1964)</w:t>
      </w:r>
      <w:r w:rsidR="00081AFB">
        <w:rPr>
          <w:color w:val="000000" w:themeColor="text1"/>
        </w:rPr>
        <w:t xml:space="preserve"> (</w:t>
      </w:r>
      <w:r w:rsidR="00081AFB">
        <w:rPr>
          <w:i/>
          <w:iCs/>
          <w:color w:val="000000" w:themeColor="text1"/>
        </w:rPr>
        <w:t>WWIZ</w:t>
      </w:r>
      <w:r w:rsidR="00081AFB">
        <w:rPr>
          <w:color w:val="000000" w:themeColor="text1"/>
        </w:rPr>
        <w:t>)</w:t>
      </w:r>
      <w:r w:rsidRPr="00DF1722">
        <w:rPr>
          <w:color w:val="000000" w:themeColor="text1"/>
        </w:rPr>
        <w:t xml:space="preserve">, </w:t>
      </w:r>
      <w:r w:rsidRPr="00DF1722">
        <w:rPr>
          <w:i/>
          <w:iCs/>
          <w:color w:val="000000" w:themeColor="text1"/>
        </w:rPr>
        <w:t>aff’d sub nom</w:t>
      </w:r>
      <w:r w:rsidRPr="00DF1722">
        <w:rPr>
          <w:color w:val="000000" w:themeColor="text1"/>
        </w:rPr>
        <w:t xml:space="preserve">. </w:t>
      </w:r>
      <w:r w:rsidRPr="00DF1722">
        <w:rPr>
          <w:i/>
          <w:iCs/>
          <w:color w:val="000000" w:themeColor="text1"/>
        </w:rPr>
        <w:t>Lorain Journal Co. v. FCC</w:t>
      </w:r>
      <w:r w:rsidRPr="00DF1722">
        <w:rPr>
          <w:color w:val="000000" w:themeColor="text1"/>
        </w:rPr>
        <w:t xml:space="preserve">, 351 F.2d 824 (D.C. Cir. 1965), </w:t>
      </w:r>
      <w:r w:rsidRPr="00DF1722">
        <w:rPr>
          <w:i/>
          <w:iCs/>
          <w:color w:val="000000" w:themeColor="text1"/>
        </w:rPr>
        <w:t>cert. denied</w:t>
      </w:r>
      <w:r w:rsidRPr="00DF1722">
        <w:rPr>
          <w:color w:val="000000" w:themeColor="text1"/>
        </w:rPr>
        <w:t>, 397 U.S. 967 (1966);</w:t>
      </w:r>
      <w:r w:rsidRPr="00DF1722">
        <w:rPr>
          <w:i/>
          <w:iCs/>
          <w:color w:val="000000" w:themeColor="text1"/>
        </w:rPr>
        <w:t xml:space="preserve"> Davis &amp; Elkins Coll., </w:t>
      </w:r>
      <w:r w:rsidRPr="00DF1722">
        <w:rPr>
          <w:color w:val="000000" w:themeColor="text1"/>
        </w:rPr>
        <w:t xml:space="preserve">Memorandum and Order, 26 FCC </w:t>
      </w:r>
      <w:r w:rsidRPr="00DF1722">
        <w:rPr>
          <w:color w:val="000000" w:themeColor="text1"/>
        </w:rPr>
        <w:t>Rcd</w:t>
      </w:r>
      <w:r w:rsidRPr="00DF1722">
        <w:rPr>
          <w:color w:val="000000" w:themeColor="text1"/>
        </w:rPr>
        <w:t xml:space="preserve"> 15555, 15556, para. 5 (MB 2011).</w:t>
      </w:r>
    </w:p>
  </w:footnote>
  <w:footnote w:id="29">
    <w:p w:rsidR="00570225" w:rsidP="00081AFB" w14:paraId="0ACE1C62" w14:textId="6F7B7871">
      <w:pPr>
        <w:pStyle w:val="FootnoteText"/>
        <w:spacing w:after="120"/>
      </w:pPr>
      <w:r>
        <w:rPr>
          <w:rStyle w:val="FootnoteReference"/>
        </w:rPr>
        <w:footnoteRef/>
      </w:r>
      <w:r>
        <w:t xml:space="preserve"> </w:t>
      </w:r>
      <w:r w:rsidRPr="003560A1" w:rsidR="002B0491">
        <w:rPr>
          <w:i/>
          <w:color w:val="000000" w:themeColor="text1"/>
        </w:rPr>
        <w:t>Capstar</w:t>
      </w:r>
      <w:r w:rsidRPr="003560A1" w:rsidR="002B0491">
        <w:rPr>
          <w:i/>
          <w:color w:val="000000" w:themeColor="text1"/>
        </w:rPr>
        <w:t xml:space="preserve"> TX</w:t>
      </w:r>
      <w:r w:rsidR="002B0491">
        <w:rPr>
          <w:i/>
          <w:color w:val="000000" w:themeColor="text1"/>
        </w:rPr>
        <w:t xml:space="preserve"> LLC</w:t>
      </w:r>
      <w:r w:rsidR="00AE3381">
        <w:rPr>
          <w:i/>
          <w:color w:val="000000" w:themeColor="text1"/>
        </w:rPr>
        <w:t>, NEW(FM), Modesto</w:t>
      </w:r>
      <w:r w:rsidRPr="003560A1" w:rsidR="002B0491">
        <w:rPr>
          <w:i/>
          <w:color w:val="000000" w:themeColor="text1"/>
        </w:rPr>
        <w:t xml:space="preserve">, </w:t>
      </w:r>
      <w:r w:rsidR="00AE3381">
        <w:rPr>
          <w:i/>
          <w:color w:val="000000" w:themeColor="text1"/>
        </w:rPr>
        <w:t>CA</w:t>
      </w:r>
      <w:r w:rsidR="00A56DEF">
        <w:rPr>
          <w:color w:val="000000" w:themeColor="text1"/>
        </w:rPr>
        <w:t xml:space="preserve">, Letter Order, 34 FCC </w:t>
      </w:r>
      <w:r w:rsidR="00A56DEF">
        <w:rPr>
          <w:color w:val="000000" w:themeColor="text1"/>
        </w:rPr>
        <w:t>Rcd</w:t>
      </w:r>
      <w:r w:rsidR="00A56DEF">
        <w:rPr>
          <w:color w:val="000000" w:themeColor="text1"/>
        </w:rPr>
        <w:t xml:space="preserve"> 6187 (MB 2019</w:t>
      </w:r>
      <w:r w:rsidRPr="003560A1" w:rsidR="002B0491">
        <w:rPr>
          <w:color w:val="000000" w:themeColor="text1"/>
        </w:rPr>
        <w:t>)</w:t>
      </w:r>
      <w:r w:rsidR="00196CAB">
        <w:rPr>
          <w:color w:val="000000" w:themeColor="text1"/>
        </w:rPr>
        <w:t xml:space="preserve">, citing </w:t>
      </w:r>
      <w:r w:rsidRPr="00081AFB" w:rsidR="00196CAB">
        <w:rPr>
          <w:i/>
          <w:color w:val="000000" w:themeColor="text1"/>
        </w:rPr>
        <w:t>WWIZ</w:t>
      </w:r>
      <w:r w:rsidR="00196CAB">
        <w:rPr>
          <w:color w:val="000000" w:themeColor="text1"/>
        </w:rPr>
        <w:t xml:space="preserve">, 37 FCC </w:t>
      </w:r>
      <w:r w:rsidR="00081AFB">
        <w:rPr>
          <w:color w:val="000000" w:themeColor="text1"/>
        </w:rPr>
        <w:t>at</w:t>
      </w:r>
      <w:r w:rsidR="00163372">
        <w:rPr>
          <w:color w:val="000000" w:themeColor="text1"/>
        </w:rPr>
        <w:t xml:space="preserve"> </w:t>
      </w:r>
      <w:r w:rsidR="00196CAB">
        <w:rPr>
          <w:color w:val="000000" w:themeColor="text1"/>
        </w:rPr>
        <w:t>686, para. 2</w:t>
      </w:r>
      <w:r w:rsidR="00081AFB">
        <w:rPr>
          <w:color w:val="000000" w:themeColor="text1"/>
        </w:rPr>
        <w:t>.</w:t>
      </w:r>
    </w:p>
  </w:footnote>
  <w:footnote w:id="30">
    <w:p w:rsidR="003508DD" w:rsidRPr="00DF1722" w:rsidP="002B0491" w14:paraId="2E608063" w14:textId="77777777">
      <w:pPr>
        <w:pStyle w:val="FootnoteText"/>
        <w:spacing w:after="120"/>
        <w:rPr>
          <w:color w:val="000000" w:themeColor="text1"/>
        </w:rPr>
      </w:pPr>
      <w:r w:rsidRPr="00DF1722">
        <w:rPr>
          <w:rStyle w:val="FootnoteReference"/>
        </w:rPr>
        <w:footnoteRef/>
      </w:r>
      <w:r w:rsidRPr="00DF1722">
        <w:t xml:space="preserve"> </w:t>
      </w:r>
      <w:r w:rsidRPr="00DF1722">
        <w:rPr>
          <w:color w:val="000000" w:themeColor="text1"/>
        </w:rPr>
        <w:t>47 U.S.C. § 312(g).</w:t>
      </w:r>
    </w:p>
  </w:footnote>
  <w:footnote w:id="31">
    <w:p w:rsidR="003508DD" w:rsidRPr="00DF1722" w:rsidP="00622BA6" w14:paraId="472A2A8F" w14:textId="1063CD73">
      <w:pPr>
        <w:pStyle w:val="EndnoteText"/>
        <w:spacing w:after="120"/>
        <w:rPr>
          <w:color w:val="000000" w:themeColor="text1"/>
        </w:rPr>
      </w:pPr>
      <w:r w:rsidRPr="00DF1722">
        <w:rPr>
          <w:rStyle w:val="FootnoteReference"/>
          <w:color w:val="000000" w:themeColor="text1"/>
        </w:rPr>
        <w:footnoteRef/>
      </w:r>
      <w:r w:rsidRPr="00DF1722">
        <w:rPr>
          <w:color w:val="000000" w:themeColor="text1"/>
        </w:rPr>
        <w:t xml:space="preserve"> </w:t>
      </w:r>
      <w:r w:rsidRPr="00DF1722">
        <w:rPr>
          <w:i/>
          <w:color w:val="000000" w:themeColor="text1"/>
        </w:rPr>
        <w:t>See</w:t>
      </w:r>
      <w:r w:rsidRPr="00DF1722">
        <w:rPr>
          <w:color w:val="000000" w:themeColor="text1"/>
        </w:rPr>
        <w:t xml:space="preserve"> Petition at 6-7.</w:t>
      </w:r>
    </w:p>
  </w:footnote>
  <w:footnote w:id="32">
    <w:p w:rsidR="003508DD" w:rsidRPr="00DF1722" w:rsidP="00622BA6" w14:paraId="37AF8C90" w14:textId="77777777">
      <w:pPr>
        <w:pStyle w:val="FootnoteText"/>
        <w:spacing w:after="120"/>
        <w:rPr>
          <w:color w:val="000000" w:themeColor="text1"/>
        </w:rPr>
      </w:pPr>
      <w:r w:rsidRPr="00DF1722">
        <w:rPr>
          <w:rStyle w:val="FootnoteReference"/>
          <w:color w:val="000000" w:themeColor="text1"/>
        </w:rPr>
        <w:footnoteRef/>
      </w:r>
      <w:r w:rsidRPr="00DF1722">
        <w:rPr>
          <w:color w:val="000000" w:themeColor="text1"/>
        </w:rPr>
        <w:t xml:space="preserve"> </w:t>
      </w:r>
      <w:r w:rsidRPr="00DF1722">
        <w:rPr>
          <w:i/>
          <w:iCs/>
          <w:color w:val="000000" w:themeColor="text1"/>
        </w:rPr>
        <w:t>Eagle Broadcasting Group, Ltd. v. F.C.C</w:t>
      </w:r>
      <w:r w:rsidRPr="00DF1722">
        <w:rPr>
          <w:rFonts w:eastAsia="Calibri"/>
          <w:color w:val="000000" w:themeColor="text1"/>
        </w:rPr>
        <w:t xml:space="preserve">., 563 F.3d 543, 545 (D.C. Cir. 2009), citing </w:t>
      </w:r>
      <w:r w:rsidRPr="00DF1722">
        <w:rPr>
          <w:color w:val="000000" w:themeColor="text1"/>
        </w:rPr>
        <w:t xml:space="preserve">47 U.S.C. § 312(g) (2004) (amended by Consolidated Appropriations Act, 2005, </w:t>
      </w:r>
      <w:r w:rsidRPr="00DF1722">
        <w:rPr>
          <w:color w:val="000000" w:themeColor="text1"/>
        </w:rPr>
        <w:t>Pub.L</w:t>
      </w:r>
      <w:r w:rsidRPr="00DF1722">
        <w:rPr>
          <w:color w:val="000000" w:themeColor="text1"/>
        </w:rPr>
        <w:t>. No. 108–447, 118 Stat. 2809 (2004)).</w:t>
      </w:r>
    </w:p>
  </w:footnote>
  <w:footnote w:id="33">
    <w:p w:rsidR="003508DD" w:rsidRPr="00DF1722" w:rsidP="00622BA6" w14:paraId="64B03745" w14:textId="77777777">
      <w:pPr>
        <w:pStyle w:val="FootnoteText"/>
        <w:spacing w:after="120"/>
        <w:rPr>
          <w:color w:val="000000" w:themeColor="text1"/>
        </w:rPr>
      </w:pPr>
      <w:r w:rsidRPr="00DF1722">
        <w:rPr>
          <w:rStyle w:val="FootnoteReference"/>
          <w:color w:val="000000" w:themeColor="text1"/>
        </w:rPr>
        <w:footnoteRef/>
      </w:r>
      <w:r w:rsidRPr="00DF1722">
        <w:rPr>
          <w:color w:val="000000" w:themeColor="text1"/>
        </w:rPr>
        <w:t xml:space="preserve"> </w:t>
      </w:r>
      <w:r w:rsidRPr="00DF1722">
        <w:rPr>
          <w:rFonts w:eastAsia="Calibri"/>
          <w:i/>
          <w:color w:val="000000" w:themeColor="text1"/>
        </w:rPr>
        <w:t>Bureau Order</w:t>
      </w:r>
      <w:r w:rsidRPr="00DF1722">
        <w:rPr>
          <w:rFonts w:eastAsia="Calibri"/>
          <w:iCs/>
          <w:color w:val="000000" w:themeColor="text1"/>
        </w:rPr>
        <w:t xml:space="preserve">, 35 FCC </w:t>
      </w:r>
      <w:r w:rsidRPr="00DF1722">
        <w:rPr>
          <w:rFonts w:eastAsia="Calibri"/>
          <w:iCs/>
          <w:color w:val="000000" w:themeColor="text1"/>
        </w:rPr>
        <w:t>Rcd</w:t>
      </w:r>
      <w:r w:rsidRPr="00DF1722">
        <w:rPr>
          <w:rFonts w:eastAsia="Calibri"/>
          <w:iCs/>
          <w:color w:val="000000" w:themeColor="text1"/>
        </w:rPr>
        <w:t xml:space="preserve"> at 10322, </w:t>
      </w:r>
      <w:r w:rsidRPr="00DF1722">
        <w:rPr>
          <w:rFonts w:eastAsia="Calibri"/>
          <w:color w:val="000000" w:themeColor="text1"/>
        </w:rPr>
        <w:t>para. 11.</w:t>
      </w:r>
    </w:p>
  </w:footnote>
  <w:footnote w:id="34">
    <w:p w:rsidR="003508DD" w:rsidRPr="00DF1722" w:rsidP="00622BA6" w14:paraId="57452C6E" w14:textId="6B9A0C7B">
      <w:pPr>
        <w:pStyle w:val="FootnoteText"/>
        <w:spacing w:after="120"/>
        <w:rPr>
          <w:color w:val="000000" w:themeColor="text1"/>
        </w:rPr>
      </w:pPr>
      <w:r w:rsidRPr="00DF1722">
        <w:rPr>
          <w:rStyle w:val="FootnoteReference"/>
          <w:color w:val="000000" w:themeColor="text1"/>
        </w:rPr>
        <w:footnoteRef/>
      </w:r>
      <w:r w:rsidRPr="00DF1722">
        <w:rPr>
          <w:color w:val="000000" w:themeColor="text1"/>
        </w:rPr>
        <w:t xml:space="preserve"> </w:t>
      </w:r>
      <w:r w:rsidRPr="00DF1722">
        <w:rPr>
          <w:rFonts w:eastAsia="Calibri"/>
          <w:i/>
          <w:color w:val="000000" w:themeColor="text1"/>
        </w:rPr>
        <w:t>Id</w:t>
      </w:r>
      <w:r w:rsidR="00A246EE">
        <w:rPr>
          <w:rFonts w:eastAsia="Calibri"/>
          <w:i/>
          <w:color w:val="000000" w:themeColor="text1"/>
        </w:rPr>
        <w:t>.</w:t>
      </w:r>
      <w:r w:rsidRPr="00DF1722">
        <w:rPr>
          <w:rFonts w:eastAsia="Calibri"/>
          <w:color w:val="000000" w:themeColor="text1"/>
        </w:rPr>
        <w:t xml:space="preserve"> at para. 10.</w:t>
      </w:r>
    </w:p>
  </w:footnote>
  <w:footnote w:id="35">
    <w:p w:rsidR="003508DD" w:rsidRPr="00DF1722" w:rsidP="00622BA6" w14:paraId="13C6540D" w14:textId="0F20058E">
      <w:pPr>
        <w:pStyle w:val="FootnoteText"/>
        <w:spacing w:after="120"/>
        <w:rPr>
          <w:color w:val="000000" w:themeColor="text1"/>
        </w:rPr>
      </w:pPr>
      <w:r w:rsidRPr="00DF1722">
        <w:rPr>
          <w:rStyle w:val="FootnoteReference"/>
          <w:color w:val="000000" w:themeColor="text1"/>
        </w:rPr>
        <w:footnoteRef/>
      </w:r>
      <w:r w:rsidRPr="00DF1722">
        <w:rPr>
          <w:color w:val="000000" w:themeColor="text1"/>
        </w:rPr>
        <w:t xml:space="preserve"> </w:t>
      </w:r>
      <w:r w:rsidRPr="00DF1722">
        <w:rPr>
          <w:i/>
          <w:color w:val="000000" w:themeColor="text1"/>
        </w:rPr>
        <w:t>New York State Dept. of Law v. FCC</w:t>
      </w:r>
      <w:r w:rsidRPr="00DF1722">
        <w:rPr>
          <w:color w:val="000000" w:themeColor="text1"/>
        </w:rPr>
        <w:t xml:space="preserve">, 984 F.2d 1209, 1213-15 (D.C. Cir. 1993) (citing </w:t>
      </w:r>
      <w:r w:rsidRPr="00DF1722">
        <w:rPr>
          <w:i/>
          <w:iCs/>
          <w:color w:val="000000" w:themeColor="text1"/>
        </w:rPr>
        <w:t>Heckler v. Chaney</w:t>
      </w:r>
      <w:r w:rsidRPr="00DF1722">
        <w:rPr>
          <w:color w:val="000000" w:themeColor="text1"/>
        </w:rPr>
        <w:t>, 470 U.S. 821 (1985)).</w:t>
      </w:r>
    </w:p>
  </w:footnote>
  <w:footnote w:id="36">
    <w:p w:rsidR="003508DD" w:rsidRPr="00DF1722" w:rsidP="00622BA6" w14:paraId="3A933344" w14:textId="67BD33F5">
      <w:pPr>
        <w:pStyle w:val="FootnoteText"/>
        <w:spacing w:after="120"/>
        <w:rPr>
          <w:color w:val="000000" w:themeColor="text1"/>
        </w:rPr>
      </w:pPr>
      <w:r w:rsidRPr="00DF1722">
        <w:rPr>
          <w:rStyle w:val="FootnoteReference"/>
          <w:color w:val="000000" w:themeColor="text1"/>
        </w:rPr>
        <w:footnoteRef/>
      </w:r>
      <w:r w:rsidRPr="00DF1722">
        <w:rPr>
          <w:color w:val="000000" w:themeColor="text1"/>
        </w:rPr>
        <w:t xml:space="preserve"> </w:t>
      </w:r>
      <w:r w:rsidRPr="00DF1722">
        <w:rPr>
          <w:i/>
          <w:color w:val="000000" w:themeColor="text1"/>
        </w:rPr>
        <w:t>Id</w:t>
      </w:r>
      <w:r w:rsidR="00A246EE">
        <w:rPr>
          <w:i/>
          <w:color w:val="000000" w:themeColor="text1"/>
        </w:rPr>
        <w:t>.</w:t>
      </w:r>
      <w:r w:rsidRPr="00DF1722">
        <w:rPr>
          <w:color w:val="000000" w:themeColor="text1"/>
        </w:rPr>
        <w:t xml:space="preserve"> at 1213.</w:t>
      </w:r>
    </w:p>
  </w:footnote>
  <w:footnote w:id="37">
    <w:p w:rsidR="003508DD" w:rsidRPr="00DF1722" w:rsidP="00622BA6" w14:paraId="3C22888D" w14:textId="607F3969">
      <w:pPr>
        <w:pStyle w:val="FootnoteText"/>
        <w:spacing w:after="120"/>
        <w:rPr>
          <w:color w:val="000000" w:themeColor="text1"/>
        </w:rPr>
      </w:pPr>
      <w:r w:rsidRPr="00DF1722">
        <w:rPr>
          <w:rStyle w:val="FootnoteReference"/>
          <w:color w:val="000000" w:themeColor="text1"/>
        </w:rPr>
        <w:footnoteRef/>
      </w:r>
      <w:r w:rsidRPr="00DF1722">
        <w:rPr>
          <w:color w:val="000000" w:themeColor="text1"/>
        </w:rPr>
        <w:t xml:space="preserve"> </w:t>
      </w:r>
      <w:r w:rsidRPr="00DF1722">
        <w:rPr>
          <w:i/>
          <w:color w:val="000000" w:themeColor="text1"/>
        </w:rPr>
        <w:t>Id</w:t>
      </w:r>
      <w:r w:rsidR="00A246EE">
        <w:rPr>
          <w:i/>
          <w:color w:val="000000" w:themeColor="text1"/>
        </w:rPr>
        <w:t>.</w:t>
      </w:r>
      <w:r w:rsidRPr="00DF1722">
        <w:rPr>
          <w:i/>
          <w:color w:val="000000" w:themeColor="text1"/>
        </w:rPr>
        <w:t xml:space="preserve"> </w:t>
      </w:r>
      <w:r w:rsidRPr="00DF1722">
        <w:rPr>
          <w:color w:val="000000" w:themeColor="text1"/>
        </w:rPr>
        <w:t>at 1217.</w:t>
      </w:r>
    </w:p>
  </w:footnote>
  <w:footnote w:id="38">
    <w:p w:rsidR="003508DD" w:rsidRPr="003560A1" w:rsidP="00622BA6" w14:paraId="13DD62B1" w14:textId="2C794283">
      <w:pPr>
        <w:pStyle w:val="FootnoteText"/>
        <w:spacing w:after="120"/>
        <w:rPr>
          <w:color w:val="3D3D3D"/>
        </w:rPr>
      </w:pPr>
      <w:r w:rsidRPr="003560A1">
        <w:rPr>
          <w:rStyle w:val="FootnoteReference"/>
          <w:color w:val="000000" w:themeColor="text1"/>
        </w:rPr>
        <w:footnoteRef/>
      </w:r>
      <w:r w:rsidRPr="003560A1">
        <w:rPr>
          <w:color w:val="000000" w:themeColor="text1"/>
        </w:rPr>
        <w:t xml:space="preserve"> </w:t>
      </w:r>
      <w:r w:rsidRPr="003560A1">
        <w:rPr>
          <w:i/>
          <w:color w:val="000000" w:themeColor="text1"/>
        </w:rPr>
        <w:t>Id</w:t>
      </w:r>
      <w:r w:rsidR="00A246EE">
        <w:rPr>
          <w:i/>
          <w:color w:val="000000" w:themeColor="text1"/>
        </w:rPr>
        <w:t>.</w:t>
      </w:r>
      <w:r w:rsidRPr="003560A1">
        <w:rPr>
          <w:color w:val="000000" w:themeColor="text1"/>
        </w:rPr>
        <w:t xml:space="preserve"> at 1217-1218</w:t>
      </w:r>
      <w:r w:rsidR="0066318D">
        <w:rPr>
          <w:color w:val="000000" w:themeColor="text1"/>
        </w:rPr>
        <w:t xml:space="preserve"> (</w:t>
      </w:r>
      <w:r w:rsidRPr="003560A1">
        <w:rPr>
          <w:color w:val="000000" w:themeColor="text1"/>
        </w:rPr>
        <w:t>citing 47 CFR § 1.1204(b)(7), now 47 CFR § 1.1204(a)(10)(ii)</w:t>
      </w:r>
      <w:r w:rsidR="00A246EE">
        <w:rPr>
          <w:color w:val="000000" w:themeColor="text1"/>
        </w:rPr>
        <w:t>)</w:t>
      </w:r>
      <w:r>
        <w:rPr>
          <w:color w:val="000000" w:themeColor="text1"/>
        </w:rPr>
        <w:t>.</w:t>
      </w:r>
      <w:r w:rsidR="00A246EE">
        <w:rPr>
          <w:color w:val="000000" w:themeColor="text1"/>
        </w:rPr>
        <w:t xml:space="preserve"> </w:t>
      </w:r>
      <w:r>
        <w:rPr>
          <w:color w:val="000000" w:themeColor="text1"/>
        </w:rPr>
        <w:t xml:space="preserve"> </w:t>
      </w:r>
      <w:r w:rsidRPr="005F22D9">
        <w:rPr>
          <w:i/>
          <w:color w:val="000000" w:themeColor="text1"/>
        </w:rPr>
        <w:t xml:space="preserve">See </w:t>
      </w:r>
      <w:r w:rsidRPr="00484098">
        <w:rPr>
          <w:i/>
          <w:color w:val="000000" w:themeColor="text1"/>
        </w:rPr>
        <w:t xml:space="preserve">Amendment of 47 CFR § 1.1200 et. seq. Concerning Ex </w:t>
      </w:r>
      <w:r w:rsidRPr="00484098">
        <w:rPr>
          <w:i/>
          <w:color w:val="000000" w:themeColor="text1"/>
        </w:rPr>
        <w:t>Parte</w:t>
      </w:r>
      <w:r w:rsidRPr="00484098">
        <w:rPr>
          <w:i/>
          <w:color w:val="000000" w:themeColor="text1"/>
        </w:rPr>
        <w:t xml:space="preserve"> Presentations in Commission Proceedings</w:t>
      </w:r>
      <w:r>
        <w:rPr>
          <w:color w:val="000000" w:themeColor="text1"/>
        </w:rPr>
        <w:t xml:space="preserve">, Report and Order, GC Docket No. 95-21, 12 FCC </w:t>
      </w:r>
      <w:r>
        <w:rPr>
          <w:color w:val="000000" w:themeColor="text1"/>
        </w:rPr>
        <w:t>Rcd</w:t>
      </w:r>
      <w:r>
        <w:rPr>
          <w:color w:val="000000" w:themeColor="text1"/>
        </w:rPr>
        <w:t xml:space="preserve"> 7348, 7369, paras. 63-</w:t>
      </w:r>
      <w:r w:rsidR="00A246EE">
        <w:rPr>
          <w:color w:val="000000" w:themeColor="text1"/>
        </w:rPr>
        <w:t>6</w:t>
      </w:r>
      <w:r>
        <w:rPr>
          <w:color w:val="000000" w:themeColor="text1"/>
        </w:rPr>
        <w:t>4 (1997).</w:t>
      </w:r>
    </w:p>
  </w:footnote>
  <w:footnote w:id="39">
    <w:p w:rsidR="003508DD" w:rsidRPr="00724252" w:rsidP="00622BA6" w14:paraId="2F1FCF22" w14:textId="28216CD0">
      <w:pPr>
        <w:pStyle w:val="FootnoteText"/>
        <w:spacing w:after="120"/>
      </w:pPr>
      <w:r w:rsidRPr="003560A1">
        <w:rPr>
          <w:rStyle w:val="FootnoteReference"/>
        </w:rPr>
        <w:footnoteRef/>
      </w:r>
      <w:r w:rsidRPr="003560A1">
        <w:t xml:space="preserve"> </w:t>
      </w:r>
      <w:r w:rsidRPr="003560A1">
        <w:rPr>
          <w:i/>
          <w:color w:val="000000" w:themeColor="text1"/>
        </w:rPr>
        <w:t>See</w:t>
      </w:r>
      <w:r w:rsidRPr="003560A1">
        <w:rPr>
          <w:color w:val="000000" w:themeColor="text1"/>
        </w:rPr>
        <w:t xml:space="preserve"> </w:t>
      </w:r>
      <w:r w:rsidRPr="003560A1">
        <w:rPr>
          <w:i/>
          <w:color w:val="000000" w:themeColor="text1"/>
        </w:rPr>
        <w:t xml:space="preserve">Golden Gulf Coast Broadcasting, Inc., Assignor and </w:t>
      </w:r>
      <w:r w:rsidRPr="003560A1">
        <w:rPr>
          <w:i/>
          <w:color w:val="000000" w:themeColor="text1"/>
        </w:rPr>
        <w:t>Capstar</w:t>
      </w:r>
      <w:r w:rsidRPr="003560A1">
        <w:rPr>
          <w:i/>
          <w:color w:val="000000" w:themeColor="text1"/>
        </w:rPr>
        <w:t xml:space="preserve"> TX Limited Partnership, Assignee, Applications for Assignment and Renewal of License of WQYZ(FM), Ocean Springs, MS</w:t>
      </w:r>
      <w:r w:rsidRPr="003560A1">
        <w:rPr>
          <w:color w:val="000000" w:themeColor="text1"/>
        </w:rPr>
        <w:t xml:space="preserve">, 29 FCC </w:t>
      </w:r>
      <w:r w:rsidRPr="003560A1">
        <w:rPr>
          <w:color w:val="000000" w:themeColor="text1"/>
        </w:rPr>
        <w:t>Rcd</w:t>
      </w:r>
      <w:r w:rsidRPr="003560A1">
        <w:rPr>
          <w:color w:val="000000" w:themeColor="text1"/>
        </w:rPr>
        <w:t xml:space="preserve"> 2469, 2470, para. 3 (2014); </w:t>
      </w:r>
      <w:r w:rsidRPr="003560A1">
        <w:rPr>
          <w:i/>
          <w:color w:val="000000" w:themeColor="text1"/>
        </w:rPr>
        <w:t>University of San Francisco and Classical Public Radio Network, LLC, Application for Consent to Assignment of License Station KOSC(FM), San Francisco, CA</w:t>
      </w:r>
      <w:r w:rsidRPr="003560A1">
        <w:rPr>
          <w:color w:val="000000" w:themeColor="text1"/>
        </w:rPr>
        <w:t xml:space="preserve">, Memorandum Opinion and Order, 30 FCC </w:t>
      </w:r>
      <w:r w:rsidRPr="003560A1">
        <w:rPr>
          <w:color w:val="000000" w:themeColor="text1"/>
        </w:rPr>
        <w:t>Rcd</w:t>
      </w:r>
      <w:r w:rsidRPr="003560A1">
        <w:rPr>
          <w:color w:val="000000" w:themeColor="text1"/>
        </w:rPr>
        <w:t xml:space="preserve"> 10530, 10532, para. 3 (2015); </w:t>
      </w:r>
      <w:r w:rsidRPr="003560A1">
        <w:rPr>
          <w:i/>
          <w:color w:val="000000" w:themeColor="text1"/>
        </w:rPr>
        <w:t>Viacom Inc.</w:t>
      </w:r>
      <w:r w:rsidR="0066318D">
        <w:rPr>
          <w:i/>
          <w:color w:val="000000" w:themeColor="text1"/>
        </w:rPr>
        <w:t xml:space="preserve">, et. al., </w:t>
      </w:r>
      <w:r w:rsidR="007F50DE">
        <w:rPr>
          <w:iCs/>
          <w:color w:val="000000" w:themeColor="text1"/>
        </w:rPr>
        <w:t xml:space="preserve">Order on Reconsideration, </w:t>
      </w:r>
      <w:r w:rsidRPr="00724252">
        <w:rPr>
          <w:color w:val="000000" w:themeColor="text1"/>
        </w:rPr>
        <w:t xml:space="preserve">21 FCC </w:t>
      </w:r>
      <w:r w:rsidRPr="00724252">
        <w:rPr>
          <w:color w:val="000000" w:themeColor="text1"/>
        </w:rPr>
        <w:t>Rcd</w:t>
      </w:r>
      <w:r w:rsidRPr="00724252">
        <w:rPr>
          <w:color w:val="000000" w:themeColor="text1"/>
        </w:rPr>
        <w:t xml:space="preserve"> 12223, 12227</w:t>
      </w:r>
      <w:r w:rsidR="00081AFB">
        <w:rPr>
          <w:color w:val="000000" w:themeColor="text1"/>
        </w:rPr>
        <w:t>, n.22</w:t>
      </w:r>
      <w:r w:rsidRPr="00724252">
        <w:rPr>
          <w:color w:val="000000" w:themeColor="text1"/>
        </w:rPr>
        <w:t xml:space="preserve"> (2006)</w:t>
      </w:r>
      <w:r w:rsidR="0080436C">
        <w:rPr>
          <w:color w:val="000000" w:themeColor="text1"/>
        </w:rPr>
        <w:t xml:space="preserve">; </w:t>
      </w:r>
      <w:r w:rsidRPr="00081AFB" w:rsidR="0080436C">
        <w:rPr>
          <w:i/>
          <w:color w:val="000000" w:themeColor="text1"/>
        </w:rPr>
        <w:t>See also</w:t>
      </w:r>
      <w:r w:rsidRPr="0080436C" w:rsidR="0080436C">
        <w:rPr>
          <w:i/>
          <w:color w:val="000000" w:themeColor="text1"/>
        </w:rPr>
        <w:t xml:space="preserve"> </w:t>
      </w:r>
      <w:r w:rsidRPr="003560A1" w:rsidR="0080436C">
        <w:rPr>
          <w:i/>
          <w:color w:val="000000" w:themeColor="text1"/>
        </w:rPr>
        <w:t>Capstar</w:t>
      </w:r>
      <w:r w:rsidRPr="003560A1" w:rsidR="0080436C">
        <w:rPr>
          <w:i/>
          <w:color w:val="000000" w:themeColor="text1"/>
        </w:rPr>
        <w:t xml:space="preserve"> TX Limited Partnership, WQYZ(FM), Ocean Springs, MS</w:t>
      </w:r>
      <w:r w:rsidRPr="003560A1" w:rsidR="0080436C">
        <w:rPr>
          <w:color w:val="000000" w:themeColor="text1"/>
        </w:rPr>
        <w:t xml:space="preserve">, Letter Order, 22 FCC </w:t>
      </w:r>
      <w:r w:rsidRPr="003560A1" w:rsidR="0080436C">
        <w:rPr>
          <w:color w:val="000000" w:themeColor="text1"/>
        </w:rPr>
        <w:t>Rcd</w:t>
      </w:r>
      <w:r w:rsidRPr="003560A1" w:rsidR="0080436C">
        <w:rPr>
          <w:color w:val="000000" w:themeColor="text1"/>
        </w:rPr>
        <w:t xml:space="preserve"> 4866 (MB 2007)</w:t>
      </w:r>
      <w:r w:rsidRPr="00724252">
        <w:rPr>
          <w:color w:val="000000" w:themeColor="text1"/>
        </w:rPr>
        <w:t>.</w:t>
      </w:r>
    </w:p>
  </w:footnote>
  <w:footnote w:id="40">
    <w:p w:rsidR="003508DD" w:rsidRPr="00724252" w:rsidP="00622BA6" w14:paraId="725A12FB" w14:textId="77777777">
      <w:pPr>
        <w:pStyle w:val="FootnoteText"/>
        <w:spacing w:after="120"/>
      </w:pPr>
      <w:r w:rsidRPr="00724252">
        <w:rPr>
          <w:rStyle w:val="FootnoteReference"/>
        </w:rPr>
        <w:footnoteRef/>
      </w:r>
      <w:r w:rsidRPr="00724252">
        <w:t xml:space="preserve"> See </w:t>
      </w:r>
      <w:r w:rsidRPr="00724252">
        <w:rPr>
          <w:color w:val="000000" w:themeColor="text1"/>
        </w:rPr>
        <w:t>47 CFR § 1.1204(a)(10)(ii).</w:t>
      </w:r>
    </w:p>
  </w:footnote>
  <w:footnote w:id="41">
    <w:p w:rsidR="003508DD" w:rsidRPr="00DF1722" w:rsidP="00622BA6" w14:paraId="049719E7" w14:textId="22C785E5">
      <w:pPr>
        <w:pStyle w:val="FootnoteText"/>
        <w:spacing w:after="120"/>
      </w:pPr>
      <w:r w:rsidRPr="00724252">
        <w:rPr>
          <w:rStyle w:val="FootnoteReference"/>
        </w:rPr>
        <w:footnoteRef/>
      </w:r>
      <w:r w:rsidRPr="00724252">
        <w:t xml:space="preserve"> Reply at 3.</w:t>
      </w:r>
    </w:p>
  </w:footnote>
  <w:footnote w:id="42">
    <w:p w:rsidR="003508DD" w:rsidRPr="00567C25" w:rsidP="00622BA6" w14:paraId="33C969FE" w14:textId="5B685D62">
      <w:pPr>
        <w:pStyle w:val="FootnoteText"/>
        <w:spacing w:after="120"/>
      </w:pPr>
      <w:r w:rsidRPr="003F2350">
        <w:rPr>
          <w:rStyle w:val="FootnoteReference"/>
        </w:rPr>
        <w:footnoteRef/>
      </w:r>
      <w:r w:rsidRPr="003F2350">
        <w:t xml:space="preserve"> 5 </w:t>
      </w:r>
      <w:r w:rsidRPr="00567C25">
        <w:t>U</w:t>
      </w:r>
      <w:r w:rsidR="00DF7E98">
        <w:t>.</w:t>
      </w:r>
      <w:r w:rsidRPr="00567C25">
        <w:t>S</w:t>
      </w:r>
      <w:r w:rsidR="00DF7E98">
        <w:t>.</w:t>
      </w:r>
      <w:r w:rsidRPr="00567C25">
        <w:t>C</w:t>
      </w:r>
      <w:r w:rsidR="00DF7E98">
        <w:t>.</w:t>
      </w:r>
      <w:r w:rsidRPr="00567C25">
        <w:t xml:space="preserve"> </w:t>
      </w:r>
      <w:r w:rsidRPr="00567C25">
        <w:rPr>
          <w:color w:val="000000" w:themeColor="text1"/>
        </w:rPr>
        <w:t>§ 554.</w:t>
      </w:r>
    </w:p>
  </w:footnote>
  <w:footnote w:id="43">
    <w:p w:rsidR="003508DD" w:rsidRPr="00657D22" w:rsidP="00622BA6" w14:paraId="50F3FC28" w14:textId="4DD36579">
      <w:pPr>
        <w:pStyle w:val="FootnoteText"/>
        <w:spacing w:after="120"/>
      </w:pPr>
      <w:r w:rsidRPr="00567C25">
        <w:rPr>
          <w:rStyle w:val="FootnoteReference"/>
        </w:rPr>
        <w:footnoteRef/>
      </w:r>
      <w:r w:rsidRPr="00567C25">
        <w:t xml:space="preserve"> 47 </w:t>
      </w:r>
      <w:r w:rsidRPr="00657D22">
        <w:t>U</w:t>
      </w:r>
      <w:r w:rsidR="00DF7E98">
        <w:t>.</w:t>
      </w:r>
      <w:r w:rsidRPr="00657D22">
        <w:t>S</w:t>
      </w:r>
      <w:r w:rsidR="00DF7E98">
        <w:t>.</w:t>
      </w:r>
      <w:r w:rsidRPr="00657D22">
        <w:t>C</w:t>
      </w:r>
      <w:r w:rsidR="00DF7E98">
        <w:t>.</w:t>
      </w:r>
      <w:r w:rsidRPr="00657D22">
        <w:t xml:space="preserve"> </w:t>
      </w:r>
      <w:r w:rsidRPr="00657D22">
        <w:rPr>
          <w:color w:val="000000" w:themeColor="text1"/>
        </w:rPr>
        <w:t>§ 312(g).</w:t>
      </w:r>
    </w:p>
  </w:footnote>
  <w:footnote w:id="44">
    <w:p w:rsidR="003508DD" w:rsidRPr="00657D22" w:rsidP="00622BA6" w14:paraId="3B1D5DED" w14:textId="41E8A9E0">
      <w:pPr>
        <w:pStyle w:val="FootnoteText"/>
        <w:spacing w:after="120"/>
      </w:pPr>
      <w:r w:rsidRPr="00657D22">
        <w:rPr>
          <w:rStyle w:val="FootnoteReference"/>
        </w:rPr>
        <w:footnoteRef/>
      </w:r>
      <w:r w:rsidRPr="00657D22">
        <w:t xml:space="preserve"> </w:t>
      </w:r>
      <w:r w:rsidRPr="00657D22">
        <w:rPr>
          <w:i/>
        </w:rPr>
        <w:t>New York State Dept. of Law</w:t>
      </w:r>
      <w:r w:rsidR="00DF7E98">
        <w:rPr>
          <w:iCs/>
        </w:rPr>
        <w:t xml:space="preserve">, </w:t>
      </w:r>
      <w:r w:rsidRPr="00DF1722" w:rsidR="00DF7E98">
        <w:rPr>
          <w:color w:val="000000" w:themeColor="text1"/>
        </w:rPr>
        <w:t xml:space="preserve">984 F.2d </w:t>
      </w:r>
      <w:r w:rsidRPr="00657D22">
        <w:t>at 1218.</w:t>
      </w:r>
    </w:p>
  </w:footnote>
  <w:footnote w:id="45">
    <w:p w:rsidR="003508DD" w:rsidRPr="00657D22" w:rsidP="00622BA6" w14:paraId="70A92D4E" w14:textId="15C9C4D4">
      <w:pPr>
        <w:pStyle w:val="FootnoteText"/>
        <w:spacing w:after="120"/>
      </w:pPr>
      <w:r w:rsidRPr="00657D22">
        <w:rPr>
          <w:rStyle w:val="FootnoteReference"/>
        </w:rPr>
        <w:footnoteRef/>
      </w:r>
      <w:r w:rsidRPr="00657D22">
        <w:t xml:space="preserve"> </w:t>
      </w:r>
      <w:r w:rsidR="00DF7E98">
        <w:rPr>
          <w:i/>
        </w:rPr>
        <w:t>Id.</w:t>
      </w:r>
      <w:r w:rsidRPr="00657D22">
        <w:t xml:space="preserve"> at 1219.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A2" w14:paraId="10BE2319" w14:textId="77777777">
    <w:pPr>
      <w:pStyle w:val="Header"/>
      <w:tabs>
        <w:tab w:val="clear" w:pos="4320"/>
        <w:tab w:val="clear" w:pos="8640"/>
      </w:tabs>
      <w:spacing w:before="360" w:line="228" w:lineRule="auto"/>
      <w:jc w:val="center"/>
      <w:rPr>
        <w:b/>
        <w:sz w:val="22"/>
      </w:rPr>
    </w:pPr>
    <w:bookmarkStart w:id="4" w:name="_Hlk11329100"/>
    <w:bookmarkStart w:id="5" w:name="_Hlk11329101"/>
    <w:bookmarkStart w:id="6" w:name="_Hlk11329102"/>
    <w:bookmarkStart w:id="7" w:name="_Hlk11329103"/>
    <w:r>
      <w:rPr>
        <w:noProof/>
      </w:rPr>
      <w:drawing>
        <wp:anchor distT="0" distB="0" distL="114300" distR="114300" simplePos="0" relativeHeight="251658240" behindDoc="1" locked="0" layoutInCell="0" allowOverlap="1">
          <wp:simplePos x="0" y="0"/>
          <wp:positionH relativeFrom="column">
            <wp:posOffset>-400050</wp:posOffset>
          </wp:positionH>
          <wp:positionV relativeFrom="paragraph">
            <wp:posOffset>0</wp:posOffset>
          </wp:positionV>
          <wp:extent cx="86360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653778" name="Picture 1"/>
                  <pic:cNvPicPr>
                    <a:picLocks noChangeAspect="1" noChangeArrowheads="1"/>
                  </pic:cNvPicPr>
                </pic:nvPicPr>
                <pic:blipFill>
                  <a:blip xmlns:r="http://schemas.openxmlformats.org/officeDocument/2006/relationships" r:embed="rId1">
                    <a:lum contrast="6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b/>
        <w:sz w:val="22"/>
      </w:rPr>
      <w:t>Federal Communications Commission</w:t>
    </w:r>
  </w:p>
  <w:p w:rsidR="00C220A2" w14:paraId="69552236" w14:textId="77777777">
    <w:pPr>
      <w:jc w:val="center"/>
      <w:rPr>
        <w:b/>
        <w:sz w:val="22"/>
      </w:rPr>
    </w:pPr>
    <w:r>
      <w:rPr>
        <w:b/>
        <w:sz w:val="22"/>
      </w:rPr>
      <w:t>Washington, D.C. 20554</w:t>
    </w:r>
  </w:p>
  <w:p w:rsidR="00C220A2" w14:paraId="020E714D" w14:textId="77777777">
    <w:pPr>
      <w:jc w:val="center"/>
      <w:rPr>
        <w:b/>
        <w:sz w:val="22"/>
      </w:rPr>
    </w:pPr>
  </w:p>
  <w:bookmarkEnd w:id="4"/>
  <w:bookmarkEnd w:id="5"/>
  <w:bookmarkEnd w:id="6"/>
  <w:bookmarkEnd w:id="7"/>
  <w:p w:rsidR="00C220A2" w:rsidRPr="00BB220B" w14:paraId="7F1D37DD" w14:textId="1CE88E78">
    <w:pPr>
      <w:jc w:val="center"/>
      <w:rPr>
        <w:sz w:val="22"/>
        <w:szCs w:val="22"/>
      </w:rPr>
    </w:pPr>
    <w:r>
      <w:rPr>
        <w:sz w:val="22"/>
        <w:szCs w:val="22"/>
      </w:rPr>
      <w:t>July 17,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3A502B"/>
    <w:multiLevelType w:val="hybridMultilevel"/>
    <w:tmpl w:val="41C0D6BE"/>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2F1E499A"/>
    <w:multiLevelType w:val="hybridMultilevel"/>
    <w:tmpl w:val="8D904EF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40C65D8"/>
    <w:multiLevelType w:val="hybridMultilevel"/>
    <w:tmpl w:val="E244D6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7F9614C"/>
    <w:multiLevelType w:val="hybridMultilevel"/>
    <w:tmpl w:val="936863BC"/>
    <w:lvl w:ilvl="0">
      <w:start w:val="1"/>
      <w:numFmt w:val="decimal"/>
      <w:lvlText w:val="%1."/>
      <w:lvlJc w:val="left"/>
      <w:pPr>
        <w:ind w:left="1815" w:hanging="109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CEA714F"/>
    <w:multiLevelType w:val="hybridMultilevel"/>
    <w:tmpl w:val="A4B4329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51A63E6"/>
    <w:multiLevelType w:val="hybridMultilevel"/>
    <w:tmpl w:val="CCA8F89C"/>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6BA90899"/>
    <w:multiLevelType w:val="hybridMultilevel"/>
    <w:tmpl w:val="936863BC"/>
    <w:lvl w:ilvl="0">
      <w:start w:val="1"/>
      <w:numFmt w:val="decimal"/>
      <w:lvlText w:val="%1."/>
      <w:lvlJc w:val="left"/>
      <w:pPr>
        <w:ind w:left="1815" w:hanging="109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7"/>
  </w:num>
  <w:num w:numId="8">
    <w:abstractNumId w:val="3"/>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A0"/>
    <w:rsid w:val="00003811"/>
    <w:rsid w:val="00003B12"/>
    <w:rsid w:val="00004A2A"/>
    <w:rsid w:val="00005710"/>
    <w:rsid w:val="0000610A"/>
    <w:rsid w:val="00006A21"/>
    <w:rsid w:val="000070F8"/>
    <w:rsid w:val="000119BF"/>
    <w:rsid w:val="00012858"/>
    <w:rsid w:val="00012915"/>
    <w:rsid w:val="00014A21"/>
    <w:rsid w:val="00014D81"/>
    <w:rsid w:val="00015521"/>
    <w:rsid w:val="0001660E"/>
    <w:rsid w:val="00016775"/>
    <w:rsid w:val="000171ED"/>
    <w:rsid w:val="00017E45"/>
    <w:rsid w:val="00020395"/>
    <w:rsid w:val="000212BB"/>
    <w:rsid w:val="00022812"/>
    <w:rsid w:val="00022B37"/>
    <w:rsid w:val="00022E9A"/>
    <w:rsid w:val="000251AE"/>
    <w:rsid w:val="000256EC"/>
    <w:rsid w:val="00027B73"/>
    <w:rsid w:val="0003044C"/>
    <w:rsid w:val="000307B3"/>
    <w:rsid w:val="000311E1"/>
    <w:rsid w:val="000330CD"/>
    <w:rsid w:val="00035BF0"/>
    <w:rsid w:val="0003663A"/>
    <w:rsid w:val="00041350"/>
    <w:rsid w:val="00041440"/>
    <w:rsid w:val="00041BEB"/>
    <w:rsid w:val="00041E48"/>
    <w:rsid w:val="00042C38"/>
    <w:rsid w:val="00043643"/>
    <w:rsid w:val="00043AB7"/>
    <w:rsid w:val="00044605"/>
    <w:rsid w:val="00052357"/>
    <w:rsid w:val="00052BEC"/>
    <w:rsid w:val="00053377"/>
    <w:rsid w:val="00062779"/>
    <w:rsid w:val="000633BA"/>
    <w:rsid w:val="00064346"/>
    <w:rsid w:val="00065B19"/>
    <w:rsid w:val="00065C5F"/>
    <w:rsid w:val="00066C19"/>
    <w:rsid w:val="00067281"/>
    <w:rsid w:val="00067AAE"/>
    <w:rsid w:val="00073CE8"/>
    <w:rsid w:val="00075EC9"/>
    <w:rsid w:val="0007780F"/>
    <w:rsid w:val="00081743"/>
    <w:rsid w:val="00081AFB"/>
    <w:rsid w:val="00083E8E"/>
    <w:rsid w:val="000875CD"/>
    <w:rsid w:val="00092486"/>
    <w:rsid w:val="00093213"/>
    <w:rsid w:val="00093554"/>
    <w:rsid w:val="000939E5"/>
    <w:rsid w:val="0009441A"/>
    <w:rsid w:val="00094853"/>
    <w:rsid w:val="00094A31"/>
    <w:rsid w:val="00097942"/>
    <w:rsid w:val="000A049B"/>
    <w:rsid w:val="000A064E"/>
    <w:rsid w:val="000A3541"/>
    <w:rsid w:val="000A5AAD"/>
    <w:rsid w:val="000A78DE"/>
    <w:rsid w:val="000B0588"/>
    <w:rsid w:val="000B2863"/>
    <w:rsid w:val="000B4A20"/>
    <w:rsid w:val="000B60D9"/>
    <w:rsid w:val="000B673A"/>
    <w:rsid w:val="000B7906"/>
    <w:rsid w:val="000C2059"/>
    <w:rsid w:val="000C24E1"/>
    <w:rsid w:val="000C28BC"/>
    <w:rsid w:val="000C46EE"/>
    <w:rsid w:val="000C4FCF"/>
    <w:rsid w:val="000C703F"/>
    <w:rsid w:val="000D076C"/>
    <w:rsid w:val="000D34AB"/>
    <w:rsid w:val="000D50B7"/>
    <w:rsid w:val="000D598E"/>
    <w:rsid w:val="000D647D"/>
    <w:rsid w:val="000D6C6C"/>
    <w:rsid w:val="000D7CA3"/>
    <w:rsid w:val="000E0114"/>
    <w:rsid w:val="000E1785"/>
    <w:rsid w:val="000E1AB8"/>
    <w:rsid w:val="000E37C1"/>
    <w:rsid w:val="000E4034"/>
    <w:rsid w:val="000E55EA"/>
    <w:rsid w:val="000E5B07"/>
    <w:rsid w:val="000E5C7C"/>
    <w:rsid w:val="000E67C5"/>
    <w:rsid w:val="000E710F"/>
    <w:rsid w:val="000F097F"/>
    <w:rsid w:val="000F36B1"/>
    <w:rsid w:val="000F43FC"/>
    <w:rsid w:val="000F5282"/>
    <w:rsid w:val="001021F4"/>
    <w:rsid w:val="00103537"/>
    <w:rsid w:val="00103982"/>
    <w:rsid w:val="00105371"/>
    <w:rsid w:val="00105B45"/>
    <w:rsid w:val="001065DA"/>
    <w:rsid w:val="0010665E"/>
    <w:rsid w:val="001111DB"/>
    <w:rsid w:val="00111C04"/>
    <w:rsid w:val="00112F9D"/>
    <w:rsid w:val="00114539"/>
    <w:rsid w:val="0011700B"/>
    <w:rsid w:val="00121DAB"/>
    <w:rsid w:val="001228E8"/>
    <w:rsid w:val="0012311A"/>
    <w:rsid w:val="001232EB"/>
    <w:rsid w:val="00123C44"/>
    <w:rsid w:val="00124234"/>
    <w:rsid w:val="001244E6"/>
    <w:rsid w:val="00124842"/>
    <w:rsid w:val="00124F90"/>
    <w:rsid w:val="00125CF0"/>
    <w:rsid w:val="00130478"/>
    <w:rsid w:val="0013047C"/>
    <w:rsid w:val="00132018"/>
    <w:rsid w:val="00132F06"/>
    <w:rsid w:val="00133B4E"/>
    <w:rsid w:val="001342F0"/>
    <w:rsid w:val="0013452C"/>
    <w:rsid w:val="001348E1"/>
    <w:rsid w:val="00134933"/>
    <w:rsid w:val="00135274"/>
    <w:rsid w:val="001365AA"/>
    <w:rsid w:val="00137A98"/>
    <w:rsid w:val="00137E34"/>
    <w:rsid w:val="00137EC7"/>
    <w:rsid w:val="0014041C"/>
    <w:rsid w:val="00140A2A"/>
    <w:rsid w:val="00141C62"/>
    <w:rsid w:val="001427A4"/>
    <w:rsid w:val="0014386F"/>
    <w:rsid w:val="001445B2"/>
    <w:rsid w:val="00144B6F"/>
    <w:rsid w:val="00144E9C"/>
    <w:rsid w:val="00147146"/>
    <w:rsid w:val="0015094F"/>
    <w:rsid w:val="00152AF0"/>
    <w:rsid w:val="001535C7"/>
    <w:rsid w:val="00154F2C"/>
    <w:rsid w:val="00154FD3"/>
    <w:rsid w:val="00155468"/>
    <w:rsid w:val="00156790"/>
    <w:rsid w:val="00157F77"/>
    <w:rsid w:val="0016247C"/>
    <w:rsid w:val="00163372"/>
    <w:rsid w:val="001634A9"/>
    <w:rsid w:val="00164BF5"/>
    <w:rsid w:val="00166FD4"/>
    <w:rsid w:val="0017142A"/>
    <w:rsid w:val="001717AE"/>
    <w:rsid w:val="00172BFD"/>
    <w:rsid w:val="00173365"/>
    <w:rsid w:val="00175A7B"/>
    <w:rsid w:val="001761C5"/>
    <w:rsid w:val="0017666E"/>
    <w:rsid w:val="00176DE7"/>
    <w:rsid w:val="00177610"/>
    <w:rsid w:val="00177D0B"/>
    <w:rsid w:val="00180CAF"/>
    <w:rsid w:val="00181813"/>
    <w:rsid w:val="00182B92"/>
    <w:rsid w:val="00182C31"/>
    <w:rsid w:val="00182E7B"/>
    <w:rsid w:val="00190B53"/>
    <w:rsid w:val="001911C0"/>
    <w:rsid w:val="0019152C"/>
    <w:rsid w:val="00191A3E"/>
    <w:rsid w:val="00191B88"/>
    <w:rsid w:val="0019230A"/>
    <w:rsid w:val="0019418A"/>
    <w:rsid w:val="001948D3"/>
    <w:rsid w:val="001959C7"/>
    <w:rsid w:val="00196904"/>
    <w:rsid w:val="00196CAB"/>
    <w:rsid w:val="0019721A"/>
    <w:rsid w:val="0019764B"/>
    <w:rsid w:val="001A1451"/>
    <w:rsid w:val="001A25D4"/>
    <w:rsid w:val="001A3C03"/>
    <w:rsid w:val="001A51E3"/>
    <w:rsid w:val="001A5A51"/>
    <w:rsid w:val="001A7A18"/>
    <w:rsid w:val="001B0A30"/>
    <w:rsid w:val="001B29B9"/>
    <w:rsid w:val="001B386B"/>
    <w:rsid w:val="001B4247"/>
    <w:rsid w:val="001B513D"/>
    <w:rsid w:val="001B7B74"/>
    <w:rsid w:val="001C004C"/>
    <w:rsid w:val="001C03F9"/>
    <w:rsid w:val="001C0C7B"/>
    <w:rsid w:val="001C1CA5"/>
    <w:rsid w:val="001C202C"/>
    <w:rsid w:val="001C2CC1"/>
    <w:rsid w:val="001C3C44"/>
    <w:rsid w:val="001C4B16"/>
    <w:rsid w:val="001C6224"/>
    <w:rsid w:val="001D2BE9"/>
    <w:rsid w:val="001D2EB7"/>
    <w:rsid w:val="001D34B8"/>
    <w:rsid w:val="001D427B"/>
    <w:rsid w:val="001D451B"/>
    <w:rsid w:val="001D45C4"/>
    <w:rsid w:val="001D4690"/>
    <w:rsid w:val="001D50EF"/>
    <w:rsid w:val="001D57AD"/>
    <w:rsid w:val="001D663C"/>
    <w:rsid w:val="001D6B53"/>
    <w:rsid w:val="001D6DF8"/>
    <w:rsid w:val="001E189F"/>
    <w:rsid w:val="001E2C66"/>
    <w:rsid w:val="001E31D1"/>
    <w:rsid w:val="001E43EB"/>
    <w:rsid w:val="001E6E40"/>
    <w:rsid w:val="001E73A1"/>
    <w:rsid w:val="001F009B"/>
    <w:rsid w:val="001F20E8"/>
    <w:rsid w:val="001F4DA6"/>
    <w:rsid w:val="001F67CC"/>
    <w:rsid w:val="0020017A"/>
    <w:rsid w:val="00200A1E"/>
    <w:rsid w:val="0020107B"/>
    <w:rsid w:val="00201DE7"/>
    <w:rsid w:val="002027A9"/>
    <w:rsid w:val="00202C6F"/>
    <w:rsid w:val="00205CA2"/>
    <w:rsid w:val="002079E5"/>
    <w:rsid w:val="002110D9"/>
    <w:rsid w:val="0021188E"/>
    <w:rsid w:val="00211CFC"/>
    <w:rsid w:val="00211E02"/>
    <w:rsid w:val="00213427"/>
    <w:rsid w:val="00213CC3"/>
    <w:rsid w:val="00215CE2"/>
    <w:rsid w:val="0021644D"/>
    <w:rsid w:val="00216520"/>
    <w:rsid w:val="0021749D"/>
    <w:rsid w:val="002177BF"/>
    <w:rsid w:val="00217AF6"/>
    <w:rsid w:val="00220165"/>
    <w:rsid w:val="0022137C"/>
    <w:rsid w:val="0022264B"/>
    <w:rsid w:val="00224B40"/>
    <w:rsid w:val="00224E6E"/>
    <w:rsid w:val="002266B2"/>
    <w:rsid w:val="00227E83"/>
    <w:rsid w:val="0023063A"/>
    <w:rsid w:val="00233EF0"/>
    <w:rsid w:val="002364D6"/>
    <w:rsid w:val="00237CF6"/>
    <w:rsid w:val="00240E07"/>
    <w:rsid w:val="002425B9"/>
    <w:rsid w:val="0024579D"/>
    <w:rsid w:val="002457F9"/>
    <w:rsid w:val="002459A0"/>
    <w:rsid w:val="00246667"/>
    <w:rsid w:val="002516EB"/>
    <w:rsid w:val="00251A6D"/>
    <w:rsid w:val="00251D3B"/>
    <w:rsid w:val="0025202A"/>
    <w:rsid w:val="00252EF0"/>
    <w:rsid w:val="0025309F"/>
    <w:rsid w:val="00253779"/>
    <w:rsid w:val="00254339"/>
    <w:rsid w:val="002546EF"/>
    <w:rsid w:val="00254B68"/>
    <w:rsid w:val="00254D74"/>
    <w:rsid w:val="00261475"/>
    <w:rsid w:val="00262EEB"/>
    <w:rsid w:val="002630B6"/>
    <w:rsid w:val="00263F4F"/>
    <w:rsid w:val="00264344"/>
    <w:rsid w:val="0026550E"/>
    <w:rsid w:val="00266AE3"/>
    <w:rsid w:val="00267C90"/>
    <w:rsid w:val="00270FD4"/>
    <w:rsid w:val="00271A71"/>
    <w:rsid w:val="00271A8F"/>
    <w:rsid w:val="00272CEF"/>
    <w:rsid w:val="00273915"/>
    <w:rsid w:val="002767A9"/>
    <w:rsid w:val="00276BFC"/>
    <w:rsid w:val="00277306"/>
    <w:rsid w:val="002809A8"/>
    <w:rsid w:val="0028289A"/>
    <w:rsid w:val="0028496B"/>
    <w:rsid w:val="00284DF8"/>
    <w:rsid w:val="00285366"/>
    <w:rsid w:val="00286E35"/>
    <w:rsid w:val="00287CE4"/>
    <w:rsid w:val="00287DA8"/>
    <w:rsid w:val="002900C1"/>
    <w:rsid w:val="002901A5"/>
    <w:rsid w:val="00292144"/>
    <w:rsid w:val="002926EC"/>
    <w:rsid w:val="00292D7E"/>
    <w:rsid w:val="00295359"/>
    <w:rsid w:val="00296629"/>
    <w:rsid w:val="00297F39"/>
    <w:rsid w:val="002A493E"/>
    <w:rsid w:val="002A4B3D"/>
    <w:rsid w:val="002A536C"/>
    <w:rsid w:val="002A658C"/>
    <w:rsid w:val="002A6852"/>
    <w:rsid w:val="002A7354"/>
    <w:rsid w:val="002A7AC7"/>
    <w:rsid w:val="002B0491"/>
    <w:rsid w:val="002B1615"/>
    <w:rsid w:val="002B6B90"/>
    <w:rsid w:val="002B71EF"/>
    <w:rsid w:val="002B73EF"/>
    <w:rsid w:val="002C09D8"/>
    <w:rsid w:val="002C2473"/>
    <w:rsid w:val="002C2E88"/>
    <w:rsid w:val="002C45CE"/>
    <w:rsid w:val="002C513A"/>
    <w:rsid w:val="002C57B5"/>
    <w:rsid w:val="002C7F03"/>
    <w:rsid w:val="002C7F7B"/>
    <w:rsid w:val="002D2CB8"/>
    <w:rsid w:val="002D547C"/>
    <w:rsid w:val="002D629F"/>
    <w:rsid w:val="002D634F"/>
    <w:rsid w:val="002D6FFC"/>
    <w:rsid w:val="002E16C6"/>
    <w:rsid w:val="002E297F"/>
    <w:rsid w:val="002E5CF7"/>
    <w:rsid w:val="002E665B"/>
    <w:rsid w:val="002F0471"/>
    <w:rsid w:val="002F0B2A"/>
    <w:rsid w:val="002F15DA"/>
    <w:rsid w:val="002F1692"/>
    <w:rsid w:val="002F1F14"/>
    <w:rsid w:val="002F3037"/>
    <w:rsid w:val="002F52CD"/>
    <w:rsid w:val="002F674E"/>
    <w:rsid w:val="002F68C8"/>
    <w:rsid w:val="003011A2"/>
    <w:rsid w:val="00301CBC"/>
    <w:rsid w:val="00302DE0"/>
    <w:rsid w:val="00303D1B"/>
    <w:rsid w:val="003059DF"/>
    <w:rsid w:val="0030619A"/>
    <w:rsid w:val="00306EA5"/>
    <w:rsid w:val="0030796A"/>
    <w:rsid w:val="00310D24"/>
    <w:rsid w:val="00311AF3"/>
    <w:rsid w:val="00317D98"/>
    <w:rsid w:val="00317ECD"/>
    <w:rsid w:val="0032033D"/>
    <w:rsid w:val="003218ED"/>
    <w:rsid w:val="00322416"/>
    <w:rsid w:val="00322A9E"/>
    <w:rsid w:val="00323ABD"/>
    <w:rsid w:val="00325776"/>
    <w:rsid w:val="0032674E"/>
    <w:rsid w:val="003300F0"/>
    <w:rsid w:val="00330AB7"/>
    <w:rsid w:val="00332DCE"/>
    <w:rsid w:val="003350C5"/>
    <w:rsid w:val="0033516A"/>
    <w:rsid w:val="00341EA9"/>
    <w:rsid w:val="00342F5B"/>
    <w:rsid w:val="00342FDF"/>
    <w:rsid w:val="00345A31"/>
    <w:rsid w:val="00345D0E"/>
    <w:rsid w:val="00346781"/>
    <w:rsid w:val="00346D23"/>
    <w:rsid w:val="003508DD"/>
    <w:rsid w:val="00351D2D"/>
    <w:rsid w:val="003523DD"/>
    <w:rsid w:val="00352910"/>
    <w:rsid w:val="003560A1"/>
    <w:rsid w:val="003567DF"/>
    <w:rsid w:val="003569F7"/>
    <w:rsid w:val="0036072D"/>
    <w:rsid w:val="00360D0B"/>
    <w:rsid w:val="00361152"/>
    <w:rsid w:val="003629D2"/>
    <w:rsid w:val="00362E61"/>
    <w:rsid w:val="00363625"/>
    <w:rsid w:val="00364747"/>
    <w:rsid w:val="003651DA"/>
    <w:rsid w:val="003651F5"/>
    <w:rsid w:val="00366591"/>
    <w:rsid w:val="00366C30"/>
    <w:rsid w:val="00367963"/>
    <w:rsid w:val="00371322"/>
    <w:rsid w:val="0037266F"/>
    <w:rsid w:val="00372DB7"/>
    <w:rsid w:val="00373482"/>
    <w:rsid w:val="003775D3"/>
    <w:rsid w:val="00377705"/>
    <w:rsid w:val="00382414"/>
    <w:rsid w:val="00382BAC"/>
    <w:rsid w:val="00382C52"/>
    <w:rsid w:val="003832A2"/>
    <w:rsid w:val="003850FD"/>
    <w:rsid w:val="003857D5"/>
    <w:rsid w:val="00385FAB"/>
    <w:rsid w:val="00386095"/>
    <w:rsid w:val="003866FF"/>
    <w:rsid w:val="003938D2"/>
    <w:rsid w:val="00393976"/>
    <w:rsid w:val="00393BF4"/>
    <w:rsid w:val="00393EE4"/>
    <w:rsid w:val="00394B0A"/>
    <w:rsid w:val="00394F73"/>
    <w:rsid w:val="0039507C"/>
    <w:rsid w:val="00397140"/>
    <w:rsid w:val="00397258"/>
    <w:rsid w:val="003975D7"/>
    <w:rsid w:val="003A0C39"/>
    <w:rsid w:val="003A16F6"/>
    <w:rsid w:val="003A2C9B"/>
    <w:rsid w:val="003A4216"/>
    <w:rsid w:val="003A4605"/>
    <w:rsid w:val="003A5649"/>
    <w:rsid w:val="003B1C70"/>
    <w:rsid w:val="003B7BFC"/>
    <w:rsid w:val="003C01E4"/>
    <w:rsid w:val="003C10C5"/>
    <w:rsid w:val="003C1C06"/>
    <w:rsid w:val="003C2A5D"/>
    <w:rsid w:val="003C2D20"/>
    <w:rsid w:val="003C30AE"/>
    <w:rsid w:val="003C3780"/>
    <w:rsid w:val="003C4206"/>
    <w:rsid w:val="003C4A05"/>
    <w:rsid w:val="003C530E"/>
    <w:rsid w:val="003D12E7"/>
    <w:rsid w:val="003D1413"/>
    <w:rsid w:val="003D4EE9"/>
    <w:rsid w:val="003D543F"/>
    <w:rsid w:val="003D635E"/>
    <w:rsid w:val="003D649C"/>
    <w:rsid w:val="003D7A50"/>
    <w:rsid w:val="003E0A03"/>
    <w:rsid w:val="003E189F"/>
    <w:rsid w:val="003E247B"/>
    <w:rsid w:val="003E27FB"/>
    <w:rsid w:val="003E3513"/>
    <w:rsid w:val="003E5634"/>
    <w:rsid w:val="003E7B49"/>
    <w:rsid w:val="003F13BB"/>
    <w:rsid w:val="003F2350"/>
    <w:rsid w:val="003F2F34"/>
    <w:rsid w:val="003F420D"/>
    <w:rsid w:val="003F4639"/>
    <w:rsid w:val="003F4C70"/>
    <w:rsid w:val="003F7560"/>
    <w:rsid w:val="003F767B"/>
    <w:rsid w:val="003F7CC8"/>
    <w:rsid w:val="00400BB7"/>
    <w:rsid w:val="004028F8"/>
    <w:rsid w:val="00402982"/>
    <w:rsid w:val="00402CF4"/>
    <w:rsid w:val="00403762"/>
    <w:rsid w:val="00403B0E"/>
    <w:rsid w:val="00403B20"/>
    <w:rsid w:val="004045F4"/>
    <w:rsid w:val="00405500"/>
    <w:rsid w:val="004056A6"/>
    <w:rsid w:val="004067CB"/>
    <w:rsid w:val="00410C23"/>
    <w:rsid w:val="00411DDD"/>
    <w:rsid w:val="00411E4A"/>
    <w:rsid w:val="0041237F"/>
    <w:rsid w:val="00412F0C"/>
    <w:rsid w:val="0041346F"/>
    <w:rsid w:val="004138F3"/>
    <w:rsid w:val="00413F45"/>
    <w:rsid w:val="004142F1"/>
    <w:rsid w:val="00414647"/>
    <w:rsid w:val="00414B1F"/>
    <w:rsid w:val="00414D2B"/>
    <w:rsid w:val="00414FBE"/>
    <w:rsid w:val="00415063"/>
    <w:rsid w:val="004156F9"/>
    <w:rsid w:val="00416EF4"/>
    <w:rsid w:val="00417CFF"/>
    <w:rsid w:val="00425601"/>
    <w:rsid w:val="00431A45"/>
    <w:rsid w:val="004325F4"/>
    <w:rsid w:val="004346AD"/>
    <w:rsid w:val="00435E79"/>
    <w:rsid w:val="0044109F"/>
    <w:rsid w:val="004427AA"/>
    <w:rsid w:val="00442E17"/>
    <w:rsid w:val="00450997"/>
    <w:rsid w:val="00452BA2"/>
    <w:rsid w:val="00453444"/>
    <w:rsid w:val="00453893"/>
    <w:rsid w:val="00455AFC"/>
    <w:rsid w:val="00455FBD"/>
    <w:rsid w:val="00456F21"/>
    <w:rsid w:val="00463870"/>
    <w:rsid w:val="004649E5"/>
    <w:rsid w:val="00464C57"/>
    <w:rsid w:val="00467283"/>
    <w:rsid w:val="00471629"/>
    <w:rsid w:val="0047194F"/>
    <w:rsid w:val="00471A86"/>
    <w:rsid w:val="00471C78"/>
    <w:rsid w:val="004731B9"/>
    <w:rsid w:val="00473381"/>
    <w:rsid w:val="0047340D"/>
    <w:rsid w:val="00473D9B"/>
    <w:rsid w:val="00476C92"/>
    <w:rsid w:val="00476F7E"/>
    <w:rsid w:val="004776E3"/>
    <w:rsid w:val="00477E0C"/>
    <w:rsid w:val="00481C0E"/>
    <w:rsid w:val="004821F2"/>
    <w:rsid w:val="00483D31"/>
    <w:rsid w:val="00484098"/>
    <w:rsid w:val="00485153"/>
    <w:rsid w:val="0048552B"/>
    <w:rsid w:val="0048599E"/>
    <w:rsid w:val="00485F07"/>
    <w:rsid w:val="00486D33"/>
    <w:rsid w:val="004873C1"/>
    <w:rsid w:val="004877CD"/>
    <w:rsid w:val="0049155B"/>
    <w:rsid w:val="004920E7"/>
    <w:rsid w:val="004930A3"/>
    <w:rsid w:val="004931C9"/>
    <w:rsid w:val="004949FD"/>
    <w:rsid w:val="00494CB0"/>
    <w:rsid w:val="00495E22"/>
    <w:rsid w:val="004965EC"/>
    <w:rsid w:val="0049675A"/>
    <w:rsid w:val="004978A9"/>
    <w:rsid w:val="00497D57"/>
    <w:rsid w:val="004A1612"/>
    <w:rsid w:val="004A28EA"/>
    <w:rsid w:val="004A4D3B"/>
    <w:rsid w:val="004A682B"/>
    <w:rsid w:val="004A6A85"/>
    <w:rsid w:val="004A6CD0"/>
    <w:rsid w:val="004A738E"/>
    <w:rsid w:val="004B0A4F"/>
    <w:rsid w:val="004B1B38"/>
    <w:rsid w:val="004B22AC"/>
    <w:rsid w:val="004B29AD"/>
    <w:rsid w:val="004B3C56"/>
    <w:rsid w:val="004B3E45"/>
    <w:rsid w:val="004B4000"/>
    <w:rsid w:val="004B5C16"/>
    <w:rsid w:val="004B7DB5"/>
    <w:rsid w:val="004C03F6"/>
    <w:rsid w:val="004C0909"/>
    <w:rsid w:val="004C1AEB"/>
    <w:rsid w:val="004C6D57"/>
    <w:rsid w:val="004D09D4"/>
    <w:rsid w:val="004D0EA6"/>
    <w:rsid w:val="004D129F"/>
    <w:rsid w:val="004D19F1"/>
    <w:rsid w:val="004D19F7"/>
    <w:rsid w:val="004D49FA"/>
    <w:rsid w:val="004D7423"/>
    <w:rsid w:val="004E0B53"/>
    <w:rsid w:val="004E299F"/>
    <w:rsid w:val="004E51F6"/>
    <w:rsid w:val="004E5DE8"/>
    <w:rsid w:val="004E6834"/>
    <w:rsid w:val="004E6FD2"/>
    <w:rsid w:val="004F0D9E"/>
    <w:rsid w:val="004F2D47"/>
    <w:rsid w:val="004F3742"/>
    <w:rsid w:val="005010AB"/>
    <w:rsid w:val="0050653F"/>
    <w:rsid w:val="00510EB8"/>
    <w:rsid w:val="00511270"/>
    <w:rsid w:val="0051623C"/>
    <w:rsid w:val="00520703"/>
    <w:rsid w:val="00520841"/>
    <w:rsid w:val="00520E3A"/>
    <w:rsid w:val="0052172C"/>
    <w:rsid w:val="00524136"/>
    <w:rsid w:val="005249DA"/>
    <w:rsid w:val="005257FD"/>
    <w:rsid w:val="00527ACD"/>
    <w:rsid w:val="00532A6C"/>
    <w:rsid w:val="00535E73"/>
    <w:rsid w:val="005360BF"/>
    <w:rsid w:val="00537D5E"/>
    <w:rsid w:val="0054138C"/>
    <w:rsid w:val="00541DD0"/>
    <w:rsid w:val="00541E2A"/>
    <w:rsid w:val="00542597"/>
    <w:rsid w:val="00542D65"/>
    <w:rsid w:val="005456B4"/>
    <w:rsid w:val="00546C8A"/>
    <w:rsid w:val="00550362"/>
    <w:rsid w:val="005506BB"/>
    <w:rsid w:val="00554254"/>
    <w:rsid w:val="00554D46"/>
    <w:rsid w:val="00555B94"/>
    <w:rsid w:val="00560D43"/>
    <w:rsid w:val="005617B1"/>
    <w:rsid w:val="00561988"/>
    <w:rsid w:val="00561D4A"/>
    <w:rsid w:val="005624C5"/>
    <w:rsid w:val="005634B5"/>
    <w:rsid w:val="00564115"/>
    <w:rsid w:val="005641A4"/>
    <w:rsid w:val="00565D00"/>
    <w:rsid w:val="005661F9"/>
    <w:rsid w:val="00566453"/>
    <w:rsid w:val="00566824"/>
    <w:rsid w:val="00567C1F"/>
    <w:rsid w:val="00567C25"/>
    <w:rsid w:val="00570062"/>
    <w:rsid w:val="00570225"/>
    <w:rsid w:val="00570F61"/>
    <w:rsid w:val="00572C86"/>
    <w:rsid w:val="005733DF"/>
    <w:rsid w:val="00575FB7"/>
    <w:rsid w:val="00576961"/>
    <w:rsid w:val="00577419"/>
    <w:rsid w:val="0057742E"/>
    <w:rsid w:val="005774B4"/>
    <w:rsid w:val="005807F4"/>
    <w:rsid w:val="00583441"/>
    <w:rsid w:val="00583567"/>
    <w:rsid w:val="00583786"/>
    <w:rsid w:val="0058393A"/>
    <w:rsid w:val="0058414F"/>
    <w:rsid w:val="005849DC"/>
    <w:rsid w:val="00585CF3"/>
    <w:rsid w:val="00585F91"/>
    <w:rsid w:val="0058651C"/>
    <w:rsid w:val="00587DD8"/>
    <w:rsid w:val="0059016C"/>
    <w:rsid w:val="005904BE"/>
    <w:rsid w:val="00590FC9"/>
    <w:rsid w:val="00591090"/>
    <w:rsid w:val="00592EA4"/>
    <w:rsid w:val="005962EC"/>
    <w:rsid w:val="00597270"/>
    <w:rsid w:val="00597379"/>
    <w:rsid w:val="005A2DBF"/>
    <w:rsid w:val="005A3031"/>
    <w:rsid w:val="005A4B92"/>
    <w:rsid w:val="005A597F"/>
    <w:rsid w:val="005A5CAE"/>
    <w:rsid w:val="005A5F06"/>
    <w:rsid w:val="005A79DE"/>
    <w:rsid w:val="005B039F"/>
    <w:rsid w:val="005B130A"/>
    <w:rsid w:val="005B49EE"/>
    <w:rsid w:val="005B53DA"/>
    <w:rsid w:val="005B5975"/>
    <w:rsid w:val="005B5B60"/>
    <w:rsid w:val="005C202D"/>
    <w:rsid w:val="005C2E54"/>
    <w:rsid w:val="005C325D"/>
    <w:rsid w:val="005C48D2"/>
    <w:rsid w:val="005D0299"/>
    <w:rsid w:val="005D1B02"/>
    <w:rsid w:val="005D1C5D"/>
    <w:rsid w:val="005D22B4"/>
    <w:rsid w:val="005D304F"/>
    <w:rsid w:val="005D322E"/>
    <w:rsid w:val="005D3235"/>
    <w:rsid w:val="005D40A1"/>
    <w:rsid w:val="005D4614"/>
    <w:rsid w:val="005D5705"/>
    <w:rsid w:val="005D5C0F"/>
    <w:rsid w:val="005D7FEB"/>
    <w:rsid w:val="005E0410"/>
    <w:rsid w:val="005E0911"/>
    <w:rsid w:val="005E280E"/>
    <w:rsid w:val="005E2CCB"/>
    <w:rsid w:val="005E3726"/>
    <w:rsid w:val="005E3E1F"/>
    <w:rsid w:val="005E45DC"/>
    <w:rsid w:val="005F0490"/>
    <w:rsid w:val="005F0F17"/>
    <w:rsid w:val="005F13BD"/>
    <w:rsid w:val="005F1756"/>
    <w:rsid w:val="005F1B04"/>
    <w:rsid w:val="005F1CFA"/>
    <w:rsid w:val="005F22D9"/>
    <w:rsid w:val="005F3365"/>
    <w:rsid w:val="005F36BD"/>
    <w:rsid w:val="005F49B4"/>
    <w:rsid w:val="005F49D3"/>
    <w:rsid w:val="005F4BEE"/>
    <w:rsid w:val="005F7A3C"/>
    <w:rsid w:val="00600276"/>
    <w:rsid w:val="00601335"/>
    <w:rsid w:val="0060202B"/>
    <w:rsid w:val="0060325C"/>
    <w:rsid w:val="00604791"/>
    <w:rsid w:val="006063F2"/>
    <w:rsid w:val="00606D3E"/>
    <w:rsid w:val="00607E90"/>
    <w:rsid w:val="00610A4C"/>
    <w:rsid w:val="00610DD6"/>
    <w:rsid w:val="0061138B"/>
    <w:rsid w:val="00611D20"/>
    <w:rsid w:val="006135EF"/>
    <w:rsid w:val="00615D74"/>
    <w:rsid w:val="00616487"/>
    <w:rsid w:val="00616C40"/>
    <w:rsid w:val="006217BC"/>
    <w:rsid w:val="00621EFF"/>
    <w:rsid w:val="00622BA6"/>
    <w:rsid w:val="00623FA1"/>
    <w:rsid w:val="0062423C"/>
    <w:rsid w:val="00624B2E"/>
    <w:rsid w:val="00624F3F"/>
    <w:rsid w:val="00624F70"/>
    <w:rsid w:val="00626CF6"/>
    <w:rsid w:val="006301A2"/>
    <w:rsid w:val="00630332"/>
    <w:rsid w:val="00630DF1"/>
    <w:rsid w:val="00632309"/>
    <w:rsid w:val="00633C0F"/>
    <w:rsid w:val="00634949"/>
    <w:rsid w:val="00637499"/>
    <w:rsid w:val="00637D73"/>
    <w:rsid w:val="00641AFE"/>
    <w:rsid w:val="00642742"/>
    <w:rsid w:val="00642FE8"/>
    <w:rsid w:val="006448E9"/>
    <w:rsid w:val="006451A4"/>
    <w:rsid w:val="00645FC0"/>
    <w:rsid w:val="00647570"/>
    <w:rsid w:val="00647978"/>
    <w:rsid w:val="006507F1"/>
    <w:rsid w:val="006517C8"/>
    <w:rsid w:val="00651BA0"/>
    <w:rsid w:val="00653854"/>
    <w:rsid w:val="006541F9"/>
    <w:rsid w:val="00654252"/>
    <w:rsid w:val="00654715"/>
    <w:rsid w:val="00654872"/>
    <w:rsid w:val="00656F40"/>
    <w:rsid w:val="00657192"/>
    <w:rsid w:val="006576E8"/>
    <w:rsid w:val="00657A16"/>
    <w:rsid w:val="00657D22"/>
    <w:rsid w:val="00660105"/>
    <w:rsid w:val="00660470"/>
    <w:rsid w:val="006618E8"/>
    <w:rsid w:val="00661E60"/>
    <w:rsid w:val="006625E3"/>
    <w:rsid w:val="0066318D"/>
    <w:rsid w:val="00663492"/>
    <w:rsid w:val="00664485"/>
    <w:rsid w:val="006648D3"/>
    <w:rsid w:val="00664C3D"/>
    <w:rsid w:val="00665571"/>
    <w:rsid w:val="00666A25"/>
    <w:rsid w:val="00666C8E"/>
    <w:rsid w:val="00666CBB"/>
    <w:rsid w:val="0067031D"/>
    <w:rsid w:val="00670ABB"/>
    <w:rsid w:val="006711B2"/>
    <w:rsid w:val="00671289"/>
    <w:rsid w:val="00671858"/>
    <w:rsid w:val="0067301A"/>
    <w:rsid w:val="00673590"/>
    <w:rsid w:val="00673E6A"/>
    <w:rsid w:val="00676565"/>
    <w:rsid w:val="006770E6"/>
    <w:rsid w:val="00677A7B"/>
    <w:rsid w:val="00677BD7"/>
    <w:rsid w:val="00680532"/>
    <w:rsid w:val="00682BC4"/>
    <w:rsid w:val="00683D9C"/>
    <w:rsid w:val="00683FF7"/>
    <w:rsid w:val="006858BE"/>
    <w:rsid w:val="006859F7"/>
    <w:rsid w:val="00685A12"/>
    <w:rsid w:val="00685C9F"/>
    <w:rsid w:val="00686181"/>
    <w:rsid w:val="00687B38"/>
    <w:rsid w:val="006922CA"/>
    <w:rsid w:val="00692974"/>
    <w:rsid w:val="00692F1F"/>
    <w:rsid w:val="00693236"/>
    <w:rsid w:val="006947D9"/>
    <w:rsid w:val="00695588"/>
    <w:rsid w:val="00695AE4"/>
    <w:rsid w:val="00697692"/>
    <w:rsid w:val="00697B5C"/>
    <w:rsid w:val="006A1A69"/>
    <w:rsid w:val="006A1C8D"/>
    <w:rsid w:val="006A2C18"/>
    <w:rsid w:val="006A4932"/>
    <w:rsid w:val="006A4C04"/>
    <w:rsid w:val="006A72AD"/>
    <w:rsid w:val="006B1994"/>
    <w:rsid w:val="006B2C52"/>
    <w:rsid w:val="006B424A"/>
    <w:rsid w:val="006B45A3"/>
    <w:rsid w:val="006B45BE"/>
    <w:rsid w:val="006B4AE8"/>
    <w:rsid w:val="006B4F68"/>
    <w:rsid w:val="006B6533"/>
    <w:rsid w:val="006B6BEC"/>
    <w:rsid w:val="006B7C7C"/>
    <w:rsid w:val="006C004F"/>
    <w:rsid w:val="006C0241"/>
    <w:rsid w:val="006C0886"/>
    <w:rsid w:val="006C2381"/>
    <w:rsid w:val="006C2D1D"/>
    <w:rsid w:val="006C3DC1"/>
    <w:rsid w:val="006C49E1"/>
    <w:rsid w:val="006C4C24"/>
    <w:rsid w:val="006C6D8E"/>
    <w:rsid w:val="006C7558"/>
    <w:rsid w:val="006D0AF3"/>
    <w:rsid w:val="006D0B1A"/>
    <w:rsid w:val="006D1060"/>
    <w:rsid w:val="006D413A"/>
    <w:rsid w:val="006D51AF"/>
    <w:rsid w:val="006D5D08"/>
    <w:rsid w:val="006D63C2"/>
    <w:rsid w:val="006D6DAE"/>
    <w:rsid w:val="006E53DC"/>
    <w:rsid w:val="006E5DF6"/>
    <w:rsid w:val="006E76E1"/>
    <w:rsid w:val="006E7B5C"/>
    <w:rsid w:val="006F02CD"/>
    <w:rsid w:val="006F0D9F"/>
    <w:rsid w:val="006F16EA"/>
    <w:rsid w:val="006F2A77"/>
    <w:rsid w:val="006F2EF0"/>
    <w:rsid w:val="006F321F"/>
    <w:rsid w:val="006F362C"/>
    <w:rsid w:val="006F5FE9"/>
    <w:rsid w:val="006F70DE"/>
    <w:rsid w:val="007007C8"/>
    <w:rsid w:val="007014FF"/>
    <w:rsid w:val="0070496E"/>
    <w:rsid w:val="00705896"/>
    <w:rsid w:val="00705946"/>
    <w:rsid w:val="00705C6C"/>
    <w:rsid w:val="00706405"/>
    <w:rsid w:val="00710397"/>
    <w:rsid w:val="0071163A"/>
    <w:rsid w:val="007120A8"/>
    <w:rsid w:val="00712199"/>
    <w:rsid w:val="00713411"/>
    <w:rsid w:val="0071416F"/>
    <w:rsid w:val="007144E0"/>
    <w:rsid w:val="007150B5"/>
    <w:rsid w:val="00715E4D"/>
    <w:rsid w:val="00716781"/>
    <w:rsid w:val="00716BB3"/>
    <w:rsid w:val="00717E50"/>
    <w:rsid w:val="00723912"/>
    <w:rsid w:val="00724252"/>
    <w:rsid w:val="00724737"/>
    <w:rsid w:val="0072481A"/>
    <w:rsid w:val="00724DF2"/>
    <w:rsid w:val="00725F8B"/>
    <w:rsid w:val="00727FD9"/>
    <w:rsid w:val="007310DC"/>
    <w:rsid w:val="00734024"/>
    <w:rsid w:val="007344B7"/>
    <w:rsid w:val="007362F9"/>
    <w:rsid w:val="00740CD7"/>
    <w:rsid w:val="00741BB1"/>
    <w:rsid w:val="007425E7"/>
    <w:rsid w:val="00742F2C"/>
    <w:rsid w:val="00743AF2"/>
    <w:rsid w:val="00743B78"/>
    <w:rsid w:val="00744036"/>
    <w:rsid w:val="00745F64"/>
    <w:rsid w:val="007464D0"/>
    <w:rsid w:val="00746BF1"/>
    <w:rsid w:val="00750DB9"/>
    <w:rsid w:val="007522AB"/>
    <w:rsid w:val="0075346F"/>
    <w:rsid w:val="007538AA"/>
    <w:rsid w:val="00756029"/>
    <w:rsid w:val="00756258"/>
    <w:rsid w:val="00760158"/>
    <w:rsid w:val="007602D3"/>
    <w:rsid w:val="00761254"/>
    <w:rsid w:val="00761824"/>
    <w:rsid w:val="00761EE4"/>
    <w:rsid w:val="007627BA"/>
    <w:rsid w:val="00762BCC"/>
    <w:rsid w:val="00763313"/>
    <w:rsid w:val="0076369A"/>
    <w:rsid w:val="00763B1E"/>
    <w:rsid w:val="00763F0F"/>
    <w:rsid w:val="00764148"/>
    <w:rsid w:val="00764DC1"/>
    <w:rsid w:val="00765894"/>
    <w:rsid w:val="00765E8C"/>
    <w:rsid w:val="00766C7C"/>
    <w:rsid w:val="0076787B"/>
    <w:rsid w:val="00770EB5"/>
    <w:rsid w:val="0077163D"/>
    <w:rsid w:val="007737FE"/>
    <w:rsid w:val="00773FE7"/>
    <w:rsid w:val="00777BF4"/>
    <w:rsid w:val="0078024C"/>
    <w:rsid w:val="007805E6"/>
    <w:rsid w:val="0078108A"/>
    <w:rsid w:val="00782EF4"/>
    <w:rsid w:val="0078329E"/>
    <w:rsid w:val="0078465C"/>
    <w:rsid w:val="00784666"/>
    <w:rsid w:val="007859A3"/>
    <w:rsid w:val="00787D54"/>
    <w:rsid w:val="00792597"/>
    <w:rsid w:val="007939DE"/>
    <w:rsid w:val="00793A18"/>
    <w:rsid w:val="00793AFB"/>
    <w:rsid w:val="007944B9"/>
    <w:rsid w:val="007A2108"/>
    <w:rsid w:val="007A4F67"/>
    <w:rsid w:val="007A5A12"/>
    <w:rsid w:val="007A642B"/>
    <w:rsid w:val="007A70EC"/>
    <w:rsid w:val="007B010D"/>
    <w:rsid w:val="007B096F"/>
    <w:rsid w:val="007B1869"/>
    <w:rsid w:val="007B2D4D"/>
    <w:rsid w:val="007B3016"/>
    <w:rsid w:val="007B3F6F"/>
    <w:rsid w:val="007B5629"/>
    <w:rsid w:val="007C0E5D"/>
    <w:rsid w:val="007C16F1"/>
    <w:rsid w:val="007C1823"/>
    <w:rsid w:val="007C280D"/>
    <w:rsid w:val="007C58DB"/>
    <w:rsid w:val="007C6C36"/>
    <w:rsid w:val="007C7EC6"/>
    <w:rsid w:val="007D01C9"/>
    <w:rsid w:val="007D026F"/>
    <w:rsid w:val="007D14EF"/>
    <w:rsid w:val="007D1EF1"/>
    <w:rsid w:val="007D249B"/>
    <w:rsid w:val="007D2AD9"/>
    <w:rsid w:val="007D2C08"/>
    <w:rsid w:val="007D3D9B"/>
    <w:rsid w:val="007D5AE7"/>
    <w:rsid w:val="007D6141"/>
    <w:rsid w:val="007E1DA4"/>
    <w:rsid w:val="007E284F"/>
    <w:rsid w:val="007E2923"/>
    <w:rsid w:val="007E2FF7"/>
    <w:rsid w:val="007E4138"/>
    <w:rsid w:val="007E4D16"/>
    <w:rsid w:val="007E4FD2"/>
    <w:rsid w:val="007E53AB"/>
    <w:rsid w:val="007E735D"/>
    <w:rsid w:val="007E7636"/>
    <w:rsid w:val="007F1D60"/>
    <w:rsid w:val="007F3463"/>
    <w:rsid w:val="007F38A1"/>
    <w:rsid w:val="007F3B3F"/>
    <w:rsid w:val="007F50DE"/>
    <w:rsid w:val="007F5E54"/>
    <w:rsid w:val="007F69FF"/>
    <w:rsid w:val="007F7318"/>
    <w:rsid w:val="0080131B"/>
    <w:rsid w:val="00802EBA"/>
    <w:rsid w:val="0080303A"/>
    <w:rsid w:val="0080436C"/>
    <w:rsid w:val="00806A57"/>
    <w:rsid w:val="00806BA9"/>
    <w:rsid w:val="00807644"/>
    <w:rsid w:val="008147BF"/>
    <w:rsid w:val="00814E73"/>
    <w:rsid w:val="00815634"/>
    <w:rsid w:val="008160EF"/>
    <w:rsid w:val="00816E02"/>
    <w:rsid w:val="00817B77"/>
    <w:rsid w:val="0082078D"/>
    <w:rsid w:val="00820D2A"/>
    <w:rsid w:val="00821659"/>
    <w:rsid w:val="0082235C"/>
    <w:rsid w:val="00822A20"/>
    <w:rsid w:val="008234F4"/>
    <w:rsid w:val="008252AF"/>
    <w:rsid w:val="00825EFC"/>
    <w:rsid w:val="0082776D"/>
    <w:rsid w:val="00827CD1"/>
    <w:rsid w:val="008336B8"/>
    <w:rsid w:val="008337C0"/>
    <w:rsid w:val="00834BA4"/>
    <w:rsid w:val="008353C8"/>
    <w:rsid w:val="008367BA"/>
    <w:rsid w:val="00837F55"/>
    <w:rsid w:val="008412FB"/>
    <w:rsid w:val="00842772"/>
    <w:rsid w:val="008434D6"/>
    <w:rsid w:val="008448A5"/>
    <w:rsid w:val="0084594A"/>
    <w:rsid w:val="00847AB1"/>
    <w:rsid w:val="00847E7C"/>
    <w:rsid w:val="00850DE9"/>
    <w:rsid w:val="00851E39"/>
    <w:rsid w:val="00853557"/>
    <w:rsid w:val="008537BF"/>
    <w:rsid w:val="00854DDC"/>
    <w:rsid w:val="00855137"/>
    <w:rsid w:val="00856574"/>
    <w:rsid w:val="008601EB"/>
    <w:rsid w:val="00860DCC"/>
    <w:rsid w:val="00861C7E"/>
    <w:rsid w:val="0086471D"/>
    <w:rsid w:val="00865814"/>
    <w:rsid w:val="00866070"/>
    <w:rsid w:val="0087205D"/>
    <w:rsid w:val="008725FF"/>
    <w:rsid w:val="00873599"/>
    <w:rsid w:val="00874B2C"/>
    <w:rsid w:val="008750C0"/>
    <w:rsid w:val="0087539F"/>
    <w:rsid w:val="00875D0D"/>
    <w:rsid w:val="00876091"/>
    <w:rsid w:val="00876B83"/>
    <w:rsid w:val="00882272"/>
    <w:rsid w:val="00882A82"/>
    <w:rsid w:val="00883F55"/>
    <w:rsid w:val="00884E35"/>
    <w:rsid w:val="00884F91"/>
    <w:rsid w:val="008851EC"/>
    <w:rsid w:val="00886381"/>
    <w:rsid w:val="00886850"/>
    <w:rsid w:val="00891197"/>
    <w:rsid w:val="008911DE"/>
    <w:rsid w:val="00895434"/>
    <w:rsid w:val="0089626F"/>
    <w:rsid w:val="008968BD"/>
    <w:rsid w:val="00896AB3"/>
    <w:rsid w:val="00897898"/>
    <w:rsid w:val="008A12EA"/>
    <w:rsid w:val="008A2C47"/>
    <w:rsid w:val="008A30DE"/>
    <w:rsid w:val="008A3746"/>
    <w:rsid w:val="008A40C7"/>
    <w:rsid w:val="008A4A41"/>
    <w:rsid w:val="008A5955"/>
    <w:rsid w:val="008A61E4"/>
    <w:rsid w:val="008A6C8C"/>
    <w:rsid w:val="008B13AE"/>
    <w:rsid w:val="008B1B13"/>
    <w:rsid w:val="008B2B40"/>
    <w:rsid w:val="008B4ADC"/>
    <w:rsid w:val="008B4AEB"/>
    <w:rsid w:val="008B635F"/>
    <w:rsid w:val="008B6EED"/>
    <w:rsid w:val="008B728E"/>
    <w:rsid w:val="008B7F15"/>
    <w:rsid w:val="008C209A"/>
    <w:rsid w:val="008C22BF"/>
    <w:rsid w:val="008C23EC"/>
    <w:rsid w:val="008C352C"/>
    <w:rsid w:val="008C3BA2"/>
    <w:rsid w:val="008C3D05"/>
    <w:rsid w:val="008D282A"/>
    <w:rsid w:val="008D3234"/>
    <w:rsid w:val="008D3AF8"/>
    <w:rsid w:val="008D467D"/>
    <w:rsid w:val="008D483A"/>
    <w:rsid w:val="008D4AC7"/>
    <w:rsid w:val="008D4D3B"/>
    <w:rsid w:val="008D79DA"/>
    <w:rsid w:val="008E056F"/>
    <w:rsid w:val="008E062F"/>
    <w:rsid w:val="008E26FD"/>
    <w:rsid w:val="008E3D5A"/>
    <w:rsid w:val="008E58EE"/>
    <w:rsid w:val="008E6B67"/>
    <w:rsid w:val="008F1656"/>
    <w:rsid w:val="008F1AF8"/>
    <w:rsid w:val="008F2723"/>
    <w:rsid w:val="008F2759"/>
    <w:rsid w:val="008F2EA7"/>
    <w:rsid w:val="008F6141"/>
    <w:rsid w:val="009004F2"/>
    <w:rsid w:val="00900730"/>
    <w:rsid w:val="00901822"/>
    <w:rsid w:val="00905177"/>
    <w:rsid w:val="009072EF"/>
    <w:rsid w:val="00907F17"/>
    <w:rsid w:val="00910FA9"/>
    <w:rsid w:val="009110A3"/>
    <w:rsid w:val="00913B73"/>
    <w:rsid w:val="009146E4"/>
    <w:rsid w:val="009166E0"/>
    <w:rsid w:val="00916784"/>
    <w:rsid w:val="00921614"/>
    <w:rsid w:val="00921EF7"/>
    <w:rsid w:val="009222BF"/>
    <w:rsid w:val="00923873"/>
    <w:rsid w:val="009242BA"/>
    <w:rsid w:val="009274FB"/>
    <w:rsid w:val="009276C7"/>
    <w:rsid w:val="00931998"/>
    <w:rsid w:val="00933C0D"/>
    <w:rsid w:val="009350EE"/>
    <w:rsid w:val="00935DD0"/>
    <w:rsid w:val="00936454"/>
    <w:rsid w:val="00936FDA"/>
    <w:rsid w:val="00937266"/>
    <w:rsid w:val="00937A89"/>
    <w:rsid w:val="00941490"/>
    <w:rsid w:val="0094175E"/>
    <w:rsid w:val="00942317"/>
    <w:rsid w:val="009431AB"/>
    <w:rsid w:val="00944659"/>
    <w:rsid w:val="00944AC8"/>
    <w:rsid w:val="00945AC4"/>
    <w:rsid w:val="009466CA"/>
    <w:rsid w:val="00953B4B"/>
    <w:rsid w:val="00953E24"/>
    <w:rsid w:val="0095700F"/>
    <w:rsid w:val="00957035"/>
    <w:rsid w:val="009627F9"/>
    <w:rsid w:val="00963478"/>
    <w:rsid w:val="00963720"/>
    <w:rsid w:val="009640C4"/>
    <w:rsid w:val="009641B3"/>
    <w:rsid w:val="00965FC7"/>
    <w:rsid w:val="00966502"/>
    <w:rsid w:val="0096658A"/>
    <w:rsid w:val="0096711F"/>
    <w:rsid w:val="00971A74"/>
    <w:rsid w:val="00972FCC"/>
    <w:rsid w:val="009733DF"/>
    <w:rsid w:val="00973D9E"/>
    <w:rsid w:val="00973DAC"/>
    <w:rsid w:val="00975274"/>
    <w:rsid w:val="00975BEB"/>
    <w:rsid w:val="0097776D"/>
    <w:rsid w:val="00977910"/>
    <w:rsid w:val="00981427"/>
    <w:rsid w:val="0098224F"/>
    <w:rsid w:val="00982609"/>
    <w:rsid w:val="009842BB"/>
    <w:rsid w:val="00985122"/>
    <w:rsid w:val="0099056F"/>
    <w:rsid w:val="00991A7E"/>
    <w:rsid w:val="009923FB"/>
    <w:rsid w:val="009934FB"/>
    <w:rsid w:val="00994358"/>
    <w:rsid w:val="0099581C"/>
    <w:rsid w:val="00997D6A"/>
    <w:rsid w:val="009A0B6D"/>
    <w:rsid w:val="009A1EA7"/>
    <w:rsid w:val="009A46E2"/>
    <w:rsid w:val="009A4D62"/>
    <w:rsid w:val="009B1179"/>
    <w:rsid w:val="009B3206"/>
    <w:rsid w:val="009B4208"/>
    <w:rsid w:val="009B6294"/>
    <w:rsid w:val="009B6B60"/>
    <w:rsid w:val="009B7401"/>
    <w:rsid w:val="009B7951"/>
    <w:rsid w:val="009C173B"/>
    <w:rsid w:val="009C18E5"/>
    <w:rsid w:val="009C1BFE"/>
    <w:rsid w:val="009C2185"/>
    <w:rsid w:val="009C4EC4"/>
    <w:rsid w:val="009C6427"/>
    <w:rsid w:val="009D086A"/>
    <w:rsid w:val="009D0F65"/>
    <w:rsid w:val="009D1108"/>
    <w:rsid w:val="009D418D"/>
    <w:rsid w:val="009D4808"/>
    <w:rsid w:val="009D6283"/>
    <w:rsid w:val="009D6EB5"/>
    <w:rsid w:val="009D75BF"/>
    <w:rsid w:val="009D77DF"/>
    <w:rsid w:val="009E01A1"/>
    <w:rsid w:val="009E1811"/>
    <w:rsid w:val="009E1FF2"/>
    <w:rsid w:val="009E2664"/>
    <w:rsid w:val="009E3C4F"/>
    <w:rsid w:val="009E6A42"/>
    <w:rsid w:val="009E6DE0"/>
    <w:rsid w:val="009E73A0"/>
    <w:rsid w:val="009F0440"/>
    <w:rsid w:val="009F076C"/>
    <w:rsid w:val="009F3530"/>
    <w:rsid w:val="009F5C6B"/>
    <w:rsid w:val="009F7652"/>
    <w:rsid w:val="009F7779"/>
    <w:rsid w:val="00A00FA2"/>
    <w:rsid w:val="00A01858"/>
    <w:rsid w:val="00A03C04"/>
    <w:rsid w:val="00A03DA2"/>
    <w:rsid w:val="00A03FDA"/>
    <w:rsid w:val="00A048BD"/>
    <w:rsid w:val="00A04C3E"/>
    <w:rsid w:val="00A04F3E"/>
    <w:rsid w:val="00A1107E"/>
    <w:rsid w:val="00A123AA"/>
    <w:rsid w:val="00A12526"/>
    <w:rsid w:val="00A131A6"/>
    <w:rsid w:val="00A15921"/>
    <w:rsid w:val="00A15BDF"/>
    <w:rsid w:val="00A1663C"/>
    <w:rsid w:val="00A207F1"/>
    <w:rsid w:val="00A20AF8"/>
    <w:rsid w:val="00A21608"/>
    <w:rsid w:val="00A21B31"/>
    <w:rsid w:val="00A23295"/>
    <w:rsid w:val="00A246EE"/>
    <w:rsid w:val="00A24842"/>
    <w:rsid w:val="00A2680A"/>
    <w:rsid w:val="00A269AD"/>
    <w:rsid w:val="00A275FD"/>
    <w:rsid w:val="00A304DC"/>
    <w:rsid w:val="00A326DE"/>
    <w:rsid w:val="00A33388"/>
    <w:rsid w:val="00A34023"/>
    <w:rsid w:val="00A35A1C"/>
    <w:rsid w:val="00A36D57"/>
    <w:rsid w:val="00A41177"/>
    <w:rsid w:val="00A435D7"/>
    <w:rsid w:val="00A438C9"/>
    <w:rsid w:val="00A43C2C"/>
    <w:rsid w:val="00A45541"/>
    <w:rsid w:val="00A51DC9"/>
    <w:rsid w:val="00A56DEF"/>
    <w:rsid w:val="00A57F39"/>
    <w:rsid w:val="00A6187B"/>
    <w:rsid w:val="00A619AD"/>
    <w:rsid w:val="00A62EAC"/>
    <w:rsid w:val="00A62FC0"/>
    <w:rsid w:val="00A66202"/>
    <w:rsid w:val="00A663AD"/>
    <w:rsid w:val="00A66DE4"/>
    <w:rsid w:val="00A67176"/>
    <w:rsid w:val="00A67513"/>
    <w:rsid w:val="00A67B66"/>
    <w:rsid w:val="00A70166"/>
    <w:rsid w:val="00A70AD4"/>
    <w:rsid w:val="00A71DA8"/>
    <w:rsid w:val="00A7710E"/>
    <w:rsid w:val="00A77D23"/>
    <w:rsid w:val="00A80603"/>
    <w:rsid w:val="00A8390E"/>
    <w:rsid w:val="00A863E3"/>
    <w:rsid w:val="00A873F3"/>
    <w:rsid w:val="00A92334"/>
    <w:rsid w:val="00A925C9"/>
    <w:rsid w:val="00A9352F"/>
    <w:rsid w:val="00A958E6"/>
    <w:rsid w:val="00A9598C"/>
    <w:rsid w:val="00A979DA"/>
    <w:rsid w:val="00AA162A"/>
    <w:rsid w:val="00AA1792"/>
    <w:rsid w:val="00AA23AA"/>
    <w:rsid w:val="00AA2686"/>
    <w:rsid w:val="00AA4E61"/>
    <w:rsid w:val="00AA54BD"/>
    <w:rsid w:val="00AA69FD"/>
    <w:rsid w:val="00AA7DF1"/>
    <w:rsid w:val="00AB04F2"/>
    <w:rsid w:val="00AB0F1A"/>
    <w:rsid w:val="00AB1A5A"/>
    <w:rsid w:val="00AB2129"/>
    <w:rsid w:val="00AB4A37"/>
    <w:rsid w:val="00AB4F17"/>
    <w:rsid w:val="00AB53E0"/>
    <w:rsid w:val="00AB6944"/>
    <w:rsid w:val="00AC28A4"/>
    <w:rsid w:val="00AC3196"/>
    <w:rsid w:val="00AC3797"/>
    <w:rsid w:val="00AC61B7"/>
    <w:rsid w:val="00AC75C1"/>
    <w:rsid w:val="00AD2691"/>
    <w:rsid w:val="00AD3DB4"/>
    <w:rsid w:val="00AD5E4D"/>
    <w:rsid w:val="00AD6D71"/>
    <w:rsid w:val="00AE0C9B"/>
    <w:rsid w:val="00AE1D62"/>
    <w:rsid w:val="00AE2FF0"/>
    <w:rsid w:val="00AE3381"/>
    <w:rsid w:val="00AE3B79"/>
    <w:rsid w:val="00AE3FDB"/>
    <w:rsid w:val="00AE4D96"/>
    <w:rsid w:val="00AE6E46"/>
    <w:rsid w:val="00AE71CC"/>
    <w:rsid w:val="00AE761C"/>
    <w:rsid w:val="00AF120C"/>
    <w:rsid w:val="00AF1915"/>
    <w:rsid w:val="00AF233E"/>
    <w:rsid w:val="00AF2AF0"/>
    <w:rsid w:val="00AF3172"/>
    <w:rsid w:val="00AF4258"/>
    <w:rsid w:val="00AF528D"/>
    <w:rsid w:val="00AF544E"/>
    <w:rsid w:val="00AF661B"/>
    <w:rsid w:val="00AF6B8B"/>
    <w:rsid w:val="00B00B81"/>
    <w:rsid w:val="00B01562"/>
    <w:rsid w:val="00B016E3"/>
    <w:rsid w:val="00B02423"/>
    <w:rsid w:val="00B03AB5"/>
    <w:rsid w:val="00B04CCD"/>
    <w:rsid w:val="00B071BD"/>
    <w:rsid w:val="00B1008E"/>
    <w:rsid w:val="00B10BCB"/>
    <w:rsid w:val="00B11099"/>
    <w:rsid w:val="00B12B37"/>
    <w:rsid w:val="00B13510"/>
    <w:rsid w:val="00B14FE8"/>
    <w:rsid w:val="00B15442"/>
    <w:rsid w:val="00B165B0"/>
    <w:rsid w:val="00B204ED"/>
    <w:rsid w:val="00B225C2"/>
    <w:rsid w:val="00B22C2A"/>
    <w:rsid w:val="00B237B7"/>
    <w:rsid w:val="00B25850"/>
    <w:rsid w:val="00B258A6"/>
    <w:rsid w:val="00B30CB3"/>
    <w:rsid w:val="00B30FD2"/>
    <w:rsid w:val="00B3151A"/>
    <w:rsid w:val="00B31E25"/>
    <w:rsid w:val="00B33641"/>
    <w:rsid w:val="00B34B3E"/>
    <w:rsid w:val="00B36718"/>
    <w:rsid w:val="00B37837"/>
    <w:rsid w:val="00B40681"/>
    <w:rsid w:val="00B40866"/>
    <w:rsid w:val="00B434E0"/>
    <w:rsid w:val="00B4383D"/>
    <w:rsid w:val="00B43F8A"/>
    <w:rsid w:val="00B45059"/>
    <w:rsid w:val="00B45895"/>
    <w:rsid w:val="00B459C2"/>
    <w:rsid w:val="00B45D71"/>
    <w:rsid w:val="00B47EAA"/>
    <w:rsid w:val="00B51A36"/>
    <w:rsid w:val="00B51FDF"/>
    <w:rsid w:val="00B524E2"/>
    <w:rsid w:val="00B5268C"/>
    <w:rsid w:val="00B532D1"/>
    <w:rsid w:val="00B53FAF"/>
    <w:rsid w:val="00B54FC7"/>
    <w:rsid w:val="00B5666B"/>
    <w:rsid w:val="00B60643"/>
    <w:rsid w:val="00B62477"/>
    <w:rsid w:val="00B637FD"/>
    <w:rsid w:val="00B63896"/>
    <w:rsid w:val="00B63906"/>
    <w:rsid w:val="00B63965"/>
    <w:rsid w:val="00B644BF"/>
    <w:rsid w:val="00B659F2"/>
    <w:rsid w:val="00B665AD"/>
    <w:rsid w:val="00B6781A"/>
    <w:rsid w:val="00B70BC4"/>
    <w:rsid w:val="00B71CC3"/>
    <w:rsid w:val="00B723A3"/>
    <w:rsid w:val="00B72A7B"/>
    <w:rsid w:val="00B73961"/>
    <w:rsid w:val="00B74F0E"/>
    <w:rsid w:val="00B754A0"/>
    <w:rsid w:val="00B75545"/>
    <w:rsid w:val="00B80366"/>
    <w:rsid w:val="00B81496"/>
    <w:rsid w:val="00B81934"/>
    <w:rsid w:val="00B81B17"/>
    <w:rsid w:val="00B82BC6"/>
    <w:rsid w:val="00B838FE"/>
    <w:rsid w:val="00B84354"/>
    <w:rsid w:val="00B848C3"/>
    <w:rsid w:val="00B84E82"/>
    <w:rsid w:val="00B856BB"/>
    <w:rsid w:val="00B8626A"/>
    <w:rsid w:val="00B86BE5"/>
    <w:rsid w:val="00B9057B"/>
    <w:rsid w:val="00B91B37"/>
    <w:rsid w:val="00B94270"/>
    <w:rsid w:val="00B944A2"/>
    <w:rsid w:val="00B94745"/>
    <w:rsid w:val="00BA037C"/>
    <w:rsid w:val="00BA131E"/>
    <w:rsid w:val="00BA19D5"/>
    <w:rsid w:val="00BA2018"/>
    <w:rsid w:val="00BA2E21"/>
    <w:rsid w:val="00BA41C6"/>
    <w:rsid w:val="00BA6FFA"/>
    <w:rsid w:val="00BB2054"/>
    <w:rsid w:val="00BB2090"/>
    <w:rsid w:val="00BB220B"/>
    <w:rsid w:val="00BB3819"/>
    <w:rsid w:val="00BB42A9"/>
    <w:rsid w:val="00BB52CA"/>
    <w:rsid w:val="00BB66C2"/>
    <w:rsid w:val="00BB7C79"/>
    <w:rsid w:val="00BC2C61"/>
    <w:rsid w:val="00BC3E48"/>
    <w:rsid w:val="00BC4FA7"/>
    <w:rsid w:val="00BC6047"/>
    <w:rsid w:val="00BD0815"/>
    <w:rsid w:val="00BD0CC8"/>
    <w:rsid w:val="00BD10F9"/>
    <w:rsid w:val="00BD1F1C"/>
    <w:rsid w:val="00BD2697"/>
    <w:rsid w:val="00BD593C"/>
    <w:rsid w:val="00BD5B99"/>
    <w:rsid w:val="00BD6973"/>
    <w:rsid w:val="00BE0544"/>
    <w:rsid w:val="00BE088B"/>
    <w:rsid w:val="00BE1EF3"/>
    <w:rsid w:val="00BE5338"/>
    <w:rsid w:val="00BE5756"/>
    <w:rsid w:val="00BE747B"/>
    <w:rsid w:val="00BF6C16"/>
    <w:rsid w:val="00C00ED9"/>
    <w:rsid w:val="00C01728"/>
    <w:rsid w:val="00C01A06"/>
    <w:rsid w:val="00C01B4B"/>
    <w:rsid w:val="00C01BFC"/>
    <w:rsid w:val="00C01C87"/>
    <w:rsid w:val="00C022AA"/>
    <w:rsid w:val="00C02CB5"/>
    <w:rsid w:val="00C02DE6"/>
    <w:rsid w:val="00C036E6"/>
    <w:rsid w:val="00C053A7"/>
    <w:rsid w:val="00C07637"/>
    <w:rsid w:val="00C07807"/>
    <w:rsid w:val="00C100A6"/>
    <w:rsid w:val="00C12DD3"/>
    <w:rsid w:val="00C142C9"/>
    <w:rsid w:val="00C14B26"/>
    <w:rsid w:val="00C17EB5"/>
    <w:rsid w:val="00C201D3"/>
    <w:rsid w:val="00C20386"/>
    <w:rsid w:val="00C20549"/>
    <w:rsid w:val="00C220A2"/>
    <w:rsid w:val="00C222CA"/>
    <w:rsid w:val="00C232E4"/>
    <w:rsid w:val="00C23784"/>
    <w:rsid w:val="00C25D72"/>
    <w:rsid w:val="00C2739E"/>
    <w:rsid w:val="00C30B62"/>
    <w:rsid w:val="00C315F3"/>
    <w:rsid w:val="00C3301E"/>
    <w:rsid w:val="00C337A6"/>
    <w:rsid w:val="00C37369"/>
    <w:rsid w:val="00C4068A"/>
    <w:rsid w:val="00C408E3"/>
    <w:rsid w:val="00C4136F"/>
    <w:rsid w:val="00C42615"/>
    <w:rsid w:val="00C42DDF"/>
    <w:rsid w:val="00C43F43"/>
    <w:rsid w:val="00C44741"/>
    <w:rsid w:val="00C449C1"/>
    <w:rsid w:val="00C44B31"/>
    <w:rsid w:val="00C44C62"/>
    <w:rsid w:val="00C44DB4"/>
    <w:rsid w:val="00C453F5"/>
    <w:rsid w:val="00C454AB"/>
    <w:rsid w:val="00C5175E"/>
    <w:rsid w:val="00C52E32"/>
    <w:rsid w:val="00C54281"/>
    <w:rsid w:val="00C55EF9"/>
    <w:rsid w:val="00C55F76"/>
    <w:rsid w:val="00C56F16"/>
    <w:rsid w:val="00C5735C"/>
    <w:rsid w:val="00C57F92"/>
    <w:rsid w:val="00C606C1"/>
    <w:rsid w:val="00C620E6"/>
    <w:rsid w:val="00C624A8"/>
    <w:rsid w:val="00C63F15"/>
    <w:rsid w:val="00C65153"/>
    <w:rsid w:val="00C65829"/>
    <w:rsid w:val="00C666E6"/>
    <w:rsid w:val="00C67B16"/>
    <w:rsid w:val="00C7143E"/>
    <w:rsid w:val="00C71FA9"/>
    <w:rsid w:val="00C723FE"/>
    <w:rsid w:val="00C7249E"/>
    <w:rsid w:val="00C7556F"/>
    <w:rsid w:val="00C806AA"/>
    <w:rsid w:val="00C816EA"/>
    <w:rsid w:val="00C836AE"/>
    <w:rsid w:val="00C83B20"/>
    <w:rsid w:val="00C83CB9"/>
    <w:rsid w:val="00C84C54"/>
    <w:rsid w:val="00C85913"/>
    <w:rsid w:val="00C91091"/>
    <w:rsid w:val="00C9165C"/>
    <w:rsid w:val="00C936A3"/>
    <w:rsid w:val="00C94088"/>
    <w:rsid w:val="00C96F18"/>
    <w:rsid w:val="00CA0E70"/>
    <w:rsid w:val="00CA12E1"/>
    <w:rsid w:val="00CA21E7"/>
    <w:rsid w:val="00CA2531"/>
    <w:rsid w:val="00CA28AF"/>
    <w:rsid w:val="00CA3F04"/>
    <w:rsid w:val="00CA467C"/>
    <w:rsid w:val="00CA6338"/>
    <w:rsid w:val="00CB025B"/>
    <w:rsid w:val="00CB04D1"/>
    <w:rsid w:val="00CB0D4C"/>
    <w:rsid w:val="00CB24CE"/>
    <w:rsid w:val="00CB29AD"/>
    <w:rsid w:val="00CB5B4D"/>
    <w:rsid w:val="00CB6D49"/>
    <w:rsid w:val="00CB6D7C"/>
    <w:rsid w:val="00CB79DD"/>
    <w:rsid w:val="00CC0CC1"/>
    <w:rsid w:val="00CC17B7"/>
    <w:rsid w:val="00CC2300"/>
    <w:rsid w:val="00CC28D6"/>
    <w:rsid w:val="00CC3156"/>
    <w:rsid w:val="00CC4EE6"/>
    <w:rsid w:val="00CC6178"/>
    <w:rsid w:val="00CC621A"/>
    <w:rsid w:val="00CC6D5A"/>
    <w:rsid w:val="00CD0ED5"/>
    <w:rsid w:val="00CD18CE"/>
    <w:rsid w:val="00CD18E5"/>
    <w:rsid w:val="00CD2E76"/>
    <w:rsid w:val="00CD3BD9"/>
    <w:rsid w:val="00CE27E0"/>
    <w:rsid w:val="00CE326C"/>
    <w:rsid w:val="00CE3294"/>
    <w:rsid w:val="00CE3530"/>
    <w:rsid w:val="00CE36C8"/>
    <w:rsid w:val="00CE4EC9"/>
    <w:rsid w:val="00CE52DF"/>
    <w:rsid w:val="00CE7252"/>
    <w:rsid w:val="00CF1154"/>
    <w:rsid w:val="00CF1366"/>
    <w:rsid w:val="00CF29D1"/>
    <w:rsid w:val="00CF349B"/>
    <w:rsid w:val="00CF73DC"/>
    <w:rsid w:val="00CF7884"/>
    <w:rsid w:val="00D02B4D"/>
    <w:rsid w:val="00D05DAE"/>
    <w:rsid w:val="00D07BA8"/>
    <w:rsid w:val="00D10587"/>
    <w:rsid w:val="00D106FF"/>
    <w:rsid w:val="00D15FDA"/>
    <w:rsid w:val="00D171C7"/>
    <w:rsid w:val="00D20D78"/>
    <w:rsid w:val="00D21460"/>
    <w:rsid w:val="00D22B37"/>
    <w:rsid w:val="00D23329"/>
    <w:rsid w:val="00D2459E"/>
    <w:rsid w:val="00D2533D"/>
    <w:rsid w:val="00D30057"/>
    <w:rsid w:val="00D30663"/>
    <w:rsid w:val="00D31996"/>
    <w:rsid w:val="00D3576D"/>
    <w:rsid w:val="00D35BF7"/>
    <w:rsid w:val="00D37127"/>
    <w:rsid w:val="00D37654"/>
    <w:rsid w:val="00D377B2"/>
    <w:rsid w:val="00D41057"/>
    <w:rsid w:val="00D41075"/>
    <w:rsid w:val="00D41185"/>
    <w:rsid w:val="00D4127A"/>
    <w:rsid w:val="00D4176E"/>
    <w:rsid w:val="00D41EB1"/>
    <w:rsid w:val="00D42331"/>
    <w:rsid w:val="00D42E08"/>
    <w:rsid w:val="00D44936"/>
    <w:rsid w:val="00D4693C"/>
    <w:rsid w:val="00D4767A"/>
    <w:rsid w:val="00D5062F"/>
    <w:rsid w:val="00D53D29"/>
    <w:rsid w:val="00D567DB"/>
    <w:rsid w:val="00D574BD"/>
    <w:rsid w:val="00D5751D"/>
    <w:rsid w:val="00D5756F"/>
    <w:rsid w:val="00D61A61"/>
    <w:rsid w:val="00D64208"/>
    <w:rsid w:val="00D66745"/>
    <w:rsid w:val="00D67711"/>
    <w:rsid w:val="00D677AD"/>
    <w:rsid w:val="00D717D7"/>
    <w:rsid w:val="00D71D3A"/>
    <w:rsid w:val="00D72441"/>
    <w:rsid w:val="00D73605"/>
    <w:rsid w:val="00D7428C"/>
    <w:rsid w:val="00D74F24"/>
    <w:rsid w:val="00D75AFC"/>
    <w:rsid w:val="00D75D3F"/>
    <w:rsid w:val="00D80B45"/>
    <w:rsid w:val="00D84EF2"/>
    <w:rsid w:val="00D90F54"/>
    <w:rsid w:val="00D91504"/>
    <w:rsid w:val="00D91C75"/>
    <w:rsid w:val="00D92F1D"/>
    <w:rsid w:val="00D93625"/>
    <w:rsid w:val="00D93E26"/>
    <w:rsid w:val="00D94558"/>
    <w:rsid w:val="00D94CE4"/>
    <w:rsid w:val="00D94CE7"/>
    <w:rsid w:val="00D94D70"/>
    <w:rsid w:val="00D95400"/>
    <w:rsid w:val="00DA24AE"/>
    <w:rsid w:val="00DA29E0"/>
    <w:rsid w:val="00DA3DBF"/>
    <w:rsid w:val="00DA5293"/>
    <w:rsid w:val="00DA69DC"/>
    <w:rsid w:val="00DA7AB0"/>
    <w:rsid w:val="00DB161C"/>
    <w:rsid w:val="00DB1710"/>
    <w:rsid w:val="00DB2BD3"/>
    <w:rsid w:val="00DB2D01"/>
    <w:rsid w:val="00DB490F"/>
    <w:rsid w:val="00DB5B51"/>
    <w:rsid w:val="00DB639E"/>
    <w:rsid w:val="00DB6ECA"/>
    <w:rsid w:val="00DC05E6"/>
    <w:rsid w:val="00DC08EB"/>
    <w:rsid w:val="00DC0CB1"/>
    <w:rsid w:val="00DC0F1F"/>
    <w:rsid w:val="00DC2532"/>
    <w:rsid w:val="00DD0F6D"/>
    <w:rsid w:val="00DD12B5"/>
    <w:rsid w:val="00DD140F"/>
    <w:rsid w:val="00DD1A14"/>
    <w:rsid w:val="00DD2B5E"/>
    <w:rsid w:val="00DD6426"/>
    <w:rsid w:val="00DE039D"/>
    <w:rsid w:val="00DE06ED"/>
    <w:rsid w:val="00DE0AC6"/>
    <w:rsid w:val="00DE118E"/>
    <w:rsid w:val="00DE26B3"/>
    <w:rsid w:val="00DE3AA5"/>
    <w:rsid w:val="00DE3B73"/>
    <w:rsid w:val="00DF1722"/>
    <w:rsid w:val="00DF1926"/>
    <w:rsid w:val="00DF19E7"/>
    <w:rsid w:val="00DF2197"/>
    <w:rsid w:val="00DF2564"/>
    <w:rsid w:val="00DF2743"/>
    <w:rsid w:val="00DF3DE6"/>
    <w:rsid w:val="00DF4370"/>
    <w:rsid w:val="00DF4B6D"/>
    <w:rsid w:val="00DF6BEB"/>
    <w:rsid w:val="00DF7E98"/>
    <w:rsid w:val="00E01262"/>
    <w:rsid w:val="00E03D85"/>
    <w:rsid w:val="00E04584"/>
    <w:rsid w:val="00E04824"/>
    <w:rsid w:val="00E065A9"/>
    <w:rsid w:val="00E079C4"/>
    <w:rsid w:val="00E1073E"/>
    <w:rsid w:val="00E11025"/>
    <w:rsid w:val="00E12853"/>
    <w:rsid w:val="00E12F9B"/>
    <w:rsid w:val="00E13D48"/>
    <w:rsid w:val="00E14835"/>
    <w:rsid w:val="00E14D49"/>
    <w:rsid w:val="00E155B0"/>
    <w:rsid w:val="00E1565E"/>
    <w:rsid w:val="00E17317"/>
    <w:rsid w:val="00E174B5"/>
    <w:rsid w:val="00E178A7"/>
    <w:rsid w:val="00E17D6B"/>
    <w:rsid w:val="00E25E1A"/>
    <w:rsid w:val="00E26C19"/>
    <w:rsid w:val="00E275EC"/>
    <w:rsid w:val="00E27C49"/>
    <w:rsid w:val="00E30FFD"/>
    <w:rsid w:val="00E33FAB"/>
    <w:rsid w:val="00E35E21"/>
    <w:rsid w:val="00E37794"/>
    <w:rsid w:val="00E37AF6"/>
    <w:rsid w:val="00E4106F"/>
    <w:rsid w:val="00E416D4"/>
    <w:rsid w:val="00E43460"/>
    <w:rsid w:val="00E44980"/>
    <w:rsid w:val="00E4577B"/>
    <w:rsid w:val="00E46711"/>
    <w:rsid w:val="00E5226C"/>
    <w:rsid w:val="00E523C7"/>
    <w:rsid w:val="00E52AB1"/>
    <w:rsid w:val="00E53EE1"/>
    <w:rsid w:val="00E54293"/>
    <w:rsid w:val="00E5589E"/>
    <w:rsid w:val="00E605F2"/>
    <w:rsid w:val="00E62117"/>
    <w:rsid w:val="00E625AA"/>
    <w:rsid w:val="00E62EBB"/>
    <w:rsid w:val="00E632CF"/>
    <w:rsid w:val="00E65CD2"/>
    <w:rsid w:val="00E65DD8"/>
    <w:rsid w:val="00E675FA"/>
    <w:rsid w:val="00E679B8"/>
    <w:rsid w:val="00E67B10"/>
    <w:rsid w:val="00E75174"/>
    <w:rsid w:val="00E75DAD"/>
    <w:rsid w:val="00E826DD"/>
    <w:rsid w:val="00E82E3D"/>
    <w:rsid w:val="00E83BEF"/>
    <w:rsid w:val="00E84C5D"/>
    <w:rsid w:val="00E86143"/>
    <w:rsid w:val="00E86C74"/>
    <w:rsid w:val="00E920B0"/>
    <w:rsid w:val="00E921C3"/>
    <w:rsid w:val="00E92359"/>
    <w:rsid w:val="00E9254B"/>
    <w:rsid w:val="00E931C9"/>
    <w:rsid w:val="00E9358E"/>
    <w:rsid w:val="00E9457C"/>
    <w:rsid w:val="00E96226"/>
    <w:rsid w:val="00E96356"/>
    <w:rsid w:val="00E976D7"/>
    <w:rsid w:val="00EA3AC8"/>
    <w:rsid w:val="00EA4811"/>
    <w:rsid w:val="00EA5E0B"/>
    <w:rsid w:val="00EA6A24"/>
    <w:rsid w:val="00EA6FE1"/>
    <w:rsid w:val="00EB0017"/>
    <w:rsid w:val="00EB0FFD"/>
    <w:rsid w:val="00EB3716"/>
    <w:rsid w:val="00EB47B1"/>
    <w:rsid w:val="00EB4834"/>
    <w:rsid w:val="00EB4D4A"/>
    <w:rsid w:val="00EB4EA1"/>
    <w:rsid w:val="00EB5C1A"/>
    <w:rsid w:val="00EB65EB"/>
    <w:rsid w:val="00EB6A78"/>
    <w:rsid w:val="00EB7EF9"/>
    <w:rsid w:val="00EC0C4E"/>
    <w:rsid w:val="00EC1ECC"/>
    <w:rsid w:val="00EC2229"/>
    <w:rsid w:val="00EC29CA"/>
    <w:rsid w:val="00EC3044"/>
    <w:rsid w:val="00EC3931"/>
    <w:rsid w:val="00EC39E0"/>
    <w:rsid w:val="00EC4D72"/>
    <w:rsid w:val="00EC7AFC"/>
    <w:rsid w:val="00ED10D5"/>
    <w:rsid w:val="00ED1504"/>
    <w:rsid w:val="00ED175E"/>
    <w:rsid w:val="00ED250E"/>
    <w:rsid w:val="00ED2FBA"/>
    <w:rsid w:val="00ED3068"/>
    <w:rsid w:val="00ED45E7"/>
    <w:rsid w:val="00ED5C14"/>
    <w:rsid w:val="00ED6834"/>
    <w:rsid w:val="00ED7A09"/>
    <w:rsid w:val="00EE2956"/>
    <w:rsid w:val="00EE39E3"/>
    <w:rsid w:val="00EE3F29"/>
    <w:rsid w:val="00EE4C85"/>
    <w:rsid w:val="00EE5B3D"/>
    <w:rsid w:val="00EF058C"/>
    <w:rsid w:val="00EF096D"/>
    <w:rsid w:val="00EF1E32"/>
    <w:rsid w:val="00EF6006"/>
    <w:rsid w:val="00EF6B03"/>
    <w:rsid w:val="00EF7075"/>
    <w:rsid w:val="00F0420C"/>
    <w:rsid w:val="00F05639"/>
    <w:rsid w:val="00F07028"/>
    <w:rsid w:val="00F10055"/>
    <w:rsid w:val="00F1021C"/>
    <w:rsid w:val="00F10B2B"/>
    <w:rsid w:val="00F10C08"/>
    <w:rsid w:val="00F11C62"/>
    <w:rsid w:val="00F12F60"/>
    <w:rsid w:val="00F1427F"/>
    <w:rsid w:val="00F14653"/>
    <w:rsid w:val="00F14A8B"/>
    <w:rsid w:val="00F20F7B"/>
    <w:rsid w:val="00F21BA2"/>
    <w:rsid w:val="00F23B81"/>
    <w:rsid w:val="00F23E2E"/>
    <w:rsid w:val="00F24837"/>
    <w:rsid w:val="00F30286"/>
    <w:rsid w:val="00F3036B"/>
    <w:rsid w:val="00F3075E"/>
    <w:rsid w:val="00F30786"/>
    <w:rsid w:val="00F31E4C"/>
    <w:rsid w:val="00F3216C"/>
    <w:rsid w:val="00F34B55"/>
    <w:rsid w:val="00F3598B"/>
    <w:rsid w:val="00F35B94"/>
    <w:rsid w:val="00F42236"/>
    <w:rsid w:val="00F4495B"/>
    <w:rsid w:val="00F456E4"/>
    <w:rsid w:val="00F45CF7"/>
    <w:rsid w:val="00F511BC"/>
    <w:rsid w:val="00F525FE"/>
    <w:rsid w:val="00F5290C"/>
    <w:rsid w:val="00F53E43"/>
    <w:rsid w:val="00F576D0"/>
    <w:rsid w:val="00F57B45"/>
    <w:rsid w:val="00F60BCF"/>
    <w:rsid w:val="00F60D9E"/>
    <w:rsid w:val="00F6106A"/>
    <w:rsid w:val="00F61777"/>
    <w:rsid w:val="00F63EF3"/>
    <w:rsid w:val="00F650CD"/>
    <w:rsid w:val="00F70B01"/>
    <w:rsid w:val="00F70EFE"/>
    <w:rsid w:val="00F72104"/>
    <w:rsid w:val="00F72DAE"/>
    <w:rsid w:val="00F745E6"/>
    <w:rsid w:val="00F765D8"/>
    <w:rsid w:val="00F777E4"/>
    <w:rsid w:val="00F800B9"/>
    <w:rsid w:val="00F80D15"/>
    <w:rsid w:val="00F80F65"/>
    <w:rsid w:val="00F82102"/>
    <w:rsid w:val="00F83AE9"/>
    <w:rsid w:val="00F8577C"/>
    <w:rsid w:val="00F8638E"/>
    <w:rsid w:val="00F8678F"/>
    <w:rsid w:val="00F86A38"/>
    <w:rsid w:val="00F90D10"/>
    <w:rsid w:val="00F91C68"/>
    <w:rsid w:val="00F93613"/>
    <w:rsid w:val="00F96E5D"/>
    <w:rsid w:val="00FA27DA"/>
    <w:rsid w:val="00FA2F2B"/>
    <w:rsid w:val="00FA387A"/>
    <w:rsid w:val="00FA3CC4"/>
    <w:rsid w:val="00FA5B55"/>
    <w:rsid w:val="00FA6CB0"/>
    <w:rsid w:val="00FA7BFD"/>
    <w:rsid w:val="00FA7D26"/>
    <w:rsid w:val="00FB0102"/>
    <w:rsid w:val="00FB0676"/>
    <w:rsid w:val="00FB0AE1"/>
    <w:rsid w:val="00FB1060"/>
    <w:rsid w:val="00FB18EE"/>
    <w:rsid w:val="00FB1E08"/>
    <w:rsid w:val="00FB2629"/>
    <w:rsid w:val="00FB31F4"/>
    <w:rsid w:val="00FB47D3"/>
    <w:rsid w:val="00FB4903"/>
    <w:rsid w:val="00FB4B78"/>
    <w:rsid w:val="00FB52BE"/>
    <w:rsid w:val="00FB65BB"/>
    <w:rsid w:val="00FC2D69"/>
    <w:rsid w:val="00FC32D1"/>
    <w:rsid w:val="00FC3E21"/>
    <w:rsid w:val="00FC508D"/>
    <w:rsid w:val="00FC553F"/>
    <w:rsid w:val="00FC5915"/>
    <w:rsid w:val="00FC61A5"/>
    <w:rsid w:val="00FC6F5F"/>
    <w:rsid w:val="00FD086E"/>
    <w:rsid w:val="00FD19B8"/>
    <w:rsid w:val="00FD2145"/>
    <w:rsid w:val="00FD2512"/>
    <w:rsid w:val="00FD3BE6"/>
    <w:rsid w:val="00FD67F1"/>
    <w:rsid w:val="00FE1E15"/>
    <w:rsid w:val="00FE1F98"/>
    <w:rsid w:val="00FE24AC"/>
    <w:rsid w:val="00FE24D2"/>
    <w:rsid w:val="00FE3A10"/>
    <w:rsid w:val="00FE51ED"/>
    <w:rsid w:val="00FE53D4"/>
    <w:rsid w:val="00FE5525"/>
    <w:rsid w:val="00FE6B35"/>
    <w:rsid w:val="00FE7386"/>
    <w:rsid w:val="00FE7542"/>
    <w:rsid w:val="00FE7989"/>
    <w:rsid w:val="00FF00E2"/>
    <w:rsid w:val="00FF0626"/>
    <w:rsid w:val="00FF2364"/>
    <w:rsid w:val="00FF33CC"/>
    <w:rsid w:val="00FF4F8B"/>
    <w:rsid w:val="00FF5E3F"/>
    <w:rsid w:val="7286DE6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070F6D6-341C-452B-A92D-54D20591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basedOn w:val="Normal"/>
    <w:link w:val="FootnoteTextChar2"/>
    <w:uiPriority w:val="99"/>
    <w:rsid w:val="006F0D9F"/>
  </w:style>
  <w:style w:type="character" w:styleId="FootnoteReference">
    <w:name w:val="footnote reference"/>
    <w:aliases w:val="(NECG) Footnote Reference,Appel note de bas de p,FR,Footnote Reference/,Style 12,Style 124,Style 13,Style 17,Style 3,Style 4,Style 6,Style 7,fr,o"/>
    <w:uiPriority w:val="99"/>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 Char Char4 Char Char,Footnote Text Char4 Char1 Char Char,Footnote Text Char4 Char1 Char Char Char Char Char,Footnote Text Char7 Char Char,Footnote Text Char7 Char Char Char Char Char,f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uiPriority w:val="99"/>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uiPriority w:val="99"/>
    <w:semiHidden/>
    <w:rsid w:val="006F0D9F"/>
    <w:rPr>
      <w:sz w:val="16"/>
      <w:szCs w:val="16"/>
    </w:rPr>
  </w:style>
  <w:style w:type="paragraph" w:styleId="CommentText">
    <w:name w:val="annotation text"/>
    <w:basedOn w:val="Normal"/>
    <w:link w:val="CommentTextChar"/>
    <w:uiPriority w:val="99"/>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 Char Char Char,Footnote Text Char Char Char Char Char Char Char Char,Footnote Text Char1 Char Char,Footnote Text Char1 Char1 Char Char1 Char Char,Footnote Text Char2 Char Char1 Char Char,Footnote Text Char3"/>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 w:type="paragraph" w:styleId="EndnoteText">
    <w:name w:val="endnote text"/>
    <w:basedOn w:val="Normal"/>
    <w:link w:val="EndnoteTextChar"/>
    <w:uiPriority w:val="99"/>
    <w:semiHidden/>
    <w:unhideWhenUsed/>
    <w:rsid w:val="006507F1"/>
  </w:style>
  <w:style w:type="character" w:customStyle="1" w:styleId="EndnoteTextChar">
    <w:name w:val="Endnote Text Char"/>
    <w:basedOn w:val="DefaultParagraphFont"/>
    <w:link w:val="EndnoteText"/>
    <w:uiPriority w:val="99"/>
    <w:semiHidden/>
    <w:rsid w:val="006507F1"/>
  </w:style>
  <w:style w:type="character" w:styleId="EndnoteReference">
    <w:name w:val="endnote reference"/>
    <w:basedOn w:val="DefaultParagraphFont"/>
    <w:uiPriority w:val="99"/>
    <w:semiHidden/>
    <w:unhideWhenUsed/>
    <w:rsid w:val="006507F1"/>
    <w:rPr>
      <w:vertAlign w:val="superscript"/>
    </w:rPr>
  </w:style>
  <w:style w:type="character" w:customStyle="1" w:styleId="cosearchterm">
    <w:name w:val="co_searchterm"/>
    <w:basedOn w:val="DefaultParagraphFont"/>
    <w:rsid w:val="008F2759"/>
  </w:style>
  <w:style w:type="character" w:styleId="Emphasis">
    <w:name w:val="Emphasis"/>
    <w:basedOn w:val="DefaultParagraphFont"/>
    <w:uiPriority w:val="20"/>
    <w:qFormat/>
    <w:rsid w:val="002D2CB8"/>
    <w:rPr>
      <w:i/>
      <w:iCs/>
    </w:rPr>
  </w:style>
  <w:style w:type="character" w:customStyle="1" w:styleId="CommentTextChar">
    <w:name w:val="Comment Text Char"/>
    <w:basedOn w:val="DefaultParagraphFont"/>
    <w:link w:val="CommentText"/>
    <w:uiPriority w:val="99"/>
    <w:semiHidden/>
    <w:rsid w:val="0035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