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004F5" w:rsidP="001269F9" w14:paraId="6055B7A5" w14:textId="69E2FA34">
      <w:pPr>
        <w:widowControl/>
        <w:ind w:left="7920"/>
        <w:jc w:val="right"/>
        <w:rPr>
          <w:b/>
          <w:sz w:val="24"/>
        </w:rPr>
      </w:pPr>
      <w:bookmarkStart w:id="0" w:name="TOChere"/>
      <w:bookmarkStart w:id="1" w:name="_Hlk536783529"/>
      <w:r>
        <w:rPr>
          <w:b/>
          <w:sz w:val="24"/>
        </w:rPr>
        <w:t xml:space="preserve">     </w:t>
      </w:r>
      <w:r w:rsidR="005C685A">
        <w:rPr>
          <w:b/>
          <w:sz w:val="24"/>
        </w:rPr>
        <w:t>DA</w:t>
      </w:r>
      <w:r>
        <w:rPr>
          <w:b/>
          <w:sz w:val="24"/>
        </w:rPr>
        <w:t xml:space="preserve"> 20-757</w:t>
      </w:r>
    </w:p>
    <w:p w:rsidR="000004F5" w:rsidP="001269F9" w14:paraId="53731633" w14:textId="7C4D2660">
      <w:pPr>
        <w:widowControl/>
        <w:jc w:val="right"/>
        <w:rPr>
          <w:b/>
          <w:sz w:val="24"/>
        </w:rPr>
      </w:pPr>
      <w:bookmarkStart w:id="2" w:name="_GoBack"/>
      <w:bookmarkEnd w:id="2"/>
      <w:r>
        <w:rPr>
          <w:b/>
          <w:sz w:val="24"/>
        </w:rPr>
        <w:t xml:space="preserve">Released: </w:t>
      </w:r>
      <w:r w:rsidR="001269F9">
        <w:rPr>
          <w:b/>
          <w:sz w:val="24"/>
        </w:rPr>
        <w:t>July 17, 2020</w:t>
      </w:r>
    </w:p>
    <w:p w:rsidR="000004F5" w14:paraId="01277387" w14:textId="77777777">
      <w:pPr>
        <w:widowControl/>
        <w:jc w:val="center"/>
        <w:rPr>
          <w:b/>
          <w:sz w:val="24"/>
        </w:rPr>
      </w:pPr>
    </w:p>
    <w:p w:rsidR="006940FF" w:rsidRPr="005112C4" w:rsidP="006940FF" w14:paraId="3D71642B" w14:textId="745482C6">
      <w:pPr>
        <w:jc w:val="center"/>
        <w:rPr>
          <w:b/>
          <w:bCs/>
        </w:rPr>
      </w:pPr>
      <w:bookmarkStart w:id="3" w:name="_Hlk43895592"/>
      <w:bookmarkEnd w:id="0"/>
      <w:bookmarkEnd w:id="1"/>
      <w:r w:rsidRPr="005112C4">
        <w:rPr>
          <w:b/>
          <w:bCs/>
        </w:rPr>
        <w:t xml:space="preserve">Chief Financial </w:t>
      </w:r>
      <w:r>
        <w:rPr>
          <w:b/>
          <w:bCs/>
        </w:rPr>
        <w:t>Officer</w:t>
      </w:r>
      <w:r w:rsidRPr="005112C4">
        <w:rPr>
          <w:b/>
          <w:bCs/>
        </w:rPr>
        <w:t xml:space="preserve"> Announces the Release of a</w:t>
      </w:r>
      <w:r w:rsidR="004C2CF6">
        <w:rPr>
          <w:b/>
          <w:bCs/>
        </w:rPr>
        <w:t>n</w:t>
      </w:r>
      <w:r w:rsidRPr="005112C4">
        <w:rPr>
          <w:b/>
          <w:bCs/>
        </w:rPr>
        <w:t xml:space="preserve"> </w:t>
      </w:r>
      <w:r w:rsidR="004C2CF6">
        <w:rPr>
          <w:b/>
          <w:bCs/>
        </w:rPr>
        <w:t>Enhanced</w:t>
      </w:r>
      <w:r w:rsidRPr="005112C4">
        <w:rPr>
          <w:b/>
          <w:bCs/>
        </w:rPr>
        <w:t xml:space="preserve"> </w:t>
      </w:r>
      <w:r w:rsidRPr="005112C4" w:rsidR="0021388B">
        <w:rPr>
          <w:b/>
          <w:bCs/>
        </w:rPr>
        <w:t>Payment Portal</w:t>
      </w:r>
      <w:r w:rsidRPr="005112C4">
        <w:rPr>
          <w:b/>
          <w:bCs/>
        </w:rPr>
        <w:t xml:space="preserve"> </w:t>
      </w:r>
    </w:p>
    <w:bookmarkEnd w:id="3"/>
    <w:p w:rsidR="006940FF" w:rsidP="006940FF" w14:paraId="421C95CB" w14:textId="77777777">
      <w:pPr>
        <w:jc w:val="center"/>
      </w:pPr>
    </w:p>
    <w:p w:rsidR="006940FF" w:rsidP="00306639" w14:paraId="5DAB7438" w14:textId="533B1E49">
      <w:pPr>
        <w:ind w:firstLine="360"/>
      </w:pPr>
      <w:bookmarkStart w:id="4" w:name="_Hlk43895685"/>
      <w:r>
        <w:t xml:space="preserve">This Public Notice announces the </w:t>
      </w:r>
      <w:r w:rsidR="004C2CF6">
        <w:t xml:space="preserve">Federal Communication </w:t>
      </w:r>
      <w:r>
        <w:t xml:space="preserve">Commission’s </w:t>
      </w:r>
      <w:r w:rsidR="004C2CF6">
        <w:t xml:space="preserve">(FCC’s) </w:t>
      </w:r>
      <w:r>
        <w:t>plans to release an enhanced Payment Portal available to users through the updated Commission Registration System</w:t>
      </w:r>
      <w:r w:rsidR="004C2CF6">
        <w:t xml:space="preserve"> (CORES)</w:t>
      </w:r>
      <w:r>
        <w:t>.</w:t>
      </w:r>
      <w:r>
        <w:rPr>
          <w:rStyle w:val="FootnoteReference"/>
        </w:rPr>
        <w:footnoteReference w:id="3"/>
      </w:r>
      <w:r w:rsidR="00574F6A">
        <w:t xml:space="preserve">  </w:t>
      </w:r>
      <w:bookmarkStart w:id="5" w:name="_Hlk45202128"/>
      <w:r w:rsidR="00DE6EA9">
        <w:t>T</w:t>
      </w:r>
      <w:r w:rsidRPr="00DE6EA9" w:rsidR="00DE6EA9">
        <w:t xml:space="preserve">he FCC is required to implement </w:t>
      </w:r>
      <w:r w:rsidR="00DE6EA9">
        <w:t xml:space="preserve">these changes </w:t>
      </w:r>
      <w:r w:rsidRPr="00DE6EA9" w:rsidR="00DE6EA9">
        <w:t xml:space="preserve">to comply with </w:t>
      </w:r>
      <w:r w:rsidR="008B05D4">
        <w:t xml:space="preserve">the </w:t>
      </w:r>
      <w:r w:rsidRPr="00DE6EA9" w:rsidR="00DE6EA9">
        <w:t xml:space="preserve">Department of Treasury’s </w:t>
      </w:r>
      <w:r w:rsidR="00DE6EA9">
        <w:t xml:space="preserve">(Treasury) </w:t>
      </w:r>
      <w:r w:rsidRPr="00DE6EA9" w:rsidR="00DE6EA9">
        <w:t xml:space="preserve">pay.gov </w:t>
      </w:r>
      <w:r w:rsidR="00DE6EA9">
        <w:t xml:space="preserve">system </w:t>
      </w:r>
      <w:r w:rsidRPr="00DE6EA9" w:rsidR="00DE6EA9">
        <w:t xml:space="preserve">integration requirements.  Treasury is retiring the technology it uses for completing online payments and </w:t>
      </w:r>
      <w:r w:rsidR="00DE6EA9">
        <w:t xml:space="preserve">is requiring </w:t>
      </w:r>
      <w:r w:rsidR="008B05D4">
        <w:t xml:space="preserve">all federal agencies to </w:t>
      </w:r>
      <w:r w:rsidRPr="00DE6EA9" w:rsidR="00DE6EA9">
        <w:t>use new hosted technolog</w:t>
      </w:r>
      <w:r w:rsidR="008B05D4">
        <w:t>y</w:t>
      </w:r>
      <w:r w:rsidRPr="00DE6EA9" w:rsidR="00DE6EA9">
        <w:t>.</w:t>
      </w:r>
      <w:r w:rsidR="00DE6EA9">
        <w:t xml:space="preserve">  </w:t>
      </w:r>
      <w:r w:rsidRPr="00EE5BCA" w:rsidR="00EE5BCA">
        <w:t>The FCC’s release of these enhancements, to be implemented in three phases starting on</w:t>
      </w:r>
      <w:r w:rsidR="003D03FE">
        <w:rPr>
          <w:b/>
          <w:bCs/>
        </w:rPr>
        <w:t xml:space="preserve"> </w:t>
      </w:r>
      <w:r w:rsidR="003D03FE">
        <w:t>July 24</w:t>
      </w:r>
      <w:r w:rsidRPr="00EE5BCA" w:rsidR="00EE5BCA">
        <w:t xml:space="preserve">, </w:t>
      </w:r>
      <w:r w:rsidR="003D03FE">
        <w:t xml:space="preserve">2020 </w:t>
      </w:r>
      <w:r w:rsidRPr="00EE5BCA" w:rsidR="00EE5BCA">
        <w:t>will provide a comprehensive FCC Registration Number (FRN) financial dashboard to improve and simplify how FCC users view their FCC-related financial data and make payments</w:t>
      </w:r>
      <w:r>
        <w:t xml:space="preserve">. </w:t>
      </w:r>
      <w:bookmarkEnd w:id="5"/>
      <w:r w:rsidR="00EE5BCA">
        <w:t xml:space="preserve"> </w:t>
      </w:r>
      <w:r>
        <w:t xml:space="preserve">Specifically, these </w:t>
      </w:r>
      <w:r w:rsidR="00540B0E">
        <w:t>enhancements</w:t>
      </w:r>
      <w:r>
        <w:t xml:space="preserve"> will: </w:t>
      </w:r>
    </w:p>
    <w:p w:rsidR="004C2CF6" w:rsidP="006940FF" w14:paraId="5F9F2B61" w14:textId="77777777"/>
    <w:p w:rsidR="006940FF" w:rsidP="006940FF" w14:paraId="159682A1" w14:textId="6217BDD0">
      <w:pPr>
        <w:pStyle w:val="ListParagraph"/>
        <w:widowControl/>
        <w:numPr>
          <w:ilvl w:val="0"/>
          <w:numId w:val="17"/>
        </w:numPr>
        <w:spacing w:after="160" w:line="259" w:lineRule="auto"/>
        <w:contextualSpacing/>
      </w:pPr>
      <w:r>
        <w:t>Allow users to retrieve financial data for the FRNs they manage</w:t>
      </w:r>
      <w:r w:rsidR="004C2CF6">
        <w:t>,</w:t>
      </w:r>
      <w:r>
        <w:rPr>
          <w:rStyle w:val="FootnoteReference"/>
        </w:rPr>
        <w:footnoteReference w:id="4"/>
      </w:r>
      <w:r>
        <w:t xml:space="preserve"> including red and green light status, open bills,</w:t>
      </w:r>
      <w:r>
        <w:rPr>
          <w:rStyle w:val="FootnoteReference"/>
        </w:rPr>
        <w:footnoteReference w:id="5"/>
      </w:r>
      <w:r>
        <w:t xml:space="preserve"> any other remittances generated from any FCC system that</w:t>
      </w:r>
      <w:r w:rsidR="004C2CF6">
        <w:t xml:space="preserve"> are</w:t>
      </w:r>
      <w:r>
        <w:t xml:space="preserve"> awaiting payment completion, and payment history. </w:t>
      </w:r>
    </w:p>
    <w:p w:rsidR="006940FF" w:rsidP="006940FF" w14:paraId="4A1E1EBF" w14:textId="0D9051C2">
      <w:pPr>
        <w:pStyle w:val="ListParagraph"/>
        <w:widowControl/>
        <w:numPr>
          <w:ilvl w:val="0"/>
          <w:numId w:val="17"/>
        </w:numPr>
        <w:spacing w:after="160" w:line="259" w:lineRule="auto"/>
        <w:contextualSpacing/>
      </w:pPr>
      <w:r>
        <w:t>Permit user</w:t>
      </w:r>
      <w:r w:rsidR="0059621D">
        <w:t>s</w:t>
      </w:r>
      <w:r>
        <w:t xml:space="preserve"> to select </w:t>
      </w:r>
      <w:r w:rsidR="00574F6A">
        <w:t xml:space="preserve">the type of </w:t>
      </w:r>
      <w:r>
        <w:t xml:space="preserve">payment </w:t>
      </w:r>
      <w:r w:rsidR="00574F6A">
        <w:t xml:space="preserve">they would like to make </w:t>
      </w:r>
      <w:r>
        <w:t xml:space="preserve">from an enhanced CORES payment selection screen. </w:t>
      </w:r>
    </w:p>
    <w:p w:rsidR="006940FF" w:rsidP="006940FF" w14:paraId="008E7170" w14:textId="1ECD5B70">
      <w:pPr>
        <w:pStyle w:val="ListParagraph"/>
        <w:widowControl/>
        <w:numPr>
          <w:ilvl w:val="0"/>
          <w:numId w:val="17"/>
        </w:numPr>
        <w:spacing w:after="160" w:line="259" w:lineRule="auto"/>
        <w:contextualSpacing/>
      </w:pPr>
      <w:r>
        <w:t xml:space="preserve">Utilize </w:t>
      </w:r>
      <w:r w:rsidR="00574F6A">
        <w:t xml:space="preserve">the Department of </w:t>
      </w:r>
      <w:r>
        <w:t xml:space="preserve">Treasury’s </w:t>
      </w:r>
      <w:r w:rsidR="00574F6A">
        <w:t xml:space="preserve">supported </w:t>
      </w:r>
      <w:r>
        <w:t>technology to complete online (</w:t>
      </w:r>
      <w:r w:rsidR="008E58A8">
        <w:t>c</w:t>
      </w:r>
      <w:r>
        <w:t xml:space="preserve">redit </w:t>
      </w:r>
      <w:r w:rsidR="008E58A8">
        <w:t>c</w:t>
      </w:r>
      <w:r>
        <w:t>ard and ACH) payments.</w:t>
      </w:r>
    </w:p>
    <w:p w:rsidR="006940FF" w:rsidP="006940FF" w14:paraId="73A28650" w14:textId="63C2A960">
      <w:pPr>
        <w:pStyle w:val="ListParagraph"/>
        <w:widowControl/>
        <w:numPr>
          <w:ilvl w:val="0"/>
          <w:numId w:val="17"/>
        </w:numPr>
        <w:spacing w:after="160" w:line="259" w:lineRule="auto"/>
        <w:contextualSpacing/>
      </w:pPr>
      <w:r>
        <w:t>Enhance and strengthen security</w:t>
      </w:r>
      <w:r w:rsidR="00D6164D">
        <w:t>.</w:t>
      </w:r>
    </w:p>
    <w:p w:rsidR="006940FF" w:rsidP="006940FF" w14:paraId="3D07A6D9" w14:textId="77777777">
      <w:pPr>
        <w:pStyle w:val="ListParagraph"/>
      </w:pPr>
    </w:p>
    <w:p w:rsidR="006940FF" w:rsidP="00306639" w14:paraId="6998948B" w14:textId="74B30CDA">
      <w:pPr>
        <w:ind w:firstLine="360"/>
      </w:pPr>
      <w:r>
        <w:t xml:space="preserve">In Phase 1, the </w:t>
      </w:r>
      <w:r w:rsidR="008F76F5">
        <w:t xml:space="preserve">enhanced </w:t>
      </w:r>
      <w:r>
        <w:t xml:space="preserve">Payment Portal can be accessed </w:t>
      </w:r>
      <w:r w:rsidR="00174B6F">
        <w:t>by users directly logg</w:t>
      </w:r>
      <w:r w:rsidR="008F76F5">
        <w:t>ing</w:t>
      </w:r>
      <w:r w:rsidR="00174B6F">
        <w:t xml:space="preserve"> into </w:t>
      </w:r>
      <w:r w:rsidR="008F76F5">
        <w:t xml:space="preserve">the updated </w:t>
      </w:r>
      <w:r w:rsidR="00174B6F">
        <w:t xml:space="preserve">CORES </w:t>
      </w:r>
      <w:r w:rsidR="00306639">
        <w:t>with</w:t>
      </w:r>
      <w:r w:rsidR="00174B6F">
        <w:t xml:space="preserve"> </w:t>
      </w:r>
      <w:r>
        <w:t>an FCC Username and password</w:t>
      </w:r>
      <w:r w:rsidR="008F76F5">
        <w:t>.</w:t>
      </w:r>
      <w:r>
        <w:rPr>
          <w:rStyle w:val="FootnoteReference"/>
        </w:rPr>
        <w:footnoteReference w:id="6"/>
      </w:r>
      <w:r w:rsidR="008F76F5">
        <w:t xml:space="preserve">  From there</w:t>
      </w:r>
      <w:r w:rsidR="0059621D">
        <w:t>,</w:t>
      </w:r>
      <w:r>
        <w:t xml:space="preserve"> users will be able to manage any of the financials for the FRNs associated with their Username account. </w:t>
      </w:r>
      <w:r w:rsidR="008F76F5">
        <w:t xml:space="preserve"> </w:t>
      </w:r>
      <w:r w:rsidR="002C04CA">
        <w:t>Users that have not registered in the updated CORES with an FCC Username and password or have not updated their FRN to link it to a Username and password in the updated CORES may do so at any time to begin taking advantage of the Payment Portal upgrade</w:t>
      </w:r>
      <w:r w:rsidR="00306639">
        <w:t>, or may continue to make payments through the existing payment platforms</w:t>
      </w:r>
      <w:r w:rsidR="002C04CA">
        <w:t>.</w:t>
      </w:r>
      <w:r>
        <w:rPr>
          <w:rStyle w:val="FootnoteReference"/>
        </w:rPr>
        <w:footnoteReference w:id="7"/>
      </w:r>
      <w:r w:rsidR="002C04CA">
        <w:t xml:space="preserve">  Phase 1 of the Payment Portal</w:t>
      </w:r>
      <w:r w:rsidR="008F76F5">
        <w:t xml:space="preserve"> enhancement will </w:t>
      </w:r>
      <w:r w:rsidR="002C04CA">
        <w:t>begin</w:t>
      </w:r>
      <w:r w:rsidR="003D03FE">
        <w:t xml:space="preserve"> July 24, 2020</w:t>
      </w:r>
      <w:r w:rsidR="008F76F5">
        <w:t>.</w:t>
      </w:r>
    </w:p>
    <w:p w:rsidR="006940FF" w:rsidP="006940FF" w14:paraId="1D877DCD" w14:textId="77777777">
      <w:pPr>
        <w:pStyle w:val="ListParagraph"/>
      </w:pPr>
    </w:p>
    <w:p w:rsidR="006940FF" w:rsidP="00DB081F" w14:paraId="71F1EB20" w14:textId="1A411844">
      <w:pPr>
        <w:ind w:firstLine="360"/>
      </w:pPr>
      <w:r>
        <w:t xml:space="preserve">In Phase 2, </w:t>
      </w:r>
      <w:r w:rsidR="008F76F5">
        <w:t xml:space="preserve">when users interact with </w:t>
      </w:r>
      <w:r>
        <w:t>the Commission’s Red</w:t>
      </w:r>
      <w:r w:rsidR="00FB24FA">
        <w:t>-</w:t>
      </w:r>
      <w:r>
        <w:t>Light Display System, Fee Filer</w:t>
      </w:r>
      <w:r w:rsidR="008F76F5">
        <w:t xml:space="preserve"> Online System</w:t>
      </w:r>
      <w:r>
        <w:t>, and ULS Pay Fees system</w:t>
      </w:r>
      <w:r w:rsidR="002C04CA">
        <w:t>,</w:t>
      </w:r>
      <w:r>
        <w:t xml:space="preserve"> </w:t>
      </w:r>
      <w:r w:rsidR="00520661">
        <w:t xml:space="preserve">they </w:t>
      </w:r>
      <w:r>
        <w:t xml:space="preserve">will </w:t>
      </w:r>
      <w:r w:rsidR="00520661">
        <w:t xml:space="preserve">be automatically </w:t>
      </w:r>
      <w:r>
        <w:t>connect</w:t>
      </w:r>
      <w:r w:rsidR="00520661">
        <w:t>ed to the enhanced Payment Portal in the updated CORES</w:t>
      </w:r>
      <w:r w:rsidR="00B53A49">
        <w:t xml:space="preserve"> without needing to log into CORES,</w:t>
      </w:r>
      <w:r w:rsidR="00520661">
        <w:t xml:space="preserve"> will be able to</w:t>
      </w:r>
      <w:r>
        <w:t xml:space="preserve"> select </w:t>
      </w:r>
      <w:r w:rsidR="00520661">
        <w:t xml:space="preserve">the type of </w:t>
      </w:r>
      <w:r>
        <w:t>payment</w:t>
      </w:r>
      <w:r w:rsidR="00520661">
        <w:t xml:space="preserve"> they would like to make from an enhanced</w:t>
      </w:r>
      <w:r>
        <w:t xml:space="preserve"> CORES </w:t>
      </w:r>
      <w:r w:rsidR="00520661">
        <w:t>p</w:t>
      </w:r>
      <w:r w:rsidR="00194276">
        <w:t xml:space="preserve">ayment </w:t>
      </w:r>
      <w:r w:rsidR="00520661">
        <w:t>selection screen</w:t>
      </w:r>
      <w:r w:rsidR="00B53A49">
        <w:t>, and will be able to complete their payments</w:t>
      </w:r>
      <w:r>
        <w:t>.</w:t>
      </w:r>
      <w:r w:rsidR="0059621D">
        <w:t xml:space="preserve"> </w:t>
      </w:r>
      <w:r w:rsidR="008F76F5">
        <w:t xml:space="preserve"> This </w:t>
      </w:r>
      <w:r w:rsidR="00B53A49">
        <w:t xml:space="preserve">Phase 2 </w:t>
      </w:r>
      <w:r w:rsidR="008F76F5">
        <w:t xml:space="preserve">enhancement will </w:t>
      </w:r>
      <w:r w:rsidR="002C04CA">
        <w:t xml:space="preserve">occur seamlessly for </w:t>
      </w:r>
      <w:r w:rsidR="00EE5BCA">
        <w:t xml:space="preserve">these </w:t>
      </w:r>
      <w:r w:rsidR="002C04CA">
        <w:t xml:space="preserve">users </w:t>
      </w:r>
      <w:r w:rsidR="0023585B">
        <w:t xml:space="preserve">beginning </w:t>
      </w:r>
      <w:r w:rsidR="008F76F5">
        <w:t>August 10, 2020.</w:t>
      </w:r>
    </w:p>
    <w:p w:rsidR="006940FF" w:rsidP="006940FF" w14:paraId="68D619AB" w14:textId="77777777">
      <w:pPr>
        <w:pStyle w:val="ListParagraph"/>
      </w:pPr>
    </w:p>
    <w:p w:rsidR="001A5EC4" w:rsidP="001A5EC4" w14:paraId="08CF26D3" w14:textId="5358952E">
      <w:pPr>
        <w:ind w:firstLine="360"/>
      </w:pPr>
      <w:r>
        <w:t xml:space="preserve">In Phase 3, users of any FCC system </w:t>
      </w:r>
      <w:r w:rsidR="00BD7F08">
        <w:t xml:space="preserve">or </w:t>
      </w:r>
      <w:r>
        <w:t xml:space="preserve">application connecting to the legacy Electronic Form 159 application will be re-directed to the </w:t>
      </w:r>
      <w:r w:rsidR="00BD7F08">
        <w:t>enhanced</w:t>
      </w:r>
      <w:r>
        <w:t xml:space="preserve"> Payment Portal</w:t>
      </w:r>
      <w:r w:rsidR="00B610B7">
        <w:t xml:space="preserve"> to make a payment</w:t>
      </w:r>
      <w:r>
        <w:t xml:space="preserve">. </w:t>
      </w:r>
      <w:r w:rsidR="00022A94">
        <w:t xml:space="preserve"> </w:t>
      </w:r>
      <w:r>
        <w:t>Users are encouraged to login with an FCC Username and password to take full advantage of the enhancements allowing them to view additional financial data.</w:t>
      </w:r>
      <w:r>
        <w:rPr>
          <w:rStyle w:val="FootnoteReference"/>
        </w:rPr>
        <w:footnoteReference w:id="8"/>
      </w:r>
      <w:r>
        <w:t xml:space="preserve"> </w:t>
      </w:r>
      <w:r w:rsidR="002C04CA">
        <w:t xml:space="preserve"> </w:t>
      </w:r>
      <w:r>
        <w:t xml:space="preserve">Users that do not have a Username account can login with an FRN and password to complete payments for that FRN, but they will not have access to the other modules of </w:t>
      </w:r>
      <w:r w:rsidR="00306639">
        <w:t xml:space="preserve">enhanced </w:t>
      </w:r>
      <w:r>
        <w:t>CORES.</w:t>
      </w:r>
      <w:r>
        <w:t xml:space="preserve"> </w:t>
      </w:r>
      <w:r w:rsidR="00B53A49">
        <w:t xml:space="preserve"> </w:t>
      </w:r>
      <w:r>
        <w:t xml:space="preserve">Phase </w:t>
      </w:r>
      <w:r w:rsidR="00B53A49">
        <w:t>3</w:t>
      </w:r>
      <w:r>
        <w:t xml:space="preserve"> of the Payment Portal enhancement will begin September 4, 2020.</w:t>
      </w:r>
    </w:p>
    <w:p w:rsidR="006940FF" w:rsidP="00022A94" w14:paraId="36CFB81B" w14:textId="77777777"/>
    <w:p w:rsidR="006940FF" w:rsidP="00DB081F" w14:paraId="59D6C73D" w14:textId="5CC448C8">
      <w:pPr>
        <w:ind w:firstLine="360"/>
      </w:pPr>
      <w:r>
        <w:t xml:space="preserve">The </w:t>
      </w:r>
      <w:r w:rsidR="00194276">
        <w:t>Payment Portal</w:t>
      </w:r>
      <w:r w:rsidR="00194276">
        <w:t xml:space="preserve"> </w:t>
      </w:r>
      <w:r>
        <w:t xml:space="preserve">in CORES offers users </w:t>
      </w:r>
      <w:r w:rsidR="00093A84">
        <w:t xml:space="preserve">payment </w:t>
      </w:r>
      <w:r>
        <w:t>options based on each remittance and the current rules of each Bureau and Office of the FCC</w:t>
      </w:r>
      <w:r w:rsidR="00093A84">
        <w:t xml:space="preserve">: </w:t>
      </w:r>
      <w:r>
        <w:t>ACH</w:t>
      </w:r>
      <w:r w:rsidR="002C4330">
        <w:t xml:space="preserve">, check, credit card </w:t>
      </w:r>
      <w:r w:rsidR="006C5D9C">
        <w:t xml:space="preserve">and </w:t>
      </w:r>
      <w:r w:rsidR="002C4330">
        <w:t>wire transfer</w:t>
      </w:r>
      <w:r>
        <w:t xml:space="preserve">.  For check payments, where applicable, a printable </w:t>
      </w:r>
      <w:r w:rsidR="0023585B">
        <w:t xml:space="preserve">FCC </w:t>
      </w:r>
      <w:r>
        <w:t xml:space="preserve">Form 159E is available to users to submit </w:t>
      </w:r>
      <w:r w:rsidR="00632772">
        <w:t xml:space="preserve">along </w:t>
      </w:r>
      <w:r>
        <w:t xml:space="preserve">with </w:t>
      </w:r>
      <w:r w:rsidR="003F0872">
        <w:t xml:space="preserve">the </w:t>
      </w:r>
      <w:r>
        <w:t xml:space="preserve">check. </w:t>
      </w:r>
      <w:r w:rsidR="0023585B">
        <w:t xml:space="preserve"> </w:t>
      </w:r>
      <w:r>
        <w:t xml:space="preserve">For Auction upfront payments, a printable Form 159 is </w:t>
      </w:r>
      <w:r w:rsidR="003F0872">
        <w:t xml:space="preserve">also </w:t>
      </w:r>
      <w:r>
        <w:t xml:space="preserve">available to submit </w:t>
      </w:r>
      <w:r w:rsidR="00632772">
        <w:t xml:space="preserve">along </w:t>
      </w:r>
      <w:r>
        <w:t xml:space="preserve">with the WIRE. </w:t>
      </w:r>
      <w:r w:rsidR="0059621D">
        <w:t xml:space="preserve"> </w:t>
      </w:r>
      <w:r>
        <w:t xml:space="preserve">All credit card and ACH payments are resolved through </w:t>
      </w:r>
      <w:r w:rsidR="0023585B">
        <w:t xml:space="preserve">the Department of </w:t>
      </w:r>
      <w:r>
        <w:t>Treasury</w:t>
      </w:r>
      <w:r w:rsidR="0023585B">
        <w:t xml:space="preserve"> and </w:t>
      </w:r>
      <w:r>
        <w:t xml:space="preserve">payments are not complete until the status in CORES is updated to “Posted” for the remittance. </w:t>
      </w:r>
    </w:p>
    <w:p w:rsidR="006940FF" w:rsidP="006940FF" w14:paraId="1FA64A6D" w14:textId="77777777">
      <w:pPr>
        <w:pStyle w:val="ListParagraph"/>
      </w:pPr>
    </w:p>
    <w:p w:rsidR="006940FF" w:rsidP="00DB081F" w14:paraId="4981F437" w14:textId="0E629838">
      <w:pPr>
        <w:ind w:firstLine="360"/>
      </w:pPr>
      <w:r>
        <w:t xml:space="preserve">For instructions on viewing open bills, remittances, and making payments in CORES, users are encouraged to review the FRN Financial help file found </w:t>
      </w:r>
      <w:hyperlink r:id="rId5" w:history="1">
        <w:r w:rsidRPr="0068523E">
          <w:rPr>
            <w:rStyle w:val="Hyperlink"/>
          </w:rPr>
          <w:t>here</w:t>
        </w:r>
      </w:hyperlink>
      <w:r>
        <w:t>, or by</w:t>
      </w:r>
      <w:r w:rsidR="00306639">
        <w:t xml:space="preserve"> pasting this link into their web browser:</w:t>
      </w:r>
      <w:r>
        <w:t xml:space="preserve"> </w:t>
      </w:r>
      <w:hyperlink r:id="rId5" w:history="1">
        <w:r w:rsidRPr="00661441">
          <w:rPr>
            <w:rStyle w:val="Hyperlink"/>
          </w:rPr>
          <w:t>https://apps.fcc.gov/cores/publicHome.do?help=true</w:t>
        </w:r>
      </w:hyperlink>
      <w:r>
        <w:t xml:space="preserve">. </w:t>
      </w:r>
      <w:r w:rsidR="0023585B">
        <w:t xml:space="preserve"> </w:t>
      </w:r>
      <w:r w:rsidR="0070004A">
        <w:t>H</w:t>
      </w:r>
      <w:r>
        <w:t xml:space="preserve">elp files can also be found there to assist users in registering, associating, and managing FRNs in CORES. </w:t>
      </w:r>
      <w:r w:rsidR="00C16BEB">
        <w:t xml:space="preserve"> </w:t>
      </w:r>
      <w:r w:rsidR="0070004A">
        <w:t>Additional t</w:t>
      </w:r>
      <w:r w:rsidR="00C16BEB">
        <w:t xml:space="preserve">utorials and help files on setting up an FCC Username account are available </w:t>
      </w:r>
      <w:hyperlink r:id="rId6" w:history="1">
        <w:r w:rsidRPr="0070004A" w:rsidR="0070004A">
          <w:rPr>
            <w:rStyle w:val="Hyperlink"/>
          </w:rPr>
          <w:t>here</w:t>
        </w:r>
      </w:hyperlink>
      <w:r w:rsidR="0070004A">
        <w:t xml:space="preserve"> </w:t>
      </w:r>
      <w:r w:rsidR="00C16BEB">
        <w:t xml:space="preserve">on the </w:t>
      </w:r>
      <w:r w:rsidRPr="005813A3" w:rsidR="001E1044">
        <w:t>CORES home page</w:t>
      </w:r>
      <w:r w:rsidR="0070004A">
        <w:t xml:space="preserve">, </w:t>
      </w:r>
      <w:r w:rsidR="001E1044">
        <w:t xml:space="preserve">or by pasting this link into their web browser:  </w:t>
      </w:r>
      <w:r w:rsidRPr="001E1044" w:rsidR="001E1044">
        <w:t>https://apps.fcc.gov/cores/userLogin.do?csfrToken=</w:t>
      </w:r>
      <w:r w:rsidR="00C16BEB">
        <w:t>.</w:t>
      </w:r>
    </w:p>
    <w:bookmarkEnd w:id="4"/>
    <w:p w:rsidR="006940FF" w:rsidP="006940FF" w14:paraId="1982B9CD" w14:textId="77777777">
      <w:pPr>
        <w:pStyle w:val="ListParagraph"/>
      </w:pPr>
    </w:p>
    <w:p w:rsidR="00730611" w:rsidP="006940FF" w14:paraId="75CC51E3" w14:textId="747B063D">
      <w:pPr>
        <w:jc w:val="cente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4EAAD7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0B288E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5520B0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4F42E9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4F12" w14:paraId="23BB2B29" w14:textId="77777777">
      <w:r>
        <w:separator/>
      </w:r>
    </w:p>
  </w:footnote>
  <w:footnote w:type="continuationSeparator" w:id="1">
    <w:p w:rsidR="002B4F12" w14:paraId="10B4124C" w14:textId="77777777">
      <w:pPr>
        <w:rPr>
          <w:sz w:val="20"/>
        </w:rPr>
      </w:pPr>
      <w:r>
        <w:rPr>
          <w:sz w:val="20"/>
        </w:rPr>
        <w:t xml:space="preserve">(Continued from previous page)  </w:t>
      </w:r>
      <w:r>
        <w:rPr>
          <w:sz w:val="20"/>
        </w:rPr>
        <w:separator/>
      </w:r>
    </w:p>
  </w:footnote>
  <w:footnote w:type="continuationNotice" w:id="2">
    <w:p w:rsidR="002B4F12" w14:paraId="02C13C59" w14:textId="77777777">
      <w:pPr>
        <w:jc w:val="right"/>
        <w:rPr>
          <w:sz w:val="20"/>
        </w:rPr>
      </w:pPr>
      <w:r>
        <w:rPr>
          <w:sz w:val="20"/>
        </w:rPr>
        <w:t>(continued….)</w:t>
      </w:r>
    </w:p>
  </w:footnote>
  <w:footnote w:id="3">
    <w:p w:rsidR="00574F6A" w14:paraId="131DB39E" w14:textId="05112BB7">
      <w:pPr>
        <w:pStyle w:val="FootnoteText"/>
      </w:pPr>
      <w:r>
        <w:rPr>
          <w:rStyle w:val="FootnoteReference"/>
        </w:rPr>
        <w:footnoteRef/>
      </w:r>
      <w:r>
        <w:t xml:space="preserve"> T</w:t>
      </w:r>
      <w:r w:rsidRPr="00574F6A">
        <w:t xml:space="preserve">hese enhancements </w:t>
      </w:r>
      <w:r>
        <w:t xml:space="preserve">result from system changes </w:t>
      </w:r>
      <w:r w:rsidR="00540B0E">
        <w:t xml:space="preserve">the FCC is required to implement </w:t>
      </w:r>
      <w:r w:rsidRPr="00574F6A">
        <w:t xml:space="preserve">to comply with </w:t>
      </w:r>
      <w:r>
        <w:t xml:space="preserve">Department of Treasury’s </w:t>
      </w:r>
      <w:r w:rsidRPr="00574F6A">
        <w:t>pay.gov integration requirements</w:t>
      </w:r>
      <w:r>
        <w:t xml:space="preserve">.  The Department of </w:t>
      </w:r>
      <w:r w:rsidRPr="00574F6A">
        <w:t xml:space="preserve">Treasury is retiring </w:t>
      </w:r>
      <w:r>
        <w:t xml:space="preserve">the technology it </w:t>
      </w:r>
      <w:r w:rsidRPr="00574F6A">
        <w:t>use</w:t>
      </w:r>
      <w:r>
        <w:t xml:space="preserve">s </w:t>
      </w:r>
      <w:r w:rsidRPr="00574F6A">
        <w:t xml:space="preserve">for completing online payments and will require the use of </w:t>
      </w:r>
      <w:r>
        <w:t xml:space="preserve">its new hosted technology </w:t>
      </w:r>
      <w:r w:rsidRPr="00574F6A">
        <w:t>for all agencies in 2020.</w:t>
      </w:r>
    </w:p>
  </w:footnote>
  <w:footnote w:id="4">
    <w:p w:rsidR="006940FF" w:rsidP="006940FF" w14:paraId="41622579" w14:textId="01B474BF">
      <w:pPr>
        <w:pStyle w:val="FootnoteText"/>
      </w:pPr>
      <w:r>
        <w:rPr>
          <w:rStyle w:val="FootnoteReference"/>
        </w:rPr>
        <w:footnoteRef/>
      </w:r>
      <w:r>
        <w:t xml:space="preserve"> Users must have ‘view financial info’ permission for the FRN they are associated </w:t>
      </w:r>
      <w:r w:rsidR="0059621D">
        <w:t>with</w:t>
      </w:r>
      <w:r>
        <w:t xml:space="preserve"> and are managing. </w:t>
      </w:r>
    </w:p>
  </w:footnote>
  <w:footnote w:id="5">
    <w:p w:rsidR="00022A94" w14:paraId="63D88B16" w14:textId="36A23BBF">
      <w:pPr>
        <w:pStyle w:val="FootnoteText"/>
      </w:pPr>
      <w:r>
        <w:rPr>
          <w:rStyle w:val="FootnoteReference"/>
        </w:rPr>
        <w:footnoteRef/>
      </w:r>
      <w:r>
        <w:t xml:space="preserve"> </w:t>
      </w:r>
      <w:r w:rsidRPr="00540B0E">
        <w:t>Open bills have no remittance ID.  After an open bill or application fee is selected to pa</w:t>
      </w:r>
      <w:r w:rsidRPr="00540B0E" w:rsidR="00EA4DD7">
        <w:t>y</w:t>
      </w:r>
      <w:r w:rsidRPr="00540B0E">
        <w:t>, a remittance ID is assigned</w:t>
      </w:r>
      <w:r w:rsidR="00540B0E">
        <w:t>.</w:t>
      </w:r>
      <w:r>
        <w:t xml:space="preserve">  </w:t>
      </w:r>
    </w:p>
  </w:footnote>
  <w:footnote w:id="6">
    <w:p w:rsidR="008F76F5" w14:paraId="69787F86" w14:textId="32E74395">
      <w:pPr>
        <w:pStyle w:val="FootnoteText"/>
      </w:pPr>
      <w:r>
        <w:rPr>
          <w:rStyle w:val="FootnoteReference"/>
        </w:rPr>
        <w:footnoteRef/>
      </w:r>
      <w:r>
        <w:t xml:space="preserve"> </w:t>
      </w:r>
      <w:r w:rsidRPr="008F76F5">
        <w:t>The FCC is currently maintaining a legacy version of CORES which does not support the Payment Portal enhancement we are announcing today.</w:t>
      </w:r>
      <w:r>
        <w:t xml:space="preserve">  It is anticipated that legacy CORES will be retired</w:t>
      </w:r>
      <w:r w:rsidR="00BD7F08">
        <w:t xml:space="preserve"> in the near term</w:t>
      </w:r>
      <w:r>
        <w:t>.</w:t>
      </w:r>
    </w:p>
  </w:footnote>
  <w:footnote w:id="7">
    <w:p w:rsidR="002C04CA" w14:paraId="47FE6F96" w14:textId="1A62CD18">
      <w:pPr>
        <w:pStyle w:val="FootnoteText"/>
      </w:pPr>
      <w:r>
        <w:rPr>
          <w:rStyle w:val="FootnoteReference"/>
        </w:rPr>
        <w:footnoteRef/>
      </w:r>
      <w:r>
        <w:t xml:space="preserve"> </w:t>
      </w:r>
      <w:r w:rsidRPr="0059621D">
        <w:t>Users register in the enhanced CORES by registering their e-mail address information as their Username.</w:t>
      </w:r>
      <w:r>
        <w:t xml:space="preserve"> </w:t>
      </w:r>
    </w:p>
  </w:footnote>
  <w:footnote w:id="8">
    <w:p w:rsidR="002C04CA" w14:paraId="23E100A3" w14:textId="3DFE3857">
      <w:pPr>
        <w:pStyle w:val="FootnoteText"/>
      </w:pPr>
      <w:r>
        <w:rPr>
          <w:rStyle w:val="FootnoteReference"/>
        </w:rPr>
        <w:footnoteRef/>
      </w:r>
      <w:r w:rsidR="0059621D">
        <w:t xml:space="preserve"> </w:t>
      </w:r>
      <w:r w:rsidR="0059621D">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4295EE87" w14:textId="77777777">
    <w:pPr>
      <w:tabs>
        <w:tab w:val="center" w:pos="4680"/>
        <w:tab w:val="right" w:pos="9360"/>
      </w:tabs>
    </w:pPr>
    <w:r>
      <w:rPr>
        <w:b/>
      </w:rPr>
      <w:tab/>
    </w:r>
  </w:p>
  <w:p w:rsidR="000004F5" w14:paraId="0CEC87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6909183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0869EAA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rPr>
                              <w:rFonts w:ascii="Arial" w:hAnsi="Arial"/>
                              <w:b/>
                            </w:rPr>
                          </w:pPr>
                          <w:r>
                            <w:rPr>
                              <w:rFonts w:ascii="Arial" w:hAnsi="Arial"/>
                              <w:b/>
                            </w:rPr>
                            <w:t>Federal Communications Commission</w:t>
                          </w:r>
                        </w:p>
                        <w:p w:rsidR="000004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40B0E" w:rsidRPr="00540B0E" w14:textId="03F8769B">
                          <w:pPr>
                            <w:rPr>
                              <w:rFonts w:ascii="Arial" w:hAnsi="Arial"/>
                              <w:b/>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75331EA2" w14:textId="77777777">
                    <w:pPr>
                      <w:rPr>
                        <w:rFonts w:ascii="Arial" w:hAnsi="Arial"/>
                        <w:b/>
                      </w:rPr>
                    </w:pPr>
                    <w:r>
                      <w:rPr>
                        <w:rFonts w:ascii="Arial" w:hAnsi="Arial"/>
                        <w:b/>
                      </w:rPr>
                      <w:t>Federal Communications Commission</w:t>
                    </w:r>
                  </w:p>
                  <w:p w:rsidR="000004F5" w14:paraId="452B355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40B0E" w:rsidRPr="00540B0E" w14:paraId="456AF7C2" w14:textId="03F8769B">
                    <w:pPr>
                      <w:rPr>
                        <w:rFonts w:ascii="Arial" w:hAnsi="Arial"/>
                        <w:b/>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rsidP="00540B0E" w14:paraId="625C6541" w14:textId="21F43D5E">
    <w:pPr>
      <w:tabs>
        <w:tab w:val="right" w:pos="9360"/>
      </w:tabs>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spacing w:before="40"/>
                            <w:jc w:val="right"/>
                            <w:rPr>
                              <w:rFonts w:ascii="Arial" w:hAnsi="Arial"/>
                              <w:b/>
                              <w:sz w:val="16"/>
                            </w:rPr>
                          </w:pPr>
                          <w:r>
                            <w:rPr>
                              <w:rFonts w:ascii="Arial" w:hAnsi="Arial"/>
                              <w:b/>
                              <w:sz w:val="16"/>
                            </w:rPr>
                            <w:t>News Media Information 202 / 418-0500</w:t>
                          </w:r>
                        </w:p>
                        <w:p w:rsidR="000004F5"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0004F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0065A72B" w14:textId="77777777">
                    <w:pPr>
                      <w:spacing w:before="40"/>
                      <w:jc w:val="right"/>
                      <w:rPr>
                        <w:rFonts w:ascii="Arial" w:hAnsi="Arial"/>
                        <w:b/>
                        <w:sz w:val="16"/>
                      </w:rPr>
                    </w:pPr>
                    <w:r>
                      <w:rPr>
                        <w:rFonts w:ascii="Arial" w:hAnsi="Arial"/>
                        <w:b/>
                        <w:sz w:val="16"/>
                      </w:rPr>
                      <w:t>News Media Information 202 / 418-0500</w:t>
                    </w:r>
                  </w:p>
                  <w:p w:rsidR="000004F5" w14:paraId="56CABB7E"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0004F5" w14:paraId="3A87A452" w14:textId="77777777">
                    <w:pPr>
                      <w:jc w:val="right"/>
                    </w:pPr>
                    <w:r>
                      <w:rPr>
                        <w:rFonts w:ascii="Arial" w:hAnsi="Arial"/>
                        <w:b/>
                        <w:sz w:val="16"/>
                      </w:rPr>
                      <w:t>TTY: 1-888-835-5322</w:t>
                    </w:r>
                  </w:p>
                </w:txbxContent>
              </v:textbox>
            </v:shape>
          </w:pict>
        </mc:Fallback>
      </mc:AlternateContent>
    </w:r>
    <w:r w:rsidR="00540B0E">
      <w:rPr>
        <w:rFonts w:ascii="Arial" w:hAnsi="Arial" w:cs="Arial"/>
        <w:b/>
        <w:sz w:val="96"/>
      </w:rPr>
      <w:tab/>
    </w:r>
  </w:p>
  <w:p w:rsidR="000004F5" w14:paraId="0DA5653A" w14:textId="5748254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5">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B37C88"/>
    <w:multiLevelType w:val="singleLevel"/>
    <w:tmpl w:val="0409000F"/>
    <w:lvl w:ilvl="0">
      <w:start w:val="1"/>
      <w:numFmt w:val="decimal"/>
      <w:lvlText w:val="%1."/>
      <w:lvlJc w:val="left"/>
      <w:pPr>
        <w:tabs>
          <w:tab w:val="num" w:pos="720"/>
        </w:tabs>
        <w:ind w:left="720" w:hanging="360"/>
      </w:pPr>
    </w:lvl>
  </w:abstractNum>
  <w:abstractNum w:abstractNumId="11">
    <w:nsid w:val="777F26D2"/>
    <w:multiLevelType w:val="hybridMultilevel"/>
    <w:tmpl w:val="17D6E2EC"/>
    <w:lvl w:ilvl="0">
      <w:start w:val="9"/>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10"/>
  </w:num>
  <w:num w:numId="8">
    <w:abstractNumId w:val="12"/>
  </w:num>
  <w:num w:numId="9">
    <w:abstractNumId w:val="4"/>
  </w:num>
  <w:num w:numId="10">
    <w:abstractNumId w:val="9"/>
  </w:num>
  <w:num w:numId="11">
    <w:abstractNumId w:val="5"/>
  </w:num>
  <w:num w:numId="12">
    <w:abstractNumId w:val="8"/>
    <w:lvlOverride w:ilvl="0">
      <w:startOverride w:val="1"/>
    </w:lvlOverride>
  </w:num>
  <w:num w:numId="13">
    <w:abstractNumId w:val="7"/>
  </w:num>
  <w:num w:numId="14">
    <w:abstractNumId w:val="8"/>
    <w:lvlOverride w:ilvl="0">
      <w:startOverride w:val="1"/>
    </w:lvlOverride>
  </w:num>
  <w:num w:numId="15">
    <w:abstractNumId w:val="8"/>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124AA"/>
    <w:rsid w:val="00022A94"/>
    <w:rsid w:val="00052F8B"/>
    <w:rsid w:val="000648FA"/>
    <w:rsid w:val="00071931"/>
    <w:rsid w:val="00093A84"/>
    <w:rsid w:val="00097802"/>
    <w:rsid w:val="000A74B4"/>
    <w:rsid w:val="000E0599"/>
    <w:rsid w:val="00112897"/>
    <w:rsid w:val="0011313F"/>
    <w:rsid w:val="001269F9"/>
    <w:rsid w:val="001508CE"/>
    <w:rsid w:val="00155BD6"/>
    <w:rsid w:val="00174B6F"/>
    <w:rsid w:val="00194276"/>
    <w:rsid w:val="001A5EC4"/>
    <w:rsid w:val="001D7E91"/>
    <w:rsid w:val="001E1044"/>
    <w:rsid w:val="001E1AB8"/>
    <w:rsid w:val="001F3ABB"/>
    <w:rsid w:val="0021388B"/>
    <w:rsid w:val="0023585B"/>
    <w:rsid w:val="00250F8C"/>
    <w:rsid w:val="00280C4F"/>
    <w:rsid w:val="00285630"/>
    <w:rsid w:val="002B4F12"/>
    <w:rsid w:val="002C04CA"/>
    <w:rsid w:val="002C1FB3"/>
    <w:rsid w:val="002C4330"/>
    <w:rsid w:val="002E3841"/>
    <w:rsid w:val="00306639"/>
    <w:rsid w:val="00326532"/>
    <w:rsid w:val="00333D9E"/>
    <w:rsid w:val="00335214"/>
    <w:rsid w:val="00350FDD"/>
    <w:rsid w:val="0036561D"/>
    <w:rsid w:val="003D03FE"/>
    <w:rsid w:val="003D2F16"/>
    <w:rsid w:val="003E497D"/>
    <w:rsid w:val="003E4E0D"/>
    <w:rsid w:val="003E5436"/>
    <w:rsid w:val="003F0872"/>
    <w:rsid w:val="00405DC8"/>
    <w:rsid w:val="00414C87"/>
    <w:rsid w:val="00421B45"/>
    <w:rsid w:val="004C2CF6"/>
    <w:rsid w:val="004C4D80"/>
    <w:rsid w:val="005112C4"/>
    <w:rsid w:val="00515175"/>
    <w:rsid w:val="00520661"/>
    <w:rsid w:val="005268F2"/>
    <w:rsid w:val="0052763C"/>
    <w:rsid w:val="00531B84"/>
    <w:rsid w:val="0053652B"/>
    <w:rsid w:val="00540B0E"/>
    <w:rsid w:val="00574F6A"/>
    <w:rsid w:val="005813A3"/>
    <w:rsid w:val="0059621D"/>
    <w:rsid w:val="005C46B1"/>
    <w:rsid w:val="005C685A"/>
    <w:rsid w:val="00600793"/>
    <w:rsid w:val="006041E5"/>
    <w:rsid w:val="00632772"/>
    <w:rsid w:val="00634EB8"/>
    <w:rsid w:val="00661441"/>
    <w:rsid w:val="00673773"/>
    <w:rsid w:val="0068523E"/>
    <w:rsid w:val="00686F28"/>
    <w:rsid w:val="00687F1B"/>
    <w:rsid w:val="006940FF"/>
    <w:rsid w:val="006949D0"/>
    <w:rsid w:val="006C5D9C"/>
    <w:rsid w:val="006D1D72"/>
    <w:rsid w:val="0070004A"/>
    <w:rsid w:val="00711683"/>
    <w:rsid w:val="00730611"/>
    <w:rsid w:val="007A27B8"/>
    <w:rsid w:val="007C3E6B"/>
    <w:rsid w:val="007D3884"/>
    <w:rsid w:val="00820DCD"/>
    <w:rsid w:val="00853460"/>
    <w:rsid w:val="008626AC"/>
    <w:rsid w:val="008716FE"/>
    <w:rsid w:val="00882F1E"/>
    <w:rsid w:val="008B05D4"/>
    <w:rsid w:val="008B7245"/>
    <w:rsid w:val="008E58A8"/>
    <w:rsid w:val="008F76F5"/>
    <w:rsid w:val="00983723"/>
    <w:rsid w:val="009927C2"/>
    <w:rsid w:val="00996471"/>
    <w:rsid w:val="009D1061"/>
    <w:rsid w:val="00A127BC"/>
    <w:rsid w:val="00A74EE9"/>
    <w:rsid w:val="00AB0AE8"/>
    <w:rsid w:val="00AB38BA"/>
    <w:rsid w:val="00AC2ED9"/>
    <w:rsid w:val="00AF5D8B"/>
    <w:rsid w:val="00B13B4B"/>
    <w:rsid w:val="00B24E27"/>
    <w:rsid w:val="00B42110"/>
    <w:rsid w:val="00B53A49"/>
    <w:rsid w:val="00B610B7"/>
    <w:rsid w:val="00B70526"/>
    <w:rsid w:val="00B95246"/>
    <w:rsid w:val="00BA5A72"/>
    <w:rsid w:val="00BD0B2A"/>
    <w:rsid w:val="00BD7F08"/>
    <w:rsid w:val="00BE5318"/>
    <w:rsid w:val="00C16BEB"/>
    <w:rsid w:val="00C459F9"/>
    <w:rsid w:val="00C462CA"/>
    <w:rsid w:val="00C64E5E"/>
    <w:rsid w:val="00C75E71"/>
    <w:rsid w:val="00CB5195"/>
    <w:rsid w:val="00CF5C36"/>
    <w:rsid w:val="00D6164D"/>
    <w:rsid w:val="00D91B14"/>
    <w:rsid w:val="00DA4AF6"/>
    <w:rsid w:val="00DB081F"/>
    <w:rsid w:val="00DD2013"/>
    <w:rsid w:val="00DE23AB"/>
    <w:rsid w:val="00DE6EA9"/>
    <w:rsid w:val="00E071E6"/>
    <w:rsid w:val="00E20A96"/>
    <w:rsid w:val="00E30D35"/>
    <w:rsid w:val="00E46AE3"/>
    <w:rsid w:val="00EA43B9"/>
    <w:rsid w:val="00EA4DD7"/>
    <w:rsid w:val="00EB5F4C"/>
    <w:rsid w:val="00EC736C"/>
    <w:rsid w:val="00EE5BCA"/>
    <w:rsid w:val="00F043F9"/>
    <w:rsid w:val="00F276DF"/>
    <w:rsid w:val="00F32800"/>
    <w:rsid w:val="00F3680E"/>
    <w:rsid w:val="00F81537"/>
    <w:rsid w:val="00F9488D"/>
    <w:rsid w:val="00FA5E3F"/>
    <w:rsid w:val="00FB24FA"/>
    <w:rsid w:val="00FB39FE"/>
    <w:rsid w:val="00FD0613"/>
    <w:rsid w:val="00FD6435"/>
    <w:rsid w:val="00FD6477"/>
    <w:rsid w:val="00FE6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uiPriority w:val="99"/>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2">
    <w:name w:val="Unresolved Mention2"/>
    <w:basedOn w:val="DefaultParagraphFont"/>
    <w:uiPriority w:val="99"/>
    <w:rsid w:val="008626AC"/>
    <w:rPr>
      <w:color w:val="605E5C"/>
      <w:shd w:val="clear" w:color="auto" w:fill="E1DFDD"/>
    </w:rPr>
  </w:style>
  <w:style w:type="character" w:customStyle="1" w:styleId="UnresolvedMention">
    <w:name w:val="Unresolved Mention"/>
    <w:basedOn w:val="DefaultParagraphFont"/>
    <w:uiPriority w:val="99"/>
    <w:rsid w:val="00C1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publicHome.do?help=true" TargetMode="External" /><Relationship Id="rId6" Type="http://schemas.openxmlformats.org/officeDocument/2006/relationships/hyperlink" Target="https://apps.fcc.gov/cores/userLogin.do?csfrToken="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