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089DC961" w14:textId="4B811A65">
      <w:pPr>
        <w:jc w:val="right"/>
        <w:rPr>
          <w:b/>
          <w:sz w:val="24"/>
        </w:rPr>
      </w:pPr>
      <w:r>
        <w:rPr>
          <w:b/>
          <w:sz w:val="24"/>
        </w:rPr>
        <w:t>DA 20-759</w:t>
      </w:r>
      <w:bookmarkStart w:id="0" w:name="_GoBack"/>
      <w:bookmarkEnd w:id="0"/>
    </w:p>
    <w:p w:rsidR="00013A8B" w:rsidRPr="00B20363" w:rsidP="00013A8B" w14:paraId="28433CC5" w14:textId="4FC57655">
      <w:pPr>
        <w:spacing w:before="60"/>
        <w:jc w:val="right"/>
        <w:rPr>
          <w:b/>
          <w:sz w:val="24"/>
        </w:rPr>
      </w:pPr>
      <w:r>
        <w:rPr>
          <w:b/>
          <w:sz w:val="24"/>
        </w:rPr>
        <w:t xml:space="preserve">Released:  </w:t>
      </w:r>
      <w:r w:rsidR="00E741BC">
        <w:rPr>
          <w:b/>
          <w:sz w:val="24"/>
        </w:rPr>
        <w:t>July 20, 2020</w:t>
      </w:r>
    </w:p>
    <w:p w:rsidR="00013A8B" w:rsidP="00013A8B" w14:paraId="367F23B0" w14:textId="77777777">
      <w:pPr>
        <w:jc w:val="right"/>
        <w:rPr>
          <w:sz w:val="24"/>
        </w:rPr>
      </w:pPr>
    </w:p>
    <w:p w:rsidR="00F96F63" w:rsidRPr="00CB6EF4" w:rsidP="00CB6EF4" w14:paraId="4688F3C6" w14:textId="77777777">
      <w:pPr>
        <w:spacing w:after="240"/>
        <w:jc w:val="center"/>
        <w:rPr>
          <w:rFonts w:ascii="Times New Roman Bold" w:hAnsi="Times New Roman Bold"/>
          <w:b/>
          <w:caps/>
          <w:szCs w:val="22"/>
        </w:rPr>
      </w:pPr>
      <w:r w:rsidRPr="00753B9B">
        <w:rPr>
          <w:rFonts w:ascii="Times New Roman Bold" w:hAnsi="Times New Roman Bold"/>
          <w:b/>
          <w:caps/>
          <w:szCs w:val="22"/>
        </w:rPr>
        <w:t>WIRELESS TELECOMMUNICATIONS BUREAU ANNOUNCES EXECUTION OF SECOND AMENDMENT TO THE NATIONWIDE PROGRAMMATIC AGREEMENT FOR THE COLLOCATION OF WIRELESS ANTENNas</w:t>
      </w:r>
    </w:p>
    <w:p w:rsidR="00964D69" w:rsidP="00964D69" w14:paraId="0EFCCECC" w14:textId="05BCCD16">
      <w:pPr>
        <w:ind w:firstLine="720"/>
        <w:rPr>
          <w:szCs w:val="22"/>
        </w:rPr>
      </w:pPr>
      <w:r w:rsidRPr="00753B9B">
        <w:rPr>
          <w:szCs w:val="22"/>
        </w:rPr>
        <w:t xml:space="preserve">By this Public Notice, the Wireless Telecommunications Bureau (Bureau) announces that on </w:t>
      </w:r>
      <w:r w:rsidR="00B973DB">
        <w:rPr>
          <w:szCs w:val="22"/>
        </w:rPr>
        <w:t>Ju</w:t>
      </w:r>
      <w:r w:rsidR="001D5D3F">
        <w:rPr>
          <w:szCs w:val="22"/>
        </w:rPr>
        <w:t>ly</w:t>
      </w:r>
      <w:r w:rsidR="00B973DB">
        <w:rPr>
          <w:szCs w:val="22"/>
        </w:rPr>
        <w:t xml:space="preserve"> </w:t>
      </w:r>
      <w:r w:rsidR="00E741BC">
        <w:rPr>
          <w:szCs w:val="22"/>
        </w:rPr>
        <w:t>10</w:t>
      </w:r>
      <w:r w:rsidRPr="00753B9B">
        <w:rPr>
          <w:szCs w:val="22"/>
        </w:rPr>
        <w:t>, 20</w:t>
      </w:r>
      <w:r w:rsidR="00F855B4">
        <w:rPr>
          <w:szCs w:val="22"/>
        </w:rPr>
        <w:t>20</w:t>
      </w:r>
      <w:r w:rsidRPr="00753B9B">
        <w:rPr>
          <w:szCs w:val="22"/>
        </w:rPr>
        <w:t xml:space="preserve">, the Commission, the Advisory Council on Historic Preservation (ACHP), and the National Conference of State Historic Preservation Officers (NCSHPO) executed the attached </w:t>
      </w:r>
      <w:r>
        <w:rPr>
          <w:i/>
          <w:szCs w:val="22"/>
        </w:rPr>
        <w:t>Second</w:t>
      </w:r>
      <w:r w:rsidRPr="00753B9B">
        <w:rPr>
          <w:i/>
          <w:szCs w:val="22"/>
        </w:rPr>
        <w:t xml:space="preserve"> Amendment </w:t>
      </w:r>
      <w:r w:rsidRPr="00842CA6">
        <w:rPr>
          <w:iCs/>
          <w:szCs w:val="22"/>
        </w:rPr>
        <w:t>to</w:t>
      </w:r>
      <w:r w:rsidR="00842CA6">
        <w:rPr>
          <w:iCs/>
          <w:szCs w:val="22"/>
        </w:rPr>
        <w:t xml:space="preserve"> the</w:t>
      </w:r>
      <w:r w:rsidRPr="00753B9B">
        <w:rPr>
          <w:i/>
          <w:szCs w:val="22"/>
        </w:rPr>
        <w:t xml:space="preserve"> Nationwide Programmatic Agreement for the Collocation of Wireless Antennas</w:t>
      </w:r>
      <w:r w:rsidRPr="00753B9B">
        <w:rPr>
          <w:szCs w:val="22"/>
        </w:rPr>
        <w:t xml:space="preserve"> </w:t>
      </w:r>
      <w:r w:rsidR="000D5EE6">
        <w:rPr>
          <w:szCs w:val="22"/>
        </w:rPr>
        <w:t>(Collocation NPA).</w:t>
      </w:r>
      <w:r>
        <w:rPr>
          <w:szCs w:val="22"/>
          <w:vertAlign w:val="superscript"/>
        </w:rPr>
        <w:footnoteReference w:id="3"/>
      </w:r>
      <w:r w:rsidR="000D5EE6">
        <w:rPr>
          <w:szCs w:val="22"/>
        </w:rPr>
        <w:t xml:space="preserve">  The amendment </w:t>
      </w:r>
      <w:r w:rsidRPr="00B973DB" w:rsidR="00B973DB">
        <w:rPr>
          <w:szCs w:val="22"/>
        </w:rPr>
        <w:t>facilitates the collocation of wireless facilities on existing towers by eliminating review under Section 106 of the National Historic Preservation Act</w:t>
      </w:r>
      <w:r>
        <w:rPr>
          <w:rStyle w:val="FootnoteReference"/>
          <w:szCs w:val="22"/>
        </w:rPr>
        <w:footnoteReference w:id="4"/>
      </w:r>
      <w:r w:rsidRPr="00B973DB" w:rsidR="00B973DB">
        <w:rPr>
          <w:szCs w:val="22"/>
        </w:rPr>
        <w:t xml:space="preserve"> for certain collocations</w:t>
      </w:r>
      <w:r w:rsidR="00FA0BB8">
        <w:rPr>
          <w:szCs w:val="22"/>
        </w:rPr>
        <w:t xml:space="preserve"> that involve a limited expansion beyond the boundaries of a tower site</w:t>
      </w:r>
      <w:r w:rsidR="00030F22">
        <w:rPr>
          <w:szCs w:val="22"/>
        </w:rPr>
        <w:t>.</w:t>
      </w:r>
      <w:r w:rsidR="0055131F">
        <w:rPr>
          <w:szCs w:val="22"/>
        </w:rPr>
        <w:t xml:space="preserve">  </w:t>
      </w:r>
      <w:r w:rsidRPr="0055131F" w:rsidR="0055131F">
        <w:rPr>
          <w:szCs w:val="22"/>
        </w:rPr>
        <w:t xml:space="preserve">  </w:t>
      </w:r>
      <w:r w:rsidRPr="00964D69">
        <w:rPr>
          <w:szCs w:val="22"/>
        </w:rPr>
        <w:t xml:space="preserve">   </w:t>
      </w:r>
    </w:p>
    <w:p w:rsidR="005354C3" w:rsidP="00F96F63" w14:paraId="13960FC0" w14:textId="77777777">
      <w:pPr>
        <w:rPr>
          <w:szCs w:val="22"/>
        </w:rPr>
      </w:pPr>
    </w:p>
    <w:p w:rsidR="00AC4765" w:rsidP="00E741BC" w14:paraId="7EE6EF98" w14:textId="17EF28AD">
      <w:pPr>
        <w:widowControl/>
        <w:ind w:firstLine="720"/>
        <w:rPr>
          <w:szCs w:val="22"/>
        </w:rPr>
      </w:pPr>
      <w:r>
        <w:rPr>
          <w:szCs w:val="22"/>
        </w:rPr>
        <w:t>The Collocation NPA</w:t>
      </w:r>
      <w:r w:rsidR="00EF45E1">
        <w:rPr>
          <w:szCs w:val="22"/>
        </w:rPr>
        <w:t>, which was executed in 2001</w:t>
      </w:r>
      <w:r>
        <w:rPr>
          <w:rStyle w:val="FootnoteReference"/>
          <w:szCs w:val="22"/>
        </w:rPr>
        <w:footnoteReference w:id="5"/>
      </w:r>
      <w:r w:rsidR="00EF45E1">
        <w:rPr>
          <w:szCs w:val="22"/>
        </w:rPr>
        <w:t xml:space="preserve"> and first amended in 2016</w:t>
      </w:r>
      <w:r w:rsidR="00BA5583">
        <w:rPr>
          <w:szCs w:val="22"/>
        </w:rPr>
        <w:t>,</w:t>
      </w:r>
      <w:r>
        <w:rPr>
          <w:rStyle w:val="FootnoteReference"/>
          <w:szCs w:val="22"/>
        </w:rPr>
        <w:footnoteReference w:id="6"/>
      </w:r>
      <w:r>
        <w:rPr>
          <w:szCs w:val="22"/>
        </w:rPr>
        <w:t xml:space="preserve"> </w:t>
      </w:r>
      <w:r w:rsidR="00210461">
        <w:rPr>
          <w:szCs w:val="22"/>
        </w:rPr>
        <w:t xml:space="preserve">provides that </w:t>
      </w:r>
      <w:r w:rsidR="009145AF">
        <w:rPr>
          <w:szCs w:val="22"/>
        </w:rPr>
        <w:t xml:space="preserve">a </w:t>
      </w:r>
      <w:r w:rsidR="00B64A23">
        <w:rPr>
          <w:szCs w:val="22"/>
        </w:rPr>
        <w:t>collocation</w:t>
      </w:r>
      <w:r w:rsidR="00210461">
        <w:rPr>
          <w:szCs w:val="22"/>
        </w:rPr>
        <w:t xml:space="preserve"> on </w:t>
      </w:r>
      <w:r w:rsidR="009145AF">
        <w:rPr>
          <w:szCs w:val="22"/>
        </w:rPr>
        <w:t xml:space="preserve">an </w:t>
      </w:r>
      <w:r w:rsidR="00210461">
        <w:rPr>
          <w:szCs w:val="22"/>
        </w:rPr>
        <w:t>existing tower</w:t>
      </w:r>
      <w:r w:rsidR="009145AF">
        <w:rPr>
          <w:szCs w:val="22"/>
        </w:rPr>
        <w:t xml:space="preserve"> is</w:t>
      </w:r>
      <w:r w:rsidR="00210461">
        <w:rPr>
          <w:szCs w:val="22"/>
        </w:rPr>
        <w:t xml:space="preserve"> excluded from </w:t>
      </w:r>
      <w:r>
        <w:rPr>
          <w:szCs w:val="22"/>
        </w:rPr>
        <w:t>Section 106 review</w:t>
      </w:r>
      <w:r w:rsidR="00210461">
        <w:rPr>
          <w:szCs w:val="22"/>
        </w:rPr>
        <w:t xml:space="preserve"> unless </w:t>
      </w:r>
      <w:r w:rsidR="009145AF">
        <w:rPr>
          <w:szCs w:val="22"/>
        </w:rPr>
        <w:t>it</w:t>
      </w:r>
      <w:r w:rsidR="00210461">
        <w:rPr>
          <w:szCs w:val="22"/>
        </w:rPr>
        <w:t xml:space="preserve"> involve</w:t>
      </w:r>
      <w:r w:rsidR="009145AF">
        <w:rPr>
          <w:szCs w:val="22"/>
        </w:rPr>
        <w:t>s</w:t>
      </w:r>
      <w:r w:rsidR="00210461">
        <w:rPr>
          <w:szCs w:val="22"/>
        </w:rPr>
        <w:t xml:space="preserve"> one of the </w:t>
      </w:r>
      <w:r w:rsidR="009145AF">
        <w:rPr>
          <w:szCs w:val="22"/>
        </w:rPr>
        <w:t xml:space="preserve">enumerated </w:t>
      </w:r>
      <w:r w:rsidR="00C0092A">
        <w:rPr>
          <w:szCs w:val="22"/>
        </w:rPr>
        <w:t>circumstances</w:t>
      </w:r>
      <w:r w:rsidR="00210461">
        <w:rPr>
          <w:szCs w:val="22"/>
        </w:rPr>
        <w:t xml:space="preserve">, </w:t>
      </w:r>
      <w:r w:rsidR="005E3EB7">
        <w:rPr>
          <w:szCs w:val="22"/>
        </w:rPr>
        <w:t>which include</w:t>
      </w:r>
      <w:r w:rsidR="00210461">
        <w:rPr>
          <w:szCs w:val="22"/>
        </w:rPr>
        <w:t xml:space="preserve"> </w:t>
      </w:r>
      <w:r w:rsidRPr="00210461" w:rsidR="00210461">
        <w:rPr>
          <w:szCs w:val="22"/>
        </w:rPr>
        <w:t xml:space="preserve">a substantial increase in the size of the </w:t>
      </w:r>
      <w:r w:rsidR="00210461">
        <w:rPr>
          <w:szCs w:val="22"/>
        </w:rPr>
        <w:t>tower.</w:t>
      </w:r>
      <w:r w:rsidRPr="00BA4F42" w:rsidR="00BA4F42">
        <w:rPr>
          <w:rStyle w:val="FootnoteReference"/>
          <w:szCs w:val="22"/>
        </w:rPr>
        <w:t xml:space="preserve"> </w:t>
      </w:r>
      <w:r>
        <w:rPr>
          <w:rStyle w:val="FootnoteReference"/>
          <w:szCs w:val="22"/>
        </w:rPr>
        <w:footnoteReference w:id="7"/>
      </w:r>
      <w:r w:rsidR="00210461">
        <w:rPr>
          <w:szCs w:val="22"/>
        </w:rPr>
        <w:t xml:space="preserve"> </w:t>
      </w:r>
      <w:r>
        <w:rPr>
          <w:szCs w:val="22"/>
        </w:rPr>
        <w:t xml:space="preserve"> </w:t>
      </w:r>
      <w:r w:rsidR="00FC48E9">
        <w:rPr>
          <w:szCs w:val="22"/>
        </w:rPr>
        <w:t>Prior to the amendment, a</w:t>
      </w:r>
      <w:r w:rsidR="007059B3">
        <w:rPr>
          <w:szCs w:val="22"/>
        </w:rPr>
        <w:t xml:space="preserve"> </w:t>
      </w:r>
      <w:r w:rsidR="00C0092A">
        <w:rPr>
          <w:szCs w:val="22"/>
        </w:rPr>
        <w:t>“</w:t>
      </w:r>
      <w:r w:rsidR="007059B3">
        <w:rPr>
          <w:szCs w:val="22"/>
        </w:rPr>
        <w:t>substantial increase in the size of the tower</w:t>
      </w:r>
      <w:r w:rsidR="005E3EB7">
        <w:rPr>
          <w:szCs w:val="22"/>
        </w:rPr>
        <w:t xml:space="preserve">” </w:t>
      </w:r>
      <w:r>
        <w:rPr>
          <w:szCs w:val="22"/>
        </w:rPr>
        <w:t>was</w:t>
      </w:r>
      <w:r w:rsidR="005E3EB7">
        <w:rPr>
          <w:szCs w:val="22"/>
        </w:rPr>
        <w:t xml:space="preserve"> defined to include, among other factors, </w:t>
      </w:r>
      <w:r w:rsidR="00FC48E9">
        <w:rPr>
          <w:szCs w:val="22"/>
        </w:rPr>
        <w:t xml:space="preserve">any </w:t>
      </w:r>
      <w:r w:rsidRPr="005E3EB7" w:rsidR="005E3EB7">
        <w:rPr>
          <w:szCs w:val="22"/>
        </w:rPr>
        <w:t>excavation outside the current tower site</w:t>
      </w:r>
      <w:r w:rsidR="0019158F">
        <w:rPr>
          <w:szCs w:val="22"/>
        </w:rPr>
        <w:t>.</w:t>
      </w:r>
      <w:r>
        <w:rPr>
          <w:rStyle w:val="FootnoteReference"/>
          <w:szCs w:val="22"/>
        </w:rPr>
        <w:footnoteReference w:id="8"/>
      </w:r>
      <w:r w:rsidR="0019158F">
        <w:rPr>
          <w:szCs w:val="22"/>
        </w:rPr>
        <w:t xml:space="preserve">  </w:t>
      </w:r>
      <w:r w:rsidR="00215808">
        <w:rPr>
          <w:szCs w:val="22"/>
        </w:rPr>
        <w:t xml:space="preserve">In contrast, </w:t>
      </w:r>
      <w:r w:rsidRPr="00074218">
        <w:rPr>
          <w:szCs w:val="22"/>
        </w:rPr>
        <w:t xml:space="preserve">the </w:t>
      </w:r>
      <w:r w:rsidRPr="00DC7A06">
        <w:rPr>
          <w:i/>
          <w:iCs/>
          <w:szCs w:val="22"/>
        </w:rPr>
        <w:t>Nationwide Programmatic Agreement Regarding the Section 106 National Historic Preservation Act Review Process</w:t>
      </w:r>
      <w:r w:rsidRPr="00DC7A06">
        <w:rPr>
          <w:szCs w:val="22"/>
        </w:rPr>
        <w:t xml:space="preserve"> </w:t>
      </w:r>
      <w:r>
        <w:rPr>
          <w:szCs w:val="22"/>
        </w:rPr>
        <w:t>(</w:t>
      </w:r>
      <w:r w:rsidRPr="00074218">
        <w:rPr>
          <w:szCs w:val="22"/>
        </w:rPr>
        <w:t>Wireless Facilities NPA</w:t>
      </w:r>
      <w:r>
        <w:rPr>
          <w:szCs w:val="22"/>
        </w:rPr>
        <w:t>)</w:t>
      </w:r>
      <w:r w:rsidR="00215808">
        <w:rPr>
          <w:szCs w:val="22"/>
        </w:rPr>
        <w:t xml:space="preserve"> – executed by </w:t>
      </w:r>
      <w:r w:rsidR="008B15CE">
        <w:rPr>
          <w:szCs w:val="22"/>
        </w:rPr>
        <w:t>t</w:t>
      </w:r>
      <w:r w:rsidRPr="00074218" w:rsidR="008B15CE">
        <w:rPr>
          <w:szCs w:val="22"/>
        </w:rPr>
        <w:t xml:space="preserve">he FCC, </w:t>
      </w:r>
      <w:r w:rsidR="00842CA6">
        <w:rPr>
          <w:szCs w:val="22"/>
        </w:rPr>
        <w:t>ACHP</w:t>
      </w:r>
      <w:r w:rsidRPr="00074218" w:rsidR="008B15CE">
        <w:rPr>
          <w:szCs w:val="22"/>
        </w:rPr>
        <w:t>, and NCSHPO</w:t>
      </w:r>
      <w:r>
        <w:rPr>
          <w:szCs w:val="22"/>
        </w:rPr>
        <w:t xml:space="preserve"> </w:t>
      </w:r>
      <w:r w:rsidR="00EA6F10">
        <w:rPr>
          <w:szCs w:val="22"/>
        </w:rPr>
        <w:t xml:space="preserve">in </w:t>
      </w:r>
      <w:r w:rsidR="00EF45E1">
        <w:rPr>
          <w:szCs w:val="22"/>
        </w:rPr>
        <w:t>2004,</w:t>
      </w:r>
      <w:r w:rsidR="00EA6F10">
        <w:rPr>
          <w:szCs w:val="22"/>
        </w:rPr>
        <w:t xml:space="preserve"> </w:t>
      </w:r>
      <w:r w:rsidR="008B15CE">
        <w:rPr>
          <w:szCs w:val="22"/>
        </w:rPr>
        <w:t xml:space="preserve">subsequent to the Collocation NPA – </w:t>
      </w:r>
      <w:r w:rsidRPr="00AC4765">
        <w:rPr>
          <w:szCs w:val="22"/>
        </w:rPr>
        <w:t>excludes from Section 106 review the replacement of a tower that involves deployment and excavation by no more than 30 feet in any direction outside the boundaries of an existing tower site</w:t>
      </w:r>
      <w:r w:rsidR="00A75F74">
        <w:rPr>
          <w:szCs w:val="22"/>
        </w:rPr>
        <w:t>.</w:t>
      </w:r>
      <w:r>
        <w:rPr>
          <w:rStyle w:val="FootnoteReference"/>
          <w:szCs w:val="22"/>
        </w:rPr>
        <w:footnoteReference w:id="9"/>
      </w:r>
    </w:p>
    <w:p w:rsidR="00AC4765" w:rsidP="004558B9" w14:paraId="7C8298EB" w14:textId="77777777">
      <w:pPr>
        <w:ind w:firstLine="720"/>
        <w:rPr>
          <w:szCs w:val="22"/>
        </w:rPr>
      </w:pPr>
    </w:p>
    <w:p w:rsidR="00F70417" w:rsidP="002540F5" w14:paraId="39317592" w14:textId="0DC5D1F5">
      <w:pPr>
        <w:ind w:firstLine="720"/>
        <w:rPr>
          <w:szCs w:val="22"/>
        </w:rPr>
      </w:pPr>
      <w:r w:rsidRPr="00074218">
        <w:rPr>
          <w:szCs w:val="22"/>
        </w:rPr>
        <w:t xml:space="preserve">The FCC, </w:t>
      </w:r>
      <w:r w:rsidR="00842CA6">
        <w:rPr>
          <w:szCs w:val="22"/>
        </w:rPr>
        <w:t>ACHP</w:t>
      </w:r>
      <w:r w:rsidRPr="00074218">
        <w:rPr>
          <w:szCs w:val="22"/>
        </w:rPr>
        <w:t xml:space="preserve">, and NCSHPO </w:t>
      </w:r>
      <w:r w:rsidR="00EA6F10">
        <w:rPr>
          <w:szCs w:val="22"/>
        </w:rPr>
        <w:t xml:space="preserve">have </w:t>
      </w:r>
      <w:r w:rsidRPr="00074218">
        <w:rPr>
          <w:szCs w:val="22"/>
        </w:rPr>
        <w:t xml:space="preserve">agreed to amend the </w:t>
      </w:r>
      <w:r w:rsidR="00706745">
        <w:rPr>
          <w:szCs w:val="22"/>
        </w:rPr>
        <w:t xml:space="preserve">Collocation </w:t>
      </w:r>
      <w:r w:rsidR="00842CA6">
        <w:rPr>
          <w:szCs w:val="22"/>
        </w:rPr>
        <w:t>NPA</w:t>
      </w:r>
      <w:r w:rsidR="00706745">
        <w:rPr>
          <w:szCs w:val="22"/>
        </w:rPr>
        <w:t xml:space="preserve"> </w:t>
      </w:r>
      <w:r>
        <w:rPr>
          <w:szCs w:val="22"/>
        </w:rPr>
        <w:t xml:space="preserve">to eliminate </w:t>
      </w:r>
      <w:r w:rsidR="00A75F74">
        <w:rPr>
          <w:szCs w:val="22"/>
        </w:rPr>
        <w:t>this</w:t>
      </w:r>
      <w:r>
        <w:rPr>
          <w:szCs w:val="22"/>
        </w:rPr>
        <w:t xml:space="preserve"> inconsistency between </w:t>
      </w:r>
      <w:r w:rsidRPr="00074218">
        <w:rPr>
          <w:szCs w:val="22"/>
        </w:rPr>
        <w:t>the Wireless Facilities NPA</w:t>
      </w:r>
      <w:r w:rsidR="009377AA">
        <w:rPr>
          <w:szCs w:val="22"/>
        </w:rPr>
        <w:t xml:space="preserve"> and the </w:t>
      </w:r>
      <w:r w:rsidR="00B64A23">
        <w:rPr>
          <w:szCs w:val="22"/>
        </w:rPr>
        <w:t>Collocation</w:t>
      </w:r>
      <w:r w:rsidR="009377AA">
        <w:rPr>
          <w:szCs w:val="22"/>
        </w:rPr>
        <w:t xml:space="preserve"> NPA</w:t>
      </w:r>
      <w:r w:rsidR="00A75F74">
        <w:rPr>
          <w:szCs w:val="22"/>
        </w:rPr>
        <w:t xml:space="preserve">.  Specifically, under this amendment, </w:t>
      </w:r>
      <w:r w:rsidR="00017EDA">
        <w:rPr>
          <w:szCs w:val="22"/>
        </w:rPr>
        <w:t xml:space="preserve">a </w:t>
      </w:r>
      <w:r w:rsidR="00B64A23">
        <w:rPr>
          <w:szCs w:val="22"/>
        </w:rPr>
        <w:t>collocation</w:t>
      </w:r>
      <w:r w:rsidR="00017EDA">
        <w:rPr>
          <w:szCs w:val="22"/>
        </w:rPr>
        <w:t xml:space="preserve"> would be excluded from Section 106 review if it </w:t>
      </w:r>
      <w:r w:rsidR="00842CA6">
        <w:rPr>
          <w:szCs w:val="22"/>
        </w:rPr>
        <w:t>would</w:t>
      </w:r>
      <w:r w:rsidR="00017EDA">
        <w:rPr>
          <w:szCs w:val="22"/>
        </w:rPr>
        <w:t xml:space="preserve"> not </w:t>
      </w:r>
      <w:r w:rsidR="00B76F7F">
        <w:rPr>
          <w:szCs w:val="22"/>
        </w:rPr>
        <w:t>“</w:t>
      </w:r>
      <w:r w:rsidRPr="00B76F7F" w:rsidR="00B76F7F">
        <w:rPr>
          <w:szCs w:val="22"/>
        </w:rPr>
        <w:t>expand the boundaries of the current tower site by more than 30 feet in any direction or involve excavation outside these expanded boundaries</w:t>
      </w:r>
      <w:r w:rsidR="005E7864">
        <w:rPr>
          <w:szCs w:val="22"/>
        </w:rPr>
        <w:t>,</w:t>
      </w:r>
      <w:r w:rsidR="00B76F7F">
        <w:rPr>
          <w:szCs w:val="22"/>
        </w:rPr>
        <w:t>”</w:t>
      </w:r>
      <w:r w:rsidRPr="00842CA6" w:rsidR="00842CA6">
        <w:rPr>
          <w:rStyle w:val="FootnoteReference"/>
          <w:szCs w:val="22"/>
        </w:rPr>
        <w:t xml:space="preserve"> </w:t>
      </w:r>
      <w:r>
        <w:rPr>
          <w:rStyle w:val="FootnoteReference"/>
          <w:szCs w:val="22"/>
        </w:rPr>
        <w:footnoteReference w:id="10"/>
      </w:r>
      <w:r w:rsidR="005E7864">
        <w:rPr>
          <w:szCs w:val="22"/>
        </w:rPr>
        <w:t xml:space="preserve"> provided that the </w:t>
      </w:r>
      <w:r w:rsidR="00B64A23">
        <w:rPr>
          <w:szCs w:val="22"/>
        </w:rPr>
        <w:t>collocation</w:t>
      </w:r>
      <w:r w:rsidR="005E7864">
        <w:rPr>
          <w:szCs w:val="22"/>
        </w:rPr>
        <w:t xml:space="preserve"> complies with other criteria for exclusion specified in the </w:t>
      </w:r>
      <w:r w:rsidR="00B64A23">
        <w:rPr>
          <w:szCs w:val="22"/>
        </w:rPr>
        <w:t>Collo</w:t>
      </w:r>
      <w:r w:rsidR="00D43F47">
        <w:rPr>
          <w:szCs w:val="22"/>
        </w:rPr>
        <w:t>cat</w:t>
      </w:r>
      <w:r w:rsidR="00B64A23">
        <w:rPr>
          <w:szCs w:val="22"/>
        </w:rPr>
        <w:t>ion</w:t>
      </w:r>
      <w:r w:rsidR="005E7864">
        <w:rPr>
          <w:szCs w:val="22"/>
        </w:rPr>
        <w:t xml:space="preserve"> NPA.</w:t>
      </w:r>
      <w:r w:rsidR="00D173F9">
        <w:rPr>
          <w:szCs w:val="22"/>
        </w:rPr>
        <w:t xml:space="preserve">  </w:t>
      </w:r>
      <w:r w:rsidR="00B46148">
        <w:rPr>
          <w:szCs w:val="22"/>
        </w:rPr>
        <w:t>This amendment will be effective upon publication in the Federal Register.</w:t>
      </w:r>
      <w:r>
        <w:rPr>
          <w:rStyle w:val="FootnoteReference"/>
          <w:szCs w:val="22"/>
        </w:rPr>
        <w:footnoteReference w:id="11"/>
      </w:r>
      <w:r w:rsidR="00B46148">
        <w:rPr>
          <w:szCs w:val="22"/>
        </w:rPr>
        <w:t xml:space="preserve">   </w:t>
      </w:r>
    </w:p>
    <w:p w:rsidR="00996A8E" w:rsidP="005354C3" w14:paraId="397821CE" w14:textId="77777777">
      <w:pPr>
        <w:rPr>
          <w:szCs w:val="22"/>
        </w:rPr>
      </w:pPr>
    </w:p>
    <w:p w:rsidR="00475DDF" w:rsidRPr="00475DDF" w:rsidP="0017139B" w14:paraId="50B5A56A" w14:textId="138871FC">
      <w:pPr>
        <w:ind w:firstLine="720"/>
        <w:rPr>
          <w:szCs w:val="22"/>
        </w:rPr>
      </w:pPr>
      <w:r w:rsidRPr="00475DDF">
        <w:rPr>
          <w:szCs w:val="22"/>
        </w:rPr>
        <w:t xml:space="preserve">Wireless Telecommunications Bureau contact: Paul </w:t>
      </w:r>
      <w:r w:rsidRPr="00475DDF">
        <w:rPr>
          <w:szCs w:val="22"/>
        </w:rPr>
        <w:t>D’Ari</w:t>
      </w:r>
      <w:r w:rsidRPr="00475DDF">
        <w:rPr>
          <w:szCs w:val="22"/>
        </w:rPr>
        <w:t xml:space="preserve">, </w:t>
      </w:r>
      <w:r w:rsidR="00E741BC">
        <w:rPr>
          <w:szCs w:val="22"/>
        </w:rPr>
        <w:t>(</w:t>
      </w:r>
      <w:r w:rsidRPr="00475DDF">
        <w:rPr>
          <w:szCs w:val="22"/>
        </w:rPr>
        <w:t>202</w:t>
      </w:r>
      <w:r w:rsidR="00E741BC">
        <w:rPr>
          <w:szCs w:val="22"/>
        </w:rPr>
        <w:t xml:space="preserve">) </w:t>
      </w:r>
      <w:r w:rsidRPr="00475DDF">
        <w:rPr>
          <w:szCs w:val="22"/>
        </w:rPr>
        <w:t>418-1550 or paul.dari@fcc.gov.</w:t>
      </w:r>
    </w:p>
    <w:p w:rsidR="00475DDF" w:rsidRPr="00475DDF" w:rsidP="00475DDF" w14:paraId="6397BB95" w14:textId="77777777">
      <w:pPr>
        <w:rPr>
          <w:szCs w:val="22"/>
        </w:rPr>
      </w:pPr>
      <w:r w:rsidRPr="00475DDF">
        <w:rPr>
          <w:szCs w:val="22"/>
        </w:rPr>
        <w:tab/>
      </w:r>
    </w:p>
    <w:p w:rsidR="00475DDF" w:rsidRPr="00475DDF" w:rsidP="0017139B" w14:paraId="4F04286E" w14:textId="77777777">
      <w:pPr>
        <w:ind w:firstLine="720"/>
        <w:rPr>
          <w:szCs w:val="22"/>
        </w:rPr>
      </w:pPr>
      <w:r w:rsidRPr="00475DDF">
        <w:rPr>
          <w:szCs w:val="22"/>
        </w:rPr>
        <w:t>Media contact: Cecilia Sulhoff, (202) 418-0587 or cecilia.sulhoff@fcc.gov.</w:t>
      </w:r>
    </w:p>
    <w:p w:rsidR="00475DDF" w:rsidRPr="00475DDF" w:rsidP="00475DDF" w14:paraId="6D8FF3FA" w14:textId="77777777">
      <w:pPr>
        <w:rPr>
          <w:szCs w:val="22"/>
        </w:rPr>
      </w:pPr>
    </w:p>
    <w:p w:rsidR="00475DDF" w:rsidRPr="00475DDF" w:rsidP="00475DDF" w14:paraId="468FACDD" w14:textId="77777777">
      <w:pPr>
        <w:rPr>
          <w:szCs w:val="22"/>
        </w:rPr>
      </w:pPr>
    </w:p>
    <w:p w:rsidR="00475DDF" w:rsidRPr="00753B9B" w:rsidP="00F96F63" w14:paraId="10E77B9F" w14:textId="77777777">
      <w:pPr>
        <w:rPr>
          <w:szCs w:val="22"/>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B58EE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DCA87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24F565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EBBECB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001C" w14:paraId="60028DCF" w14:textId="77777777">
      <w:r>
        <w:separator/>
      </w:r>
    </w:p>
  </w:footnote>
  <w:footnote w:type="continuationSeparator" w:id="1">
    <w:p w:rsidR="0026001C" w14:paraId="790BDFD2" w14:textId="77777777">
      <w:pPr>
        <w:rPr>
          <w:sz w:val="20"/>
        </w:rPr>
      </w:pPr>
      <w:r>
        <w:rPr>
          <w:sz w:val="20"/>
        </w:rPr>
        <w:t xml:space="preserve">(Continued from previous page)  </w:t>
      </w:r>
      <w:r>
        <w:rPr>
          <w:sz w:val="20"/>
        </w:rPr>
        <w:separator/>
      </w:r>
    </w:p>
  </w:footnote>
  <w:footnote w:type="continuationNotice" w:id="2">
    <w:p w:rsidR="0026001C" w:rsidP="00910F12" w14:paraId="3FED4679" w14:textId="77777777">
      <w:pPr>
        <w:jc w:val="right"/>
        <w:rPr>
          <w:sz w:val="20"/>
        </w:rPr>
      </w:pPr>
      <w:r>
        <w:rPr>
          <w:sz w:val="20"/>
        </w:rPr>
        <w:t>(continued….)</w:t>
      </w:r>
    </w:p>
  </w:footnote>
  <w:footnote w:id="3">
    <w:p w:rsidR="000D5EE6" w:rsidP="000D5EE6" w14:paraId="2F1A5242" w14:textId="77777777">
      <w:pPr>
        <w:pStyle w:val="FootnoteText"/>
      </w:pPr>
      <w:r>
        <w:rPr>
          <w:rStyle w:val="FootnoteReference"/>
        </w:rPr>
        <w:footnoteRef/>
      </w:r>
      <w:r>
        <w:t xml:space="preserve"> </w:t>
      </w:r>
      <w:r w:rsidRPr="00CB6EF4">
        <w:rPr>
          <w:i/>
          <w:iCs/>
        </w:rPr>
        <w:t>Nationwide Programmatic Agreement for the Collocation of Wireless Antennas</w:t>
      </w:r>
      <w:r w:rsidRPr="004B4622">
        <w:t>, 47 CFR Part 1, App</w:t>
      </w:r>
      <w:r>
        <w:t>. B</w:t>
      </w:r>
      <w:r w:rsidR="00210461">
        <w:t xml:space="preserve"> (Collocation NPA)</w:t>
      </w:r>
      <w:r>
        <w:t>.</w:t>
      </w:r>
    </w:p>
  </w:footnote>
  <w:footnote w:id="4">
    <w:p w:rsidR="00956785" w:rsidP="00956785" w14:paraId="2D57A7FA" w14:textId="77777777">
      <w:pPr>
        <w:pStyle w:val="FootnoteText"/>
      </w:pPr>
      <w:r>
        <w:rPr>
          <w:rStyle w:val="FootnoteReference"/>
        </w:rPr>
        <w:footnoteRef/>
      </w:r>
      <w:r>
        <w:t xml:space="preserve"> </w:t>
      </w:r>
      <w:r w:rsidRPr="00833020">
        <w:t xml:space="preserve">54 U.S.C. § 300101 </w:t>
      </w:r>
      <w:r w:rsidRPr="002540F5">
        <w:rPr>
          <w:i/>
          <w:iCs/>
        </w:rPr>
        <w:t>et seq</w:t>
      </w:r>
      <w:r w:rsidRPr="00833020">
        <w:t>.</w:t>
      </w:r>
    </w:p>
  </w:footnote>
  <w:footnote w:id="5">
    <w:p w:rsidR="003970E3" w14:paraId="6CDA1E9E" w14:textId="7489842B">
      <w:pPr>
        <w:pStyle w:val="FootnoteText"/>
      </w:pPr>
      <w:r>
        <w:rPr>
          <w:rStyle w:val="FootnoteReference"/>
        </w:rPr>
        <w:footnoteRef/>
      </w:r>
      <w:r>
        <w:t xml:space="preserve"> </w:t>
      </w:r>
      <w:r w:rsidRPr="00C44646">
        <w:rPr>
          <w:i/>
          <w:iCs/>
        </w:rPr>
        <w:t>Wireless Telecommunications Bureau Announces Execution of Programmatic Agreement with Respect to Collocating Wireless Antennas on Existing Structures</w:t>
      </w:r>
      <w:r w:rsidRPr="003970E3">
        <w:t xml:space="preserve">, Public Notice, 16 FCC </w:t>
      </w:r>
      <w:r w:rsidRPr="003970E3">
        <w:t>Rcd</w:t>
      </w:r>
      <w:r w:rsidRPr="003970E3">
        <w:t xml:space="preserve"> 5574 (WTB 2001)</w:t>
      </w:r>
      <w:r w:rsidR="00E741BC">
        <w:t>.</w:t>
      </w:r>
    </w:p>
  </w:footnote>
  <w:footnote w:id="6">
    <w:p w:rsidR="00FE6919" w14:paraId="704B8EFF" w14:textId="5669A0F1">
      <w:pPr>
        <w:pStyle w:val="FootnoteText"/>
      </w:pPr>
      <w:r>
        <w:rPr>
          <w:rStyle w:val="FootnoteReference"/>
        </w:rPr>
        <w:footnoteRef/>
      </w:r>
      <w:r>
        <w:t xml:space="preserve"> </w:t>
      </w:r>
      <w:r w:rsidRPr="00C44646">
        <w:rPr>
          <w:i/>
          <w:iCs/>
        </w:rPr>
        <w:t>Wireless Telecommunications Bureau Announces Execution of First Amendment to the Nationwide Programmatic Agreement for the Collocation of Wireless Antennas</w:t>
      </w:r>
      <w:r>
        <w:t xml:space="preserve">, WT Docket No. 15-180, Public Notice, 31 FCC </w:t>
      </w:r>
      <w:r>
        <w:t>Rcd</w:t>
      </w:r>
      <w:r>
        <w:t xml:space="preserve"> 8824 (</w:t>
      </w:r>
      <w:r w:rsidR="003970E3">
        <w:t xml:space="preserve">WTB </w:t>
      </w:r>
      <w:r>
        <w:t xml:space="preserve">2016).  </w:t>
      </w:r>
    </w:p>
  </w:footnote>
  <w:footnote w:id="7">
    <w:p w:rsidR="00BA4F42" w:rsidP="00BA4F42" w14:paraId="6AB6EE56" w14:textId="574C775D">
      <w:pPr>
        <w:pStyle w:val="FootnoteText"/>
      </w:pPr>
      <w:r>
        <w:rPr>
          <w:rStyle w:val="FootnoteReference"/>
        </w:rPr>
        <w:footnoteRef/>
      </w:r>
      <w:r>
        <w:t xml:space="preserve"> Collocation NPA at </w:t>
      </w:r>
      <w:r w:rsidRPr="002941A0">
        <w:t>§§</w:t>
      </w:r>
      <w:r>
        <w:t xml:space="preserve"> I</w:t>
      </w:r>
      <w:r w:rsidR="00061587">
        <w:t>II</w:t>
      </w:r>
      <w:r>
        <w:t>.</w:t>
      </w:r>
      <w:r w:rsidR="00061587">
        <w:t>A, IV.A</w:t>
      </w:r>
      <w:r>
        <w:t>.</w:t>
      </w:r>
      <w:r w:rsidR="00061587">
        <w:t xml:space="preserve">  A</w:t>
      </w:r>
      <w:r w:rsidRPr="00210461" w:rsidR="00061587">
        <w:rPr>
          <w:szCs w:val="22"/>
        </w:rPr>
        <w:t xml:space="preserve"> substantial increase in the size of the </w:t>
      </w:r>
      <w:r w:rsidR="00061587">
        <w:rPr>
          <w:szCs w:val="22"/>
        </w:rPr>
        <w:t>tower</w:t>
      </w:r>
      <w:r w:rsidR="00061587">
        <w:t xml:space="preserve"> is referenced as a factor in Sections III.A.1 and IV.A</w:t>
      </w:r>
      <w:r w:rsidR="00E741BC">
        <w:t>.</w:t>
      </w:r>
      <w:r w:rsidR="00061587">
        <w:t>2.</w:t>
      </w:r>
    </w:p>
  </w:footnote>
  <w:footnote w:id="8">
    <w:p w:rsidR="0019158F" w:rsidP="0019158F" w14:paraId="06E250C2" w14:textId="77777777">
      <w:pPr>
        <w:pStyle w:val="FootnoteText"/>
      </w:pPr>
      <w:r>
        <w:rPr>
          <w:rStyle w:val="FootnoteReference"/>
        </w:rPr>
        <w:footnoteRef/>
      </w:r>
      <w:r>
        <w:t xml:space="preserve"> Collocation NPA at </w:t>
      </w:r>
      <w:r w:rsidRPr="002941A0">
        <w:t>§</w:t>
      </w:r>
      <w:r>
        <w:t xml:space="preserve"> I.E.4</w:t>
      </w:r>
      <w:r w:rsidR="00017EDA">
        <w:t xml:space="preserve"> (defining a substantial </w:t>
      </w:r>
      <w:r w:rsidR="00B64A23">
        <w:t>increase</w:t>
      </w:r>
      <w:r w:rsidR="00017EDA">
        <w:t xml:space="preserve"> in the size of the tower to include “[t]</w:t>
      </w:r>
      <w:r w:rsidRPr="00277F81" w:rsidR="00017EDA">
        <w:t xml:space="preserve">he mounting of the proposed antenna </w:t>
      </w:r>
      <w:r w:rsidR="00017EDA">
        <w:t>[</w:t>
      </w:r>
      <w:r w:rsidRPr="00277F81" w:rsidR="00017EDA">
        <w:t>that</w:t>
      </w:r>
      <w:r w:rsidR="00017EDA">
        <w:t>]</w:t>
      </w:r>
      <w:r w:rsidRPr="00277F81" w:rsidR="00017EDA">
        <w:t xml:space="preserve"> would involve excavation outside the current tower site, defined as the current boundaries of the leased or owned property surrounding the tower and any access or utility easements currently related to the site”</w:t>
      </w:r>
      <w:r w:rsidR="00017EDA">
        <w:t>)</w:t>
      </w:r>
      <w:r>
        <w:t>.</w:t>
      </w:r>
    </w:p>
  </w:footnote>
  <w:footnote w:id="9">
    <w:p w:rsidR="00AC4765" w:rsidP="00AC4765" w14:paraId="3340CB17" w14:textId="77777777">
      <w:pPr>
        <w:pStyle w:val="FootnoteText"/>
      </w:pPr>
      <w:r>
        <w:rPr>
          <w:rStyle w:val="FootnoteReference"/>
        </w:rPr>
        <w:footnoteRef/>
      </w:r>
      <w:r>
        <w:t xml:space="preserve"> </w:t>
      </w:r>
      <w:r w:rsidRPr="004B4622">
        <w:rPr>
          <w:i/>
          <w:iCs/>
        </w:rPr>
        <w:t>Nationwide Programmatic Agreement Regarding the Section 106 National Historic Preservation Act Review Process</w:t>
      </w:r>
      <w:r w:rsidRPr="00DC7A06">
        <w:t>, 47 CFR Part 1, Ap</w:t>
      </w:r>
      <w:r>
        <w:t>p.</w:t>
      </w:r>
      <w:r w:rsidRPr="00DC7A06">
        <w:t xml:space="preserve"> C</w:t>
      </w:r>
      <w:r>
        <w:t xml:space="preserve">, at </w:t>
      </w:r>
      <w:r w:rsidRPr="002941A0">
        <w:t>§</w:t>
      </w:r>
      <w:r>
        <w:t xml:space="preserve"> III.B (Wireless Facilities NPA).</w:t>
      </w:r>
    </w:p>
  </w:footnote>
  <w:footnote w:id="10">
    <w:p w:rsidR="00842CA6" w:rsidP="00842CA6" w14:paraId="1C8B53ED" w14:textId="77777777">
      <w:pPr>
        <w:pStyle w:val="FootnoteText"/>
      </w:pPr>
      <w:r>
        <w:rPr>
          <w:rStyle w:val="FootnoteReference"/>
        </w:rPr>
        <w:footnoteRef/>
      </w:r>
      <w:r>
        <w:t xml:space="preserve"> </w:t>
      </w:r>
      <w:r w:rsidRPr="002540F5">
        <w:rPr>
          <w:i/>
          <w:iCs/>
        </w:rPr>
        <w:t xml:space="preserve">See </w:t>
      </w:r>
      <w:r>
        <w:t xml:space="preserve">attachment at </w:t>
      </w:r>
      <w:r w:rsidRPr="002941A0">
        <w:t>§</w:t>
      </w:r>
      <w:r>
        <w:t xml:space="preserve"> I.E.4.</w:t>
      </w:r>
    </w:p>
  </w:footnote>
  <w:footnote w:id="11">
    <w:p w:rsidR="00B46148" w14:paraId="60DBB34E" w14:textId="77777777">
      <w:pPr>
        <w:pStyle w:val="FootnoteText"/>
      </w:pPr>
      <w:r>
        <w:rPr>
          <w:rStyle w:val="FootnoteReference"/>
        </w:rPr>
        <w:footnoteRef/>
      </w:r>
      <w:r>
        <w:t xml:space="preserve"> The publication in the Federal Register will announce an update </w:t>
      </w:r>
      <w:r w:rsidR="0048251C">
        <w:t xml:space="preserve">to </w:t>
      </w:r>
      <w:r>
        <w:t xml:space="preserve">Appendix B </w:t>
      </w:r>
      <w:r w:rsidR="0048251C">
        <w:t>of</w:t>
      </w:r>
      <w:r>
        <w:t xml:space="preserve"> Part 1 of the Commission’s rules to reflect </w:t>
      </w:r>
      <w:r w:rsidR="0048251C">
        <w:t>this amendment</w:t>
      </w:r>
      <w:r>
        <w:t xml:space="preserve"> to </w:t>
      </w:r>
      <w:r w:rsidR="0048251C">
        <w:t xml:space="preserve">the </w:t>
      </w:r>
      <w:r w:rsidR="00B64A23">
        <w:t>Collocation</w:t>
      </w:r>
      <w:r>
        <w:t xml:space="preserve"> NPA.  </w:t>
      </w:r>
      <w:r w:rsidRPr="002540F5">
        <w:rPr>
          <w:i/>
          <w:iCs/>
        </w:rPr>
        <w:t xml:space="preserve">See </w:t>
      </w:r>
      <w:r w:rsidRPr="004B4622">
        <w:t>47 CFR Part 1, App</w:t>
      </w:r>
      <w:r>
        <w:t>.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39A656C" w14:textId="5082B7AE">
    <w:pPr>
      <w:tabs>
        <w:tab w:val="center" w:pos="4680"/>
        <w:tab w:val="right" w:pos="9360"/>
      </w:tabs>
    </w:pPr>
    <w:r w:rsidRPr="009838BC">
      <w:rPr>
        <w:b/>
      </w:rPr>
      <w:tab/>
      <w:t>Federal Communications Commission</w:t>
    </w:r>
    <w:r w:rsidRPr="009838BC">
      <w:rPr>
        <w:b/>
      </w:rPr>
      <w:tab/>
    </w:r>
    <w:r w:rsidR="002E0BED">
      <w:rPr>
        <w:b/>
      </w:rPr>
      <w:t>DA 20-759</w:t>
    </w:r>
  </w:p>
  <w:p w:rsidR="009838BC" w:rsidRPr="009838BC" w:rsidP="009838BC" w14:paraId="2531AB8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D8E95A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6EBF081"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5BE2A65" w14:textId="77777777">
                    <w:pPr>
                      <w:rPr>
                        <w:rFonts w:ascii="Arial" w:hAnsi="Arial"/>
                        <w:b/>
                      </w:rPr>
                    </w:pPr>
                    <w:r>
                      <w:rPr>
                        <w:rFonts w:ascii="Arial" w:hAnsi="Arial"/>
                        <w:b/>
                      </w:rPr>
                      <w:t>Federal Communications Commission</w:t>
                    </w:r>
                  </w:p>
                  <w:p w:rsidR="009838BC" w:rsidP="009838BC" w14:paraId="4B6D527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C0156A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61449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4764406"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F8D0A30" w14:textId="77777777">
                    <w:pPr>
                      <w:spacing w:before="40"/>
                      <w:jc w:val="right"/>
                      <w:rPr>
                        <w:rFonts w:ascii="Arial" w:hAnsi="Arial"/>
                        <w:b/>
                        <w:sz w:val="16"/>
                      </w:rPr>
                    </w:pPr>
                    <w:r>
                      <w:rPr>
                        <w:rFonts w:ascii="Arial" w:hAnsi="Arial"/>
                        <w:b/>
                        <w:sz w:val="16"/>
                      </w:rPr>
                      <w:t>News Media Information 202 / 418-0500</w:t>
                    </w:r>
                  </w:p>
                  <w:p w:rsidR="009838BC" w:rsidP="009838BC" w14:paraId="60CCDBE1"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2E1C3E1A" w14:textId="77777777">
                    <w:pPr>
                      <w:jc w:val="right"/>
                    </w:pPr>
                    <w:r>
                      <w:rPr>
                        <w:rFonts w:ascii="Arial" w:hAnsi="Arial"/>
                        <w:b/>
                        <w:sz w:val="16"/>
                      </w:rPr>
                      <w:t>TTY: 1-888-835-5322</w:t>
                    </w:r>
                  </w:p>
                </w:txbxContent>
              </v:textbox>
            </v:shape>
          </w:pict>
        </mc:Fallback>
      </mc:AlternateContent>
    </w:r>
  </w:p>
  <w:p w:rsidR="006F7393" w:rsidRPr="009838BC" w:rsidP="009838BC" w14:paraId="781C9F1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9B"/>
    <w:rsid w:val="000072CE"/>
    <w:rsid w:val="00013A8B"/>
    <w:rsid w:val="000165C2"/>
    <w:rsid w:val="00017EDA"/>
    <w:rsid w:val="00021445"/>
    <w:rsid w:val="00030F22"/>
    <w:rsid w:val="00036039"/>
    <w:rsid w:val="00037F90"/>
    <w:rsid w:val="00061587"/>
    <w:rsid w:val="00066E87"/>
    <w:rsid w:val="00074218"/>
    <w:rsid w:val="000875BF"/>
    <w:rsid w:val="00096D8C"/>
    <w:rsid w:val="000A42D9"/>
    <w:rsid w:val="000A4D1A"/>
    <w:rsid w:val="000C0B65"/>
    <w:rsid w:val="000D5EE6"/>
    <w:rsid w:val="000E3D42"/>
    <w:rsid w:val="000E5884"/>
    <w:rsid w:val="00122BD5"/>
    <w:rsid w:val="0016410A"/>
    <w:rsid w:val="00167A2D"/>
    <w:rsid w:val="0017139B"/>
    <w:rsid w:val="00171D42"/>
    <w:rsid w:val="00182B9B"/>
    <w:rsid w:val="0019158F"/>
    <w:rsid w:val="001979D9"/>
    <w:rsid w:val="001D4BFA"/>
    <w:rsid w:val="001D5D3F"/>
    <w:rsid w:val="001D6BCF"/>
    <w:rsid w:val="001E01CA"/>
    <w:rsid w:val="00205E5F"/>
    <w:rsid w:val="002060D9"/>
    <w:rsid w:val="00210461"/>
    <w:rsid w:val="00215808"/>
    <w:rsid w:val="00226822"/>
    <w:rsid w:val="00227D02"/>
    <w:rsid w:val="002540F5"/>
    <w:rsid w:val="0026001C"/>
    <w:rsid w:val="00260594"/>
    <w:rsid w:val="00277F81"/>
    <w:rsid w:val="00285017"/>
    <w:rsid w:val="002941A0"/>
    <w:rsid w:val="002A2D2E"/>
    <w:rsid w:val="002D44B1"/>
    <w:rsid w:val="002E0BED"/>
    <w:rsid w:val="003275C1"/>
    <w:rsid w:val="00343749"/>
    <w:rsid w:val="00352FC9"/>
    <w:rsid w:val="00357D50"/>
    <w:rsid w:val="00366877"/>
    <w:rsid w:val="003925DC"/>
    <w:rsid w:val="003935BC"/>
    <w:rsid w:val="003970E3"/>
    <w:rsid w:val="003A0C42"/>
    <w:rsid w:val="003B0550"/>
    <w:rsid w:val="003B60F8"/>
    <w:rsid w:val="003B694F"/>
    <w:rsid w:val="003F171C"/>
    <w:rsid w:val="00412FC5"/>
    <w:rsid w:val="00422276"/>
    <w:rsid w:val="004242F1"/>
    <w:rsid w:val="00445A00"/>
    <w:rsid w:val="00451B0F"/>
    <w:rsid w:val="004558B9"/>
    <w:rsid w:val="0046125F"/>
    <w:rsid w:val="00475DDF"/>
    <w:rsid w:val="0048251C"/>
    <w:rsid w:val="00486375"/>
    <w:rsid w:val="00487524"/>
    <w:rsid w:val="00496106"/>
    <w:rsid w:val="004B4622"/>
    <w:rsid w:val="004C12D0"/>
    <w:rsid w:val="004C2EE3"/>
    <w:rsid w:val="004E4A22"/>
    <w:rsid w:val="00511968"/>
    <w:rsid w:val="005354C3"/>
    <w:rsid w:val="0055131F"/>
    <w:rsid w:val="0055614C"/>
    <w:rsid w:val="00565F28"/>
    <w:rsid w:val="00592578"/>
    <w:rsid w:val="005A2B7B"/>
    <w:rsid w:val="005B0744"/>
    <w:rsid w:val="005E3EB7"/>
    <w:rsid w:val="005E7864"/>
    <w:rsid w:val="005F1E1A"/>
    <w:rsid w:val="00607BA5"/>
    <w:rsid w:val="00626B91"/>
    <w:rsid w:val="00626EB6"/>
    <w:rsid w:val="006353A3"/>
    <w:rsid w:val="00655D03"/>
    <w:rsid w:val="00683F84"/>
    <w:rsid w:val="006909CA"/>
    <w:rsid w:val="00693CA6"/>
    <w:rsid w:val="006A6A81"/>
    <w:rsid w:val="006E26AF"/>
    <w:rsid w:val="006F7393"/>
    <w:rsid w:val="0070224F"/>
    <w:rsid w:val="007059B3"/>
    <w:rsid w:val="00706745"/>
    <w:rsid w:val="007115F7"/>
    <w:rsid w:val="00753B9B"/>
    <w:rsid w:val="00757B4E"/>
    <w:rsid w:val="0077691E"/>
    <w:rsid w:val="00783FA5"/>
    <w:rsid w:val="00785689"/>
    <w:rsid w:val="0079754B"/>
    <w:rsid w:val="007A1E6D"/>
    <w:rsid w:val="007B2270"/>
    <w:rsid w:val="007C0360"/>
    <w:rsid w:val="007D1075"/>
    <w:rsid w:val="007E5EE6"/>
    <w:rsid w:val="00822CE0"/>
    <w:rsid w:val="00833020"/>
    <w:rsid w:val="0083691D"/>
    <w:rsid w:val="00837C62"/>
    <w:rsid w:val="00841AB1"/>
    <w:rsid w:val="00842CA6"/>
    <w:rsid w:val="0086764B"/>
    <w:rsid w:val="00895C78"/>
    <w:rsid w:val="008B15CE"/>
    <w:rsid w:val="008C22FD"/>
    <w:rsid w:val="00904A51"/>
    <w:rsid w:val="00910F12"/>
    <w:rsid w:val="009145AF"/>
    <w:rsid w:val="00920590"/>
    <w:rsid w:val="00926503"/>
    <w:rsid w:val="00930ECF"/>
    <w:rsid w:val="009377AA"/>
    <w:rsid w:val="00956785"/>
    <w:rsid w:val="00964D69"/>
    <w:rsid w:val="009838BC"/>
    <w:rsid w:val="009873E4"/>
    <w:rsid w:val="00996A8E"/>
    <w:rsid w:val="009F7E9E"/>
    <w:rsid w:val="00A24B09"/>
    <w:rsid w:val="00A45F4F"/>
    <w:rsid w:val="00A600A9"/>
    <w:rsid w:val="00A610B8"/>
    <w:rsid w:val="00A75F74"/>
    <w:rsid w:val="00A866AC"/>
    <w:rsid w:val="00A950A8"/>
    <w:rsid w:val="00AA55B7"/>
    <w:rsid w:val="00AA5B9E"/>
    <w:rsid w:val="00AB2407"/>
    <w:rsid w:val="00AB53DF"/>
    <w:rsid w:val="00AC4765"/>
    <w:rsid w:val="00B07E5C"/>
    <w:rsid w:val="00B20363"/>
    <w:rsid w:val="00B326E3"/>
    <w:rsid w:val="00B434B6"/>
    <w:rsid w:val="00B46148"/>
    <w:rsid w:val="00B64A23"/>
    <w:rsid w:val="00B71A7F"/>
    <w:rsid w:val="00B76F7F"/>
    <w:rsid w:val="00B811F7"/>
    <w:rsid w:val="00B973DB"/>
    <w:rsid w:val="00BA4F42"/>
    <w:rsid w:val="00BA5583"/>
    <w:rsid w:val="00BA5DC6"/>
    <w:rsid w:val="00BA6196"/>
    <w:rsid w:val="00BB19C8"/>
    <w:rsid w:val="00BC6D8C"/>
    <w:rsid w:val="00C0092A"/>
    <w:rsid w:val="00C16AF2"/>
    <w:rsid w:val="00C278F4"/>
    <w:rsid w:val="00C34006"/>
    <w:rsid w:val="00C426B1"/>
    <w:rsid w:val="00C44646"/>
    <w:rsid w:val="00C82B6B"/>
    <w:rsid w:val="00C90D6A"/>
    <w:rsid w:val="00CA77C6"/>
    <w:rsid w:val="00CB6EF4"/>
    <w:rsid w:val="00CC72B6"/>
    <w:rsid w:val="00D0218D"/>
    <w:rsid w:val="00D13E4E"/>
    <w:rsid w:val="00D173F9"/>
    <w:rsid w:val="00D216CD"/>
    <w:rsid w:val="00D43F47"/>
    <w:rsid w:val="00D725FE"/>
    <w:rsid w:val="00DA2529"/>
    <w:rsid w:val="00DB130A"/>
    <w:rsid w:val="00DC10A1"/>
    <w:rsid w:val="00DC655F"/>
    <w:rsid w:val="00DC7A06"/>
    <w:rsid w:val="00DD7EBD"/>
    <w:rsid w:val="00DF62B6"/>
    <w:rsid w:val="00E07225"/>
    <w:rsid w:val="00E155B7"/>
    <w:rsid w:val="00E5409F"/>
    <w:rsid w:val="00E741BC"/>
    <w:rsid w:val="00E81406"/>
    <w:rsid w:val="00EA6F10"/>
    <w:rsid w:val="00EC0185"/>
    <w:rsid w:val="00EF0798"/>
    <w:rsid w:val="00EF45E1"/>
    <w:rsid w:val="00F021FA"/>
    <w:rsid w:val="00F0265F"/>
    <w:rsid w:val="00F41009"/>
    <w:rsid w:val="00F57ACA"/>
    <w:rsid w:val="00F62E97"/>
    <w:rsid w:val="00F64209"/>
    <w:rsid w:val="00F70417"/>
    <w:rsid w:val="00F73AD1"/>
    <w:rsid w:val="00F855B4"/>
    <w:rsid w:val="00F86B2C"/>
    <w:rsid w:val="00F93BF5"/>
    <w:rsid w:val="00F96F63"/>
    <w:rsid w:val="00FA0BB8"/>
    <w:rsid w:val="00FB1943"/>
    <w:rsid w:val="00FC48E9"/>
    <w:rsid w:val="00FD4079"/>
    <w:rsid w:val="00FE2814"/>
    <w:rsid w:val="00FE6919"/>
    <w:rsid w:val="00FF08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383C0F9-DF9F-4950-9685-67AB378C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1 Char Char,Footnote Text Char1,Footnote Text Char1 Char Char,Footnote Text Char1 Char Char Char Char Char,Footnote Text Char2 Char Char,Footnote Text Char2 Char Char Char Char,f"/>
    <w:link w:val="FootnoteTextChar"/>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753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B9B"/>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9873E4"/>
    <w:rPr>
      <w:color w:val="605E5C"/>
      <w:shd w:val="clear" w:color="auto" w:fill="E1DFDD"/>
    </w:rPr>
  </w:style>
  <w:style w:type="character" w:customStyle="1" w:styleId="FootnoteTextChar">
    <w:name w:val="Footnote Text Char"/>
    <w:aliases w:val="ALTS FOOTNOTE Char,Footnote Text Char Char Char,Footnote Text Char Char1 Char Char Char,Footnote Text Char1 Char,Footnote Text Char1 Char Char Char,Footnote Text Char1 Char Char Char Char Char Char,Footnote Text Char2 Char Char Char"/>
    <w:link w:val="FootnoteText"/>
    <w:rsid w:val="00592578"/>
  </w:style>
  <w:style w:type="character" w:styleId="CommentReference">
    <w:name w:val="annotation reference"/>
    <w:basedOn w:val="DefaultParagraphFont"/>
    <w:uiPriority w:val="99"/>
    <w:semiHidden/>
    <w:unhideWhenUsed/>
    <w:rsid w:val="00EA6F10"/>
    <w:rPr>
      <w:sz w:val="16"/>
      <w:szCs w:val="16"/>
    </w:rPr>
  </w:style>
  <w:style w:type="paragraph" w:styleId="CommentText">
    <w:name w:val="annotation text"/>
    <w:basedOn w:val="Normal"/>
    <w:link w:val="CommentTextChar"/>
    <w:uiPriority w:val="99"/>
    <w:semiHidden/>
    <w:unhideWhenUsed/>
    <w:rsid w:val="00EA6F10"/>
    <w:rPr>
      <w:sz w:val="20"/>
    </w:rPr>
  </w:style>
  <w:style w:type="character" w:customStyle="1" w:styleId="CommentTextChar">
    <w:name w:val="Comment Text Char"/>
    <w:basedOn w:val="DefaultParagraphFont"/>
    <w:link w:val="CommentText"/>
    <w:uiPriority w:val="99"/>
    <w:semiHidden/>
    <w:rsid w:val="00EA6F10"/>
    <w:rPr>
      <w:snapToGrid w:val="0"/>
      <w:kern w:val="28"/>
    </w:rPr>
  </w:style>
  <w:style w:type="paragraph" w:styleId="CommentSubject">
    <w:name w:val="annotation subject"/>
    <w:basedOn w:val="CommentText"/>
    <w:next w:val="CommentText"/>
    <w:link w:val="CommentSubjectChar"/>
    <w:uiPriority w:val="99"/>
    <w:semiHidden/>
    <w:unhideWhenUsed/>
    <w:rsid w:val="00EA6F10"/>
    <w:rPr>
      <w:b/>
      <w:bCs/>
    </w:rPr>
  </w:style>
  <w:style w:type="character" w:customStyle="1" w:styleId="CommentSubjectChar">
    <w:name w:val="Comment Subject Char"/>
    <w:basedOn w:val="CommentTextChar"/>
    <w:link w:val="CommentSubject"/>
    <w:uiPriority w:val="99"/>
    <w:semiHidden/>
    <w:rsid w:val="00EA6F1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