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FDD2C4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2F93BFF" w14:textId="77777777">
      <w:pPr>
        <w:pStyle w:val="StyleBoldCentered"/>
      </w:pPr>
      <w:r>
        <w:t>F</w:t>
      </w:r>
      <w:r>
        <w:rPr>
          <w:caps w:val="0"/>
        </w:rPr>
        <w:t>ederal Communications Commission</w:t>
      </w:r>
    </w:p>
    <w:p w:rsidR="004C2EE3" w:rsidP="00096D8C" w14:paraId="3E7F7E0D" w14:textId="77777777">
      <w:pPr>
        <w:pStyle w:val="StyleBoldCentered"/>
      </w:pPr>
      <w:r>
        <w:rPr>
          <w:caps w:val="0"/>
        </w:rPr>
        <w:t>Washington, D.C. 20554</w:t>
      </w:r>
    </w:p>
    <w:p w:rsidR="004C2EE3" w:rsidP="0070224F" w14:paraId="3C139F73" w14:textId="77777777"/>
    <w:p w:rsidR="004C2EE3" w:rsidP="0070224F" w14:paraId="57D8D9BD" w14:textId="77777777"/>
    <w:tbl>
      <w:tblPr>
        <w:tblW w:w="0" w:type="auto"/>
        <w:tblLayout w:type="fixed"/>
        <w:tblLook w:val="0000"/>
      </w:tblPr>
      <w:tblGrid>
        <w:gridCol w:w="4698"/>
        <w:gridCol w:w="630"/>
        <w:gridCol w:w="4248"/>
      </w:tblGrid>
      <w:tr w14:paraId="4656546C" w14:textId="77777777">
        <w:tblPrEx>
          <w:tblW w:w="0" w:type="auto"/>
          <w:tblLayout w:type="fixed"/>
          <w:tblLook w:val="0000"/>
        </w:tblPrEx>
        <w:tc>
          <w:tcPr>
            <w:tcW w:w="4698" w:type="dxa"/>
          </w:tcPr>
          <w:p w:rsidR="004C2EE3" w14:paraId="35261522" w14:textId="77777777">
            <w:pPr>
              <w:tabs>
                <w:tab w:val="center" w:pos="4680"/>
              </w:tabs>
              <w:suppressAutoHyphens/>
              <w:rPr>
                <w:spacing w:val="-2"/>
              </w:rPr>
            </w:pPr>
            <w:r>
              <w:rPr>
                <w:spacing w:val="-2"/>
              </w:rPr>
              <w:t>In the Matter of</w:t>
            </w:r>
          </w:p>
          <w:p w:rsidR="004C2EE3" w14:paraId="11057B4B" w14:textId="77777777">
            <w:pPr>
              <w:tabs>
                <w:tab w:val="center" w:pos="4680"/>
              </w:tabs>
              <w:suppressAutoHyphens/>
              <w:rPr>
                <w:spacing w:val="-2"/>
              </w:rPr>
            </w:pPr>
          </w:p>
          <w:p w:rsidR="004C2EE3" w:rsidRPr="0016162B" w:rsidP="007115F7" w14:paraId="1A5799BB" w14:textId="0D542EAE">
            <w:pPr>
              <w:tabs>
                <w:tab w:val="center" w:pos="4680"/>
              </w:tabs>
              <w:suppressAutoHyphens/>
              <w:rPr>
                <w:b/>
                <w:spacing w:val="-2"/>
              </w:rPr>
            </w:pPr>
            <w:r w:rsidRPr="0016162B">
              <w:rPr>
                <w:b/>
                <w:spacing w:val="-2"/>
              </w:rPr>
              <w:t>Chinese Voice of Golden City</w:t>
            </w:r>
          </w:p>
          <w:p w:rsidR="00A06298" w:rsidP="007115F7" w14:paraId="2DB1583A" w14:textId="77777777">
            <w:pPr>
              <w:tabs>
                <w:tab w:val="center" w:pos="4680"/>
              </w:tabs>
              <w:suppressAutoHyphens/>
              <w:rPr>
                <w:spacing w:val="-2"/>
              </w:rPr>
            </w:pPr>
          </w:p>
          <w:p w:rsidR="00A06298" w:rsidP="007115F7" w14:paraId="079272E1" w14:textId="7B6D60C6">
            <w:pPr>
              <w:tabs>
                <w:tab w:val="center" w:pos="4680"/>
              </w:tabs>
              <w:suppressAutoHyphens/>
              <w:rPr>
                <w:spacing w:val="-2"/>
              </w:rPr>
            </w:pPr>
            <w:r>
              <w:rPr>
                <w:spacing w:val="-2"/>
              </w:rPr>
              <w:t>DKQLS</w:t>
            </w:r>
            <w:r>
              <w:rPr>
                <w:spacing w:val="-2"/>
              </w:rPr>
              <w:t xml:space="preserve">-LP, </w:t>
            </w:r>
            <w:r>
              <w:rPr>
                <w:spacing w:val="-2"/>
              </w:rPr>
              <w:t>Las Vegas, Nevada</w:t>
            </w:r>
          </w:p>
          <w:p w:rsidR="00A06298" w:rsidP="007115F7" w14:paraId="184DD1FF" w14:textId="77777777">
            <w:pPr>
              <w:tabs>
                <w:tab w:val="center" w:pos="4680"/>
              </w:tabs>
              <w:suppressAutoHyphens/>
              <w:rPr>
                <w:spacing w:val="-2"/>
              </w:rPr>
            </w:pPr>
          </w:p>
          <w:p w:rsidR="00A06298" w:rsidP="007115F7" w14:paraId="7C7DD636" w14:textId="24AEE5C7">
            <w:pPr>
              <w:tabs>
                <w:tab w:val="center" w:pos="4680"/>
              </w:tabs>
              <w:suppressAutoHyphens/>
              <w:rPr>
                <w:spacing w:val="-2"/>
              </w:rPr>
            </w:pPr>
            <w:r>
              <w:rPr>
                <w:spacing w:val="-2"/>
              </w:rPr>
              <w:t xml:space="preserve">Application for </w:t>
            </w:r>
            <w:r w:rsidR="0016162B">
              <w:rPr>
                <w:spacing w:val="-2"/>
              </w:rPr>
              <w:t>a Low Power FM</w:t>
            </w:r>
            <w:r>
              <w:rPr>
                <w:spacing w:val="-2"/>
              </w:rPr>
              <w:t xml:space="preserve"> License</w:t>
            </w:r>
            <w:r w:rsidR="0016162B">
              <w:rPr>
                <w:spacing w:val="-2"/>
              </w:rPr>
              <w:t xml:space="preserve"> Broadcast Station License</w:t>
            </w:r>
          </w:p>
          <w:p w:rsidR="00A06298" w:rsidP="007115F7" w14:paraId="028FC6C3" w14:textId="77777777">
            <w:pPr>
              <w:tabs>
                <w:tab w:val="center" w:pos="4680"/>
              </w:tabs>
              <w:suppressAutoHyphens/>
              <w:rPr>
                <w:spacing w:val="-2"/>
              </w:rPr>
            </w:pPr>
          </w:p>
          <w:p w:rsidR="00A06298" w:rsidRPr="007115F7" w:rsidP="007115F7" w14:paraId="60C8E51B" w14:textId="063A6A52">
            <w:pPr>
              <w:tabs>
                <w:tab w:val="center" w:pos="4680"/>
              </w:tabs>
              <w:suppressAutoHyphens/>
              <w:rPr>
                <w:spacing w:val="-2"/>
              </w:rPr>
            </w:pPr>
            <w:r>
              <w:rPr>
                <w:spacing w:val="-2"/>
              </w:rPr>
              <w:t xml:space="preserve">Application for Modification </w:t>
            </w:r>
            <w:r w:rsidR="00A73592">
              <w:rPr>
                <w:spacing w:val="-2"/>
              </w:rPr>
              <w:t xml:space="preserve">to Transmission Parameters of </w:t>
            </w:r>
            <w:r w:rsidR="00234596">
              <w:rPr>
                <w:spacing w:val="-2"/>
              </w:rPr>
              <w:t>Licensed F</w:t>
            </w:r>
            <w:r w:rsidR="00F85951">
              <w:rPr>
                <w:spacing w:val="-2"/>
              </w:rPr>
              <w:t>a</w:t>
            </w:r>
            <w:r w:rsidR="00234596">
              <w:rPr>
                <w:spacing w:val="-2"/>
              </w:rPr>
              <w:t>cility</w:t>
            </w:r>
          </w:p>
        </w:tc>
        <w:tc>
          <w:tcPr>
            <w:tcW w:w="630" w:type="dxa"/>
          </w:tcPr>
          <w:p w:rsidR="004C2EE3" w14:paraId="160A147B" w14:textId="77777777">
            <w:pPr>
              <w:tabs>
                <w:tab w:val="center" w:pos="4680"/>
              </w:tabs>
              <w:suppressAutoHyphens/>
              <w:rPr>
                <w:b/>
                <w:spacing w:val="-2"/>
              </w:rPr>
            </w:pPr>
            <w:r>
              <w:rPr>
                <w:b/>
                <w:spacing w:val="-2"/>
              </w:rPr>
              <w:t>)</w:t>
            </w:r>
          </w:p>
          <w:p w:rsidR="004C2EE3" w14:paraId="1BC06ABC" w14:textId="77777777">
            <w:pPr>
              <w:tabs>
                <w:tab w:val="center" w:pos="4680"/>
              </w:tabs>
              <w:suppressAutoHyphens/>
              <w:rPr>
                <w:b/>
                <w:spacing w:val="-2"/>
              </w:rPr>
            </w:pPr>
            <w:r>
              <w:rPr>
                <w:b/>
                <w:spacing w:val="-2"/>
              </w:rPr>
              <w:t>)</w:t>
            </w:r>
          </w:p>
          <w:p w:rsidR="004C2EE3" w14:paraId="3FCB5CAE" w14:textId="77777777">
            <w:pPr>
              <w:tabs>
                <w:tab w:val="center" w:pos="4680"/>
              </w:tabs>
              <w:suppressAutoHyphens/>
              <w:rPr>
                <w:b/>
                <w:spacing w:val="-2"/>
              </w:rPr>
            </w:pPr>
            <w:r>
              <w:rPr>
                <w:b/>
                <w:spacing w:val="-2"/>
              </w:rPr>
              <w:t>)</w:t>
            </w:r>
          </w:p>
          <w:p w:rsidR="004C2EE3" w14:paraId="77AF4365" w14:textId="77777777">
            <w:pPr>
              <w:tabs>
                <w:tab w:val="center" w:pos="4680"/>
              </w:tabs>
              <w:suppressAutoHyphens/>
              <w:rPr>
                <w:b/>
                <w:spacing w:val="-2"/>
              </w:rPr>
            </w:pPr>
            <w:r>
              <w:rPr>
                <w:b/>
                <w:spacing w:val="-2"/>
              </w:rPr>
              <w:t>)</w:t>
            </w:r>
          </w:p>
          <w:p w:rsidR="004C2EE3" w14:paraId="19B95EC6" w14:textId="77777777">
            <w:pPr>
              <w:tabs>
                <w:tab w:val="center" w:pos="4680"/>
              </w:tabs>
              <w:suppressAutoHyphens/>
              <w:rPr>
                <w:b/>
                <w:spacing w:val="-2"/>
              </w:rPr>
            </w:pPr>
            <w:r>
              <w:rPr>
                <w:b/>
                <w:spacing w:val="-2"/>
              </w:rPr>
              <w:t>)</w:t>
            </w:r>
          </w:p>
          <w:p w:rsidR="004C2EE3" w14:paraId="777586C0" w14:textId="77777777">
            <w:pPr>
              <w:tabs>
                <w:tab w:val="center" w:pos="4680"/>
              </w:tabs>
              <w:suppressAutoHyphens/>
              <w:rPr>
                <w:b/>
                <w:spacing w:val="-2"/>
              </w:rPr>
            </w:pPr>
            <w:r>
              <w:rPr>
                <w:b/>
                <w:spacing w:val="-2"/>
              </w:rPr>
              <w:t>)</w:t>
            </w:r>
          </w:p>
          <w:p w:rsidR="004C2EE3" w14:paraId="72BF761F" w14:textId="77777777">
            <w:pPr>
              <w:tabs>
                <w:tab w:val="center" w:pos="4680"/>
              </w:tabs>
              <w:suppressAutoHyphens/>
              <w:rPr>
                <w:b/>
                <w:spacing w:val="-2"/>
              </w:rPr>
            </w:pPr>
            <w:r>
              <w:rPr>
                <w:b/>
                <w:spacing w:val="-2"/>
              </w:rPr>
              <w:t>)</w:t>
            </w:r>
          </w:p>
          <w:p w:rsidR="004C2EE3" w14:paraId="36238590" w14:textId="77777777">
            <w:pPr>
              <w:tabs>
                <w:tab w:val="center" w:pos="4680"/>
              </w:tabs>
              <w:suppressAutoHyphens/>
              <w:rPr>
                <w:b/>
                <w:spacing w:val="-2"/>
              </w:rPr>
            </w:pPr>
            <w:r>
              <w:rPr>
                <w:b/>
                <w:spacing w:val="-2"/>
              </w:rPr>
              <w:t>)</w:t>
            </w:r>
          </w:p>
          <w:p w:rsidR="004C2EE3" w14:paraId="0BC7BA5C" w14:textId="77777777">
            <w:pPr>
              <w:tabs>
                <w:tab w:val="center" w:pos="4680"/>
              </w:tabs>
              <w:suppressAutoHyphens/>
              <w:rPr>
                <w:b/>
                <w:spacing w:val="-2"/>
              </w:rPr>
            </w:pPr>
            <w:r>
              <w:rPr>
                <w:b/>
                <w:spacing w:val="-2"/>
              </w:rPr>
              <w:t>)</w:t>
            </w:r>
          </w:p>
          <w:p w:rsidR="00A06298" w14:paraId="3D388DDC" w14:textId="77777777">
            <w:pPr>
              <w:tabs>
                <w:tab w:val="center" w:pos="4680"/>
              </w:tabs>
              <w:suppressAutoHyphens/>
              <w:rPr>
                <w:b/>
                <w:spacing w:val="-2"/>
              </w:rPr>
            </w:pPr>
            <w:r>
              <w:rPr>
                <w:b/>
                <w:spacing w:val="-2"/>
              </w:rPr>
              <w:t>)</w:t>
            </w:r>
          </w:p>
          <w:p w:rsidR="0016162B" w14:paraId="0845151F" w14:textId="3DA6F70E">
            <w:pPr>
              <w:tabs>
                <w:tab w:val="center" w:pos="4680"/>
              </w:tabs>
              <w:suppressAutoHyphens/>
              <w:rPr>
                <w:spacing w:val="-2"/>
              </w:rPr>
            </w:pPr>
            <w:r>
              <w:rPr>
                <w:b/>
                <w:spacing w:val="-2"/>
              </w:rPr>
              <w:t>)</w:t>
            </w:r>
          </w:p>
        </w:tc>
        <w:tc>
          <w:tcPr>
            <w:tcW w:w="4248" w:type="dxa"/>
          </w:tcPr>
          <w:p w:rsidR="004C2EE3" w14:paraId="5D47F47E" w14:textId="77777777">
            <w:pPr>
              <w:tabs>
                <w:tab w:val="center" w:pos="4680"/>
              </w:tabs>
              <w:suppressAutoHyphens/>
              <w:rPr>
                <w:spacing w:val="-2"/>
              </w:rPr>
            </w:pPr>
          </w:p>
          <w:p w:rsidR="004C2EE3" w14:paraId="2C7B6263" w14:textId="77777777">
            <w:pPr>
              <w:pStyle w:val="TOAHeading"/>
              <w:tabs>
                <w:tab w:val="center" w:pos="4680"/>
                <w:tab w:val="clear" w:pos="9360"/>
              </w:tabs>
              <w:rPr>
                <w:spacing w:val="-2"/>
              </w:rPr>
            </w:pPr>
          </w:p>
          <w:p w:rsidR="00A06298" w14:paraId="147A36ED" w14:textId="77777777">
            <w:pPr>
              <w:tabs>
                <w:tab w:val="center" w:pos="4680"/>
              </w:tabs>
              <w:suppressAutoHyphens/>
              <w:rPr>
                <w:spacing w:val="-2"/>
              </w:rPr>
            </w:pPr>
          </w:p>
          <w:p w:rsidR="00A06298" w14:paraId="2F99D619" w14:textId="77777777">
            <w:pPr>
              <w:tabs>
                <w:tab w:val="center" w:pos="4680"/>
              </w:tabs>
              <w:suppressAutoHyphens/>
              <w:rPr>
                <w:spacing w:val="-2"/>
              </w:rPr>
            </w:pPr>
          </w:p>
          <w:p w:rsidR="00A06298" w14:paraId="3BB7592B" w14:textId="42C5193A">
            <w:pPr>
              <w:tabs>
                <w:tab w:val="center" w:pos="4680"/>
              </w:tabs>
              <w:suppressAutoHyphens/>
              <w:rPr>
                <w:spacing w:val="-2"/>
              </w:rPr>
            </w:pPr>
            <w:r>
              <w:rPr>
                <w:spacing w:val="-2"/>
              </w:rPr>
              <w:t xml:space="preserve">Facility ID No. </w:t>
            </w:r>
            <w:r w:rsidR="0016162B">
              <w:rPr>
                <w:spacing w:val="-2"/>
              </w:rPr>
              <w:t>194198</w:t>
            </w:r>
          </w:p>
          <w:p w:rsidR="00A06298" w14:paraId="03E4A988" w14:textId="77777777">
            <w:pPr>
              <w:tabs>
                <w:tab w:val="center" w:pos="4680"/>
              </w:tabs>
              <w:suppressAutoHyphens/>
              <w:rPr>
                <w:spacing w:val="-2"/>
              </w:rPr>
            </w:pPr>
          </w:p>
          <w:p w:rsidR="00A06298" w14:paraId="764870E3" w14:textId="11092769">
            <w:pPr>
              <w:tabs>
                <w:tab w:val="center" w:pos="4680"/>
              </w:tabs>
              <w:suppressAutoHyphens/>
              <w:rPr>
                <w:spacing w:val="-2"/>
              </w:rPr>
            </w:pPr>
            <w:r>
              <w:rPr>
                <w:spacing w:val="-2"/>
              </w:rPr>
              <w:t>File No. BLL-</w:t>
            </w:r>
            <w:r w:rsidR="00234596">
              <w:rPr>
                <w:spacing w:val="-2"/>
              </w:rPr>
              <w:t>20171120AAB</w:t>
            </w:r>
          </w:p>
          <w:p w:rsidR="004C2EE3" w14:paraId="541FB44B" w14:textId="77777777">
            <w:pPr>
              <w:tabs>
                <w:tab w:val="center" w:pos="4680"/>
              </w:tabs>
              <w:suppressAutoHyphens/>
              <w:rPr>
                <w:spacing w:val="-2"/>
              </w:rPr>
            </w:pPr>
            <w:r>
              <w:rPr>
                <w:spacing w:val="-2"/>
              </w:rPr>
              <w:t xml:space="preserve"> </w:t>
            </w:r>
          </w:p>
          <w:p w:rsidR="0016162B" w14:paraId="160FF7F1" w14:textId="77777777">
            <w:pPr>
              <w:tabs>
                <w:tab w:val="center" w:pos="4680"/>
              </w:tabs>
              <w:suppressAutoHyphens/>
              <w:rPr>
                <w:spacing w:val="-2"/>
              </w:rPr>
            </w:pPr>
          </w:p>
          <w:p w:rsidR="00A06298" w14:paraId="5F547696" w14:textId="64B1DA48">
            <w:pPr>
              <w:tabs>
                <w:tab w:val="center" w:pos="4680"/>
              </w:tabs>
              <w:suppressAutoHyphens/>
              <w:rPr>
                <w:spacing w:val="-2"/>
              </w:rPr>
            </w:pPr>
            <w:r>
              <w:rPr>
                <w:spacing w:val="-2"/>
              </w:rPr>
              <w:t xml:space="preserve">File No. </w:t>
            </w:r>
            <w:r w:rsidR="00B72E4C">
              <w:rPr>
                <w:spacing w:val="-2"/>
              </w:rPr>
              <w:t>BMLL-20190809AAL</w:t>
            </w:r>
          </w:p>
        </w:tc>
      </w:tr>
    </w:tbl>
    <w:p w:rsidR="004C2EE3" w:rsidP="0070224F" w14:paraId="78F19DB4" w14:textId="77777777"/>
    <w:p w:rsidR="00841AB1" w:rsidP="00F021FA" w14:paraId="683C06DD" w14:textId="77777777">
      <w:pPr>
        <w:pStyle w:val="StyleBoldCentered"/>
      </w:pPr>
      <w:r>
        <w:t>memorandum opinion and order</w:t>
      </w:r>
    </w:p>
    <w:p w:rsidR="004C2EE3" w14:paraId="61E02B84" w14:textId="77777777">
      <w:pPr>
        <w:tabs>
          <w:tab w:val="left" w:pos="-720"/>
        </w:tabs>
        <w:suppressAutoHyphens/>
        <w:spacing w:line="227" w:lineRule="auto"/>
        <w:rPr>
          <w:spacing w:val="-2"/>
        </w:rPr>
      </w:pPr>
    </w:p>
    <w:p w:rsidR="004C2EE3" w:rsidP="00133F79" w14:paraId="6FF261FC" w14:textId="2DF9A965">
      <w:pPr>
        <w:tabs>
          <w:tab w:val="left" w:pos="720"/>
          <w:tab w:val="right" w:pos="9360"/>
        </w:tabs>
        <w:suppressAutoHyphens/>
        <w:spacing w:line="227" w:lineRule="auto"/>
        <w:rPr>
          <w:spacing w:val="-2"/>
        </w:rPr>
      </w:pPr>
      <w:r>
        <w:rPr>
          <w:b/>
          <w:spacing w:val="-2"/>
        </w:rPr>
        <w:t xml:space="preserve">Adopted:  </w:t>
      </w:r>
      <w:r w:rsidR="00CB42AD">
        <w:rPr>
          <w:b/>
          <w:spacing w:val="-2"/>
        </w:rPr>
        <w:t>January</w:t>
      </w:r>
      <w:r w:rsidR="00552993">
        <w:rPr>
          <w:b/>
          <w:spacing w:val="-2"/>
        </w:rPr>
        <w:t xml:space="preserve"> </w:t>
      </w:r>
      <w:r w:rsidR="002E4E3B">
        <w:rPr>
          <w:b/>
          <w:spacing w:val="-2"/>
        </w:rPr>
        <w:t>1</w:t>
      </w:r>
      <w:r w:rsidR="00EF1227">
        <w:rPr>
          <w:b/>
          <w:spacing w:val="-2"/>
        </w:rPr>
        <w:t>5</w:t>
      </w:r>
      <w:r w:rsidR="00552993">
        <w:rPr>
          <w:b/>
          <w:spacing w:val="-2"/>
        </w:rPr>
        <w:t>, 20</w:t>
      </w:r>
      <w:r w:rsidR="00CB42AD">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B42AD">
        <w:rPr>
          <w:b/>
          <w:spacing w:val="-2"/>
        </w:rPr>
        <w:t>January</w:t>
      </w:r>
      <w:r w:rsidR="00552993">
        <w:rPr>
          <w:b/>
          <w:spacing w:val="-2"/>
        </w:rPr>
        <w:t xml:space="preserve"> </w:t>
      </w:r>
      <w:r w:rsidR="002E4E3B">
        <w:rPr>
          <w:b/>
          <w:spacing w:val="-2"/>
        </w:rPr>
        <w:t>1</w:t>
      </w:r>
      <w:r w:rsidR="00EF1227">
        <w:rPr>
          <w:b/>
          <w:spacing w:val="-2"/>
        </w:rPr>
        <w:t>5</w:t>
      </w:r>
      <w:r w:rsidR="00552993">
        <w:rPr>
          <w:b/>
          <w:spacing w:val="-2"/>
        </w:rPr>
        <w:t>, 20</w:t>
      </w:r>
      <w:r w:rsidR="00CB42AD">
        <w:rPr>
          <w:b/>
          <w:spacing w:val="-2"/>
        </w:rPr>
        <w:t>20</w:t>
      </w:r>
    </w:p>
    <w:p w:rsidR="00822CE0" w14:paraId="40A5E420" w14:textId="77777777"/>
    <w:p w:rsidR="004C2EE3" w14:paraId="372D88E6" w14:textId="23E44C6F">
      <w:pPr>
        <w:rPr>
          <w:spacing w:val="-2"/>
        </w:rPr>
      </w:pPr>
      <w:r>
        <w:t xml:space="preserve">By </w:t>
      </w:r>
      <w:r w:rsidR="004E4A22">
        <w:t>the</w:t>
      </w:r>
      <w:r w:rsidR="002A2D2E">
        <w:t xml:space="preserve"> </w:t>
      </w:r>
      <w:r w:rsidR="00590FDC">
        <w:rPr>
          <w:spacing w:val="-2"/>
        </w:rPr>
        <w:t>Chief, Media Bureau</w:t>
      </w:r>
      <w:r>
        <w:rPr>
          <w:spacing w:val="-2"/>
        </w:rPr>
        <w:t>:</w:t>
      </w:r>
    </w:p>
    <w:p w:rsidR="00822CE0" w14:paraId="68E9C142" w14:textId="77777777">
      <w:pPr>
        <w:rPr>
          <w:spacing w:val="-2"/>
        </w:rPr>
      </w:pPr>
    </w:p>
    <w:p w:rsidR="00412FC5" w:rsidP="00C36B4C" w14:paraId="6AA7FBC8" w14:textId="77777777">
      <w:pPr>
        <w:pStyle w:val="Heading1"/>
      </w:pPr>
      <w:r>
        <w:t>introduction</w:t>
      </w:r>
    </w:p>
    <w:p w:rsidR="00E42708" w:rsidP="0045457F" w14:paraId="49731CB2" w14:textId="6596969F">
      <w:pPr>
        <w:pStyle w:val="ParaNum"/>
      </w:pPr>
      <w:r>
        <w:t>We have before us a Petition for Reconsideration</w:t>
      </w:r>
      <w:r w:rsidR="00674414">
        <w:t xml:space="preserve"> (Petition)</w:t>
      </w:r>
      <w:r w:rsidR="00402EF1">
        <w:t xml:space="preserve"> filed by Chinese Voice of Golden City</w:t>
      </w:r>
      <w:r w:rsidR="00674414">
        <w:t xml:space="preserve"> (CVGC).  Prior to December 13, 2018,</w:t>
      </w:r>
      <w:r w:rsidR="00402EF1">
        <w:t xml:space="preserve"> </w:t>
      </w:r>
      <w:r w:rsidR="00674414">
        <w:t>CVGC</w:t>
      </w:r>
      <w:r w:rsidR="00402EF1">
        <w:t xml:space="preserve"> </w:t>
      </w:r>
      <w:r w:rsidR="00344E5D">
        <w:t xml:space="preserve">held a license </w:t>
      </w:r>
      <w:r w:rsidR="001A509F">
        <w:t>to operate KQLS-LP, Las Vegas, Nevada (Station)</w:t>
      </w:r>
      <w:r w:rsidR="00674414">
        <w:t>.</w:t>
      </w:r>
      <w:r>
        <w:rPr>
          <w:rStyle w:val="FootnoteReference"/>
        </w:rPr>
        <w:footnoteReference w:id="3"/>
      </w:r>
      <w:r w:rsidR="00674414">
        <w:t xml:space="preserve">  CVGC </w:t>
      </w:r>
      <w:r w:rsidR="004B5BDF">
        <w:t>seeks reconsideration of a Media Bureau (Bureau) letter decision</w:t>
      </w:r>
      <w:r w:rsidR="00EF4352">
        <w:t>, which found the Station’s license had expired as a matter of law on December 13, 2018</w:t>
      </w:r>
      <w:r w:rsidR="00654CCA">
        <w:t>, dismissed CVGC</w:t>
      </w:r>
      <w:r w:rsidR="00E82676">
        <w:t xml:space="preserve">’s application to modify the Station’s license to reflect the fact that the Station was constructed at </w:t>
      </w:r>
      <w:r w:rsidR="00CF57C9">
        <w:t>geographic coordinates different from those</w:t>
      </w:r>
      <w:r w:rsidR="0045457F">
        <w:t xml:space="preserve"> specified in the Station’s license (</w:t>
      </w:r>
      <w:r w:rsidR="00CF57C9">
        <w:t>and</w:t>
      </w:r>
      <w:r w:rsidR="0045457F">
        <w:t xml:space="preserve"> the construction permit which that license covered)</w:t>
      </w:r>
      <w:r w:rsidR="00BD276F">
        <w:t xml:space="preserve">, and </w:t>
      </w:r>
      <w:r w:rsidR="006E6E12">
        <w:t xml:space="preserve">dismissed </w:t>
      </w:r>
      <w:r w:rsidR="00BD276F">
        <w:t xml:space="preserve">its request for special temporary authority (STA Request) to </w:t>
      </w:r>
      <w:r w:rsidR="00590FDC">
        <w:t>operate from the site in use</w:t>
      </w:r>
      <w:r w:rsidR="0045457F">
        <w:t>.</w:t>
      </w:r>
      <w:r>
        <w:rPr>
          <w:rStyle w:val="FootnoteReference"/>
        </w:rPr>
        <w:footnoteReference w:id="4"/>
      </w:r>
      <w:r w:rsidR="0045457F">
        <w:t xml:space="preserve">  </w:t>
      </w:r>
      <w:r w:rsidR="00AB4202">
        <w:t>For the reason</w:t>
      </w:r>
      <w:r w:rsidR="000B1C4B">
        <w:t>s</w:t>
      </w:r>
      <w:r w:rsidR="00AB4202">
        <w:t xml:space="preserve"> discussed below</w:t>
      </w:r>
      <w:r w:rsidR="00590FDC">
        <w:t>,</w:t>
      </w:r>
      <w:r w:rsidR="00AB4202">
        <w:t xml:space="preserve"> we </w:t>
      </w:r>
      <w:r w:rsidR="0045457F">
        <w:t>deny the Petition</w:t>
      </w:r>
      <w:r w:rsidR="00042175">
        <w:t>.</w:t>
      </w:r>
      <w:r w:rsidR="00AB4202">
        <w:t xml:space="preserve">  </w:t>
      </w:r>
    </w:p>
    <w:p w:rsidR="00E42708" w:rsidP="00E42708" w14:paraId="6020A7DD" w14:textId="77777777">
      <w:pPr>
        <w:pStyle w:val="Heading1"/>
      </w:pPr>
      <w:r>
        <w:t>Background</w:t>
      </w:r>
    </w:p>
    <w:p w:rsidR="00E51AC1" w:rsidRPr="0081459B" w:rsidP="00552E96" w14:paraId="48169314" w14:textId="5B10BDA7">
      <w:pPr>
        <w:pStyle w:val="ParaNum"/>
        <w:widowControl/>
        <w:rPr>
          <w:szCs w:val="22"/>
        </w:rPr>
      </w:pPr>
      <w:r>
        <w:t xml:space="preserve">CVGC </w:t>
      </w:r>
      <w:r w:rsidR="00E5733B">
        <w:t>applied for a construction permit</w:t>
      </w:r>
      <w:r w:rsidR="006B7169">
        <w:t xml:space="preserve"> (Permit)</w:t>
      </w:r>
      <w:r w:rsidR="00E5733B">
        <w:t xml:space="preserve"> for a new LPFM station at Las Vegas, Nevada, on November 15, 20</w:t>
      </w:r>
      <w:r w:rsidR="00A20278">
        <w:t>13.</w:t>
      </w:r>
      <w:r>
        <w:rPr>
          <w:rStyle w:val="FootnoteReference"/>
          <w:szCs w:val="22"/>
        </w:rPr>
        <w:footnoteReference w:id="5"/>
      </w:r>
      <w:r w:rsidR="00A20278">
        <w:t xml:space="preserve">  Because </w:t>
      </w:r>
      <w:r w:rsidR="002260E2">
        <w:t>the facilities CVGC proposed did not comply with the second-adjacent channel minimum distance separation requirements set forth in section 73.807 of the Commission’s rules (Rules)</w:t>
      </w:r>
      <w:r w:rsidR="00AE2ECC">
        <w:t xml:space="preserve"> with respect to KISF(FM), Las Vegas, Nevada, and </w:t>
      </w:r>
      <w:r w:rsidR="00281C66">
        <w:t>KCYE(FM), Boulder City, Nevada</w:t>
      </w:r>
      <w:r w:rsidR="002260E2">
        <w:t>,</w:t>
      </w:r>
      <w:r>
        <w:rPr>
          <w:rStyle w:val="FootnoteReference"/>
        </w:rPr>
        <w:footnoteReference w:id="6"/>
      </w:r>
      <w:r w:rsidR="002260E2">
        <w:t xml:space="preserve"> CVGC requested a</w:t>
      </w:r>
      <w:r>
        <w:t xml:space="preserve"> waiver of those requirements</w:t>
      </w:r>
      <w:r w:rsidR="003137E8">
        <w:t>.  In support of its waiver request, CVGC submi</w:t>
      </w:r>
      <w:r w:rsidR="007D7518">
        <w:t xml:space="preserve">tted a technical exhibit </w:t>
      </w:r>
      <w:r w:rsidR="003E7E45">
        <w:t>that stated</w:t>
      </w:r>
      <w:r w:rsidR="007D7518">
        <w:t xml:space="preserve"> </w:t>
      </w:r>
      <w:r w:rsidR="00247D24">
        <w:t>the interference contour of the proposed facilities</w:t>
      </w:r>
      <w:r w:rsidR="003435E4">
        <w:t xml:space="preserve"> would extend no more than 24 meters </w:t>
      </w:r>
      <w:r w:rsidR="00502093">
        <w:t>in the direction of KISF(FM) and KCYE(FM)</w:t>
      </w:r>
      <w:r w:rsidR="003E7E45">
        <w:t>,</w:t>
      </w:r>
      <w:r w:rsidR="00622B10">
        <w:t xml:space="preserve"> </w:t>
      </w:r>
      <w:r w:rsidR="003E7E45">
        <w:t>asserted that “there are no dwellings within 24 meters of the proposed tower</w:t>
      </w:r>
      <w:r w:rsidR="00244E78">
        <w:t>,</w:t>
      </w:r>
      <w:r w:rsidR="00A17C50">
        <w:t>”</w:t>
      </w:r>
      <w:r w:rsidR="00244E78">
        <w:t xml:space="preserve"> and further alleged that </w:t>
      </w:r>
      <w:r w:rsidR="00A17C50">
        <w:t xml:space="preserve">the interference contour “is </w:t>
      </w:r>
      <w:r w:rsidR="00A17C50">
        <w:t>well above ground level.”</w:t>
      </w:r>
      <w:r>
        <w:rPr>
          <w:rStyle w:val="FootnoteReference"/>
        </w:rPr>
        <w:footnoteReference w:id="7"/>
      </w:r>
      <w:r w:rsidR="00F94034">
        <w:t xml:space="preserve">  </w:t>
      </w:r>
      <w:r w:rsidR="005D5A54">
        <w:t>The Bureau approved CVGC’s second-adjacent channel spacing waiver request based on this showing of no population within the 24-meter radius of the proposed Station’s interference contour.</w:t>
      </w:r>
      <w:r>
        <w:rPr>
          <w:rStyle w:val="FootnoteReference"/>
        </w:rPr>
        <w:footnoteReference w:id="8"/>
      </w:r>
    </w:p>
    <w:p w:rsidR="00011C06" w:rsidRPr="00011C06" w:rsidP="00E42708" w14:paraId="227A738B" w14:textId="45ABCE92">
      <w:pPr>
        <w:pStyle w:val="ParaNum"/>
      </w:pPr>
      <w:r>
        <w:rPr>
          <w:szCs w:val="22"/>
        </w:rPr>
        <w:t>The Bureau granted the Permit Application on</w:t>
      </w:r>
      <w:r w:rsidR="003C2F60">
        <w:rPr>
          <w:szCs w:val="22"/>
        </w:rPr>
        <w:t xml:space="preserve"> November 20, 2014</w:t>
      </w:r>
      <w:r w:rsidRPr="00E42708" w:rsidR="002E5FB5">
        <w:rPr>
          <w:szCs w:val="22"/>
        </w:rPr>
        <w:t>.</w:t>
      </w:r>
      <w:r>
        <w:rPr>
          <w:rStyle w:val="FootnoteReference"/>
          <w:szCs w:val="22"/>
        </w:rPr>
        <w:footnoteReference w:id="9"/>
      </w:r>
      <w:r w:rsidRPr="00E42708" w:rsidR="002E5FB5">
        <w:rPr>
          <w:szCs w:val="22"/>
        </w:rPr>
        <w:t xml:space="preserve">  </w:t>
      </w:r>
      <w:r w:rsidRPr="00BF6759" w:rsidR="00236755">
        <w:t>The Permit specifie</w:t>
      </w:r>
      <w:r w:rsidR="00236755">
        <w:t>d</w:t>
      </w:r>
      <w:r w:rsidRPr="00BF6759" w:rsidR="00236755">
        <w:t xml:space="preserve"> </w:t>
      </w:r>
      <w:r w:rsidR="00236755">
        <w:t>that the</w:t>
      </w:r>
      <w:r w:rsidR="0070149A">
        <w:t xml:space="preserve"> geographic</w:t>
      </w:r>
      <w:r w:rsidR="005A1C84">
        <w:t xml:space="preserve"> coordinates </w:t>
      </w:r>
      <w:r w:rsidR="0070149A">
        <w:t>for the Station’s antenna were</w:t>
      </w:r>
      <w:r w:rsidR="00236755">
        <w:t xml:space="preserve"> 36</w:t>
      </w:r>
      <w:r w:rsidR="00C63637">
        <w:t>º</w:t>
      </w:r>
      <w:r w:rsidR="00236755">
        <w:t>11</w:t>
      </w:r>
      <w:r w:rsidR="00C63637">
        <w:t>’</w:t>
      </w:r>
      <w:r w:rsidR="00236755">
        <w:t>24</w:t>
      </w:r>
      <w:r w:rsidR="00C63637">
        <w:t>”</w:t>
      </w:r>
      <w:r w:rsidR="00236755">
        <w:t>N, 115</w:t>
      </w:r>
      <w:r w:rsidR="00D77959">
        <w:t>º</w:t>
      </w:r>
      <w:r w:rsidR="00236755">
        <w:t>08</w:t>
      </w:r>
      <w:r w:rsidR="00D77959">
        <w:t>’</w:t>
      </w:r>
      <w:r w:rsidR="00236755">
        <w:t>35</w:t>
      </w:r>
      <w:r w:rsidR="00D77959">
        <w:t>”</w:t>
      </w:r>
      <w:r w:rsidR="00236755">
        <w:t>W</w:t>
      </w:r>
      <w:r w:rsidR="005D5A54">
        <w:t xml:space="preserve"> (Permit Site)</w:t>
      </w:r>
      <w:r w:rsidR="00236755">
        <w:t>.</w:t>
      </w:r>
      <w:r w:rsidR="00D77959">
        <w:t xml:space="preserve">  </w:t>
      </w:r>
      <w:r w:rsidRPr="00E42708" w:rsidR="009E72AA">
        <w:rPr>
          <w:szCs w:val="22"/>
        </w:rPr>
        <w:t xml:space="preserve">The construction deadline was </w:t>
      </w:r>
      <w:r w:rsidR="00993EBF">
        <w:rPr>
          <w:szCs w:val="22"/>
        </w:rPr>
        <w:t>November 20, 2017</w:t>
      </w:r>
      <w:r w:rsidRPr="00E42708" w:rsidR="009E72AA">
        <w:rPr>
          <w:szCs w:val="22"/>
        </w:rPr>
        <w:t>.</w:t>
      </w:r>
      <w:r>
        <w:rPr>
          <w:rStyle w:val="FootnoteReference"/>
          <w:szCs w:val="22"/>
        </w:rPr>
        <w:footnoteReference w:id="10"/>
      </w:r>
      <w:r w:rsidRPr="00E42708" w:rsidR="009E72AA">
        <w:rPr>
          <w:szCs w:val="22"/>
        </w:rPr>
        <w:t xml:space="preserve">  </w:t>
      </w:r>
      <w:r w:rsidR="00936262">
        <w:rPr>
          <w:szCs w:val="22"/>
        </w:rPr>
        <w:t>CVGC</w:t>
      </w:r>
      <w:r w:rsidRPr="00E42708" w:rsidR="002E5FB5">
        <w:rPr>
          <w:szCs w:val="22"/>
        </w:rPr>
        <w:t xml:space="preserve"> </w:t>
      </w:r>
      <w:r w:rsidR="009C5945">
        <w:rPr>
          <w:szCs w:val="22"/>
        </w:rPr>
        <w:t xml:space="preserve">timely filed an application </w:t>
      </w:r>
      <w:r>
        <w:rPr>
          <w:szCs w:val="22"/>
        </w:rPr>
        <w:t xml:space="preserve">(License Application) </w:t>
      </w:r>
      <w:r w:rsidR="009C5945">
        <w:rPr>
          <w:szCs w:val="22"/>
        </w:rPr>
        <w:t>for a license to cover the facilit</w:t>
      </w:r>
      <w:bookmarkStart w:id="0" w:name="_GoBack"/>
      <w:bookmarkEnd w:id="0"/>
      <w:r w:rsidR="009C5945">
        <w:rPr>
          <w:szCs w:val="22"/>
        </w:rPr>
        <w:t>ies authorized in the Permit</w:t>
      </w:r>
      <w:r>
        <w:rPr>
          <w:szCs w:val="22"/>
        </w:rPr>
        <w:t>.</w:t>
      </w:r>
      <w:r>
        <w:rPr>
          <w:rStyle w:val="FootnoteReference"/>
          <w:szCs w:val="22"/>
        </w:rPr>
        <w:footnoteReference w:id="11"/>
      </w:r>
      <w:r>
        <w:rPr>
          <w:szCs w:val="22"/>
        </w:rPr>
        <w:t xml:space="preserve">  Therein, CVGC certified </w:t>
      </w:r>
      <w:r w:rsidRPr="00E42708" w:rsidR="002E5FB5">
        <w:rPr>
          <w:szCs w:val="22"/>
        </w:rPr>
        <w:t xml:space="preserve">that it had constructed </w:t>
      </w:r>
      <w:r>
        <w:rPr>
          <w:szCs w:val="22"/>
        </w:rPr>
        <w:t xml:space="preserve">the Station </w:t>
      </w:r>
      <w:r w:rsidRPr="00E42708" w:rsidR="002E5FB5">
        <w:rPr>
          <w:szCs w:val="22"/>
        </w:rPr>
        <w:t xml:space="preserve">as authorized.  </w:t>
      </w:r>
      <w:r w:rsidR="00730135">
        <w:rPr>
          <w:szCs w:val="22"/>
        </w:rPr>
        <w:t xml:space="preserve">Staff granted the License Application on </w:t>
      </w:r>
      <w:r w:rsidR="00BA7174">
        <w:rPr>
          <w:szCs w:val="22"/>
        </w:rPr>
        <w:t>December 12, 201</w:t>
      </w:r>
      <w:r w:rsidR="00E53313">
        <w:rPr>
          <w:szCs w:val="22"/>
        </w:rPr>
        <w:t>7</w:t>
      </w:r>
      <w:r w:rsidR="00BA7174">
        <w:rPr>
          <w:szCs w:val="22"/>
        </w:rPr>
        <w:t>.</w:t>
      </w:r>
      <w:r>
        <w:rPr>
          <w:rStyle w:val="FootnoteReference"/>
          <w:szCs w:val="22"/>
        </w:rPr>
        <w:footnoteReference w:id="12"/>
      </w:r>
    </w:p>
    <w:p w:rsidR="007424FA" w:rsidRPr="007424FA" w:rsidP="007424FA" w14:paraId="74F1400B" w14:textId="59EACDA1">
      <w:pPr>
        <w:pStyle w:val="ParaNum"/>
        <w:rPr>
          <w:szCs w:val="22"/>
        </w:rPr>
      </w:pPr>
      <w:r>
        <w:rPr>
          <w:szCs w:val="22"/>
        </w:rPr>
        <w:t>Subsequently</w:t>
      </w:r>
      <w:r w:rsidRPr="00E42708" w:rsidR="009E72AA">
        <w:rPr>
          <w:szCs w:val="22"/>
        </w:rPr>
        <w:t xml:space="preserve">, </w:t>
      </w:r>
      <w:r>
        <w:rPr>
          <w:szCs w:val="22"/>
        </w:rPr>
        <w:t xml:space="preserve">on </w:t>
      </w:r>
      <w:r w:rsidR="001E4086">
        <w:rPr>
          <w:szCs w:val="22"/>
        </w:rPr>
        <w:t xml:space="preserve">August 9, 2019, </w:t>
      </w:r>
      <w:r>
        <w:rPr>
          <w:szCs w:val="22"/>
        </w:rPr>
        <w:t>CVGC</w:t>
      </w:r>
      <w:r w:rsidRPr="00E42708" w:rsidR="002E5FB5">
        <w:rPr>
          <w:szCs w:val="22"/>
        </w:rPr>
        <w:t xml:space="preserve"> </w:t>
      </w:r>
      <w:r w:rsidR="001E4086">
        <w:rPr>
          <w:szCs w:val="22"/>
        </w:rPr>
        <w:t>filed an application</w:t>
      </w:r>
      <w:r w:rsidR="00CF57C9">
        <w:rPr>
          <w:szCs w:val="22"/>
        </w:rPr>
        <w:t xml:space="preserve"> (License Modification Application)</w:t>
      </w:r>
      <w:r w:rsidR="001E4086">
        <w:rPr>
          <w:szCs w:val="22"/>
        </w:rPr>
        <w:t xml:space="preserve"> to modify the Station’s </w:t>
      </w:r>
      <w:r w:rsidRPr="00BD0747" w:rsidR="001E4086">
        <w:rPr>
          <w:szCs w:val="22"/>
        </w:rPr>
        <w:t>license.</w:t>
      </w:r>
      <w:r>
        <w:rPr>
          <w:rStyle w:val="FootnoteReference"/>
          <w:szCs w:val="22"/>
        </w:rPr>
        <w:footnoteReference w:id="13"/>
      </w:r>
      <w:r w:rsidRPr="00BD0747" w:rsidR="001E4086">
        <w:rPr>
          <w:szCs w:val="22"/>
        </w:rPr>
        <w:t xml:space="preserve">  </w:t>
      </w:r>
      <w:r w:rsidRPr="00BD0747" w:rsidR="009251DF">
        <w:rPr>
          <w:szCs w:val="22"/>
        </w:rPr>
        <w:t xml:space="preserve">Therein, CVGC </w:t>
      </w:r>
      <w:r w:rsidRPr="007424FA" w:rsidR="009251DF">
        <w:rPr>
          <w:szCs w:val="22"/>
        </w:rPr>
        <w:t>stated that it had “recently determined that the coordinates included in its License Application were in error by 256 feet</w:t>
      </w:r>
      <w:r w:rsidRPr="007424FA" w:rsidR="007570C9">
        <w:rPr>
          <w:szCs w:val="22"/>
        </w:rPr>
        <w:t>.”</w:t>
      </w:r>
      <w:r>
        <w:rPr>
          <w:rStyle w:val="FootnoteReference"/>
          <w:szCs w:val="22"/>
        </w:rPr>
        <w:footnoteReference w:id="14"/>
      </w:r>
      <w:r w:rsidRPr="007424FA" w:rsidR="007570C9">
        <w:rPr>
          <w:szCs w:val="22"/>
        </w:rPr>
        <w:t xml:space="preserve">  CVGC indicated that the correct coordinates were 36º11’21.6”N, 115º</w:t>
      </w:r>
      <w:r w:rsidRPr="007424FA" w:rsidR="00BD0747">
        <w:rPr>
          <w:szCs w:val="22"/>
        </w:rPr>
        <w:t>08’36.1</w:t>
      </w:r>
      <w:r w:rsidR="00ED51D2">
        <w:rPr>
          <w:szCs w:val="22"/>
        </w:rPr>
        <w:t>”</w:t>
      </w:r>
      <w:r w:rsidRPr="007424FA" w:rsidR="00BD0747">
        <w:rPr>
          <w:szCs w:val="22"/>
        </w:rPr>
        <w:t>W</w:t>
      </w:r>
      <w:r w:rsidR="005D5A54">
        <w:rPr>
          <w:szCs w:val="22"/>
        </w:rPr>
        <w:t xml:space="preserve"> (West Owens Avenue Site)</w:t>
      </w:r>
      <w:r w:rsidRPr="007424FA" w:rsidR="00BD0747">
        <w:rPr>
          <w:szCs w:val="22"/>
        </w:rPr>
        <w:t>.</w:t>
      </w:r>
      <w:r>
        <w:rPr>
          <w:rStyle w:val="FootnoteReference"/>
          <w:szCs w:val="22"/>
        </w:rPr>
        <w:footnoteReference w:id="15"/>
      </w:r>
      <w:r w:rsidRPr="007424FA" w:rsidR="00BD0747">
        <w:rPr>
          <w:szCs w:val="22"/>
        </w:rPr>
        <w:t xml:space="preserve">  </w:t>
      </w:r>
      <w:r w:rsidRPr="007424FA" w:rsidR="00D35CC6">
        <w:rPr>
          <w:szCs w:val="22"/>
        </w:rPr>
        <w:t>On October 22, 2019, CVGC filed</w:t>
      </w:r>
      <w:r w:rsidR="009A56AB">
        <w:rPr>
          <w:szCs w:val="22"/>
        </w:rPr>
        <w:t xml:space="preserve"> the STA Request</w:t>
      </w:r>
      <w:r w:rsidRPr="007424FA">
        <w:rPr>
          <w:szCs w:val="22"/>
        </w:rPr>
        <w:t>.</w:t>
      </w:r>
      <w:r>
        <w:rPr>
          <w:rStyle w:val="FootnoteReference"/>
          <w:szCs w:val="22"/>
        </w:rPr>
        <w:footnoteReference w:id="16"/>
      </w:r>
    </w:p>
    <w:p w:rsidR="0010255E" w:rsidRPr="0010255E" w:rsidP="00F9488D" w14:paraId="0BA5BF7E" w14:textId="4EB7CFBA">
      <w:pPr>
        <w:pStyle w:val="ParaNum"/>
      </w:pPr>
      <w:r w:rsidRPr="007424FA">
        <w:rPr>
          <w:szCs w:val="22"/>
        </w:rPr>
        <w:t xml:space="preserve">On </w:t>
      </w:r>
      <w:r w:rsidR="00E812FB">
        <w:t xml:space="preserve">November 19, </w:t>
      </w:r>
      <w:r w:rsidRPr="00E812FB" w:rsidR="000A52D0">
        <w:rPr>
          <w:szCs w:val="22"/>
        </w:rPr>
        <w:t>2019,</w:t>
      </w:r>
      <w:r w:rsidRPr="00E812FB" w:rsidR="002F7AB6">
        <w:rPr>
          <w:szCs w:val="22"/>
        </w:rPr>
        <w:t xml:space="preserve"> </w:t>
      </w:r>
      <w:r w:rsidRPr="00E812FB" w:rsidR="003A106E">
        <w:rPr>
          <w:szCs w:val="22"/>
        </w:rPr>
        <w:t xml:space="preserve">the Bureau </w:t>
      </w:r>
      <w:r w:rsidRPr="00E812FB" w:rsidR="002F7AB6">
        <w:rPr>
          <w:szCs w:val="22"/>
        </w:rPr>
        <w:t xml:space="preserve">issued </w:t>
      </w:r>
      <w:r w:rsidR="002F1D36">
        <w:rPr>
          <w:szCs w:val="22"/>
        </w:rPr>
        <w:t xml:space="preserve">the </w:t>
      </w:r>
      <w:r w:rsidRPr="000F7E4E" w:rsidR="002F1D36">
        <w:rPr>
          <w:i/>
          <w:szCs w:val="22"/>
        </w:rPr>
        <w:t>Letter Order</w:t>
      </w:r>
      <w:r w:rsidRPr="00E812FB" w:rsidR="002F7AB6">
        <w:rPr>
          <w:szCs w:val="22"/>
        </w:rPr>
        <w:t>.</w:t>
      </w:r>
      <w:r>
        <w:rPr>
          <w:szCs w:val="22"/>
        </w:rPr>
        <w:t xml:space="preserve">  The Bureau noted that the Commission’s records indicated that the Station had </w:t>
      </w:r>
      <w:r w:rsidR="00300AC3">
        <w:rPr>
          <w:szCs w:val="22"/>
        </w:rPr>
        <w:t xml:space="preserve">been operating from an unauthorized site since December 12, 2017.  </w:t>
      </w:r>
      <w:r w:rsidR="006834D0">
        <w:rPr>
          <w:szCs w:val="22"/>
        </w:rPr>
        <w:t xml:space="preserve">Based on this, the Bureau found that </w:t>
      </w:r>
      <w:r w:rsidR="000A3E02">
        <w:rPr>
          <w:szCs w:val="22"/>
        </w:rPr>
        <w:t>the Station’s license had expired pursuant to section 312(g) of the Communications Act of 1934, as amended (Act).</w:t>
      </w:r>
      <w:r>
        <w:rPr>
          <w:rStyle w:val="FootnoteReference"/>
          <w:szCs w:val="22"/>
        </w:rPr>
        <w:footnoteReference w:id="17"/>
      </w:r>
      <w:r w:rsidR="000A3E02">
        <w:rPr>
          <w:szCs w:val="22"/>
        </w:rPr>
        <w:t xml:space="preserve">  </w:t>
      </w:r>
      <w:r w:rsidR="00482B4C">
        <w:rPr>
          <w:szCs w:val="22"/>
        </w:rPr>
        <w:t>The Bureau indicated tha</w:t>
      </w:r>
      <w:r w:rsidR="00AC36E8">
        <w:rPr>
          <w:szCs w:val="22"/>
        </w:rPr>
        <w:t>t “the facts of this case do not support reinstatement of the license to promote fairness and equity.”</w:t>
      </w:r>
      <w:r>
        <w:rPr>
          <w:rStyle w:val="FootnoteReference"/>
          <w:szCs w:val="22"/>
        </w:rPr>
        <w:footnoteReference w:id="18"/>
      </w:r>
      <w:r w:rsidR="0076159A">
        <w:rPr>
          <w:szCs w:val="22"/>
        </w:rPr>
        <w:t xml:space="preserve">  In reaching this conclusion the Bureau noted that the Commission has exercised its statutory discretion to reinstate </w:t>
      </w:r>
      <w:r w:rsidR="0017514D">
        <w:rPr>
          <w:szCs w:val="22"/>
        </w:rPr>
        <w:t>a license that expired pursuant to section 312(g)  “only when failure to timely resume broadcasts was for a compelling reason beyond the licensee’s control.”</w:t>
      </w:r>
      <w:r>
        <w:rPr>
          <w:rStyle w:val="FootnoteReference"/>
          <w:szCs w:val="22"/>
        </w:rPr>
        <w:footnoteReference w:id="19"/>
      </w:r>
      <w:r w:rsidR="00F9488D">
        <w:t xml:space="preserve">  Finally, </w:t>
      </w:r>
      <w:r w:rsidR="00F9488D">
        <w:rPr>
          <w:szCs w:val="22"/>
        </w:rPr>
        <w:t>t</w:t>
      </w:r>
      <w:r w:rsidRPr="00F9488D" w:rsidR="00D83D4E">
        <w:rPr>
          <w:szCs w:val="22"/>
        </w:rPr>
        <w:t xml:space="preserve">he Bureau </w:t>
      </w:r>
      <w:r w:rsidR="00F9488D">
        <w:rPr>
          <w:szCs w:val="22"/>
        </w:rPr>
        <w:t>noted</w:t>
      </w:r>
      <w:r w:rsidRPr="00F9488D" w:rsidR="006834D0">
        <w:rPr>
          <w:szCs w:val="22"/>
        </w:rPr>
        <w:t xml:space="preserve"> that “CVGC improperly requested to make the coordinate change on an application for modification of license</w:t>
      </w:r>
      <w:r w:rsidR="00C225FC">
        <w:rPr>
          <w:szCs w:val="22"/>
        </w:rPr>
        <w:t>,</w:t>
      </w:r>
      <w:r w:rsidRPr="00F9488D" w:rsidR="00C655D3">
        <w:rPr>
          <w:szCs w:val="22"/>
        </w:rPr>
        <w:t>”</w:t>
      </w:r>
      <w:r w:rsidR="00BC792B">
        <w:rPr>
          <w:szCs w:val="22"/>
        </w:rPr>
        <w:t xml:space="preserve"> citing section 73.875(b)(2).</w:t>
      </w:r>
      <w:r>
        <w:rPr>
          <w:rStyle w:val="FootnoteReference"/>
          <w:szCs w:val="22"/>
        </w:rPr>
        <w:footnoteReference w:id="20"/>
      </w:r>
      <w:r w:rsidRPr="00F9488D" w:rsidR="00C655D3">
        <w:rPr>
          <w:szCs w:val="22"/>
        </w:rPr>
        <w:t xml:space="preserve"> </w:t>
      </w:r>
      <w:r w:rsidR="00C225FC">
        <w:rPr>
          <w:szCs w:val="22"/>
        </w:rPr>
        <w:t xml:space="preserve"> </w:t>
      </w:r>
      <w:r w:rsidR="00F9488D">
        <w:rPr>
          <w:szCs w:val="22"/>
        </w:rPr>
        <w:t xml:space="preserve">Based on these findings, the Bureau </w:t>
      </w:r>
      <w:r w:rsidR="0059021F">
        <w:rPr>
          <w:szCs w:val="22"/>
        </w:rPr>
        <w:t xml:space="preserve">modified the Commission’s databases to </w:t>
      </w:r>
      <w:r w:rsidR="0059021F">
        <w:rPr>
          <w:szCs w:val="22"/>
        </w:rPr>
        <w:t>reflect expiration of the Station’s license and deleted the Station’s call sign.  It also dismissed the License Modification Application and the STA Request.</w:t>
      </w:r>
    </w:p>
    <w:p w:rsidR="005D5A54" w:rsidP="00552E96" w14:paraId="5CDC1238" w14:textId="17232CD2">
      <w:pPr>
        <w:pStyle w:val="ParaNum"/>
        <w:widowControl/>
        <w:rPr>
          <w:szCs w:val="22"/>
        </w:rPr>
      </w:pPr>
      <w:r>
        <w:rPr>
          <w:szCs w:val="22"/>
        </w:rPr>
        <w:t>CVGC then filed the Petition</w:t>
      </w:r>
      <w:r w:rsidR="00B2521F">
        <w:rPr>
          <w:szCs w:val="22"/>
        </w:rPr>
        <w:t xml:space="preserve">, arguing </w:t>
      </w:r>
      <w:r w:rsidR="00152F40">
        <w:rPr>
          <w:szCs w:val="22"/>
        </w:rPr>
        <w:t xml:space="preserve">that the </w:t>
      </w:r>
      <w:r w:rsidRPr="000F7E4E" w:rsidR="00152F40">
        <w:rPr>
          <w:i/>
          <w:szCs w:val="22"/>
        </w:rPr>
        <w:t>Letter Order</w:t>
      </w:r>
      <w:r w:rsidR="00152F40">
        <w:rPr>
          <w:szCs w:val="22"/>
        </w:rPr>
        <w:t xml:space="preserve">: </w:t>
      </w:r>
      <w:r w:rsidR="00720734">
        <w:rPr>
          <w:szCs w:val="22"/>
        </w:rPr>
        <w:t xml:space="preserve"> </w:t>
      </w:r>
      <w:r w:rsidR="00152F40">
        <w:rPr>
          <w:szCs w:val="22"/>
        </w:rPr>
        <w:t>(</w:t>
      </w:r>
      <w:r w:rsidR="00532C8B">
        <w:rPr>
          <w:szCs w:val="22"/>
        </w:rPr>
        <w:t>a</w:t>
      </w:r>
      <w:r w:rsidR="00152F40">
        <w:rPr>
          <w:szCs w:val="22"/>
        </w:rPr>
        <w:t xml:space="preserve">) </w:t>
      </w:r>
      <w:r w:rsidR="00653657">
        <w:rPr>
          <w:szCs w:val="22"/>
        </w:rPr>
        <w:t>relie</w:t>
      </w:r>
      <w:r w:rsidR="002A07C6">
        <w:rPr>
          <w:szCs w:val="22"/>
        </w:rPr>
        <w:t>s</w:t>
      </w:r>
      <w:r w:rsidR="00653657">
        <w:rPr>
          <w:szCs w:val="22"/>
        </w:rPr>
        <w:t xml:space="preserve"> on the wrong licensed coordinates; (</w:t>
      </w:r>
      <w:r w:rsidR="005F5B68">
        <w:rPr>
          <w:szCs w:val="22"/>
        </w:rPr>
        <w:t>b</w:t>
      </w:r>
      <w:r w:rsidR="00653657">
        <w:rPr>
          <w:szCs w:val="22"/>
        </w:rPr>
        <w:t>)</w:t>
      </w:r>
      <w:r w:rsidR="00296370">
        <w:rPr>
          <w:szCs w:val="22"/>
        </w:rPr>
        <w:t xml:space="preserve"> conflicts with section 73.1690(c)(11)</w:t>
      </w:r>
      <w:r w:rsidR="00936EA3">
        <w:rPr>
          <w:szCs w:val="22"/>
        </w:rPr>
        <w:t xml:space="preserve"> of the Rules</w:t>
      </w:r>
      <w:r w:rsidR="00C33F0B">
        <w:rPr>
          <w:szCs w:val="22"/>
        </w:rPr>
        <w:t>; (</w:t>
      </w:r>
      <w:r w:rsidR="005F5B68">
        <w:rPr>
          <w:szCs w:val="22"/>
        </w:rPr>
        <w:t>c</w:t>
      </w:r>
      <w:r w:rsidR="00C33F0B">
        <w:rPr>
          <w:szCs w:val="22"/>
        </w:rPr>
        <w:t>) contradicts Commission precedent; and (</w:t>
      </w:r>
      <w:r w:rsidR="005F5B68">
        <w:rPr>
          <w:szCs w:val="22"/>
        </w:rPr>
        <w:t>d</w:t>
      </w:r>
      <w:r w:rsidR="00C33F0B">
        <w:rPr>
          <w:szCs w:val="22"/>
        </w:rPr>
        <w:t xml:space="preserve">) </w:t>
      </w:r>
      <w:r w:rsidR="006F2A01">
        <w:rPr>
          <w:szCs w:val="22"/>
        </w:rPr>
        <w:t xml:space="preserve">errs in finding </w:t>
      </w:r>
      <w:r w:rsidR="00617A91">
        <w:rPr>
          <w:szCs w:val="22"/>
        </w:rPr>
        <w:t>that the facts do not support reinstatement of the license to promote fairness and equity</w:t>
      </w:r>
      <w:r w:rsidRPr="00E14DFA" w:rsidR="009A23EF">
        <w:rPr>
          <w:szCs w:val="22"/>
        </w:rPr>
        <w:t>.</w:t>
      </w:r>
      <w:r>
        <w:rPr>
          <w:rStyle w:val="FootnoteReference"/>
          <w:szCs w:val="22"/>
        </w:rPr>
        <w:footnoteReference w:id="21"/>
      </w:r>
    </w:p>
    <w:p w:rsidR="005F490C" w:rsidRPr="009C31BA" w:rsidP="00552E96" w14:paraId="3F977394" w14:textId="0380EF46">
      <w:pPr>
        <w:pStyle w:val="ParaNum"/>
        <w:widowControl/>
        <w:rPr>
          <w:szCs w:val="22"/>
        </w:rPr>
      </w:pPr>
      <w:r>
        <w:rPr>
          <w:szCs w:val="22"/>
        </w:rPr>
        <w:t>In connection with its consideration of the Petition and related pleadings, the Bureau reviewed certain records from an Enforcement Bureau (EB) investigation of the Station.  In particular, Bo Tian, President of CVGC, provided a detailed history of the Station’s site changes with a statement dated August 8, 2019, one day before</w:t>
      </w:r>
      <w:r w:rsidR="00F276F0">
        <w:rPr>
          <w:szCs w:val="22"/>
        </w:rPr>
        <w:t xml:space="preserve"> he certified and filed</w:t>
      </w:r>
      <w:r>
        <w:rPr>
          <w:szCs w:val="22"/>
        </w:rPr>
        <w:t xml:space="preserve"> the License Modification Application.</w:t>
      </w:r>
      <w:r>
        <w:rPr>
          <w:rStyle w:val="FootnoteReference"/>
          <w:szCs w:val="22"/>
        </w:rPr>
        <w:footnoteReference w:id="22"/>
      </w:r>
      <w:r w:rsidRPr="00E14DFA" w:rsidR="009A23EF">
        <w:rPr>
          <w:szCs w:val="22"/>
        </w:rPr>
        <w:t xml:space="preserve"> </w:t>
      </w:r>
      <w:r>
        <w:rPr>
          <w:szCs w:val="22"/>
        </w:rPr>
        <w:t xml:space="preserve"> The Tian Statement discloses that:  (a) the Station never operated from the Permit Site; (b) the Station was put into operation with mobile facilities at the West Owens Avenue Site on or about November 18, 2017; (c) </w:t>
      </w:r>
      <w:r w:rsidR="00AA3F4B">
        <w:rPr>
          <w:szCs w:val="22"/>
        </w:rPr>
        <w:t xml:space="preserve">on or about January 20, 2018, </w:t>
      </w:r>
      <w:r>
        <w:rPr>
          <w:szCs w:val="22"/>
        </w:rPr>
        <w:t>CV</w:t>
      </w:r>
      <w:r w:rsidR="00AA3F4B">
        <w:rPr>
          <w:szCs w:val="22"/>
        </w:rPr>
        <w:t xml:space="preserve">GC relocated the Station without Commission approval to </w:t>
      </w:r>
      <w:r w:rsidR="00CA16AE">
        <w:rPr>
          <w:szCs w:val="22"/>
        </w:rPr>
        <w:t xml:space="preserve">the rooftop of </w:t>
      </w:r>
      <w:r w:rsidR="00AA3F4B">
        <w:rPr>
          <w:szCs w:val="22"/>
        </w:rPr>
        <w:t>1707 East Charleston Boulevard (East Charleston Boulevard Site), “which is 2.27 miles from [the West Owens Avenue Site] but closer to Chinatown;”</w:t>
      </w:r>
      <w:r>
        <w:rPr>
          <w:rStyle w:val="FootnoteReference"/>
          <w:szCs w:val="22"/>
        </w:rPr>
        <w:footnoteReference w:id="23"/>
      </w:r>
      <w:r w:rsidRPr="00E14DFA" w:rsidR="009A23EF">
        <w:rPr>
          <w:szCs w:val="22"/>
        </w:rPr>
        <w:t xml:space="preserve"> </w:t>
      </w:r>
      <w:r w:rsidR="00AA3F4B">
        <w:rPr>
          <w:szCs w:val="22"/>
        </w:rPr>
        <w:t>and (d) following EB inspection</w:t>
      </w:r>
      <w:r w:rsidR="00F56D10">
        <w:rPr>
          <w:szCs w:val="22"/>
        </w:rPr>
        <w:t>s, including</w:t>
      </w:r>
      <w:r w:rsidR="00AA3F4B">
        <w:rPr>
          <w:szCs w:val="22"/>
        </w:rPr>
        <w:t xml:space="preserve"> in April of 2019, CVGC stopped operating from the East Charleston Boulevard Site and resumed operations with mobile facilities at the West Owens Avenue Site on or about May 2, 2019.</w:t>
      </w:r>
      <w:r>
        <w:rPr>
          <w:rStyle w:val="FootnoteReference"/>
          <w:szCs w:val="22"/>
        </w:rPr>
        <w:footnoteReference w:id="24"/>
      </w:r>
    </w:p>
    <w:p w:rsidR="00BE0428" w:rsidP="00BE0428" w14:paraId="3E407AC4" w14:textId="77777777">
      <w:pPr>
        <w:pStyle w:val="Heading1"/>
      </w:pPr>
      <w:r>
        <w:t>d</w:t>
      </w:r>
      <w:r w:rsidR="003E2F66">
        <w:t>iscuss</w:t>
      </w:r>
      <w:r>
        <w:t>ion</w:t>
      </w:r>
    </w:p>
    <w:p w:rsidR="005C2F4C" w:rsidP="00303F0C" w14:paraId="27D14A35" w14:textId="4384533A">
      <w:pPr>
        <w:pStyle w:val="ParaNum"/>
        <w:rPr>
          <w:szCs w:val="22"/>
        </w:rPr>
      </w:pPr>
      <w:r>
        <w:rPr>
          <w:szCs w:val="22"/>
        </w:rPr>
        <w:t xml:space="preserve">For the reasons stated below, we deny the petition for reconsideration.  </w:t>
      </w:r>
      <w:r>
        <w:rPr>
          <w:szCs w:val="22"/>
        </w:rPr>
        <w:t xml:space="preserve">At the outset, we acknowledge that the </w:t>
      </w:r>
      <w:r w:rsidRPr="00252290">
        <w:rPr>
          <w:i/>
          <w:szCs w:val="22"/>
        </w:rPr>
        <w:t>Letter Order</w:t>
      </w:r>
      <w:r>
        <w:rPr>
          <w:szCs w:val="22"/>
        </w:rPr>
        <w:t xml:space="preserve"> </w:t>
      </w:r>
      <w:r w:rsidR="00BC3FC9">
        <w:rPr>
          <w:szCs w:val="22"/>
        </w:rPr>
        <w:t>contains</w:t>
      </w:r>
      <w:r>
        <w:rPr>
          <w:szCs w:val="22"/>
        </w:rPr>
        <w:t xml:space="preserve"> a typographical error </w:t>
      </w:r>
      <w:r w:rsidR="009B55C8">
        <w:rPr>
          <w:szCs w:val="22"/>
        </w:rPr>
        <w:t xml:space="preserve">related to the coordinates specified in </w:t>
      </w:r>
      <w:r w:rsidR="008E58B7">
        <w:rPr>
          <w:szCs w:val="22"/>
        </w:rPr>
        <w:t>the Station’s license.</w:t>
      </w:r>
      <w:r>
        <w:rPr>
          <w:rStyle w:val="FootnoteReference"/>
          <w:szCs w:val="22"/>
        </w:rPr>
        <w:footnoteReference w:id="25"/>
      </w:r>
      <w:r w:rsidR="008E58B7">
        <w:rPr>
          <w:szCs w:val="22"/>
        </w:rPr>
        <w:t xml:space="preserve">  However, because </w:t>
      </w:r>
      <w:r w:rsidR="00563E89">
        <w:rPr>
          <w:szCs w:val="22"/>
        </w:rPr>
        <w:t>the</w:t>
      </w:r>
      <w:r w:rsidR="00B978C6">
        <w:rPr>
          <w:szCs w:val="22"/>
        </w:rPr>
        <w:t xml:space="preserve"> decision </w:t>
      </w:r>
      <w:r w:rsidR="001F79C6">
        <w:rPr>
          <w:szCs w:val="22"/>
        </w:rPr>
        <w:t>relied upon section 73.875(b)(2) and that sectio</w:t>
      </w:r>
      <w:r w:rsidR="000A6B9C">
        <w:rPr>
          <w:szCs w:val="22"/>
        </w:rPr>
        <w:t xml:space="preserve">n requires the filing of a construction permit application on FCC Form 318 for “any change in station </w:t>
      </w:r>
      <w:r w:rsidR="000A6B9C">
        <w:rPr>
          <w:szCs w:val="22"/>
        </w:rPr>
        <w:t>geographic coordinates,” we find</w:t>
      </w:r>
      <w:r w:rsidR="008E58B7">
        <w:rPr>
          <w:szCs w:val="22"/>
        </w:rPr>
        <w:t xml:space="preserve"> this </w:t>
      </w:r>
      <w:r w:rsidR="00CA14E5">
        <w:rPr>
          <w:szCs w:val="22"/>
        </w:rPr>
        <w:t>error was harmless</w:t>
      </w:r>
      <w:r w:rsidR="000A6B9C">
        <w:rPr>
          <w:szCs w:val="22"/>
        </w:rPr>
        <w:t>.</w:t>
      </w:r>
      <w:r>
        <w:rPr>
          <w:rStyle w:val="FootnoteReference"/>
          <w:szCs w:val="22"/>
        </w:rPr>
        <w:footnoteReference w:id="26"/>
      </w:r>
    </w:p>
    <w:p w:rsidR="00CA16AE" w:rsidP="005D66C4" w14:paraId="2FFE9BED" w14:textId="0466C3F0">
      <w:pPr>
        <w:pStyle w:val="ParaNum"/>
        <w:rPr>
          <w:szCs w:val="22"/>
        </w:rPr>
      </w:pPr>
      <w:r>
        <w:rPr>
          <w:szCs w:val="22"/>
        </w:rPr>
        <w:t xml:space="preserve">Next, we </w:t>
      </w:r>
      <w:r w:rsidR="00673429">
        <w:rPr>
          <w:szCs w:val="22"/>
        </w:rPr>
        <w:t>reject</w:t>
      </w:r>
      <w:r>
        <w:rPr>
          <w:szCs w:val="22"/>
        </w:rPr>
        <w:t xml:space="preserve"> C</w:t>
      </w:r>
      <w:r w:rsidR="000C4C11">
        <w:rPr>
          <w:szCs w:val="22"/>
        </w:rPr>
        <w:t xml:space="preserve">VGC’s argument that </w:t>
      </w:r>
      <w:r w:rsidR="00A579CA">
        <w:rPr>
          <w:szCs w:val="22"/>
        </w:rPr>
        <w:t>the Bureau erred in applying section 73.875(b)(2) of the Rules in a manner that “completely ignores” section 73.1690(c)(11), which it asserts “covers all broadcast licensees” and thus “clearly applies to LPFM license[e]s.”</w:t>
      </w:r>
      <w:r>
        <w:rPr>
          <w:rStyle w:val="FootnoteReference"/>
          <w:szCs w:val="22"/>
        </w:rPr>
        <w:footnoteReference w:id="27"/>
      </w:r>
      <w:r w:rsidRPr="009C31BA" w:rsidR="00A579CA">
        <w:rPr>
          <w:szCs w:val="22"/>
        </w:rPr>
        <w:t xml:space="preserve">  </w:t>
      </w:r>
      <w:r w:rsidR="00E00C8D">
        <w:rPr>
          <w:szCs w:val="22"/>
        </w:rPr>
        <w:t xml:space="preserve">This argument </w:t>
      </w:r>
      <w:r w:rsidR="007E17DD">
        <w:rPr>
          <w:szCs w:val="22"/>
        </w:rPr>
        <w:t xml:space="preserve">ignores section 73.801 of the Rules, which </w:t>
      </w:r>
      <w:r w:rsidR="002F5169">
        <w:rPr>
          <w:szCs w:val="22"/>
        </w:rPr>
        <w:t>contains a list of</w:t>
      </w:r>
      <w:r w:rsidR="007E17DD">
        <w:rPr>
          <w:szCs w:val="22"/>
        </w:rPr>
        <w:t xml:space="preserve"> </w:t>
      </w:r>
      <w:r w:rsidR="00D05625">
        <w:rPr>
          <w:szCs w:val="22"/>
        </w:rPr>
        <w:t>the broadcast regulations applicable to LPFM stations</w:t>
      </w:r>
      <w:r w:rsidR="00E77743">
        <w:rPr>
          <w:szCs w:val="22"/>
        </w:rPr>
        <w:t>.</w:t>
      </w:r>
      <w:r>
        <w:rPr>
          <w:rStyle w:val="FootnoteReference"/>
          <w:szCs w:val="22"/>
        </w:rPr>
        <w:footnoteReference w:id="28"/>
      </w:r>
      <w:r w:rsidR="002F5169">
        <w:rPr>
          <w:szCs w:val="22"/>
        </w:rPr>
        <w:t xml:space="preserve">  That list does not include section 73.1690(c)(11)</w:t>
      </w:r>
      <w:r>
        <w:rPr>
          <w:szCs w:val="22"/>
        </w:rPr>
        <w:t>, and therefore CVGC’s argument is meritless</w:t>
      </w:r>
      <w:r w:rsidR="00DC0D91">
        <w:rPr>
          <w:szCs w:val="22"/>
        </w:rPr>
        <w:t>.</w:t>
      </w:r>
      <w:r>
        <w:rPr>
          <w:rStyle w:val="FootnoteReference"/>
        </w:rPr>
        <w:footnoteReference w:id="29"/>
      </w:r>
      <w:r w:rsidR="00E77743">
        <w:rPr>
          <w:szCs w:val="22"/>
        </w:rPr>
        <w:t xml:space="preserve"> </w:t>
      </w:r>
    </w:p>
    <w:p w:rsidR="005D66C4" w:rsidRPr="000C3471" w:rsidP="005D66C4" w14:paraId="1A87E085" w14:textId="2A3A5188">
      <w:pPr>
        <w:pStyle w:val="ParaNum"/>
        <w:rPr>
          <w:szCs w:val="22"/>
        </w:rPr>
      </w:pPr>
      <w:r>
        <w:rPr>
          <w:szCs w:val="22"/>
        </w:rPr>
        <w:t>W</w:t>
      </w:r>
      <w:r w:rsidR="00CA16AE">
        <w:rPr>
          <w:szCs w:val="22"/>
        </w:rPr>
        <w:t xml:space="preserve">e note that the Bureau’s </w:t>
      </w:r>
      <w:r w:rsidRPr="00C55C50" w:rsidR="00CA16AE">
        <w:rPr>
          <w:i/>
          <w:szCs w:val="22"/>
        </w:rPr>
        <w:t>Letter Order</w:t>
      </w:r>
      <w:r w:rsidR="00CA16AE">
        <w:rPr>
          <w:szCs w:val="22"/>
        </w:rPr>
        <w:t xml:space="preserve">, based on the very limited information set forth in the </w:t>
      </w:r>
      <w:r w:rsidR="00902266">
        <w:rPr>
          <w:szCs w:val="22"/>
        </w:rPr>
        <w:t xml:space="preserve">License Modification Application, concluded that the Station operated without Commission approval from the West Owens Avenue Site for more than a year, </w:t>
      </w:r>
      <w:r>
        <w:rPr>
          <w:szCs w:val="22"/>
        </w:rPr>
        <w:t>resulting in license forfeiture under</w:t>
      </w:r>
      <w:r w:rsidR="00902266">
        <w:rPr>
          <w:szCs w:val="22"/>
        </w:rPr>
        <w:t xml:space="preserve"> section 312(g).  The Tian Statement shows that the Station never operated from the only authorized site (the Permit Site), but instead operated from two unauthorized sites (the West Owens Avenue Site and the East Charleston Boulevard Site) for more than a year</w:t>
      </w:r>
      <w:r>
        <w:rPr>
          <w:szCs w:val="22"/>
        </w:rPr>
        <w:t xml:space="preserve"> in total</w:t>
      </w:r>
      <w:r w:rsidR="002E4E3B">
        <w:rPr>
          <w:szCs w:val="22"/>
        </w:rPr>
        <w:t>, including more than a year at the latter site</w:t>
      </w:r>
      <w:r w:rsidR="00902266">
        <w:rPr>
          <w:szCs w:val="22"/>
        </w:rPr>
        <w:t>.</w:t>
      </w:r>
      <w:r w:rsidR="00B43421">
        <w:rPr>
          <w:szCs w:val="22"/>
        </w:rPr>
        <w:t xml:space="preserve">  This change in the Bureau’s understanding of the facts does not alter the conclusion in the </w:t>
      </w:r>
      <w:r w:rsidRPr="00B43421" w:rsidR="00B43421">
        <w:rPr>
          <w:i/>
          <w:szCs w:val="22"/>
        </w:rPr>
        <w:t>Letter Order</w:t>
      </w:r>
      <w:r w:rsidR="00B43421">
        <w:rPr>
          <w:szCs w:val="22"/>
        </w:rPr>
        <w:t xml:space="preserve"> that the Station’s license was forfeited pursuant to section 312(g), but it completely undermines CVGC’s argument that this case involves a mere coordinate correction of less than three second</w:t>
      </w:r>
      <w:r w:rsidR="00B868DD">
        <w:rPr>
          <w:szCs w:val="22"/>
        </w:rPr>
        <w:t>s and that the Bureau’s action is inconsistent with cases involving coordinate corrections.</w:t>
      </w:r>
      <w:r>
        <w:rPr>
          <w:rStyle w:val="FootnoteReference"/>
          <w:szCs w:val="22"/>
        </w:rPr>
        <w:footnoteReference w:id="30"/>
      </w:r>
    </w:p>
    <w:p w:rsidR="000C3471" w:rsidRPr="0092296A" w:rsidP="005D66C4" w14:paraId="779E917F" w14:textId="23921854">
      <w:pPr>
        <w:pStyle w:val="ParaNum"/>
        <w:rPr>
          <w:szCs w:val="22"/>
        </w:rPr>
      </w:pPr>
      <w:r>
        <w:t xml:space="preserve">We further reject CVGC’s suggestion that we </w:t>
      </w:r>
      <w:r w:rsidR="005571BB">
        <w:t xml:space="preserve">create a </w:t>
      </w:r>
      <w:r w:rsidRPr="00C27087" w:rsidR="005571BB">
        <w:rPr>
          <w:i/>
        </w:rPr>
        <w:t>de minimis</w:t>
      </w:r>
      <w:r w:rsidR="005571BB">
        <w:t xml:space="preserve"> exception to section 73.875(b)(2).</w:t>
      </w:r>
      <w:r>
        <w:rPr>
          <w:rStyle w:val="FootnoteReference"/>
        </w:rPr>
        <w:footnoteReference w:id="31"/>
      </w:r>
      <w:r w:rsidR="009A56AB">
        <w:t xml:space="preserve">  This case illustrates why accuracy is essential for LPFM construction.  The permit was issued based on a second-adjacent channel waiver showing that there were no structures with</w:t>
      </w:r>
      <w:r w:rsidR="00F3072F">
        <w:t>in the radius of the Station’s 24-meter interference contour.  A change in coordinates in any direction requires a new engineering analysis.</w:t>
      </w:r>
      <w:r w:rsidR="00F90595">
        <w:t xml:space="preserve">  </w:t>
      </w:r>
      <w:r w:rsidR="00B7401C">
        <w:t>CVGC does not even claim to have undertaken any such analysis, let alone submit</w:t>
      </w:r>
      <w:r w:rsidR="005F5B68">
        <w:t>ted</w:t>
      </w:r>
      <w:r w:rsidR="00B7401C">
        <w:t xml:space="preserve"> it for prior Commission review and approval as required under </w:t>
      </w:r>
      <w:r w:rsidR="00677DA6">
        <w:t>s</w:t>
      </w:r>
      <w:r w:rsidR="00B7401C">
        <w:t>ection 73.875 of the Rules.</w:t>
      </w:r>
      <w:r w:rsidR="00C34C18">
        <w:t xml:space="preserve">  </w:t>
      </w:r>
    </w:p>
    <w:p w:rsidR="00345940" w:rsidP="004C228C" w14:paraId="45D7D25B" w14:textId="5A44CC5D">
      <w:pPr>
        <w:pStyle w:val="ParaNum"/>
        <w:rPr>
          <w:szCs w:val="22"/>
        </w:rPr>
      </w:pPr>
      <w:r>
        <w:t>We also reject CVGC’s argument</w:t>
      </w:r>
      <w:r w:rsidR="002F380E">
        <w:t>s</w:t>
      </w:r>
      <w:r>
        <w:t xml:space="preserve"> that</w:t>
      </w:r>
      <w:r w:rsidR="0048285F">
        <w:t xml:space="preserve"> the </w:t>
      </w:r>
      <w:r w:rsidRPr="00252290" w:rsidR="0048285F">
        <w:rPr>
          <w:i/>
        </w:rPr>
        <w:t>Letter Order</w:t>
      </w:r>
      <w:r w:rsidR="0048285F">
        <w:t xml:space="preserve"> “is contrary to a long line of Commission precedent</w:t>
      </w:r>
      <w:r w:rsidR="00502008">
        <w:t xml:space="preserve">” </w:t>
      </w:r>
      <w:r w:rsidR="00616E7D">
        <w:t>and that the Commission “usually issues a notice of violation or a notice of apparent liability</w:t>
      </w:r>
      <w:r w:rsidR="00E052FE">
        <w:t xml:space="preserve"> for forfeiture when it has reason to believe that a licensee’s coordinates are not </w:t>
      </w:r>
      <w:r w:rsidR="00E052FE">
        <w:t>correct.”</w:t>
      </w:r>
      <w:r>
        <w:rPr>
          <w:rStyle w:val="FootnoteReference"/>
        </w:rPr>
        <w:footnoteReference w:id="32"/>
      </w:r>
      <w:r w:rsidRPr="0020126D" w:rsidR="0020126D">
        <w:t xml:space="preserve"> </w:t>
      </w:r>
      <w:r w:rsidR="00CE4AFF">
        <w:t xml:space="preserve"> </w:t>
      </w:r>
      <w:r w:rsidR="0020126D">
        <w:t xml:space="preserve">There are critical differences between rule violations and section 312(g) of the Act. </w:t>
      </w:r>
      <w:r w:rsidR="00B7401C">
        <w:t xml:space="preserve"> </w:t>
      </w:r>
      <w:r w:rsidR="0020126D">
        <w:t>While the Commission has discretion to shape a remedy for rule violations,</w:t>
      </w:r>
      <w:r>
        <w:rPr>
          <w:rStyle w:val="FootnoteReference"/>
        </w:rPr>
        <w:footnoteReference w:id="33"/>
      </w:r>
      <w:r w:rsidR="0020126D">
        <w:t xml:space="preserve"> license expiration under </w:t>
      </w:r>
      <w:r w:rsidR="00B476C5">
        <w:t xml:space="preserve">section </w:t>
      </w:r>
      <w:r w:rsidR="0020126D">
        <w:t xml:space="preserve">312(g) is automatic as a matter of law, </w:t>
      </w:r>
      <w:r w:rsidR="002E4E3B">
        <w:t>absent specific circumstances, such as “to promote equity and fairness.”</w:t>
      </w:r>
      <w:r>
        <w:rPr>
          <w:rStyle w:val="FootnoteReference"/>
        </w:rPr>
        <w:footnoteReference w:id="34"/>
      </w:r>
      <w:r w:rsidR="0020126D">
        <w:t xml:space="preserve"> </w:t>
      </w:r>
      <w:r w:rsidR="00CE4AFF">
        <w:t xml:space="preserve"> </w:t>
      </w:r>
      <w:r w:rsidR="0020126D">
        <w:t xml:space="preserve">To that end, </w:t>
      </w:r>
      <w:r w:rsidR="00FB79BC">
        <w:t>n</w:t>
      </w:r>
      <w:r w:rsidR="0020126D">
        <w:t xml:space="preserve">otices of </w:t>
      </w:r>
      <w:r w:rsidR="00AB6C79">
        <w:t>v</w:t>
      </w:r>
      <w:r w:rsidR="0020126D">
        <w:t xml:space="preserve">iolation put a licensee on notice that a </w:t>
      </w:r>
      <w:r w:rsidR="00CA4BC8">
        <w:t xml:space="preserve">rule </w:t>
      </w:r>
      <w:r w:rsidR="0020126D">
        <w:t xml:space="preserve">violation has been found and seek information about the violation and how the licensee proposes to remedy it. </w:t>
      </w:r>
      <w:r w:rsidR="004F6A11">
        <w:t xml:space="preserve"> </w:t>
      </w:r>
      <w:r w:rsidR="0020126D">
        <w:t xml:space="preserve">Such an inquiry </w:t>
      </w:r>
      <w:r w:rsidR="00951CBA">
        <w:t>was</w:t>
      </w:r>
      <w:r w:rsidR="0020126D">
        <w:t xml:space="preserve"> unnecessary in this case, as CVGC admitted to operating at an unauthorized site for over a year.</w:t>
      </w:r>
      <w:r>
        <w:rPr>
          <w:rStyle w:val="FootnoteReference"/>
        </w:rPr>
        <w:footnoteReference w:id="35"/>
      </w:r>
      <w:r w:rsidR="004C228C">
        <w:rPr>
          <w:szCs w:val="22"/>
        </w:rPr>
        <w:t xml:space="preserve">  </w:t>
      </w:r>
      <w:r w:rsidR="0071094C">
        <w:rPr>
          <w:szCs w:val="22"/>
        </w:rPr>
        <w:t xml:space="preserve">Similarly, </w:t>
      </w:r>
      <w:r w:rsidR="001A1A97">
        <w:rPr>
          <w:szCs w:val="22"/>
        </w:rPr>
        <w:t xml:space="preserve">we reject CVGC’s contention that </w:t>
      </w:r>
      <w:r w:rsidR="00FA0793">
        <w:rPr>
          <w:szCs w:val="22"/>
        </w:rPr>
        <w:t xml:space="preserve">a </w:t>
      </w:r>
      <w:r w:rsidR="00AB6C79">
        <w:rPr>
          <w:szCs w:val="22"/>
        </w:rPr>
        <w:t>n</w:t>
      </w:r>
      <w:r w:rsidR="00FA0793">
        <w:rPr>
          <w:szCs w:val="22"/>
        </w:rPr>
        <w:t xml:space="preserve">otice of </w:t>
      </w:r>
      <w:r w:rsidR="00AB6C79">
        <w:rPr>
          <w:szCs w:val="22"/>
        </w:rPr>
        <w:t>a</w:t>
      </w:r>
      <w:r w:rsidR="00FA0793">
        <w:rPr>
          <w:szCs w:val="22"/>
        </w:rPr>
        <w:t xml:space="preserve">pparent </w:t>
      </w:r>
      <w:r w:rsidR="00AB6C79">
        <w:rPr>
          <w:szCs w:val="22"/>
        </w:rPr>
        <w:t>l</w:t>
      </w:r>
      <w:r w:rsidR="00FA0793">
        <w:rPr>
          <w:szCs w:val="22"/>
        </w:rPr>
        <w:t xml:space="preserve">iability </w:t>
      </w:r>
      <w:r w:rsidR="00E61DF5">
        <w:rPr>
          <w:szCs w:val="22"/>
        </w:rPr>
        <w:t>for</w:t>
      </w:r>
      <w:r w:rsidR="00FA0793">
        <w:rPr>
          <w:szCs w:val="22"/>
        </w:rPr>
        <w:t xml:space="preserve"> </w:t>
      </w:r>
      <w:r w:rsidR="00AB6C79">
        <w:rPr>
          <w:szCs w:val="22"/>
        </w:rPr>
        <w:t>f</w:t>
      </w:r>
      <w:r w:rsidR="00FA0793">
        <w:rPr>
          <w:szCs w:val="22"/>
        </w:rPr>
        <w:t>orfeiture</w:t>
      </w:r>
      <w:r w:rsidR="002E3DB3">
        <w:rPr>
          <w:szCs w:val="22"/>
        </w:rPr>
        <w:t xml:space="preserve"> (NALF</w:t>
      </w:r>
      <w:r w:rsidR="00D80239">
        <w:rPr>
          <w:szCs w:val="22"/>
        </w:rPr>
        <w:t>)</w:t>
      </w:r>
      <w:r w:rsidR="00FA0793">
        <w:rPr>
          <w:szCs w:val="22"/>
        </w:rPr>
        <w:t xml:space="preserve"> </w:t>
      </w:r>
      <w:r w:rsidR="00127B58">
        <w:rPr>
          <w:szCs w:val="22"/>
        </w:rPr>
        <w:t>would</w:t>
      </w:r>
      <w:r w:rsidR="00063F4C">
        <w:rPr>
          <w:szCs w:val="22"/>
        </w:rPr>
        <w:t xml:space="preserve"> be</w:t>
      </w:r>
      <w:r w:rsidR="00FA0793">
        <w:rPr>
          <w:szCs w:val="22"/>
        </w:rPr>
        <w:t xml:space="preserve"> a more appropriate sanction</w:t>
      </w:r>
      <w:r w:rsidR="00951CBA">
        <w:rPr>
          <w:szCs w:val="22"/>
        </w:rPr>
        <w:t xml:space="preserve">. </w:t>
      </w:r>
      <w:r w:rsidRPr="00951CBA" w:rsidR="00951CBA">
        <w:rPr>
          <w:szCs w:val="22"/>
        </w:rPr>
        <w:t xml:space="preserve"> </w:t>
      </w:r>
      <w:r w:rsidR="00951CBA">
        <w:rPr>
          <w:szCs w:val="22"/>
        </w:rPr>
        <w:t>None of the NALFs cited by CVGC concern operation from unauthorized facilities for more than a year, thereby leading to license expiration under section 312(g).</w:t>
      </w:r>
      <w:r>
        <w:rPr>
          <w:rStyle w:val="FootnoteReference"/>
          <w:szCs w:val="22"/>
        </w:rPr>
        <w:footnoteReference w:id="36"/>
      </w:r>
    </w:p>
    <w:p w:rsidR="0092296A" w:rsidRPr="004C228C" w:rsidP="00795A9A" w14:paraId="70353E5B" w14:textId="3E219571">
      <w:pPr>
        <w:pStyle w:val="ParaNum"/>
        <w:rPr>
          <w:szCs w:val="22"/>
        </w:rPr>
      </w:pPr>
      <w:r>
        <w:t>Further</w:t>
      </w:r>
      <w:r w:rsidR="00B507AC">
        <w:t>, CVGC’s</w:t>
      </w:r>
      <w:r w:rsidR="00001ED7">
        <w:t xml:space="preserve"> reliance on the</w:t>
      </w:r>
      <w:r w:rsidR="00025F48">
        <w:t xml:space="preserve"> </w:t>
      </w:r>
      <w:r w:rsidR="001F4CF4">
        <w:t>Commission’s</w:t>
      </w:r>
      <w:r w:rsidR="00001ED7">
        <w:t xml:space="preserve"> actions in </w:t>
      </w:r>
      <w:r w:rsidRPr="004C228C" w:rsidR="00001ED7">
        <w:rPr>
          <w:i/>
        </w:rPr>
        <w:t>Lighthouse</w:t>
      </w:r>
      <w:r w:rsidR="00001ED7">
        <w:t xml:space="preserve"> and </w:t>
      </w:r>
      <w:r w:rsidR="003C3300">
        <w:rPr>
          <w:i/>
        </w:rPr>
        <w:t>K</w:t>
      </w:r>
      <w:r w:rsidRPr="004C228C" w:rsidR="00001ED7">
        <w:rPr>
          <w:i/>
        </w:rPr>
        <w:t>M</w:t>
      </w:r>
      <w:r w:rsidR="00001ED7">
        <w:t xml:space="preserve"> is misplaced</w:t>
      </w:r>
      <w:r w:rsidR="00C408B2">
        <w:t>.</w:t>
      </w:r>
      <w:r>
        <w:rPr>
          <w:rStyle w:val="FootnoteReference"/>
        </w:rPr>
        <w:footnoteReference w:id="37"/>
      </w:r>
      <w:r w:rsidR="00DC393B">
        <w:t xml:space="preserve"> </w:t>
      </w:r>
      <w:r w:rsidR="001D33D0">
        <w:t xml:space="preserve"> </w:t>
      </w:r>
      <w:r w:rsidR="00651960">
        <w:t>In those cases, the Commission considered siting errors to be correctible when the permittee attempted to build pursuant to its existing authorization and the results</w:t>
      </w:r>
      <w:r w:rsidR="00095AB8">
        <w:t xml:space="preserve"> were</w:t>
      </w:r>
      <w:r w:rsidR="00651960">
        <w:t xml:space="preserve"> non-conforming</w:t>
      </w:r>
      <w:r w:rsidR="00095AB8">
        <w:t>.</w:t>
      </w:r>
      <w:r w:rsidR="00016545">
        <w:t xml:space="preserve"> </w:t>
      </w:r>
      <w:r w:rsidR="001D33D0">
        <w:t xml:space="preserve"> </w:t>
      </w:r>
      <w:r w:rsidR="00134729">
        <w:t>Although</w:t>
      </w:r>
      <w:r w:rsidR="00F80DF5">
        <w:t xml:space="preserve"> the </w:t>
      </w:r>
      <w:r w:rsidR="001F4CF4">
        <w:t>Commission</w:t>
      </w:r>
      <w:r w:rsidR="00F80DF5">
        <w:t xml:space="preserve"> can </w:t>
      </w:r>
      <w:r w:rsidR="00095AB8">
        <w:t>extend or reinstate a license that has automatically expired to “promote equity and fairness,” such waivers are fact-specific.</w:t>
      </w:r>
      <w:r w:rsidR="001D33D0">
        <w:t xml:space="preserve"> </w:t>
      </w:r>
      <w:r w:rsidR="00FD7001">
        <w:t xml:space="preserve"> In both </w:t>
      </w:r>
      <w:r w:rsidRPr="00324129" w:rsidR="00324129">
        <w:rPr>
          <w:i/>
        </w:rPr>
        <w:t>Lighthouse</w:t>
      </w:r>
      <w:r w:rsidR="00324129">
        <w:t xml:space="preserve"> and </w:t>
      </w:r>
      <w:r w:rsidRPr="002514E8" w:rsidR="00324129">
        <w:rPr>
          <w:i/>
        </w:rPr>
        <w:t>KM</w:t>
      </w:r>
      <w:r w:rsidR="00FD7001">
        <w:t xml:space="preserve">, </w:t>
      </w:r>
      <w:r w:rsidR="006A3E11">
        <w:t xml:space="preserve">operation </w:t>
      </w:r>
      <w:r w:rsidR="00EF6025">
        <w:t>from the unauthorized location</w:t>
      </w:r>
      <w:r w:rsidR="008457A9">
        <w:t xml:space="preserve"> did not cause or exacerbate any short-spacing.</w:t>
      </w:r>
      <w:r>
        <w:rPr>
          <w:rStyle w:val="FootnoteReference"/>
        </w:rPr>
        <w:footnoteReference w:id="38"/>
      </w:r>
      <w:r w:rsidR="0010166A">
        <w:t xml:space="preserve"> </w:t>
      </w:r>
      <w:r w:rsidR="001D33D0">
        <w:t xml:space="preserve"> </w:t>
      </w:r>
      <w:r w:rsidR="00B868DD">
        <w:t>CVGC did not claim or show that</w:t>
      </w:r>
      <w:r w:rsidR="00FD7001">
        <w:t xml:space="preserve"> is the case here</w:t>
      </w:r>
      <w:r w:rsidR="0050275F">
        <w:t>.</w:t>
      </w:r>
      <w:r>
        <w:rPr>
          <w:rStyle w:val="FootnoteReference"/>
        </w:rPr>
        <w:footnoteReference w:id="39"/>
      </w:r>
      <w:r w:rsidR="0050275F">
        <w:t xml:space="preserve"> </w:t>
      </w:r>
      <w:r w:rsidR="001D33D0">
        <w:t xml:space="preserve"> </w:t>
      </w:r>
      <w:r w:rsidR="00CF6FEF">
        <w:t>Furthermore, because the Station actually operate</w:t>
      </w:r>
      <w:r w:rsidR="00B868DD">
        <w:t>d</w:t>
      </w:r>
      <w:r w:rsidR="00CF6FEF">
        <w:t xml:space="preserve"> </w:t>
      </w:r>
      <w:r w:rsidR="00B868DD">
        <w:t xml:space="preserve">for more than a year </w:t>
      </w:r>
      <w:r w:rsidR="00CF6FEF">
        <w:t xml:space="preserve">from a site over two miles away from its licensed site, </w:t>
      </w:r>
      <w:r w:rsidR="001E36B3">
        <w:t>there is a much larger variance</w:t>
      </w:r>
      <w:r w:rsidR="005C2712">
        <w:t xml:space="preserve"> </w:t>
      </w:r>
      <w:r w:rsidR="00B868DD">
        <w:t>involved here</w:t>
      </w:r>
      <w:r w:rsidR="00951CBA">
        <w:t>, as well as no question about the licensee’s decision to operate from an unauthorized location to improve the Station’s coverage</w:t>
      </w:r>
      <w:r w:rsidR="00CF6FEF">
        <w:t>.</w:t>
      </w:r>
      <w:r>
        <w:rPr>
          <w:rStyle w:val="FootnoteReference"/>
        </w:rPr>
        <w:footnoteReference w:id="40"/>
      </w:r>
      <w:r w:rsidR="00E8250D">
        <w:t xml:space="preserve"> </w:t>
      </w:r>
      <w:r w:rsidR="005A1570">
        <w:t xml:space="preserve"> </w:t>
      </w:r>
    </w:p>
    <w:p w:rsidR="00E133CD" w:rsidP="005D66C4" w14:paraId="04491D71" w14:textId="4EDA949D">
      <w:pPr>
        <w:pStyle w:val="ParaNum"/>
        <w:rPr>
          <w:szCs w:val="22"/>
        </w:rPr>
      </w:pPr>
      <w:r>
        <w:rPr>
          <w:szCs w:val="22"/>
        </w:rPr>
        <w:t>Next, we turn to CVG</w:t>
      </w:r>
      <w:r w:rsidR="00EA1B3B">
        <w:rPr>
          <w:szCs w:val="22"/>
        </w:rPr>
        <w:t xml:space="preserve">C’s assertion that the </w:t>
      </w:r>
      <w:r w:rsidRPr="00252290" w:rsidR="00EA1B3B">
        <w:rPr>
          <w:i/>
          <w:szCs w:val="22"/>
        </w:rPr>
        <w:t>Letter Order</w:t>
      </w:r>
      <w:r w:rsidR="00EA1B3B">
        <w:rPr>
          <w:szCs w:val="22"/>
        </w:rPr>
        <w:t xml:space="preserve"> requires “absolute accuracy” in the geographic coordinates submitted by applica</w:t>
      </w:r>
      <w:r w:rsidR="00C55B6F">
        <w:rPr>
          <w:szCs w:val="22"/>
        </w:rPr>
        <w:t>nt</w:t>
      </w:r>
      <w:r w:rsidR="00EA1B3B">
        <w:rPr>
          <w:szCs w:val="22"/>
        </w:rPr>
        <w:t>s</w:t>
      </w:r>
      <w:r w:rsidR="004D019C">
        <w:rPr>
          <w:szCs w:val="22"/>
        </w:rPr>
        <w:t>, which it argues is not possible.</w:t>
      </w:r>
      <w:r>
        <w:rPr>
          <w:rStyle w:val="FootnoteReference"/>
          <w:szCs w:val="22"/>
        </w:rPr>
        <w:footnoteReference w:id="41"/>
      </w:r>
      <w:r w:rsidR="005E41B1">
        <w:rPr>
          <w:szCs w:val="22"/>
        </w:rPr>
        <w:t xml:space="preserve"> </w:t>
      </w:r>
      <w:r w:rsidR="00F26D73">
        <w:rPr>
          <w:szCs w:val="22"/>
        </w:rPr>
        <w:t xml:space="preserve"> </w:t>
      </w:r>
      <w:r w:rsidR="00A65A2D">
        <w:rPr>
          <w:szCs w:val="22"/>
        </w:rPr>
        <w:t xml:space="preserve">This argument appears to be a criticism of </w:t>
      </w:r>
      <w:r w:rsidR="00B25E68">
        <w:rPr>
          <w:szCs w:val="22"/>
        </w:rPr>
        <w:t xml:space="preserve">the policy set forth in section 73.875 of the Rules. </w:t>
      </w:r>
      <w:r w:rsidR="005E41B1">
        <w:rPr>
          <w:szCs w:val="22"/>
        </w:rPr>
        <w:t xml:space="preserve"> </w:t>
      </w:r>
      <w:r w:rsidR="003770B1">
        <w:rPr>
          <w:szCs w:val="22"/>
        </w:rPr>
        <w:t>G</w:t>
      </w:r>
      <w:r w:rsidR="00855916">
        <w:rPr>
          <w:szCs w:val="22"/>
        </w:rPr>
        <w:t xml:space="preserve">eneral criticisms of </w:t>
      </w:r>
      <w:r w:rsidR="00116DAB">
        <w:rPr>
          <w:szCs w:val="22"/>
        </w:rPr>
        <w:t>Commission</w:t>
      </w:r>
      <w:r w:rsidR="004568E0">
        <w:rPr>
          <w:szCs w:val="22"/>
        </w:rPr>
        <w:t xml:space="preserve"> policy and suggested revisions to that policy</w:t>
      </w:r>
      <w:r w:rsidR="00315EFF">
        <w:rPr>
          <w:szCs w:val="22"/>
        </w:rPr>
        <w:t xml:space="preserve"> </w:t>
      </w:r>
      <w:r w:rsidR="004D2081">
        <w:rPr>
          <w:szCs w:val="22"/>
        </w:rPr>
        <w:t>are more appropriately</w:t>
      </w:r>
      <w:r w:rsidR="00315EFF">
        <w:rPr>
          <w:szCs w:val="22"/>
        </w:rPr>
        <w:t xml:space="preserve"> raised in a petition for rulemaking </w:t>
      </w:r>
      <w:r w:rsidR="00D73729">
        <w:rPr>
          <w:szCs w:val="22"/>
        </w:rPr>
        <w:t>rather than in a fact-</w:t>
      </w:r>
      <w:r w:rsidR="00070AEE">
        <w:rPr>
          <w:szCs w:val="22"/>
        </w:rPr>
        <w:t>specific</w:t>
      </w:r>
      <w:r w:rsidR="00D73729">
        <w:rPr>
          <w:szCs w:val="22"/>
        </w:rPr>
        <w:t xml:space="preserve"> a</w:t>
      </w:r>
      <w:r w:rsidR="00070AEE">
        <w:rPr>
          <w:szCs w:val="22"/>
        </w:rPr>
        <w:t>djudicatory proceeding such as this.</w:t>
      </w:r>
      <w:r>
        <w:rPr>
          <w:rStyle w:val="FootnoteReference"/>
          <w:szCs w:val="22"/>
        </w:rPr>
        <w:footnoteReference w:id="42"/>
      </w:r>
      <w:r w:rsidR="005E41B1">
        <w:rPr>
          <w:szCs w:val="22"/>
        </w:rPr>
        <w:t xml:space="preserve"> </w:t>
      </w:r>
      <w:r w:rsidR="0090743D">
        <w:rPr>
          <w:szCs w:val="22"/>
        </w:rPr>
        <w:t xml:space="preserve"> The institution of notice-</w:t>
      </w:r>
      <w:r w:rsidR="0090743D">
        <w:rPr>
          <w:szCs w:val="22"/>
        </w:rPr>
        <w:t>and-comment rulemaking</w:t>
      </w:r>
      <w:r w:rsidR="006F3AD4">
        <w:rPr>
          <w:szCs w:val="22"/>
        </w:rPr>
        <w:t xml:space="preserve">, if </w:t>
      </w:r>
      <w:r w:rsidR="00B47393">
        <w:rPr>
          <w:szCs w:val="22"/>
        </w:rPr>
        <w:t>warranted</w:t>
      </w:r>
      <w:r w:rsidR="006F3AD4">
        <w:rPr>
          <w:szCs w:val="22"/>
        </w:rPr>
        <w:t>, would allow for the development of a complete record on which the Commission could make an informed decision.</w:t>
      </w:r>
    </w:p>
    <w:p w:rsidR="001F1378" w:rsidRPr="00CC66A7" w:rsidP="005D66C4" w14:paraId="5821C308" w14:textId="580A20AD">
      <w:pPr>
        <w:pStyle w:val="ParaNum"/>
        <w:rPr>
          <w:szCs w:val="22"/>
        </w:rPr>
      </w:pPr>
      <w:r>
        <w:rPr>
          <w:szCs w:val="22"/>
        </w:rPr>
        <w:t xml:space="preserve">We further reject CVGC’s assertion that reinstatement of the Station’s license is appropriate to </w:t>
      </w:r>
      <w:r w:rsidR="00095AB8">
        <w:rPr>
          <w:szCs w:val="22"/>
        </w:rPr>
        <w:t>“</w:t>
      </w:r>
      <w:r>
        <w:rPr>
          <w:szCs w:val="22"/>
        </w:rPr>
        <w:t xml:space="preserve">promote </w:t>
      </w:r>
      <w:r w:rsidR="00095AB8">
        <w:rPr>
          <w:szCs w:val="22"/>
        </w:rPr>
        <w:t>equity and fairness</w:t>
      </w:r>
      <w:r>
        <w:rPr>
          <w:szCs w:val="22"/>
        </w:rPr>
        <w:t>.</w:t>
      </w:r>
      <w:r w:rsidR="00095AB8">
        <w:rPr>
          <w:szCs w:val="22"/>
        </w:rPr>
        <w:t>”</w:t>
      </w:r>
      <w:r>
        <w:rPr>
          <w:rStyle w:val="FootnoteReference"/>
          <w:szCs w:val="22"/>
        </w:rPr>
        <w:footnoteReference w:id="43"/>
      </w:r>
      <w:r>
        <w:rPr>
          <w:szCs w:val="22"/>
        </w:rPr>
        <w:t xml:space="preserve">  </w:t>
      </w:r>
      <w:r w:rsidR="00095AB8">
        <w:rPr>
          <w:szCs w:val="22"/>
        </w:rPr>
        <w:t>T</w:t>
      </w:r>
      <w:r>
        <w:rPr>
          <w:szCs w:val="22"/>
        </w:rPr>
        <w:t xml:space="preserve">he Commission </w:t>
      </w:r>
      <w:r w:rsidR="00786B5C">
        <w:rPr>
          <w:szCs w:val="22"/>
        </w:rPr>
        <w:t>exercise</w:t>
      </w:r>
      <w:r w:rsidR="00095AB8">
        <w:rPr>
          <w:szCs w:val="22"/>
        </w:rPr>
        <w:t>s</w:t>
      </w:r>
      <w:r w:rsidR="00786B5C">
        <w:rPr>
          <w:szCs w:val="22"/>
        </w:rPr>
        <w:t xml:space="preserve"> its statutory discretion to </w:t>
      </w:r>
      <w:r w:rsidR="00095AB8">
        <w:rPr>
          <w:szCs w:val="22"/>
        </w:rPr>
        <w:t xml:space="preserve">extend or </w:t>
      </w:r>
      <w:r w:rsidR="00786B5C">
        <w:rPr>
          <w:szCs w:val="22"/>
        </w:rPr>
        <w:t xml:space="preserve">reinstate a license that </w:t>
      </w:r>
      <w:r w:rsidR="00095AB8">
        <w:rPr>
          <w:szCs w:val="22"/>
        </w:rPr>
        <w:t xml:space="preserve">has </w:t>
      </w:r>
      <w:r w:rsidR="00786B5C">
        <w:rPr>
          <w:szCs w:val="22"/>
        </w:rPr>
        <w:t xml:space="preserve">expired pursuant to section 312(g)  “only </w:t>
      </w:r>
      <w:r w:rsidR="00095AB8">
        <w:rPr>
          <w:szCs w:val="22"/>
        </w:rPr>
        <w:t>in rare circumstances where a station was silent as the result of natural disasters or other compelling reasons beyond the licensee’s control.</w:t>
      </w:r>
      <w:r w:rsidR="00786B5C">
        <w:rPr>
          <w:szCs w:val="22"/>
        </w:rPr>
        <w:t>”</w:t>
      </w:r>
      <w:r>
        <w:rPr>
          <w:rStyle w:val="FootnoteReference"/>
          <w:szCs w:val="22"/>
        </w:rPr>
        <w:footnoteReference w:id="44"/>
      </w:r>
      <w:r w:rsidR="00786B5C">
        <w:rPr>
          <w:szCs w:val="22"/>
        </w:rPr>
        <w:t xml:space="preserve">  </w:t>
      </w:r>
      <w:r w:rsidR="002A14C5">
        <w:rPr>
          <w:szCs w:val="22"/>
        </w:rPr>
        <w:t xml:space="preserve">CVGC </w:t>
      </w:r>
      <w:r w:rsidR="0031558F">
        <w:rPr>
          <w:szCs w:val="22"/>
        </w:rPr>
        <w:t>does not allege that</w:t>
      </w:r>
      <w:r w:rsidR="002A14C5">
        <w:rPr>
          <w:szCs w:val="22"/>
        </w:rPr>
        <w:t xml:space="preserve"> the Station’s construction at the wrong location was beyond its control</w:t>
      </w:r>
      <w:r w:rsidR="007A148D">
        <w:t>.</w:t>
      </w:r>
      <w:r w:rsidR="007644DE">
        <w:t xml:space="preserve">  Rather, CVGC erroneously claims that “CVGC made no changes to its licensed facilities”</w:t>
      </w:r>
      <w:r>
        <w:rPr>
          <w:rStyle w:val="FootnoteReference"/>
        </w:rPr>
        <w:footnoteReference w:id="45"/>
      </w:r>
      <w:r w:rsidR="007644DE">
        <w:t xml:space="preserve"> when in fact it moved its transmitter site without prior approval to be closer to Chinatown and then sought to reverse course, in the guise of a coordinate correction, after an EB inspection revealed the blatant rule violation.</w:t>
      </w:r>
      <w:r w:rsidR="00095AB8">
        <w:t xml:space="preserve">  Moreover, it would not “promote equity and fairness” to extend or reinstate the expired license here considering that the Station did not show the unauthorized site changes</w:t>
      </w:r>
      <w:r w:rsidR="00112737">
        <w:t xml:space="preserve"> did not cause or exacerbate any short-spacing.</w:t>
      </w:r>
      <w:r w:rsidR="0031558F">
        <w:t xml:space="preserve">  </w:t>
      </w:r>
    </w:p>
    <w:p w:rsidR="00B61946" w:rsidRPr="001F1378" w:rsidP="001F1378" w14:paraId="5F9CD4C4" w14:textId="666E1BBE">
      <w:pPr>
        <w:pStyle w:val="ParaNum"/>
        <w:rPr>
          <w:szCs w:val="22"/>
        </w:rPr>
      </w:pPr>
      <w:r>
        <w:t>Finally,</w:t>
      </w:r>
      <w:r w:rsidR="00CC66A7">
        <w:t xml:space="preserve"> </w:t>
      </w:r>
      <w:r w:rsidR="007644DE">
        <w:t xml:space="preserve">based on the Tian Statement, </w:t>
      </w:r>
      <w:r w:rsidR="00324E4A">
        <w:t xml:space="preserve">we conclude that </w:t>
      </w:r>
      <w:r w:rsidR="00CC66A7">
        <w:t xml:space="preserve">CVGC </w:t>
      </w:r>
      <w:r w:rsidR="005F5B68">
        <w:t xml:space="preserve">may have </w:t>
      </w:r>
      <w:r w:rsidR="007644DE">
        <w:t xml:space="preserve">withheld material information in the License Modification Application and </w:t>
      </w:r>
      <w:r w:rsidR="00182BE5">
        <w:t xml:space="preserve">made </w:t>
      </w:r>
      <w:r w:rsidR="00324E4A">
        <w:t>incorrect</w:t>
      </w:r>
      <w:r w:rsidR="00182BE5">
        <w:t xml:space="preserve"> statement</w:t>
      </w:r>
      <w:r w:rsidR="00341DC9">
        <w:t>s</w:t>
      </w:r>
      <w:r w:rsidR="00182BE5">
        <w:t xml:space="preserve"> to the Commission in the Petition when it </w:t>
      </w:r>
      <w:r w:rsidR="00341DC9">
        <w:t xml:space="preserve">repeatedly </w:t>
      </w:r>
      <w:r w:rsidR="007644DE">
        <w:t>claimed</w:t>
      </w:r>
      <w:r w:rsidR="00182BE5">
        <w:t xml:space="preserve"> that </w:t>
      </w:r>
      <w:r w:rsidR="00F5079B">
        <w:t xml:space="preserve">the </w:t>
      </w:r>
      <w:r w:rsidR="00341DC9">
        <w:t>Station’s actual transmitter</w:t>
      </w:r>
      <w:r w:rsidR="00F5079B">
        <w:t xml:space="preserve"> site </w:t>
      </w:r>
      <w:r w:rsidR="00341DC9">
        <w:t>was</w:t>
      </w:r>
      <w:r w:rsidR="00F5079B">
        <w:t xml:space="preserve"> </w:t>
      </w:r>
      <w:r w:rsidR="007644DE">
        <w:t>never changed</w:t>
      </w:r>
      <w:r w:rsidR="00182BE5">
        <w:t>.</w:t>
      </w:r>
      <w:r>
        <w:rPr>
          <w:rStyle w:val="FootnoteReference"/>
        </w:rPr>
        <w:footnoteReference w:id="46"/>
      </w:r>
      <w:r w:rsidR="00182BE5">
        <w:t xml:space="preserve">  </w:t>
      </w:r>
      <w:r w:rsidR="00341DC9">
        <w:t xml:space="preserve">It is possible that </w:t>
      </w:r>
      <w:r w:rsidR="003D0BB0">
        <w:t>CVGC has engaged in</w:t>
      </w:r>
      <w:r w:rsidR="00341DC9">
        <w:t xml:space="preserve"> misrepresentation</w:t>
      </w:r>
      <w:r w:rsidR="003D0BB0">
        <w:t xml:space="preserve"> and/or lack of candor</w:t>
      </w:r>
      <w:r w:rsidR="00341DC9">
        <w:t>.  However, given</w:t>
      </w:r>
      <w:r w:rsidR="00F01165">
        <w:t xml:space="preserve"> </w:t>
      </w:r>
      <w:r w:rsidR="00C12171">
        <w:t>that this decision</w:t>
      </w:r>
      <w:r w:rsidR="00F01165">
        <w:t xml:space="preserve"> </w:t>
      </w:r>
      <w:r w:rsidR="00C12171">
        <w:t xml:space="preserve">affirms </w:t>
      </w:r>
      <w:r w:rsidR="00B84F95">
        <w:t>the cancellation of the Station’s license</w:t>
      </w:r>
      <w:r w:rsidR="0000461C">
        <w:t xml:space="preserve"> and dismissal of the License Modification Application and STA Request</w:t>
      </w:r>
      <w:r w:rsidR="00B84F95">
        <w:t>,</w:t>
      </w:r>
      <w:r w:rsidR="001248C8">
        <w:t xml:space="preserve"> we </w:t>
      </w:r>
      <w:r w:rsidR="00A5708C">
        <w:t>will not at this time pursue enforcement action</w:t>
      </w:r>
      <w:r w:rsidR="001248C8">
        <w:t>.</w:t>
      </w:r>
      <w:r w:rsidR="003D0BB0">
        <w:t xml:space="preserve">  We will, however, require that CVGC and its principals attach a copy of this decision to any FCC broadcast application that </w:t>
      </w:r>
      <w:r w:rsidR="005F5B68">
        <w:t>any of them</w:t>
      </w:r>
      <w:r w:rsidR="003D0BB0">
        <w:t xml:space="preserve"> file in the next five years</w:t>
      </w:r>
      <w:r w:rsidR="00112737">
        <w:t xml:space="preserve"> so that a character assessment can be made in connection with any such application</w:t>
      </w:r>
      <w:r w:rsidR="003D0BB0">
        <w:t>.</w:t>
      </w:r>
      <w:r>
        <w:rPr>
          <w:rStyle w:val="FootnoteReference"/>
        </w:rPr>
        <w:footnoteReference w:id="47"/>
      </w:r>
      <w:r w:rsidR="001248C8">
        <w:t xml:space="preserve">  </w:t>
      </w:r>
    </w:p>
    <w:p w:rsidR="005F1FCD" w:rsidP="005F1FCD" w14:paraId="6B8DC063" w14:textId="1FB7D9CA">
      <w:pPr>
        <w:pStyle w:val="Heading1"/>
      </w:pPr>
      <w:r>
        <w:t>ordering clauses</w:t>
      </w:r>
    </w:p>
    <w:p w:rsidR="003F7CE5" w:rsidP="006F4C10" w14:paraId="3EC3162F" w14:textId="2D704E2D">
      <w:pPr>
        <w:pStyle w:val="ParaNum"/>
        <w:rPr>
          <w:szCs w:val="22"/>
        </w:rPr>
      </w:pPr>
      <w:r w:rsidRPr="003F7CE5">
        <w:rPr>
          <w:szCs w:val="22"/>
        </w:rPr>
        <w:t xml:space="preserve">ACCORDINGLY, IT IS ORDERED that the </w:t>
      </w:r>
      <w:r w:rsidR="001248C8">
        <w:rPr>
          <w:szCs w:val="22"/>
        </w:rPr>
        <w:t>Petition for Reconsideration</w:t>
      </w:r>
      <w:r w:rsidRPr="003F7CE5">
        <w:rPr>
          <w:szCs w:val="22"/>
        </w:rPr>
        <w:t xml:space="preserve"> filed by </w:t>
      </w:r>
      <w:r w:rsidR="001248C8">
        <w:rPr>
          <w:szCs w:val="22"/>
        </w:rPr>
        <w:t>Chinese Voice of Golden City</w:t>
      </w:r>
      <w:r w:rsidRPr="003F7CE5">
        <w:rPr>
          <w:szCs w:val="22"/>
        </w:rPr>
        <w:t xml:space="preserve"> on </w:t>
      </w:r>
      <w:r w:rsidR="001248C8">
        <w:rPr>
          <w:szCs w:val="22"/>
        </w:rPr>
        <w:t>December</w:t>
      </w:r>
      <w:r w:rsidRPr="003F7CE5">
        <w:rPr>
          <w:szCs w:val="22"/>
        </w:rPr>
        <w:t xml:space="preserve"> </w:t>
      </w:r>
      <w:r w:rsidR="001248C8">
        <w:rPr>
          <w:szCs w:val="22"/>
        </w:rPr>
        <w:t>5</w:t>
      </w:r>
      <w:r w:rsidR="00D57061">
        <w:rPr>
          <w:szCs w:val="22"/>
        </w:rPr>
        <w:t>,</w:t>
      </w:r>
      <w:r w:rsidRPr="003F7CE5" w:rsidR="00554930">
        <w:rPr>
          <w:szCs w:val="22"/>
        </w:rPr>
        <w:t xml:space="preserve"> </w:t>
      </w:r>
      <w:r w:rsidRPr="003F7CE5">
        <w:rPr>
          <w:szCs w:val="22"/>
        </w:rPr>
        <w:t>2019</w:t>
      </w:r>
      <w:r w:rsidR="00D57061">
        <w:rPr>
          <w:szCs w:val="22"/>
        </w:rPr>
        <w:t>,</w:t>
      </w:r>
      <w:r w:rsidRPr="003F7CE5">
        <w:rPr>
          <w:szCs w:val="22"/>
        </w:rPr>
        <w:t xml:space="preserve"> IS </w:t>
      </w:r>
      <w:r w:rsidRPr="007B7840">
        <w:t xml:space="preserve">DENIED, pursuant to </w:t>
      </w:r>
      <w:r w:rsidR="001A5DC1">
        <w:t>s</w:t>
      </w:r>
      <w:r w:rsidRPr="007B7840">
        <w:t xml:space="preserve">ection 5(c)(5) of the Communications Act of 1934, as amended, and </w:t>
      </w:r>
      <w:r w:rsidR="00BF6D78">
        <w:t>s</w:t>
      </w:r>
      <w:r>
        <w:t>ection 1</w:t>
      </w:r>
      <w:r w:rsidR="003C383B">
        <w:t>.106</w:t>
      </w:r>
      <w:r>
        <w:t xml:space="preserve"> of the Commission’s Rules</w:t>
      </w:r>
      <w:r>
        <w:rPr>
          <w:szCs w:val="22"/>
        </w:rPr>
        <w:t>.</w:t>
      </w:r>
      <w:r>
        <w:rPr>
          <w:szCs w:val="22"/>
          <w:vertAlign w:val="superscript"/>
        </w:rPr>
        <w:footnoteReference w:id="48"/>
      </w:r>
    </w:p>
    <w:p w:rsidR="00F003FD" w:rsidP="00303AA3" w14:paraId="5D36E1DD" w14:textId="4DB8818D">
      <w:pPr>
        <w:pStyle w:val="ParaNum"/>
        <w:widowControl/>
        <w:rPr>
          <w:szCs w:val="22"/>
        </w:rPr>
      </w:pPr>
      <w:r>
        <w:rPr>
          <w:szCs w:val="22"/>
        </w:rPr>
        <w:t>IT IS FURTHER ORDERED</w:t>
      </w:r>
      <w:r w:rsidRPr="003F7CE5" w:rsidR="006F4C10">
        <w:rPr>
          <w:szCs w:val="22"/>
        </w:rPr>
        <w:t xml:space="preserve"> </w:t>
      </w:r>
      <w:r>
        <w:rPr>
          <w:szCs w:val="22"/>
        </w:rPr>
        <w:t xml:space="preserve">that the </w:t>
      </w:r>
      <w:r w:rsidR="00D57061">
        <w:rPr>
          <w:szCs w:val="22"/>
        </w:rPr>
        <w:t>Motion for Stay</w:t>
      </w:r>
      <w:r w:rsidR="00EE4E88">
        <w:rPr>
          <w:szCs w:val="22"/>
        </w:rPr>
        <w:t xml:space="preserve"> and the Emergency Stay Request </w:t>
      </w:r>
      <w:r w:rsidR="00D57061">
        <w:rPr>
          <w:szCs w:val="22"/>
        </w:rPr>
        <w:t>filed by Chinese Voice of Golden City on December 5, 2019, and December 17, 2019, respectively, ARE DISMISSED</w:t>
      </w:r>
      <w:r w:rsidRPr="003F7CE5" w:rsidR="006F4C10">
        <w:rPr>
          <w:szCs w:val="22"/>
        </w:rPr>
        <w:t>.</w:t>
      </w:r>
    </w:p>
    <w:p w:rsidR="00E0548D" w:rsidP="00303AA3" w14:paraId="1B21EBC1" w14:textId="5D2156C6">
      <w:pPr>
        <w:pStyle w:val="ParaNum"/>
        <w:widowControl/>
        <w:rPr>
          <w:szCs w:val="22"/>
        </w:rPr>
      </w:pPr>
      <w:r>
        <w:rPr>
          <w:szCs w:val="22"/>
        </w:rPr>
        <w:t xml:space="preserve">IT IS FURTHER ORDERED that the </w:t>
      </w:r>
      <w:r w:rsidR="009A1158">
        <w:rPr>
          <w:szCs w:val="22"/>
        </w:rPr>
        <w:t>Motion for Leave to File Out of Time, the Opposition to Petition for Reconsideration, the Opposition to Motion for Stay, and the Petition for Exped</w:t>
      </w:r>
      <w:r w:rsidR="00E07103">
        <w:rPr>
          <w:szCs w:val="22"/>
        </w:rPr>
        <w:t>ited Action filed by Silver State Broadcasting, LLC</w:t>
      </w:r>
      <w:r w:rsidR="00434A7A">
        <w:rPr>
          <w:szCs w:val="22"/>
        </w:rPr>
        <w:t xml:space="preserve"> on January 2, 2020,</w:t>
      </w:r>
      <w:r w:rsidR="00BA30F5">
        <w:rPr>
          <w:szCs w:val="22"/>
        </w:rPr>
        <w:t xml:space="preserve"> and the Reply to Opposition to Petition for Reconsideration filed by Chinese Voice of Golden City on January 13, 2020,</w:t>
      </w:r>
      <w:r w:rsidR="00434A7A">
        <w:rPr>
          <w:szCs w:val="22"/>
        </w:rPr>
        <w:t xml:space="preserve"> ARE DISMISSED.</w:t>
      </w:r>
    </w:p>
    <w:p w:rsidR="00677DA6" w:rsidRPr="00112737" w:rsidP="00112737" w14:paraId="7D9F3E92" w14:textId="0E4A6500">
      <w:pPr>
        <w:pStyle w:val="ParaNum"/>
        <w:widowControl/>
        <w:rPr>
          <w:szCs w:val="22"/>
        </w:rPr>
      </w:pPr>
      <w:r>
        <w:rPr>
          <w:szCs w:val="22"/>
        </w:rPr>
        <w:t xml:space="preserve">IT IS FURTHER ORDERED that Chinese Voice of Golden City (and </w:t>
      </w:r>
      <w:r w:rsidR="005F5B68">
        <w:rPr>
          <w:szCs w:val="22"/>
        </w:rPr>
        <w:t xml:space="preserve">each of </w:t>
      </w:r>
      <w:r>
        <w:rPr>
          <w:szCs w:val="22"/>
        </w:rPr>
        <w:t xml:space="preserve">its principals, </w:t>
      </w:r>
      <w:r w:rsidR="003A0892">
        <w:rPr>
          <w:szCs w:val="22"/>
        </w:rPr>
        <w:t xml:space="preserve">Bo Tian, Jinghua Liu, Ai-Chu Chang, and Rongrong Li, as well as any entity in which any of them holds an interest that is </w:t>
      </w:r>
      <w:r w:rsidR="00112737">
        <w:rPr>
          <w:szCs w:val="22"/>
        </w:rPr>
        <w:t xml:space="preserve">attributable under the standard set forth in 47 CFR § 73.3555 or subject to </w:t>
      </w:r>
      <w:r w:rsidR="003A0892">
        <w:rPr>
          <w:szCs w:val="22"/>
        </w:rPr>
        <w:t xml:space="preserve">the ownership and control disclosure standard set forth in 47 CFR §1.2112) SHALL SUBMIT a copy of this Memorandum Opinion and Order with every broadcast application – FCC Form 301, 302 (any version), 303-S, 308, 309, 310, 314, 315, 316, 318, 319, 340, 345, 346, 347, 349 or 350 – </w:t>
      </w:r>
      <w:r w:rsidR="005F5B68">
        <w:rPr>
          <w:szCs w:val="22"/>
        </w:rPr>
        <w:t xml:space="preserve">that any of them </w:t>
      </w:r>
      <w:r w:rsidR="003A0892">
        <w:rPr>
          <w:szCs w:val="22"/>
        </w:rPr>
        <w:t>file with the Commission for a period of five years from the release date of th</w:t>
      </w:r>
      <w:r w:rsidR="00112737">
        <w:rPr>
          <w:szCs w:val="22"/>
        </w:rPr>
        <w:t>is</w:t>
      </w:r>
      <w:r w:rsidR="003A0892">
        <w:rPr>
          <w:szCs w:val="22"/>
        </w:rPr>
        <w:t xml:space="preserve"> Memorandum Opinion and Order.</w:t>
      </w:r>
    </w:p>
    <w:p w:rsidR="00251F10" w:rsidRPr="002A1548" w:rsidP="00303AA3" w14:paraId="3A4EEDA4" w14:textId="752EAFF9">
      <w:pPr>
        <w:pStyle w:val="ParaNum"/>
        <w:widowControl/>
        <w:rPr>
          <w:szCs w:val="22"/>
        </w:rPr>
      </w:pPr>
      <w:r>
        <w:rPr>
          <w:szCs w:val="22"/>
        </w:rPr>
        <w:t>This action is taken pursuant to delegated authority under section 0.283 of the Commission’s rules.</w:t>
      </w:r>
      <w:r>
        <w:rPr>
          <w:rStyle w:val="FootnoteReference"/>
          <w:szCs w:val="22"/>
        </w:rPr>
        <w:footnoteReference w:id="49"/>
      </w:r>
    </w:p>
    <w:p w:rsidR="00C734A8" w:rsidRPr="000E2F8B" w:rsidP="00C734A8" w14:paraId="1D83BE7E" w14:textId="77777777">
      <w:pPr>
        <w:pStyle w:val="ParaNum"/>
        <w:numPr>
          <w:ilvl w:val="0"/>
          <w:numId w:val="0"/>
        </w:numPr>
        <w:ind w:left="720"/>
        <w:rPr>
          <w:szCs w:val="22"/>
        </w:rPr>
      </w:pPr>
    </w:p>
    <w:p w:rsidR="00F003FD" w:rsidP="00F003FD" w14:paraId="622FAE21" w14:textId="77777777">
      <w:r>
        <w:tab/>
      </w:r>
      <w:r>
        <w:tab/>
      </w:r>
      <w:r>
        <w:tab/>
      </w:r>
      <w:r>
        <w:tab/>
      </w:r>
      <w:r>
        <w:tab/>
      </w:r>
      <w:r>
        <w:tab/>
        <w:t>FEDERAL COMMUNICATIONS COMMISSION</w:t>
      </w:r>
    </w:p>
    <w:p w:rsidR="00F003FD" w:rsidP="00F003FD" w14:paraId="5A381755" w14:textId="77777777"/>
    <w:p w:rsidR="00F003FD" w:rsidP="00F003FD" w14:paraId="34E3EE92" w14:textId="77777777"/>
    <w:p w:rsidR="00F003FD" w:rsidP="00F003FD" w14:paraId="274436F3" w14:textId="77777777"/>
    <w:p w:rsidR="00F003FD" w:rsidP="00F003FD" w14:paraId="7EFCCEEE" w14:textId="77777777"/>
    <w:p w:rsidR="00F003FD" w:rsidP="00F003FD" w14:paraId="439B8BAE" w14:textId="56C99506">
      <w:r>
        <w:tab/>
      </w:r>
      <w:r>
        <w:tab/>
      </w:r>
      <w:r>
        <w:tab/>
      </w:r>
      <w:r>
        <w:tab/>
      </w:r>
      <w:r>
        <w:tab/>
      </w:r>
      <w:r>
        <w:tab/>
      </w:r>
      <w:r w:rsidR="00EC4742">
        <w:t>Michelle M. Carey</w:t>
      </w:r>
    </w:p>
    <w:p w:rsidR="00F003FD" w:rsidP="00F003FD" w14:paraId="414A5892" w14:textId="310C9159">
      <w:r>
        <w:tab/>
      </w:r>
      <w:r>
        <w:tab/>
      </w:r>
      <w:r>
        <w:tab/>
      </w:r>
      <w:r>
        <w:tab/>
      </w:r>
      <w:r>
        <w:tab/>
      </w:r>
      <w:r>
        <w:tab/>
      </w:r>
      <w:r w:rsidR="00B620DB">
        <w:t>Chief, Media Bureau</w:t>
      </w:r>
    </w:p>
    <w:p w:rsidR="00C734A8" w:rsidP="00F003FD" w14:paraId="5C34A205" w14:textId="77777777"/>
    <w:p w:rsidR="00AC6182" w:rsidRPr="006251FC" w:rsidP="00F003FD" w14:paraId="6A387082" w14:textId="77777777">
      <w:pPr>
        <w:pStyle w:val="ParaNum"/>
        <w:numPr>
          <w:ilvl w:val="0"/>
          <w:numId w:val="0"/>
        </w:numPr>
        <w:ind w:left="720"/>
      </w:pPr>
      <w:r w:rsidRPr="00AB4202">
        <w:t xml:space="preserve">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C9" w:rsidP="0055614C" w14:paraId="6DB686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3FC9" w14:paraId="0E46C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C9" w14:paraId="19FCBD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E3FC9" w14:paraId="100BB70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C9" w14:paraId="20B38D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1318" w14:paraId="3C0B86CB" w14:textId="77777777">
      <w:r>
        <w:separator/>
      </w:r>
    </w:p>
  </w:footnote>
  <w:footnote w:type="continuationSeparator" w:id="1">
    <w:p w:rsidR="00B01318" w:rsidP="00C721AC" w14:paraId="06197E6B" w14:textId="77777777">
      <w:pPr>
        <w:spacing w:before="120"/>
        <w:rPr>
          <w:sz w:val="20"/>
        </w:rPr>
      </w:pPr>
      <w:r>
        <w:rPr>
          <w:sz w:val="20"/>
        </w:rPr>
        <w:t xml:space="preserve">(Continued from previous page)  </w:t>
      </w:r>
      <w:r>
        <w:rPr>
          <w:sz w:val="20"/>
        </w:rPr>
        <w:separator/>
      </w:r>
    </w:p>
  </w:footnote>
  <w:footnote w:type="continuationNotice" w:id="2">
    <w:p w:rsidR="00B01318" w:rsidP="00C721AC" w14:paraId="5867EBE3" w14:textId="77777777">
      <w:pPr>
        <w:jc w:val="right"/>
        <w:rPr>
          <w:sz w:val="20"/>
        </w:rPr>
      </w:pPr>
      <w:r>
        <w:rPr>
          <w:sz w:val="20"/>
        </w:rPr>
        <w:t>(continued….)</w:t>
      </w:r>
    </w:p>
  </w:footnote>
  <w:footnote w:id="3">
    <w:p w:rsidR="00C55B43" w14:paraId="5318E8D0" w14:textId="2D26007F">
      <w:pPr>
        <w:pStyle w:val="FootnoteText"/>
      </w:pPr>
      <w:r>
        <w:rPr>
          <w:rStyle w:val="FootnoteReference"/>
        </w:rPr>
        <w:footnoteRef/>
      </w:r>
      <w:r>
        <w:t xml:space="preserve"> The Station is now identified in our licensing database as DKQLS-LP.</w:t>
      </w:r>
    </w:p>
  </w:footnote>
  <w:footnote w:id="4">
    <w:p w:rsidR="003D487D" w14:paraId="68FF2476" w14:textId="77825E85">
      <w:pPr>
        <w:pStyle w:val="FootnoteText"/>
      </w:pPr>
      <w:r>
        <w:rPr>
          <w:rStyle w:val="FootnoteReference"/>
        </w:rPr>
        <w:footnoteRef/>
      </w:r>
      <w:r>
        <w:t xml:space="preserve"> </w:t>
      </w:r>
      <w:r w:rsidRPr="00F0147F">
        <w:rPr>
          <w:i/>
        </w:rPr>
        <w:t>Chinese Voice of Golden City</w:t>
      </w:r>
      <w:r>
        <w:t xml:space="preserve">, </w:t>
      </w:r>
      <w:r w:rsidR="00F0147F">
        <w:t xml:space="preserve">File Nos. BLL-20171120AAB, BMLL-20190809AAL, </w:t>
      </w:r>
      <w:r>
        <w:t>Letter Order (MB Nov. 19, 2019)</w:t>
      </w:r>
      <w:r w:rsidR="00F0147F">
        <w:t xml:space="preserve"> (</w:t>
      </w:r>
      <w:r w:rsidRPr="007348F3" w:rsidR="00F0147F">
        <w:rPr>
          <w:i/>
        </w:rPr>
        <w:t xml:space="preserve">Letter </w:t>
      </w:r>
      <w:r w:rsidRPr="007348F3" w:rsidR="007348F3">
        <w:rPr>
          <w:i/>
        </w:rPr>
        <w:t>Order</w:t>
      </w:r>
      <w:r w:rsidR="00F0147F">
        <w:t>)</w:t>
      </w:r>
      <w:r>
        <w:t>.</w:t>
      </w:r>
    </w:p>
  </w:footnote>
  <w:footnote w:id="5">
    <w:p w:rsidR="00A20278" w14:paraId="3597C7A0" w14:textId="3699E28F">
      <w:pPr>
        <w:pStyle w:val="FootnoteText"/>
      </w:pPr>
      <w:r>
        <w:rPr>
          <w:rStyle w:val="FootnoteReference"/>
        </w:rPr>
        <w:footnoteRef/>
      </w:r>
      <w:r>
        <w:t xml:space="preserve"> File No. </w:t>
      </w:r>
      <w:r w:rsidRPr="00236755">
        <w:t>BNPL-20131115AGM</w:t>
      </w:r>
      <w:r>
        <w:t xml:space="preserve"> (Permit</w:t>
      </w:r>
      <w:r w:rsidR="00516CD2">
        <w:t xml:space="preserve"> Application</w:t>
      </w:r>
      <w:r>
        <w:t>).</w:t>
      </w:r>
    </w:p>
  </w:footnote>
  <w:footnote w:id="6">
    <w:p w:rsidR="00B05FC7" w14:paraId="1F9F26AB" w14:textId="6F61999D">
      <w:pPr>
        <w:pStyle w:val="FootnoteText"/>
      </w:pPr>
      <w:r>
        <w:rPr>
          <w:rStyle w:val="FootnoteReference"/>
        </w:rPr>
        <w:footnoteRef/>
      </w:r>
      <w:r>
        <w:t xml:space="preserve"> </w:t>
      </w:r>
      <w:r w:rsidR="00B82F25">
        <w:t xml:space="preserve">CVGC noted that section 73.807 required </w:t>
      </w:r>
      <w:r w:rsidR="003137E8">
        <w:t xml:space="preserve">the proposed transmitter site to be 93 kilometers from these stations and </w:t>
      </w:r>
      <w:r w:rsidR="00B82F25">
        <w:t>indicated</w:t>
      </w:r>
      <w:r>
        <w:t xml:space="preserve"> that the proposed transmitter site was 28.5 kilometers from that of KCYE(FM) and 23.7 kilometers from that of KISF(FM).</w:t>
      </w:r>
      <w:r w:rsidR="00B82F25">
        <w:t xml:space="preserve">  Permit Application, Attach. 11.</w:t>
      </w:r>
    </w:p>
  </w:footnote>
  <w:footnote w:id="7">
    <w:p w:rsidR="00A17C50" w14:paraId="28ABB7A3" w14:textId="2BF3407A">
      <w:pPr>
        <w:pStyle w:val="FootnoteText"/>
      </w:pPr>
      <w:r>
        <w:rPr>
          <w:rStyle w:val="FootnoteReference"/>
        </w:rPr>
        <w:footnoteRef/>
      </w:r>
      <w:r>
        <w:t xml:space="preserve"> </w:t>
      </w:r>
      <w:r w:rsidRPr="00A17C50">
        <w:rPr>
          <w:i/>
        </w:rPr>
        <w:t>Id</w:t>
      </w:r>
      <w:r>
        <w:t>.</w:t>
      </w:r>
    </w:p>
  </w:footnote>
  <w:footnote w:id="8">
    <w:p w:rsidR="005D5A54" w14:paraId="2C48A5FB" w14:textId="3228D9B6">
      <w:pPr>
        <w:pStyle w:val="FootnoteText"/>
      </w:pPr>
      <w:r>
        <w:rPr>
          <w:rStyle w:val="FootnoteReference"/>
        </w:rPr>
        <w:footnoteRef/>
      </w:r>
      <w:r>
        <w:t xml:space="preserve"> </w:t>
      </w:r>
      <w:r w:rsidRPr="00902266" w:rsidR="00902266">
        <w:rPr>
          <w:i/>
        </w:rPr>
        <w:t>Id</w:t>
      </w:r>
      <w:r w:rsidRPr="00902266">
        <w:rPr>
          <w:i/>
        </w:rPr>
        <w:t>.</w:t>
      </w:r>
    </w:p>
  </w:footnote>
  <w:footnote w:id="9">
    <w:p w:rsidR="003C2F60" w14:paraId="35FE52E1" w14:textId="1FDE4B04">
      <w:pPr>
        <w:pStyle w:val="FootnoteText"/>
      </w:pPr>
      <w:r>
        <w:rPr>
          <w:rStyle w:val="FootnoteReference"/>
        </w:rPr>
        <w:footnoteRef/>
      </w:r>
      <w:r>
        <w:t xml:space="preserve"> </w:t>
      </w:r>
      <w:r w:rsidRPr="005831EC">
        <w:rPr>
          <w:i/>
        </w:rPr>
        <w:t>Broadcast Actions</w:t>
      </w:r>
      <w:r>
        <w:t xml:space="preserve">, Public Notice, Report No. </w:t>
      </w:r>
      <w:r w:rsidR="005831EC">
        <w:t xml:space="preserve">48373, at </w:t>
      </w:r>
      <w:r w:rsidR="0022368F">
        <w:t>11</w:t>
      </w:r>
      <w:r w:rsidR="005831EC">
        <w:t xml:space="preserve"> (MB Nov. 25, 2014).</w:t>
      </w:r>
    </w:p>
  </w:footnote>
  <w:footnote w:id="10">
    <w:p w:rsidR="00F0147F" w14:paraId="1436953C" w14:textId="19B79D07">
      <w:pPr>
        <w:pStyle w:val="FootnoteText"/>
      </w:pPr>
      <w:r>
        <w:rPr>
          <w:rStyle w:val="FootnoteReference"/>
        </w:rPr>
        <w:footnoteRef/>
      </w:r>
      <w:r>
        <w:t xml:space="preserve"> </w:t>
      </w:r>
      <w:r w:rsidR="00993EBF">
        <w:t xml:space="preserve">The Permit originally </w:t>
      </w:r>
      <w:r w:rsidR="009D4849">
        <w:t>had an expiration date</w:t>
      </w:r>
      <w:r w:rsidR="00993EBF">
        <w:t xml:space="preserve"> </w:t>
      </w:r>
      <w:r w:rsidR="009D4849">
        <w:t xml:space="preserve">of </w:t>
      </w:r>
      <w:r w:rsidR="00F35624">
        <w:t>May 20, 201</w:t>
      </w:r>
      <w:r w:rsidR="00185AD7">
        <w:t>5</w:t>
      </w:r>
      <w:r w:rsidR="00F35624">
        <w:t>.  However,</w:t>
      </w:r>
      <w:r w:rsidR="00936262">
        <w:t xml:space="preserve"> on May 25, 2016,</w:t>
      </w:r>
      <w:r w:rsidR="00F35624">
        <w:t xml:space="preserve"> the construction deadline was extended </w:t>
      </w:r>
      <w:r w:rsidR="00936262">
        <w:t>for an additional 18 months.</w:t>
      </w:r>
    </w:p>
  </w:footnote>
  <w:footnote w:id="11">
    <w:p w:rsidR="00011C06" w14:paraId="32193B1D" w14:textId="0F19107B">
      <w:pPr>
        <w:pStyle w:val="FootnoteText"/>
      </w:pPr>
      <w:r>
        <w:rPr>
          <w:rStyle w:val="FootnoteReference"/>
        </w:rPr>
        <w:footnoteRef/>
      </w:r>
      <w:r>
        <w:t xml:space="preserve"> File No. BLL-20171120AAB (License </w:t>
      </w:r>
      <w:r w:rsidR="007348F3">
        <w:t>Application</w:t>
      </w:r>
      <w:r>
        <w:t>).</w:t>
      </w:r>
    </w:p>
  </w:footnote>
  <w:footnote w:id="12">
    <w:p w:rsidR="00BA7174" w14:paraId="515478E7" w14:textId="4226F3EE">
      <w:pPr>
        <w:pStyle w:val="FootnoteText"/>
      </w:pPr>
      <w:r>
        <w:rPr>
          <w:rStyle w:val="FootnoteReference"/>
        </w:rPr>
        <w:footnoteRef/>
      </w:r>
      <w:r>
        <w:t xml:space="preserve"> </w:t>
      </w:r>
      <w:r w:rsidRPr="005831EC" w:rsidR="00766C58">
        <w:rPr>
          <w:i/>
        </w:rPr>
        <w:t>Broadcast Actions</w:t>
      </w:r>
      <w:r w:rsidR="00766C58">
        <w:t>, Public Notice, Report No.</w:t>
      </w:r>
      <w:r w:rsidR="00CA10B7">
        <w:t xml:space="preserve"> </w:t>
      </w:r>
      <w:r w:rsidR="00766C58">
        <w:t xml:space="preserve">49133, at </w:t>
      </w:r>
      <w:r w:rsidR="00027C7A">
        <w:t>4</w:t>
      </w:r>
      <w:r w:rsidR="00766C58">
        <w:t xml:space="preserve"> (MB Dec. </w:t>
      </w:r>
      <w:r w:rsidR="00AD2BB8">
        <w:t>1</w:t>
      </w:r>
      <w:r w:rsidR="00766C58">
        <w:t>5, 201</w:t>
      </w:r>
      <w:r w:rsidR="00AD2BB8">
        <w:t>7</w:t>
      </w:r>
      <w:r w:rsidR="00766C58">
        <w:t>).</w:t>
      </w:r>
    </w:p>
  </w:footnote>
  <w:footnote w:id="13">
    <w:p w:rsidR="00E67CA9" w14:paraId="007F082F" w14:textId="790BD75C">
      <w:pPr>
        <w:pStyle w:val="FootnoteText"/>
      </w:pPr>
      <w:r>
        <w:rPr>
          <w:rStyle w:val="FootnoteReference"/>
        </w:rPr>
        <w:footnoteRef/>
      </w:r>
      <w:r>
        <w:t xml:space="preserve"> </w:t>
      </w:r>
      <w:r w:rsidR="00642A3F">
        <w:t xml:space="preserve">File No. </w:t>
      </w:r>
      <w:r w:rsidR="009E385D">
        <w:t>BMLL-20190809AAL (License Modification Application).</w:t>
      </w:r>
      <w:r w:rsidR="00723477">
        <w:t xml:space="preserve"> </w:t>
      </w:r>
      <w:r w:rsidR="009E385D">
        <w:t xml:space="preserve"> </w:t>
      </w:r>
      <w:r>
        <w:rPr>
          <w:szCs w:val="22"/>
        </w:rPr>
        <w:t xml:space="preserve">The Bureau granted the License Modification Application on August 16, 2019, but rescinded that grant on August 20, 2019.  </w:t>
      </w:r>
      <w:r w:rsidR="00723477">
        <w:rPr>
          <w:szCs w:val="22"/>
        </w:rPr>
        <w:t xml:space="preserve"> </w:t>
      </w:r>
      <w:r w:rsidRPr="00F63317">
        <w:rPr>
          <w:i/>
          <w:szCs w:val="22"/>
        </w:rPr>
        <w:t>See Broadcast Actions</w:t>
      </w:r>
      <w:r>
        <w:rPr>
          <w:szCs w:val="22"/>
        </w:rPr>
        <w:t xml:space="preserve">, Public Notice, Report No. 49555, at 4 (MB Aug. 21, 2019); </w:t>
      </w:r>
      <w:r w:rsidRPr="00F63317">
        <w:rPr>
          <w:i/>
          <w:szCs w:val="22"/>
        </w:rPr>
        <w:t>Broadcast Applications</w:t>
      </w:r>
      <w:r>
        <w:rPr>
          <w:szCs w:val="22"/>
        </w:rPr>
        <w:t>, Public Notice, Report No. 29557, at 7 (MB Aug. 23, 2019).</w:t>
      </w:r>
    </w:p>
  </w:footnote>
  <w:footnote w:id="14">
    <w:p w:rsidR="00F42947" w:rsidRPr="00A45C7D" w14:paraId="089952A5" w14:textId="12410AD3">
      <w:pPr>
        <w:pStyle w:val="FootnoteText"/>
      </w:pPr>
      <w:r>
        <w:rPr>
          <w:rStyle w:val="FootnoteReference"/>
        </w:rPr>
        <w:footnoteRef/>
      </w:r>
      <w:r>
        <w:t xml:space="preserve"> </w:t>
      </w:r>
      <w:r w:rsidR="00A45C7D">
        <w:rPr>
          <w:i/>
        </w:rPr>
        <w:t>See</w:t>
      </w:r>
      <w:r w:rsidR="00A45C7D">
        <w:t xml:space="preserve"> License Modification Application, Ex</w:t>
      </w:r>
      <w:r w:rsidR="00B41332">
        <w:t>h. 5.</w:t>
      </w:r>
    </w:p>
  </w:footnote>
  <w:footnote w:id="15">
    <w:p w:rsidR="0043218A" w:rsidRPr="0087001A" w14:paraId="7318201B" w14:textId="37BDD703">
      <w:pPr>
        <w:pStyle w:val="FootnoteText"/>
        <w:rPr>
          <w:i/>
        </w:rPr>
      </w:pPr>
      <w:r>
        <w:rPr>
          <w:rStyle w:val="FootnoteReference"/>
        </w:rPr>
        <w:footnoteRef/>
      </w:r>
      <w:r>
        <w:t xml:space="preserve"> </w:t>
      </w:r>
      <w:r w:rsidR="0087001A">
        <w:rPr>
          <w:i/>
        </w:rPr>
        <w:t>Id.</w:t>
      </w:r>
    </w:p>
  </w:footnote>
  <w:footnote w:id="16">
    <w:p w:rsidR="007424FA" w14:paraId="01B8947E" w14:textId="3D341089">
      <w:pPr>
        <w:pStyle w:val="FootnoteText"/>
      </w:pPr>
      <w:r>
        <w:rPr>
          <w:rStyle w:val="FootnoteReference"/>
        </w:rPr>
        <w:footnoteRef/>
      </w:r>
      <w:r>
        <w:t xml:space="preserve"> File No. </w:t>
      </w:r>
      <w:r w:rsidRPr="00260E09" w:rsidR="00C55C50">
        <w:t>BSTA</w:t>
      </w:r>
      <w:r w:rsidRPr="00260E09" w:rsidR="00E6477A">
        <w:t>-20191022</w:t>
      </w:r>
      <w:r w:rsidRPr="00260E09" w:rsidR="00C55C50">
        <w:t>AAR</w:t>
      </w:r>
      <w:r w:rsidRPr="00260E09" w:rsidR="00E6477A">
        <w:t>.</w:t>
      </w:r>
    </w:p>
  </w:footnote>
  <w:footnote w:id="17">
    <w:p w:rsidR="00420106" w:rsidRPr="00C674AD" w14:paraId="5AEC9D99" w14:textId="188776B5">
      <w:pPr>
        <w:pStyle w:val="FootnoteText"/>
      </w:pPr>
      <w:r>
        <w:rPr>
          <w:rStyle w:val="FootnoteReference"/>
        </w:rPr>
        <w:footnoteRef/>
      </w:r>
      <w:r>
        <w:t xml:space="preserve"> 47 U.S.C. </w:t>
      </w:r>
      <w:r w:rsidR="00E25A6D">
        <w:rPr>
          <w:szCs w:val="22"/>
        </w:rPr>
        <w:t>§ 312(g);</w:t>
      </w:r>
      <w:r w:rsidR="00C674AD">
        <w:rPr>
          <w:szCs w:val="22"/>
        </w:rPr>
        <w:t xml:space="preserve"> </w:t>
      </w:r>
      <w:r w:rsidR="00C674AD">
        <w:rPr>
          <w:i/>
          <w:szCs w:val="22"/>
        </w:rPr>
        <w:t>see also</w:t>
      </w:r>
      <w:r w:rsidR="00E25A6D">
        <w:rPr>
          <w:szCs w:val="22"/>
        </w:rPr>
        <w:t xml:space="preserve"> </w:t>
      </w:r>
      <w:r w:rsidR="00E25A6D">
        <w:rPr>
          <w:i/>
          <w:szCs w:val="22"/>
        </w:rPr>
        <w:t>Letter</w:t>
      </w:r>
      <w:r w:rsidR="00C674AD">
        <w:rPr>
          <w:i/>
          <w:szCs w:val="22"/>
        </w:rPr>
        <w:t xml:space="preserve"> Order</w:t>
      </w:r>
      <w:r w:rsidR="00643721">
        <w:rPr>
          <w:szCs w:val="22"/>
        </w:rPr>
        <w:t xml:space="preserve"> at 2.</w:t>
      </w:r>
    </w:p>
  </w:footnote>
  <w:footnote w:id="18">
    <w:p w:rsidR="00AC36E8" w14:paraId="6EB3BA95" w14:textId="2F207B1B">
      <w:pPr>
        <w:pStyle w:val="FootnoteText"/>
      </w:pPr>
      <w:r>
        <w:rPr>
          <w:rStyle w:val="FootnoteReference"/>
        </w:rPr>
        <w:footnoteRef/>
      </w:r>
      <w:r>
        <w:t xml:space="preserve"> </w:t>
      </w:r>
      <w:r w:rsidRPr="00AB5A8A">
        <w:rPr>
          <w:i/>
        </w:rPr>
        <w:t>Letter Order</w:t>
      </w:r>
      <w:r>
        <w:t xml:space="preserve"> at 2.</w:t>
      </w:r>
    </w:p>
  </w:footnote>
  <w:footnote w:id="19">
    <w:p w:rsidR="0017514D" w14:paraId="7EA0B040" w14:textId="4D2AC812">
      <w:pPr>
        <w:pStyle w:val="FootnoteText"/>
      </w:pPr>
      <w:r>
        <w:rPr>
          <w:rStyle w:val="FootnoteReference"/>
        </w:rPr>
        <w:footnoteRef/>
      </w:r>
      <w:r>
        <w:t xml:space="preserve"> </w:t>
      </w:r>
      <w:r w:rsidRPr="00AB5A8A">
        <w:rPr>
          <w:i/>
        </w:rPr>
        <w:t>Letter Order</w:t>
      </w:r>
      <w:r>
        <w:t xml:space="preserve"> at </w:t>
      </w:r>
      <w:r w:rsidR="00EF7A87">
        <w:t xml:space="preserve">1 </w:t>
      </w:r>
      <w:r w:rsidR="006D5012">
        <w:t>n. 5</w:t>
      </w:r>
      <w:r w:rsidR="00AB5A8A">
        <w:t>.</w:t>
      </w:r>
    </w:p>
  </w:footnote>
  <w:footnote w:id="20">
    <w:p w:rsidR="00C655D3" w:rsidRPr="00B7302D" w:rsidP="00B971C7" w14:paraId="54B90934" w14:textId="2E09B985">
      <w:pPr>
        <w:pStyle w:val="FootnoteText"/>
        <w:rPr>
          <w:szCs w:val="22"/>
        </w:rPr>
      </w:pPr>
      <w:r>
        <w:rPr>
          <w:rStyle w:val="FootnoteReference"/>
        </w:rPr>
        <w:footnoteRef/>
      </w:r>
      <w:r>
        <w:t xml:space="preserve"> </w:t>
      </w:r>
      <w:r w:rsidRPr="00A232E7">
        <w:rPr>
          <w:i/>
          <w:szCs w:val="22"/>
        </w:rPr>
        <w:t>Letter Order</w:t>
      </w:r>
      <w:r>
        <w:rPr>
          <w:szCs w:val="22"/>
        </w:rPr>
        <w:t xml:space="preserve"> at 1</w:t>
      </w:r>
      <w:r w:rsidR="00BC792B">
        <w:rPr>
          <w:szCs w:val="22"/>
        </w:rPr>
        <w:t>, citing 47 CFR § 73.875(b)(2)</w:t>
      </w:r>
      <w:r w:rsidR="004310E7">
        <w:rPr>
          <w:szCs w:val="22"/>
        </w:rPr>
        <w:t>.</w:t>
      </w:r>
      <w:r w:rsidR="00BC792B">
        <w:rPr>
          <w:szCs w:val="22"/>
        </w:rPr>
        <w:t xml:space="preserve">  Section 73.875(b)(2) </w:t>
      </w:r>
      <w:r w:rsidR="00220BBF">
        <w:rPr>
          <w:szCs w:val="22"/>
        </w:rPr>
        <w:t xml:space="preserve">of the Rules </w:t>
      </w:r>
      <w:r w:rsidR="00B971C7">
        <w:rPr>
          <w:szCs w:val="22"/>
        </w:rPr>
        <w:t xml:space="preserve">permits certain </w:t>
      </w:r>
      <w:r w:rsidRPr="00B971C7" w:rsidR="00B971C7">
        <w:rPr>
          <w:szCs w:val="22"/>
        </w:rPr>
        <w:t xml:space="preserve">changes </w:t>
      </w:r>
      <w:r w:rsidR="00B971C7">
        <w:rPr>
          <w:szCs w:val="22"/>
        </w:rPr>
        <w:t>to LPFM facilities</w:t>
      </w:r>
      <w:r w:rsidR="00B7302D">
        <w:rPr>
          <w:szCs w:val="22"/>
        </w:rPr>
        <w:t>—including “[a]</w:t>
      </w:r>
      <w:r w:rsidRPr="00B971C7" w:rsidR="00B7302D">
        <w:rPr>
          <w:szCs w:val="22"/>
        </w:rPr>
        <w:t>ny</w:t>
      </w:r>
      <w:r w:rsidRPr="00B971C7" w:rsidR="00B7302D">
        <w:rPr>
          <w:szCs w:val="22"/>
        </w:rPr>
        <w:t xml:space="preserve"> change in station geographic coordinates, including coordinate corrections and any move of the antenna to another tower structure located at the same coordinates</w:t>
      </w:r>
      <w:r w:rsidR="00B7302D">
        <w:rPr>
          <w:szCs w:val="22"/>
        </w:rPr>
        <w:t>”—</w:t>
      </w:r>
      <w:r w:rsidR="00B971C7">
        <w:rPr>
          <w:szCs w:val="22"/>
        </w:rPr>
        <w:t xml:space="preserve">to </w:t>
      </w:r>
      <w:r w:rsidRPr="00B971C7" w:rsidR="00B971C7">
        <w:rPr>
          <w:szCs w:val="22"/>
        </w:rPr>
        <w:t xml:space="preserve">be made </w:t>
      </w:r>
      <w:r w:rsidR="00B7302D">
        <w:rPr>
          <w:szCs w:val="22"/>
        </w:rPr>
        <w:t>“</w:t>
      </w:r>
      <w:r w:rsidRPr="00B971C7" w:rsidR="00B971C7">
        <w:rPr>
          <w:szCs w:val="22"/>
        </w:rPr>
        <w:t>only after the grant of a construction permit application on FCC Form 318.</w:t>
      </w:r>
      <w:r w:rsidR="00B7302D">
        <w:rPr>
          <w:szCs w:val="22"/>
        </w:rPr>
        <w:t>”</w:t>
      </w:r>
    </w:p>
  </w:footnote>
  <w:footnote w:id="21">
    <w:p w:rsidR="00875313" w14:paraId="29E4D073" w14:textId="42E0906A">
      <w:pPr>
        <w:pStyle w:val="FootnoteText"/>
      </w:pPr>
      <w:r>
        <w:rPr>
          <w:rStyle w:val="FootnoteReference"/>
        </w:rPr>
        <w:footnoteRef/>
      </w:r>
      <w:r>
        <w:t xml:space="preserve"> CVGC concurrently filed</w:t>
      </w:r>
      <w:r w:rsidR="002E4E3B">
        <w:t xml:space="preserve"> with the Media Bureau</w:t>
      </w:r>
      <w:r>
        <w:t xml:space="preserve"> a </w:t>
      </w:r>
      <w:r w:rsidR="004521D9">
        <w:t>M</w:t>
      </w:r>
      <w:r>
        <w:t>otion for</w:t>
      </w:r>
      <w:r w:rsidR="004521D9">
        <w:t xml:space="preserve"> S</w:t>
      </w:r>
      <w:r>
        <w:t>tay</w:t>
      </w:r>
      <w:r w:rsidR="00011F30">
        <w:t xml:space="preserve">, which urged the </w:t>
      </w:r>
      <w:r w:rsidR="002E4E3B">
        <w:t>Bureau</w:t>
      </w:r>
      <w:r w:rsidR="00011F30">
        <w:t xml:space="preserve"> to “stay the effectiveness</w:t>
      </w:r>
      <w:r w:rsidR="009B3426">
        <w:t xml:space="preserve"> of [the </w:t>
      </w:r>
      <w:r w:rsidRPr="00DE6049" w:rsidR="009B3426">
        <w:rPr>
          <w:i/>
        </w:rPr>
        <w:t>Letter Order</w:t>
      </w:r>
      <w:r w:rsidR="009B3426">
        <w:t>] and allow KQLS-LP to continue broadcasting while its Petition is pending</w:t>
      </w:r>
      <w:r>
        <w:t>.</w:t>
      </w:r>
      <w:r w:rsidR="009B3426">
        <w:t>”</w:t>
      </w:r>
      <w:r w:rsidR="00040AF0">
        <w:t xml:space="preserve">  Motion for Stay of Chinese Voice of Golden City, Pleading File No. 0000092790</w:t>
      </w:r>
      <w:r w:rsidR="009B3426">
        <w:t>, at 2</w:t>
      </w:r>
      <w:r w:rsidR="00040AF0">
        <w:t xml:space="preserve"> (filed Dec. 5, 2019).  I</w:t>
      </w:r>
      <w:r w:rsidR="00DC5158">
        <w:t xml:space="preserve">t subsequently </w:t>
      </w:r>
      <w:r w:rsidR="00F100C2">
        <w:t xml:space="preserve">filed </w:t>
      </w:r>
      <w:r w:rsidR="00DC5158">
        <w:t>an Emergency Stay Request</w:t>
      </w:r>
      <w:r w:rsidR="002E4E3B">
        <w:t xml:space="preserve"> with the Commission</w:t>
      </w:r>
      <w:r w:rsidR="002B4E58">
        <w:t xml:space="preserve">, which sought </w:t>
      </w:r>
      <w:r w:rsidR="00E22AF3">
        <w:t xml:space="preserve">a stay of the actions taken in the </w:t>
      </w:r>
      <w:r w:rsidRPr="00D4273B" w:rsidR="00E22AF3">
        <w:rPr>
          <w:i/>
        </w:rPr>
        <w:t>Letter Order</w:t>
      </w:r>
      <w:r w:rsidR="00E22AF3">
        <w:t xml:space="preserve"> “while the Bureau considers the Petition</w:t>
      </w:r>
      <w:r w:rsidR="00DC5158">
        <w:t>.</w:t>
      </w:r>
      <w:r w:rsidR="00E22AF3">
        <w:t>”</w:t>
      </w:r>
      <w:r w:rsidR="00FB2351">
        <w:t xml:space="preserve"> Emergency Stay Request of Chinese Voice of Golden City, Pleading File No. </w:t>
      </w:r>
      <w:r w:rsidR="00FD33EA">
        <w:t>00000</w:t>
      </w:r>
      <w:r w:rsidR="00793D5A">
        <w:t>94993</w:t>
      </w:r>
      <w:r w:rsidR="00D44F98">
        <w:t>, at 2-3</w:t>
      </w:r>
      <w:r w:rsidR="00FB2351">
        <w:t xml:space="preserve"> (filed Dec. 17, 2019).</w:t>
      </w:r>
      <w:r w:rsidR="00B07050">
        <w:t xml:space="preserve"> </w:t>
      </w:r>
      <w:r w:rsidR="0027465F">
        <w:t xml:space="preserve"> </w:t>
      </w:r>
      <w:r w:rsidR="00E507CF">
        <w:t>Additionally</w:t>
      </w:r>
      <w:r w:rsidR="00B07050">
        <w:t>,</w:t>
      </w:r>
      <w:r w:rsidR="00E507CF">
        <w:t xml:space="preserve"> Silver State Broadcasting, LLC (SSB) filed a Motion for Leave to File Out of Time, Opposition to Petition for Reconsideration, Opposition to Motion for Stay</w:t>
      </w:r>
      <w:r w:rsidR="00A03B36">
        <w:t xml:space="preserve">, </w:t>
      </w:r>
      <w:r w:rsidR="00E507CF">
        <w:t xml:space="preserve">and Petition for </w:t>
      </w:r>
      <w:r w:rsidR="00915F2E">
        <w:t>Expedited</w:t>
      </w:r>
      <w:r w:rsidR="00E507CF">
        <w:t xml:space="preserve"> Action</w:t>
      </w:r>
      <w:r w:rsidR="00915F2E">
        <w:t xml:space="preserve"> </w:t>
      </w:r>
      <w:r w:rsidR="00E507CF">
        <w:t>on January 2, 20</w:t>
      </w:r>
      <w:r w:rsidR="001F1E05">
        <w:t>20</w:t>
      </w:r>
      <w:r w:rsidR="00E507CF">
        <w:t xml:space="preserve">. </w:t>
      </w:r>
      <w:r w:rsidR="0027465F">
        <w:t xml:space="preserve"> </w:t>
      </w:r>
      <w:r w:rsidR="00382319">
        <w:t>Pleading File</w:t>
      </w:r>
      <w:r w:rsidR="008D580E">
        <w:t xml:space="preserve"> Nos. 0000094773,</w:t>
      </w:r>
      <w:r w:rsidRPr="008D580E" w:rsidR="008D580E">
        <w:t xml:space="preserve"> </w:t>
      </w:r>
      <w:r w:rsidR="008D580E">
        <w:t>0000094771</w:t>
      </w:r>
      <w:r w:rsidR="00B7338D">
        <w:t>,</w:t>
      </w:r>
      <w:r w:rsidR="00A03B36">
        <w:t xml:space="preserve"> and</w:t>
      </w:r>
      <w:r w:rsidR="00B7338D">
        <w:t xml:space="preserve"> 0000094769</w:t>
      </w:r>
      <w:r w:rsidR="00A03B36">
        <w:t>.</w:t>
      </w:r>
      <w:r w:rsidR="008D580E">
        <w:t xml:space="preserve"> </w:t>
      </w:r>
      <w:r w:rsidR="00227A57">
        <w:t>CVGC filed a Reply to Opposition to Petition for Reconsideration on January 13, 2020. Pleading File No. 0000097041.</w:t>
      </w:r>
      <w:r w:rsidR="008D580E">
        <w:t xml:space="preserve"> </w:t>
      </w:r>
      <w:r w:rsidR="0027465F">
        <w:t xml:space="preserve">Because we herein </w:t>
      </w:r>
      <w:r w:rsidR="006578B2">
        <w:t>address the</w:t>
      </w:r>
      <w:r w:rsidR="00444D3F">
        <w:t xml:space="preserve"> merits of the Petition and uphold the </w:t>
      </w:r>
      <w:r w:rsidR="00847AC0">
        <w:t xml:space="preserve">actions taken in the </w:t>
      </w:r>
      <w:r w:rsidRPr="00EC270C" w:rsidR="00847AC0">
        <w:rPr>
          <w:i/>
        </w:rPr>
        <w:t>Letter Order</w:t>
      </w:r>
      <w:r w:rsidR="00444D3F">
        <w:t>,</w:t>
      </w:r>
      <w:r w:rsidR="00847AC0">
        <w:t xml:space="preserve"> </w:t>
      </w:r>
      <w:r w:rsidR="004918F1">
        <w:t>C</w:t>
      </w:r>
      <w:r w:rsidR="008B5DED">
        <w:t>VGC’s stay requests</w:t>
      </w:r>
      <w:r w:rsidR="002E4E3B">
        <w:t>,</w:t>
      </w:r>
      <w:r w:rsidR="003906DB">
        <w:t xml:space="preserve"> </w:t>
      </w:r>
      <w:r w:rsidR="00E507CF">
        <w:t>SSB’s pleadings</w:t>
      </w:r>
      <w:r w:rsidR="009D2F37">
        <w:t>, and CVGC’s</w:t>
      </w:r>
      <w:r w:rsidR="000C5F8D">
        <w:t xml:space="preserve"> reply to SSB’</w:t>
      </w:r>
      <w:r w:rsidR="007775EB">
        <w:t>s</w:t>
      </w:r>
      <w:r w:rsidR="002E4E3B">
        <w:t xml:space="preserve"> opposition</w:t>
      </w:r>
      <w:r w:rsidR="008B5DED">
        <w:t xml:space="preserve"> are rendered moot and therefore are dismissed</w:t>
      </w:r>
      <w:r w:rsidR="00CB4670">
        <w:t xml:space="preserve">. </w:t>
      </w:r>
    </w:p>
  </w:footnote>
  <w:footnote w:id="22">
    <w:p w:rsidR="005D5A54" w14:paraId="04908DBE" w14:textId="39CB0AFC">
      <w:pPr>
        <w:pStyle w:val="FootnoteText"/>
      </w:pPr>
      <w:r>
        <w:rPr>
          <w:rStyle w:val="FootnoteReference"/>
        </w:rPr>
        <w:footnoteRef/>
      </w:r>
      <w:r>
        <w:t xml:space="preserve"> Statement of Bo Tian (Aug. 8, 2019) (Tian Statement).</w:t>
      </w:r>
    </w:p>
  </w:footnote>
  <w:footnote w:id="23">
    <w:p w:rsidR="00AA3F4B" w14:paraId="5E0BF448" w14:textId="3F2C621F">
      <w:pPr>
        <w:pStyle w:val="FootnoteText"/>
      </w:pPr>
      <w:r>
        <w:rPr>
          <w:rStyle w:val="FootnoteReference"/>
        </w:rPr>
        <w:footnoteRef/>
      </w:r>
      <w:r>
        <w:t xml:space="preserve"> </w:t>
      </w:r>
      <w:r w:rsidRPr="00AA3F4B">
        <w:rPr>
          <w:i/>
        </w:rPr>
        <w:t>Id.</w:t>
      </w:r>
      <w:r>
        <w:t xml:space="preserve"> at 2, para. 8.</w:t>
      </w:r>
    </w:p>
  </w:footnote>
  <w:footnote w:id="24">
    <w:p w:rsidR="00AA3F4B" w14:paraId="23E823E3" w14:textId="7C8D3F63">
      <w:pPr>
        <w:pStyle w:val="FootnoteText"/>
      </w:pPr>
      <w:r>
        <w:rPr>
          <w:rStyle w:val="FootnoteReference"/>
        </w:rPr>
        <w:footnoteRef/>
      </w:r>
      <w:r>
        <w:t xml:space="preserve"> </w:t>
      </w:r>
      <w:r w:rsidRPr="00F276F0">
        <w:rPr>
          <w:i/>
        </w:rPr>
        <w:t>Id.</w:t>
      </w:r>
      <w:r>
        <w:t xml:space="preserve"> at 2, paras. </w:t>
      </w:r>
      <w:r w:rsidR="00F276F0">
        <w:t>7-11.  The Tian Statement indicates that the Station’s operations from the West Owens Avenue Site used a “mobile production van” with transmission capability from November 2017 to January 2018 and May-July 2019 (</w:t>
      </w:r>
      <w:r w:rsidRPr="00F276F0" w:rsidR="00F276F0">
        <w:rPr>
          <w:i/>
        </w:rPr>
        <w:t>id.</w:t>
      </w:r>
      <w:r w:rsidR="00F276F0">
        <w:t>) and then a tower/antenna mounted on a trailer (</w:t>
      </w:r>
      <w:r w:rsidRPr="00F276F0" w:rsidR="00F276F0">
        <w:rPr>
          <w:i/>
        </w:rPr>
        <w:t>id.</w:t>
      </w:r>
      <w:r w:rsidR="00F276F0">
        <w:t xml:space="preserve"> and Attach. 2).  In light of our action here, we need not decide whether either of those mobile operations were licensable.  </w:t>
      </w:r>
      <w:r w:rsidRPr="00CA16AE" w:rsidR="00F276F0">
        <w:rPr>
          <w:i/>
        </w:rPr>
        <w:t>See Matinee Media Corp.</w:t>
      </w:r>
      <w:r w:rsidR="00F276F0">
        <w:t xml:space="preserve">, Letter Order, </w:t>
      </w:r>
      <w:r w:rsidR="00CA16AE">
        <w:t>33 FCC Rcd 6685 (MB 2018).</w:t>
      </w:r>
      <w:r w:rsidR="00F276F0">
        <w:t xml:space="preserve"> </w:t>
      </w:r>
    </w:p>
  </w:footnote>
  <w:footnote w:id="25">
    <w:p w:rsidR="00CB4670" w:rsidRPr="00AD4FAF" w14:paraId="4679B847" w14:textId="16F7A93F">
      <w:pPr>
        <w:pStyle w:val="FootnoteText"/>
      </w:pPr>
      <w:r>
        <w:rPr>
          <w:rStyle w:val="FootnoteReference"/>
        </w:rPr>
        <w:footnoteRef/>
      </w:r>
      <w:r>
        <w:t xml:space="preserve"> </w:t>
      </w:r>
      <w:r w:rsidR="00D4559C">
        <w:t xml:space="preserve">The </w:t>
      </w:r>
      <w:r w:rsidR="00D4559C">
        <w:rPr>
          <w:i/>
        </w:rPr>
        <w:t>Letter Order</w:t>
      </w:r>
      <w:r w:rsidR="00D4559C">
        <w:t xml:space="preserve"> misstates the Station’s licensed coordinates as 35</w:t>
      </w:r>
      <w:r w:rsidR="00036A69">
        <w:t>º1</w:t>
      </w:r>
      <w:r w:rsidR="00322E7F">
        <w:t>1’24”N, 115º08’3</w:t>
      </w:r>
      <w:r w:rsidR="00032A5C">
        <w:t>5”W instead of the licensed coordinates of 36º11’24”</w:t>
      </w:r>
      <w:r w:rsidR="00AD4FAF">
        <w:t xml:space="preserve">N, 115º08’35”W.  </w:t>
      </w:r>
      <w:r w:rsidR="00AD4FAF">
        <w:rPr>
          <w:i/>
        </w:rPr>
        <w:t>Letter Order</w:t>
      </w:r>
      <w:r w:rsidR="00AD4FAF">
        <w:t xml:space="preserve"> at 1. </w:t>
      </w:r>
    </w:p>
  </w:footnote>
  <w:footnote w:id="26">
    <w:p w:rsidR="006007C4" w:rsidRPr="00F72531" w14:paraId="5C4B52E2" w14:textId="2B56D5FD">
      <w:pPr>
        <w:pStyle w:val="FootnoteText"/>
        <w:rPr>
          <w:i/>
        </w:rPr>
      </w:pPr>
      <w:r>
        <w:rPr>
          <w:rStyle w:val="FootnoteReference"/>
        </w:rPr>
        <w:footnoteRef/>
      </w:r>
      <w:r>
        <w:t xml:space="preserve"> </w:t>
      </w:r>
      <w:r w:rsidR="00212A3D">
        <w:rPr>
          <w:i/>
        </w:rPr>
        <w:t>See, e.g</w:t>
      </w:r>
      <w:r w:rsidRPr="00C23B6E" w:rsidR="00212A3D">
        <w:t xml:space="preserve">., </w:t>
      </w:r>
      <w:r w:rsidRPr="00C23B6E" w:rsidR="00F72531">
        <w:rPr>
          <w:i/>
        </w:rPr>
        <w:t>Greater Boston Television Corp</w:t>
      </w:r>
      <w:r w:rsidR="003E6C87">
        <w:rPr>
          <w:i/>
        </w:rPr>
        <w:t>.</w:t>
      </w:r>
      <w:r w:rsidRPr="00C23B6E" w:rsidR="00F72531">
        <w:rPr>
          <w:i/>
        </w:rPr>
        <w:t xml:space="preserve"> v. FCC</w:t>
      </w:r>
      <w:r w:rsidRPr="00677DA6" w:rsidR="00F72531">
        <w:t>,</w:t>
      </w:r>
      <w:r w:rsidR="00F72531">
        <w:rPr>
          <w:i/>
        </w:rPr>
        <w:t xml:space="preserve"> </w:t>
      </w:r>
      <w:r w:rsidRPr="00C23B6E" w:rsidR="00F72531">
        <w:t>44 F.2d 841, 851 (D.C. Cir. 1970)</w:t>
      </w:r>
      <w:r w:rsidRPr="005B659F" w:rsidR="00F72531">
        <w:t>,</w:t>
      </w:r>
      <w:r w:rsidR="00F72531">
        <w:rPr>
          <w:i/>
        </w:rPr>
        <w:t xml:space="preserve"> </w:t>
      </w:r>
      <w:r w:rsidRPr="00C23B6E" w:rsidR="00F72531">
        <w:rPr>
          <w:i/>
        </w:rPr>
        <w:t>cert. denied</w:t>
      </w:r>
      <w:r w:rsidRPr="005B659F" w:rsidR="00F72531">
        <w:t>,</w:t>
      </w:r>
      <w:r w:rsidR="00F72531">
        <w:rPr>
          <w:i/>
        </w:rPr>
        <w:t xml:space="preserve"> </w:t>
      </w:r>
      <w:r w:rsidRPr="00C23B6E" w:rsidR="00F72531">
        <w:t>403 U.S. 923 (1971)</w:t>
      </w:r>
      <w:r w:rsidR="00B60072">
        <w:t xml:space="preserve"> </w:t>
      </w:r>
      <w:r w:rsidRPr="00C23B6E" w:rsidR="00F72531">
        <w:t>(</w:t>
      </w:r>
      <w:r w:rsidRPr="00C23B6E" w:rsidR="00C23B6E">
        <w:t xml:space="preserve">The court will not upset a decision because of errors that are not material, “there being </w:t>
      </w:r>
      <w:r w:rsidR="00C23B6E">
        <w:t>r</w:t>
      </w:r>
      <w:r w:rsidRPr="00C23B6E" w:rsidR="00C23B6E">
        <w:t>oom for the doctrine of harmless error”)</w:t>
      </w:r>
      <w:r w:rsidR="0076157C">
        <w:t>.</w:t>
      </w:r>
      <w:r w:rsidR="00951CBA">
        <w:t xml:space="preserve">  Likewise, it appears from the Tian Statement that the correct date for the Station’s license expiration pursuant to section 312(g) may have been as early as November 19, 2018, but that does not alter the outcome here.</w:t>
      </w:r>
    </w:p>
  </w:footnote>
  <w:footnote w:id="27">
    <w:p w:rsidR="00E00C8D" w14:paraId="6D6A28C6" w14:textId="4D5CAFA7">
      <w:pPr>
        <w:pStyle w:val="FootnoteText"/>
      </w:pPr>
      <w:r>
        <w:rPr>
          <w:rStyle w:val="FootnoteReference"/>
        </w:rPr>
        <w:footnoteRef/>
      </w:r>
      <w:r>
        <w:t xml:space="preserve"> </w:t>
      </w:r>
      <w:r>
        <w:rPr>
          <w:szCs w:val="22"/>
        </w:rPr>
        <w:t xml:space="preserve">Petition at 8.  </w:t>
      </w:r>
    </w:p>
  </w:footnote>
  <w:footnote w:id="28">
    <w:p w:rsidR="00DC0D91" w14:paraId="21626018" w14:textId="31369698">
      <w:pPr>
        <w:pStyle w:val="FootnoteText"/>
      </w:pPr>
      <w:r>
        <w:rPr>
          <w:rStyle w:val="FootnoteReference"/>
        </w:rPr>
        <w:footnoteRef/>
      </w:r>
      <w:r>
        <w:t xml:space="preserve"> 47 CFR § 73.801.</w:t>
      </w:r>
    </w:p>
  </w:footnote>
  <w:footnote w:id="29">
    <w:p w:rsidR="009137CF" w:rsidP="009137CF" w14:paraId="3FD00124" w14:textId="3C11065A">
      <w:pPr>
        <w:pStyle w:val="FootnoteText"/>
      </w:pPr>
      <w:r>
        <w:rPr>
          <w:rStyle w:val="FootnoteReference"/>
        </w:rPr>
        <w:footnoteRef/>
      </w:r>
      <w:r>
        <w:t xml:space="preserve"> </w:t>
      </w:r>
      <w:r w:rsidR="002E4E3B">
        <w:t>Moreover, i</w:t>
      </w:r>
      <w:r>
        <w:t>n adopting section 73.1690(c)(11), the Commission not only limited the applicability of its new streamlined coordinate correction procedure to corrections involving</w:t>
      </w:r>
      <w:r>
        <w:rPr>
          <w:rStyle w:val="ssleftalign"/>
        </w:rPr>
        <w:t xml:space="preserve"> changes </w:t>
      </w:r>
      <w:r w:rsidR="005F5B68">
        <w:rPr>
          <w:rStyle w:val="ssleftalign"/>
        </w:rPr>
        <w:t xml:space="preserve">by full-service broadcast stations </w:t>
      </w:r>
      <w:r>
        <w:rPr>
          <w:rStyle w:val="ssleftalign"/>
        </w:rPr>
        <w:t xml:space="preserve">of less than three seconds latitude and three seconds longitude, but also specified that the procedure could be used only when the coordinate corrections “do not result in short-spacings or aggravate existing short-spacings.”  </w:t>
      </w:r>
      <w:r w:rsidRPr="00AF3E99">
        <w:rPr>
          <w:rStyle w:val="ssleftalign"/>
          <w:i/>
        </w:rPr>
        <w:t>1998 Biennial Regulatory Review – Stream</w:t>
      </w:r>
      <w:r w:rsidR="00D52DBD">
        <w:rPr>
          <w:rStyle w:val="ssleftalign"/>
          <w:i/>
        </w:rPr>
        <w:t>lin</w:t>
      </w:r>
      <w:r w:rsidRPr="00AF3E99">
        <w:rPr>
          <w:rStyle w:val="ssleftalign"/>
          <w:i/>
        </w:rPr>
        <w:t>ing of Radio Technical Rules in Parts 73 and 74 of the Commission’s Rules</w:t>
      </w:r>
      <w:r>
        <w:rPr>
          <w:rStyle w:val="ssleftalign"/>
        </w:rPr>
        <w:t xml:space="preserve">, Second Report and Order, 15 FCC Rcd 21649, 21668, para. 36 (2000).  </w:t>
      </w:r>
      <w:r w:rsidR="002E4E3B">
        <w:rPr>
          <w:rStyle w:val="ssleftalign"/>
        </w:rPr>
        <w:t>Thus, section 73.1690(c)(11) provides that a correction in coordinates “may not result in any new short spacing</w:t>
      </w:r>
      <w:r w:rsidR="007775EB">
        <w:rPr>
          <w:rStyle w:val="ssleftalign"/>
        </w:rPr>
        <w:t>s</w:t>
      </w:r>
      <w:r w:rsidR="002E4E3B">
        <w:rPr>
          <w:rStyle w:val="ssleftalign"/>
        </w:rPr>
        <w:t xml:space="preserve"> or increases in existing short spacings.”  47 CFR § 73.1690(c)(11).  </w:t>
      </w:r>
      <w:r>
        <w:rPr>
          <w:rStyle w:val="ssleftalign"/>
        </w:rPr>
        <w:t xml:space="preserve">CVGC has never argued or shown that there was no </w:t>
      </w:r>
      <w:r w:rsidR="002E4E3B">
        <w:rPr>
          <w:rStyle w:val="ssleftalign"/>
        </w:rPr>
        <w:t>increase</w:t>
      </w:r>
      <w:r>
        <w:rPr>
          <w:rStyle w:val="ssleftalign"/>
        </w:rPr>
        <w:t xml:space="preserve"> of the Station’s short-spacing at the West Owens Avenue Site.</w:t>
      </w:r>
      <w:r w:rsidR="00C55C50">
        <w:rPr>
          <w:rStyle w:val="ssleftalign"/>
        </w:rPr>
        <w:t xml:space="preserve">  As for the East Charleston Boulevard Site, </w:t>
      </w:r>
      <w:r w:rsidR="00F52337">
        <w:rPr>
          <w:rStyle w:val="ssleftalign"/>
        </w:rPr>
        <w:t>there is no colorable argument that the difference in coordinates from the Permit Site is less than three seconds</w:t>
      </w:r>
      <w:r w:rsidR="009B6C43">
        <w:rPr>
          <w:rStyle w:val="ssleftalign"/>
        </w:rPr>
        <w:t xml:space="preserve">, nor was there a claim made that the short-spacing would not be </w:t>
      </w:r>
      <w:r w:rsidR="002E4E3B">
        <w:rPr>
          <w:rStyle w:val="ssleftalign"/>
        </w:rPr>
        <w:t>increased</w:t>
      </w:r>
      <w:r w:rsidR="009B6C43">
        <w:rPr>
          <w:rStyle w:val="ssleftalign"/>
        </w:rPr>
        <w:t xml:space="preserve"> there.</w:t>
      </w:r>
    </w:p>
  </w:footnote>
  <w:footnote w:id="30">
    <w:p w:rsidR="00B868DD" w14:paraId="235BD14A" w14:textId="7FE1B66A">
      <w:pPr>
        <w:pStyle w:val="FootnoteText"/>
      </w:pPr>
      <w:r>
        <w:rPr>
          <w:rStyle w:val="FootnoteReference"/>
        </w:rPr>
        <w:footnoteRef/>
      </w:r>
      <w:r>
        <w:t xml:space="preserve"> Petition at 6-7, 10-11.</w:t>
      </w:r>
    </w:p>
  </w:footnote>
  <w:footnote w:id="31">
    <w:p w:rsidR="00E1125B" w14:paraId="174401F8" w14:textId="7C6CCA88">
      <w:pPr>
        <w:pStyle w:val="FootnoteText"/>
      </w:pPr>
      <w:r>
        <w:rPr>
          <w:rStyle w:val="FootnoteReference"/>
        </w:rPr>
        <w:footnoteRef/>
      </w:r>
      <w:r>
        <w:t xml:space="preserve"> </w:t>
      </w:r>
      <w:r>
        <w:rPr>
          <w:szCs w:val="22"/>
        </w:rPr>
        <w:t>In support of this argument, CVGC cites Commission precedent that pre-dates and is codified in section 73.1690(c)(11).</w:t>
      </w:r>
      <w:r w:rsidR="00533C1F">
        <w:rPr>
          <w:szCs w:val="22"/>
        </w:rPr>
        <w:t xml:space="preserve"> </w:t>
      </w:r>
      <w:r w:rsidR="00B7401C">
        <w:rPr>
          <w:szCs w:val="22"/>
        </w:rPr>
        <w:t xml:space="preserve"> </w:t>
      </w:r>
      <w:r w:rsidR="00533C1F">
        <w:t>Petition at 8, 14-15.</w:t>
      </w:r>
    </w:p>
  </w:footnote>
  <w:footnote w:id="32">
    <w:p w:rsidR="00E052FE" w14:paraId="341C63D8" w14:textId="3D22A3CD">
      <w:pPr>
        <w:pStyle w:val="FootnoteText"/>
      </w:pPr>
      <w:r>
        <w:rPr>
          <w:rStyle w:val="FootnoteReference"/>
        </w:rPr>
        <w:footnoteRef/>
      </w:r>
      <w:r>
        <w:t xml:space="preserve"> Petition at 8</w:t>
      </w:r>
      <w:r w:rsidR="001A087C">
        <w:t>-12.</w:t>
      </w:r>
    </w:p>
  </w:footnote>
  <w:footnote w:id="33">
    <w:p w:rsidR="00A46140" w14:paraId="77F00B67" w14:textId="0ACB31F7">
      <w:pPr>
        <w:pStyle w:val="FootnoteText"/>
      </w:pPr>
      <w:r>
        <w:rPr>
          <w:rStyle w:val="FootnoteReference"/>
        </w:rPr>
        <w:footnoteRef/>
      </w:r>
      <w:r>
        <w:t xml:space="preserve"> </w:t>
      </w:r>
      <w:r w:rsidR="0046199F">
        <w:rPr>
          <w:i/>
        </w:rPr>
        <w:t xml:space="preserve">See </w:t>
      </w:r>
      <w:r w:rsidRPr="00174797">
        <w:t>47</w:t>
      </w:r>
      <w:r>
        <w:t xml:space="preserve"> U.S.C. </w:t>
      </w:r>
      <w:r w:rsidR="00174797">
        <w:t xml:space="preserve">§ 503. </w:t>
      </w:r>
    </w:p>
  </w:footnote>
  <w:footnote w:id="34">
    <w:p w:rsidR="00896571" w:rsidRPr="00364D8C" w14:paraId="76055786" w14:textId="04F50226">
      <w:pPr>
        <w:pStyle w:val="FootnoteText"/>
      </w:pPr>
      <w:r>
        <w:rPr>
          <w:rStyle w:val="FootnoteReference"/>
        </w:rPr>
        <w:footnoteRef/>
      </w:r>
      <w:r>
        <w:t xml:space="preserve"> 47 U.S.C. </w:t>
      </w:r>
      <w:r w:rsidR="00F334F2">
        <w:t xml:space="preserve">§ </w:t>
      </w:r>
      <w:r w:rsidR="00E54F46">
        <w:t>312</w:t>
      </w:r>
      <w:r w:rsidR="007A6FC0">
        <w:t>(g)</w:t>
      </w:r>
      <w:r w:rsidR="00F334F2">
        <w:t>.</w:t>
      </w:r>
    </w:p>
  </w:footnote>
  <w:footnote w:id="35">
    <w:p w:rsidR="00190775" w14:paraId="7C17259F" w14:textId="43624211">
      <w:pPr>
        <w:pStyle w:val="FootnoteText"/>
      </w:pPr>
      <w:r>
        <w:rPr>
          <w:rStyle w:val="FootnoteReference"/>
        </w:rPr>
        <w:footnoteRef/>
      </w:r>
      <w:r>
        <w:t xml:space="preserve"> </w:t>
      </w:r>
      <w:r w:rsidR="00202F32">
        <w:t>License Modification Application</w:t>
      </w:r>
      <w:r w:rsidR="0034475B">
        <w:t>, Exh. 5.</w:t>
      </w:r>
    </w:p>
  </w:footnote>
  <w:footnote w:id="36">
    <w:p w:rsidR="00834ED1" w:rsidRPr="007107CB" w14:paraId="2C9A7AC9" w14:textId="62DD5F20">
      <w:pPr>
        <w:pStyle w:val="FootnoteText"/>
      </w:pPr>
      <w:r>
        <w:rPr>
          <w:rStyle w:val="FootnoteReference"/>
        </w:rPr>
        <w:footnoteRef/>
      </w:r>
      <w:r>
        <w:t xml:space="preserve"> </w:t>
      </w:r>
      <w:r w:rsidRPr="00C073B9">
        <w:rPr>
          <w:i/>
        </w:rPr>
        <w:t>Sun Tan Educational M</w:t>
      </w:r>
      <w:r w:rsidR="00343250">
        <w:rPr>
          <w:i/>
        </w:rPr>
        <w:t>edia</w:t>
      </w:r>
      <w:r w:rsidRPr="00C073B9">
        <w:t xml:space="preserve">, </w:t>
      </w:r>
      <w:r w:rsidR="00CE1F42">
        <w:t>Order</w:t>
      </w:r>
      <w:r w:rsidRPr="00C073B9" w:rsidR="004D25EE">
        <w:t>,</w:t>
      </w:r>
      <w:r w:rsidR="004D25EE">
        <w:t xml:space="preserve"> </w:t>
      </w:r>
      <w:r w:rsidR="00810D66">
        <w:t>DA 19-638</w:t>
      </w:r>
      <w:r w:rsidR="00DE77D3">
        <w:t>,</w:t>
      </w:r>
      <w:r w:rsidR="00A40A7A">
        <w:t xml:space="preserve"> </w:t>
      </w:r>
      <w:r w:rsidR="00F94A9C">
        <w:t>2019 WL 4240779</w:t>
      </w:r>
      <w:r w:rsidR="00846435">
        <w:t xml:space="preserve"> (MB and EB Sept. 5, 2019)</w:t>
      </w:r>
      <w:r w:rsidR="009B4E0F">
        <w:t xml:space="preserve"> (</w:t>
      </w:r>
      <w:r w:rsidR="00F11428">
        <w:t>four months of unauthorized oper</w:t>
      </w:r>
      <w:r w:rsidR="00DB493B">
        <w:t>ation</w:t>
      </w:r>
      <w:r w:rsidR="008E0B21">
        <w:t xml:space="preserve">); </w:t>
      </w:r>
      <w:r w:rsidR="00A366D5">
        <w:rPr>
          <w:i/>
        </w:rPr>
        <w:t>Zuma</w:t>
      </w:r>
      <w:r w:rsidR="006B5846">
        <w:rPr>
          <w:i/>
        </w:rPr>
        <w:t xml:space="preserve"> </w:t>
      </w:r>
      <w:r w:rsidR="00BA1D2E">
        <w:rPr>
          <w:i/>
        </w:rPr>
        <w:t>Beach FM Emergency and Community Broadcasters, Inc.</w:t>
      </w:r>
      <w:r w:rsidR="00BA1D2E">
        <w:t>,</w:t>
      </w:r>
      <w:r w:rsidR="006B5846">
        <w:t xml:space="preserve"> Memorandum Opinion and Order</w:t>
      </w:r>
      <w:r w:rsidR="004B023C">
        <w:t>, DA 19-637, 2019 WL 3037167</w:t>
      </w:r>
      <w:r w:rsidR="001E54CB">
        <w:t xml:space="preserve"> (MB July</w:t>
      </w:r>
      <w:r w:rsidR="00A93663">
        <w:t xml:space="preserve"> 10, 2019) (</w:t>
      </w:r>
      <w:r w:rsidR="00DB493B">
        <w:t>one mont</w:t>
      </w:r>
      <w:r w:rsidR="00256693">
        <w:t>h of</w:t>
      </w:r>
      <w:r w:rsidR="00285485">
        <w:t xml:space="preserve"> unauthorized operation</w:t>
      </w:r>
      <w:r w:rsidR="00A93663">
        <w:t xml:space="preserve">); </w:t>
      </w:r>
      <w:r w:rsidR="00DB572F">
        <w:rPr>
          <w:i/>
        </w:rPr>
        <w:t>Alabama Media, LLC</w:t>
      </w:r>
      <w:r w:rsidR="00DB572F">
        <w:t xml:space="preserve">, Notice of Apparent Liability </w:t>
      </w:r>
      <w:r w:rsidR="00816A38">
        <w:t>for Forfeiture</w:t>
      </w:r>
      <w:r w:rsidR="00A44693">
        <w:t>, DA 19-212</w:t>
      </w:r>
      <w:r w:rsidR="003B50C2">
        <w:t xml:space="preserve"> (MB</w:t>
      </w:r>
      <w:r w:rsidR="00452777">
        <w:t xml:space="preserve"> Mar.</w:t>
      </w:r>
      <w:r w:rsidR="00502FA5">
        <w:t xml:space="preserve"> 27, 2019)</w:t>
      </w:r>
      <w:r w:rsidR="00AD6EEA">
        <w:t xml:space="preserve"> (</w:t>
      </w:r>
      <w:r w:rsidR="00C33936">
        <w:t>less than a year of unauthorized operation</w:t>
      </w:r>
      <w:r w:rsidR="00AD6EEA">
        <w:t xml:space="preserve">); </w:t>
      </w:r>
      <w:r w:rsidR="00AD6EEA">
        <w:rPr>
          <w:i/>
        </w:rPr>
        <w:t>Wendolynn Tellez</w:t>
      </w:r>
      <w:r w:rsidR="007107CB">
        <w:t>, For</w:t>
      </w:r>
      <w:r w:rsidR="00AC1F64">
        <w:t xml:space="preserve">feiture Order, </w:t>
      </w:r>
      <w:r w:rsidR="009519E9">
        <w:t>33 FCC Rcd</w:t>
      </w:r>
      <w:r w:rsidR="00EF2C32">
        <w:t xml:space="preserve"> 4594 (MB May 7, 201</w:t>
      </w:r>
      <w:r w:rsidR="00391F9C">
        <w:t>8) (less than a year of unauthorized operation)</w:t>
      </w:r>
      <w:r w:rsidR="00D15275">
        <w:t>.</w:t>
      </w:r>
    </w:p>
  </w:footnote>
  <w:footnote w:id="37">
    <w:p w:rsidR="00C22725" w:rsidRPr="00347009" w14:paraId="62E43427" w14:textId="74F2B395">
      <w:pPr>
        <w:pStyle w:val="FootnoteText"/>
      </w:pPr>
      <w:r>
        <w:rPr>
          <w:rStyle w:val="FootnoteReference"/>
        </w:rPr>
        <w:footnoteRef/>
      </w:r>
      <w:r>
        <w:t xml:space="preserve"> </w:t>
      </w:r>
      <w:r w:rsidR="009D5387">
        <w:rPr>
          <w:i/>
        </w:rPr>
        <w:t>See KM Radio of St. Johns, LLC</w:t>
      </w:r>
      <w:r w:rsidR="009D5387">
        <w:t>, Memorandum Opinion and Order, 19 FCC Rcd 5847 (2004) (</w:t>
      </w:r>
      <w:r w:rsidR="009D5387">
        <w:rPr>
          <w:i/>
        </w:rPr>
        <w:t>KM</w:t>
      </w:r>
      <w:r w:rsidR="009D5387">
        <w:t>)</w:t>
      </w:r>
      <w:r w:rsidR="00347009">
        <w:t xml:space="preserve">; </w:t>
      </w:r>
      <w:r w:rsidR="00347009">
        <w:rPr>
          <w:i/>
        </w:rPr>
        <w:t>Lighthouse Cristian Center</w:t>
      </w:r>
      <w:r w:rsidR="00347009">
        <w:t>, Memorandum Opinion and Order, 32 FCC Rcd 6444 (MB 2017) (</w:t>
      </w:r>
      <w:r w:rsidR="00347009">
        <w:rPr>
          <w:i/>
        </w:rPr>
        <w:t>Lighthouse</w:t>
      </w:r>
      <w:r w:rsidR="00347009">
        <w:t xml:space="preserve">). </w:t>
      </w:r>
    </w:p>
  </w:footnote>
  <w:footnote w:id="38">
    <w:p w:rsidR="00847E73" w:rsidRPr="00586FE5" w14:paraId="535DA8AE" w14:textId="6836E31F">
      <w:pPr>
        <w:pStyle w:val="FootnoteText"/>
      </w:pPr>
      <w:r>
        <w:rPr>
          <w:rStyle w:val="FootnoteReference"/>
        </w:rPr>
        <w:footnoteRef/>
      </w:r>
      <w:r>
        <w:t xml:space="preserve"> </w:t>
      </w:r>
      <w:r>
        <w:rPr>
          <w:i/>
        </w:rPr>
        <w:t>KM</w:t>
      </w:r>
      <w:r w:rsidR="0002523E">
        <w:t>, 19 FCC Rcd at 5850-51, para. 9</w:t>
      </w:r>
      <w:r w:rsidR="00586FE5">
        <w:t xml:space="preserve">; </w:t>
      </w:r>
      <w:r w:rsidR="00586FE5">
        <w:rPr>
          <w:i/>
        </w:rPr>
        <w:t>Lighthouse</w:t>
      </w:r>
      <w:r w:rsidR="00586FE5">
        <w:t xml:space="preserve">, 32 FCC Rcd </w:t>
      </w:r>
      <w:r w:rsidR="000C26A8">
        <w:t>at 6450</w:t>
      </w:r>
      <w:r w:rsidR="00453E63">
        <w:t>, para. 17</w:t>
      </w:r>
      <w:r w:rsidR="000C26A8">
        <w:t xml:space="preserve">. </w:t>
      </w:r>
    </w:p>
  </w:footnote>
  <w:footnote w:id="39">
    <w:p w:rsidR="00D35063" w:rsidRPr="00D35063" w14:paraId="3FE5617F" w14:textId="30E3610E">
      <w:pPr>
        <w:pStyle w:val="FootnoteText"/>
      </w:pPr>
      <w:r>
        <w:rPr>
          <w:rStyle w:val="FootnoteReference"/>
        </w:rPr>
        <w:footnoteRef/>
      </w:r>
      <w:r>
        <w:t xml:space="preserve"> </w:t>
      </w:r>
      <w:r w:rsidR="003273E8">
        <w:rPr>
          <w:i/>
        </w:rPr>
        <w:t xml:space="preserve">See </w:t>
      </w:r>
      <w:r w:rsidR="00364D8C">
        <w:rPr>
          <w:i/>
        </w:rPr>
        <w:t>supra</w:t>
      </w:r>
      <w:r w:rsidR="006879AE">
        <w:t xml:space="preserve"> para</w:t>
      </w:r>
      <w:r w:rsidR="002E4E3B">
        <w:t>s. 10-11</w:t>
      </w:r>
      <w:r w:rsidR="006879AE">
        <w:t xml:space="preserve">. </w:t>
      </w:r>
    </w:p>
  </w:footnote>
  <w:footnote w:id="40">
    <w:p w:rsidR="00DD46F0" w:rsidRPr="0044577F" w14:paraId="61392C67" w14:textId="655DEE46">
      <w:pPr>
        <w:pStyle w:val="FootnoteText"/>
      </w:pPr>
      <w:r>
        <w:rPr>
          <w:rStyle w:val="FootnoteReference"/>
        </w:rPr>
        <w:footnoteRef/>
      </w:r>
      <w:r>
        <w:t xml:space="preserve"> In </w:t>
      </w:r>
      <w:r>
        <w:rPr>
          <w:i/>
        </w:rPr>
        <w:t>Lighthouse</w:t>
      </w:r>
      <w:r>
        <w:t xml:space="preserve">, </w:t>
      </w:r>
      <w:r w:rsidR="00BF4156">
        <w:t xml:space="preserve">the constructed facility was </w:t>
      </w:r>
      <w:r w:rsidR="004D7A01">
        <w:t>364 feet from the licensed site.</w:t>
      </w:r>
      <w:r w:rsidR="00240EAE">
        <w:t xml:space="preserve"> </w:t>
      </w:r>
      <w:r w:rsidR="00F53F1D">
        <w:t xml:space="preserve"> </w:t>
      </w:r>
      <w:r w:rsidR="00240EAE">
        <w:rPr>
          <w:i/>
        </w:rPr>
        <w:t>Lighthouse</w:t>
      </w:r>
      <w:r w:rsidR="00240EAE">
        <w:t>, 32 FCC Rcd</w:t>
      </w:r>
      <w:r w:rsidR="00A6458D">
        <w:t xml:space="preserve"> at</w:t>
      </w:r>
      <w:r w:rsidR="00132139">
        <w:t xml:space="preserve"> 6446</w:t>
      </w:r>
      <w:r w:rsidR="00A6458D">
        <w:t xml:space="preserve"> </w:t>
      </w:r>
      <w:r w:rsidR="00132139">
        <w:t xml:space="preserve">n.12. </w:t>
      </w:r>
      <w:r w:rsidR="004D7A01">
        <w:t xml:space="preserve"> In </w:t>
      </w:r>
      <w:r w:rsidR="004D7A01">
        <w:rPr>
          <w:i/>
        </w:rPr>
        <w:t>KM</w:t>
      </w:r>
      <w:r w:rsidR="004D7A01">
        <w:t>, the constructed facility was 900 feet</w:t>
      </w:r>
      <w:r w:rsidR="0044577F">
        <w:t xml:space="preserve"> from the licensed site.</w:t>
      </w:r>
      <w:r w:rsidR="00F53F1D">
        <w:t xml:space="preserve">  </w:t>
      </w:r>
      <w:r w:rsidR="0044577F">
        <w:rPr>
          <w:i/>
        </w:rPr>
        <w:t>KM</w:t>
      </w:r>
      <w:r w:rsidR="0044577F">
        <w:t>, 19 FCC Rcd</w:t>
      </w:r>
      <w:r w:rsidR="00240EAE">
        <w:t xml:space="preserve"> at 5850</w:t>
      </w:r>
      <w:r w:rsidR="004722A2">
        <w:t>-51</w:t>
      </w:r>
      <w:r w:rsidR="00240EAE">
        <w:t>, para. 9.</w:t>
      </w:r>
    </w:p>
  </w:footnote>
  <w:footnote w:id="41">
    <w:p w:rsidR="004D019C" w14:paraId="344F54E1" w14:textId="389233E2">
      <w:pPr>
        <w:pStyle w:val="FootnoteText"/>
      </w:pPr>
      <w:r>
        <w:rPr>
          <w:rStyle w:val="FootnoteReference"/>
        </w:rPr>
        <w:footnoteRef/>
      </w:r>
      <w:r>
        <w:t xml:space="preserve"> </w:t>
      </w:r>
      <w:r w:rsidR="006F770C">
        <w:t>Petition at 13.</w:t>
      </w:r>
    </w:p>
  </w:footnote>
  <w:footnote w:id="42">
    <w:p w:rsidR="00070AEE" w:rsidRPr="00E74B13" w14:paraId="3FE9AAD3" w14:textId="19631531">
      <w:pPr>
        <w:pStyle w:val="FootnoteText"/>
      </w:pPr>
      <w:r>
        <w:rPr>
          <w:rStyle w:val="FootnoteReference"/>
        </w:rPr>
        <w:footnoteRef/>
      </w:r>
      <w:r>
        <w:t xml:space="preserve"> </w:t>
      </w:r>
      <w:r>
        <w:rPr>
          <w:i/>
        </w:rPr>
        <w:t>See, e.g.</w:t>
      </w:r>
      <w:r>
        <w:t xml:space="preserve">, </w:t>
      </w:r>
      <w:r>
        <w:rPr>
          <w:i/>
        </w:rPr>
        <w:t>Community Television of Southern California v. Gottfried</w:t>
      </w:r>
      <w:r>
        <w:t>, 459 U.S. 498, 511 (1984) (citation omitted) (“rulemaking is generally a ‘better, fairer and more effective’ method of implementing a new industry-wide policy</w:t>
      </w:r>
      <w:r w:rsidR="002D65A8">
        <w:t xml:space="preserve">”); </w:t>
      </w:r>
      <w:r w:rsidR="002D65A8">
        <w:rPr>
          <w:i/>
        </w:rPr>
        <w:t>Sunburst Media L.P.</w:t>
      </w:r>
      <w:r w:rsidR="002D65A8">
        <w:t xml:space="preserve">, Memorandum Opinion and Order, 17 FCC Rcd 1366 (2001) (stating “it has long been Commission </w:t>
      </w:r>
      <w:r w:rsidR="00F909F0">
        <w:t>practice</w:t>
      </w:r>
      <w:r w:rsidR="008D1075">
        <w:t xml:space="preserve"> to make decisions that alter fundamental </w:t>
      </w:r>
      <w:r w:rsidR="00F909F0">
        <w:t>components</w:t>
      </w:r>
      <w:r w:rsidR="008D1075">
        <w:t xml:space="preserve"> of broadly applicable regulatory schemes in the context of rule making proceedings, not adjudications”)</w:t>
      </w:r>
      <w:r w:rsidR="009C719F">
        <w:t>.</w:t>
      </w:r>
    </w:p>
  </w:footnote>
  <w:footnote w:id="43">
    <w:p w:rsidR="00C727E9" w14:paraId="49D31F06" w14:textId="1B5B525C">
      <w:pPr>
        <w:pStyle w:val="FootnoteText"/>
      </w:pPr>
      <w:r>
        <w:rPr>
          <w:rStyle w:val="FootnoteReference"/>
        </w:rPr>
        <w:footnoteRef/>
      </w:r>
      <w:r>
        <w:t xml:space="preserve"> </w:t>
      </w:r>
      <w:r>
        <w:rPr>
          <w:szCs w:val="22"/>
        </w:rPr>
        <w:t xml:space="preserve">Petition at 15-17.  </w:t>
      </w:r>
    </w:p>
  </w:footnote>
  <w:footnote w:id="44">
    <w:p w:rsidR="00C727E9" w14:paraId="010C6E21" w14:textId="325C3765">
      <w:pPr>
        <w:pStyle w:val="FootnoteText"/>
      </w:pPr>
      <w:r>
        <w:rPr>
          <w:rStyle w:val="FootnoteReference"/>
        </w:rPr>
        <w:footnoteRef/>
      </w:r>
      <w:r>
        <w:t xml:space="preserve"> </w:t>
      </w:r>
      <w:r w:rsidRPr="00095AB8" w:rsidR="00095AB8">
        <w:rPr>
          <w:rStyle w:val="apple-converted-space"/>
          <w:i/>
          <w:iCs/>
          <w:color w:val="000000"/>
        </w:rPr>
        <w:t>Christian Broadcasting of East Point, Inc.</w:t>
      </w:r>
      <w:r w:rsidRPr="00095AB8" w:rsidR="00095AB8">
        <w:rPr>
          <w:rStyle w:val="apple-converted-space"/>
          <w:color w:val="000000"/>
        </w:rPr>
        <w:t xml:space="preserve">, </w:t>
      </w:r>
      <w:r w:rsidRPr="00095AB8" w:rsidR="00095AB8">
        <w:rPr>
          <w:color w:val="000000"/>
        </w:rPr>
        <w:t xml:space="preserve">30 FCC </w:t>
      </w:r>
      <w:r w:rsidRPr="00095AB8" w:rsidR="00095AB8">
        <w:rPr>
          <w:color w:val="000000"/>
        </w:rPr>
        <w:t>Rcd</w:t>
      </w:r>
      <w:r w:rsidRPr="00095AB8" w:rsidR="00095AB8">
        <w:rPr>
          <w:color w:val="000000"/>
        </w:rPr>
        <w:t xml:space="preserve"> 13975, para. 4 (2015).  </w:t>
      </w:r>
      <w:r w:rsidRPr="00095AB8" w:rsidR="00095AB8">
        <w:rPr>
          <w:i/>
          <w:color w:val="000000"/>
        </w:rPr>
        <w:t>See</w:t>
      </w:r>
      <w:r w:rsidRPr="00F34245" w:rsidR="00095AB8">
        <w:t xml:space="preserve"> </w:t>
      </w:r>
      <w:r w:rsidRPr="00F34245" w:rsidR="00095AB8">
        <w:rPr>
          <w:i/>
          <w:iCs/>
          <w:color w:val="000000"/>
        </w:rPr>
        <w:t>Eagle Broadcasting Group, Ltd. v. FCC</w:t>
      </w:r>
      <w:r w:rsidRPr="00F34245" w:rsidR="00095AB8">
        <w:rPr>
          <w:color w:val="000000"/>
        </w:rPr>
        <w:t>, 563 F. 3d 543, 553 (D. C. Cir. 2009) (“</w:t>
      </w:r>
      <w:r w:rsidRPr="00F34245" w:rsidR="00095AB8">
        <w:rPr>
          <w:color w:val="000000"/>
          <w:shd w:val="clear" w:color="auto" w:fill="FFFFFF"/>
        </w:rPr>
        <w:t>Under the statute, unauthorized and unlicensed transmissions are no better than silence.”).</w:t>
      </w:r>
      <w:r w:rsidR="00095AB8">
        <w:rPr>
          <w:color w:val="000000"/>
          <w:shd w:val="clear" w:color="auto" w:fill="FFFFFF"/>
        </w:rPr>
        <w:t xml:space="preserve"> </w:t>
      </w:r>
      <w:r w:rsidR="00095AB8">
        <w:t xml:space="preserve"> </w:t>
      </w:r>
      <w:r w:rsidR="00095AB8">
        <w:rPr>
          <w:i/>
        </w:rPr>
        <w:t>See also</w:t>
      </w:r>
      <w:r w:rsidR="00095AB8">
        <w:t xml:space="preserve"> </w:t>
      </w:r>
      <w:r w:rsidRPr="00DA250D">
        <w:rPr>
          <w:i/>
        </w:rPr>
        <w:t>Letter Order</w:t>
      </w:r>
      <w:r>
        <w:t xml:space="preserve"> at</w:t>
      </w:r>
      <w:r w:rsidR="00CE0465">
        <w:t xml:space="preserve"> 1</w:t>
      </w:r>
      <w:r>
        <w:t xml:space="preserve"> </w:t>
      </w:r>
      <w:r w:rsidR="00DA250D">
        <w:t xml:space="preserve">n. 5, </w:t>
      </w:r>
      <w:r w:rsidRPr="00DC3034" w:rsidR="000A7E13">
        <w:t xml:space="preserve">citing </w:t>
      </w:r>
      <w:r w:rsidRPr="00AB5A8A" w:rsidR="000A7E13">
        <w:rPr>
          <w:i/>
        </w:rPr>
        <w:t>V.I. Stereo Commc’n Corp</w:t>
      </w:r>
      <w:r w:rsidR="000A7E13">
        <w:t xml:space="preserve">., Memorandum Opinion and Order, 21 FCC Rcd 14259 (2006); </w:t>
      </w:r>
      <w:r w:rsidRPr="00AB5A8A" w:rsidR="000A7E13">
        <w:rPr>
          <w:i/>
        </w:rPr>
        <w:t>Harry Martin, Esq</w:t>
      </w:r>
      <w:r w:rsidR="000A7E13">
        <w:t xml:space="preserve">., Letter Order, 23 FCC Rcd 15012 (MB 2008); </w:t>
      </w:r>
      <w:r w:rsidRPr="00F9488D" w:rsidR="000A7E13">
        <w:rPr>
          <w:i/>
        </w:rPr>
        <w:t>Mark Chapman, Court-Appointed Agent</w:t>
      </w:r>
      <w:r w:rsidR="000A7E13">
        <w:t>, Letter Order, 22 FCC Rcd 6578 (MB 2007).</w:t>
      </w:r>
    </w:p>
  </w:footnote>
  <w:footnote w:id="45">
    <w:p w:rsidR="007644DE" w14:paraId="729DD028" w14:textId="67631552">
      <w:pPr>
        <w:pStyle w:val="FootnoteText"/>
      </w:pPr>
      <w:r>
        <w:rPr>
          <w:rStyle w:val="FootnoteReference"/>
        </w:rPr>
        <w:footnoteRef/>
      </w:r>
      <w:r>
        <w:t xml:space="preserve"> Petition at 16.</w:t>
      </w:r>
    </w:p>
  </w:footnote>
  <w:footnote w:id="46">
    <w:p w:rsidR="00F5079B" w14:paraId="73702075" w14:textId="2509B4BF">
      <w:pPr>
        <w:pStyle w:val="FootnoteText"/>
      </w:pPr>
      <w:r>
        <w:rPr>
          <w:rStyle w:val="FootnoteReference"/>
        </w:rPr>
        <w:footnoteRef/>
      </w:r>
      <w:r>
        <w:t xml:space="preserve"> </w:t>
      </w:r>
      <w:r w:rsidR="003D0BB0">
        <w:t xml:space="preserve">47 CFR §1.17; </w:t>
      </w:r>
      <w:r>
        <w:t xml:space="preserve">Petition at </w:t>
      </w:r>
      <w:r w:rsidR="00D1505A">
        <w:t>7, 10</w:t>
      </w:r>
      <w:r w:rsidR="003D0BB0">
        <w:t>, 15, 16, 17</w:t>
      </w:r>
      <w:r w:rsidR="00F01165">
        <w:t>.</w:t>
      </w:r>
    </w:p>
  </w:footnote>
  <w:footnote w:id="47">
    <w:p w:rsidR="003D0BB0" w14:paraId="7B6F87B9" w14:textId="4DC962FA">
      <w:pPr>
        <w:pStyle w:val="FootnoteText"/>
      </w:pPr>
      <w:r>
        <w:rPr>
          <w:rStyle w:val="FootnoteReference"/>
        </w:rPr>
        <w:footnoteRef/>
      </w:r>
      <w:r>
        <w:t xml:space="preserve"> </w:t>
      </w:r>
      <w:r w:rsidRPr="003D0BB0">
        <w:rPr>
          <w:i/>
        </w:rPr>
        <w:t>See E-String Wireless, Ltd.</w:t>
      </w:r>
      <w:r>
        <w:t>, Memorandum Opinion and Order and Notice of Apparent Liability for Forfeiture, 31 FCC Rcd 133, 139, para. 18 (MB 2016).</w:t>
      </w:r>
    </w:p>
  </w:footnote>
  <w:footnote w:id="48">
    <w:p w:rsidR="003F7CE5" w:rsidRPr="003319EC" w:rsidP="003F7CE5" w14:paraId="4AFA602C" w14:textId="77777777">
      <w:pPr>
        <w:pStyle w:val="FootnoteText"/>
      </w:pPr>
      <w:r w:rsidRPr="003319EC">
        <w:rPr>
          <w:rStyle w:val="FootnoteReference"/>
        </w:rPr>
        <w:footnoteRef/>
      </w:r>
      <w:r w:rsidRPr="003319EC">
        <w:t xml:space="preserve"> </w:t>
      </w:r>
      <w:r>
        <w:t>47 U.S.C. § 155(c)(5);</w:t>
      </w:r>
      <w:r w:rsidRPr="005C159F">
        <w:t xml:space="preserve"> </w:t>
      </w:r>
      <w:r>
        <w:t>47 CFR § 1.115(g).</w:t>
      </w:r>
    </w:p>
  </w:footnote>
  <w:footnote w:id="49">
    <w:p w:rsidR="00A86BA9" w14:paraId="12194A2C" w14:textId="57BB674A">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C9" w:rsidP="00810B6F" w14:paraId="0A2CA217" w14:textId="7B6B3134">
    <w:pPr>
      <w:pStyle w:val="Header"/>
      <w:rPr>
        <w:b w:val="0"/>
      </w:rPr>
    </w:pPr>
    <w:r>
      <w:tab/>
      <w:t>Federal Communications Commission</w:t>
    </w:r>
    <w:r>
      <w:tab/>
    </w:r>
    <w:r w:rsidR="0016162B">
      <w:t xml:space="preserve">DA </w:t>
    </w:r>
    <w:r w:rsidR="00260E09">
      <w:t>20</w:t>
    </w:r>
    <w:r w:rsidR="0016162B">
      <w:t>-</w:t>
    </w:r>
    <w:r w:rsidR="005A44B6">
      <w:t>75</w:t>
    </w:r>
  </w:p>
  <w:p w:rsidR="001E3FC9" w14:paraId="6D530D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E3FC9" w14:paraId="262749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FC9" w:rsidP="00810B6F" w14:paraId="664F7C91" w14:textId="4C0E75C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F5FE1">
      <w:rPr>
        <w:spacing w:val="-2"/>
      </w:rPr>
      <w:t xml:space="preserve">DA </w:t>
    </w:r>
    <w:r w:rsidR="00CB42AD">
      <w:rPr>
        <w:spacing w:val="-2"/>
      </w:rPr>
      <w:t>20</w:t>
    </w:r>
    <w:r w:rsidR="00EF5FE1">
      <w:rPr>
        <w:spacing w:val="-2"/>
      </w:rPr>
      <w:t>-</w:t>
    </w:r>
    <w:r>
      <w:rPr>
        <w:spacing w:val="-2"/>
      </w:rPr>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98"/>
    <w:rsid w:val="00000E3C"/>
    <w:rsid w:val="00001B0D"/>
    <w:rsid w:val="00001ED7"/>
    <w:rsid w:val="0000351B"/>
    <w:rsid w:val="0000461C"/>
    <w:rsid w:val="000070BB"/>
    <w:rsid w:val="00007535"/>
    <w:rsid w:val="0001021C"/>
    <w:rsid w:val="00010DC4"/>
    <w:rsid w:val="00011521"/>
    <w:rsid w:val="00011C06"/>
    <w:rsid w:val="00011F30"/>
    <w:rsid w:val="00013B0E"/>
    <w:rsid w:val="00016545"/>
    <w:rsid w:val="00016C76"/>
    <w:rsid w:val="000172E7"/>
    <w:rsid w:val="000174B1"/>
    <w:rsid w:val="00017D1F"/>
    <w:rsid w:val="00021642"/>
    <w:rsid w:val="0002523E"/>
    <w:rsid w:val="00025F48"/>
    <w:rsid w:val="000277A9"/>
    <w:rsid w:val="00027C7A"/>
    <w:rsid w:val="0003075C"/>
    <w:rsid w:val="00032A5C"/>
    <w:rsid w:val="00035578"/>
    <w:rsid w:val="00036039"/>
    <w:rsid w:val="0003614E"/>
    <w:rsid w:val="00036837"/>
    <w:rsid w:val="00036A69"/>
    <w:rsid w:val="00036F2B"/>
    <w:rsid w:val="00037F90"/>
    <w:rsid w:val="00040AF0"/>
    <w:rsid w:val="00042175"/>
    <w:rsid w:val="00044B91"/>
    <w:rsid w:val="0004653E"/>
    <w:rsid w:val="00052275"/>
    <w:rsid w:val="00055F4A"/>
    <w:rsid w:val="000614D1"/>
    <w:rsid w:val="00063F4C"/>
    <w:rsid w:val="00065E0D"/>
    <w:rsid w:val="00070AEE"/>
    <w:rsid w:val="000720F8"/>
    <w:rsid w:val="00073816"/>
    <w:rsid w:val="00075577"/>
    <w:rsid w:val="000757B2"/>
    <w:rsid w:val="000760A1"/>
    <w:rsid w:val="00077A33"/>
    <w:rsid w:val="00080286"/>
    <w:rsid w:val="0008040C"/>
    <w:rsid w:val="00080A72"/>
    <w:rsid w:val="0008164B"/>
    <w:rsid w:val="000839EE"/>
    <w:rsid w:val="00083AE8"/>
    <w:rsid w:val="000842D4"/>
    <w:rsid w:val="00086F1F"/>
    <w:rsid w:val="000875BF"/>
    <w:rsid w:val="00087BF6"/>
    <w:rsid w:val="00093A4A"/>
    <w:rsid w:val="00094AE8"/>
    <w:rsid w:val="000959F2"/>
    <w:rsid w:val="00095AB8"/>
    <w:rsid w:val="000965F0"/>
    <w:rsid w:val="00096D8C"/>
    <w:rsid w:val="00097E50"/>
    <w:rsid w:val="000A0119"/>
    <w:rsid w:val="000A0B39"/>
    <w:rsid w:val="000A0EC4"/>
    <w:rsid w:val="000A13DA"/>
    <w:rsid w:val="000A3E02"/>
    <w:rsid w:val="000A52D0"/>
    <w:rsid w:val="000A6B9C"/>
    <w:rsid w:val="000A7E13"/>
    <w:rsid w:val="000B057C"/>
    <w:rsid w:val="000B1C4B"/>
    <w:rsid w:val="000B3A1F"/>
    <w:rsid w:val="000B62F8"/>
    <w:rsid w:val="000B6847"/>
    <w:rsid w:val="000B77ED"/>
    <w:rsid w:val="000C0B65"/>
    <w:rsid w:val="000C2338"/>
    <w:rsid w:val="000C26A8"/>
    <w:rsid w:val="000C3471"/>
    <w:rsid w:val="000C4C11"/>
    <w:rsid w:val="000C5F8D"/>
    <w:rsid w:val="000C69CF"/>
    <w:rsid w:val="000D2FB3"/>
    <w:rsid w:val="000D3D1C"/>
    <w:rsid w:val="000D5253"/>
    <w:rsid w:val="000D7DA9"/>
    <w:rsid w:val="000E05FE"/>
    <w:rsid w:val="000E2F8B"/>
    <w:rsid w:val="000E3D42"/>
    <w:rsid w:val="000E67EE"/>
    <w:rsid w:val="000E739E"/>
    <w:rsid w:val="000F0E59"/>
    <w:rsid w:val="000F18A9"/>
    <w:rsid w:val="000F1D47"/>
    <w:rsid w:val="000F498B"/>
    <w:rsid w:val="000F7E4E"/>
    <w:rsid w:val="0010166A"/>
    <w:rsid w:val="0010255E"/>
    <w:rsid w:val="00103800"/>
    <w:rsid w:val="00106E16"/>
    <w:rsid w:val="00107F75"/>
    <w:rsid w:val="00110114"/>
    <w:rsid w:val="00112737"/>
    <w:rsid w:val="0011606C"/>
    <w:rsid w:val="00116DAB"/>
    <w:rsid w:val="00117D68"/>
    <w:rsid w:val="00122BD5"/>
    <w:rsid w:val="00122C44"/>
    <w:rsid w:val="00124636"/>
    <w:rsid w:val="001248C8"/>
    <w:rsid w:val="00127B58"/>
    <w:rsid w:val="00132139"/>
    <w:rsid w:val="0013318E"/>
    <w:rsid w:val="00133F79"/>
    <w:rsid w:val="00134729"/>
    <w:rsid w:val="00141659"/>
    <w:rsid w:val="001421CD"/>
    <w:rsid w:val="00143FE7"/>
    <w:rsid w:val="001476E3"/>
    <w:rsid w:val="00152F40"/>
    <w:rsid w:val="00153986"/>
    <w:rsid w:val="001564F0"/>
    <w:rsid w:val="00156EB5"/>
    <w:rsid w:val="001575E5"/>
    <w:rsid w:val="00160934"/>
    <w:rsid w:val="00160CB9"/>
    <w:rsid w:val="0016162B"/>
    <w:rsid w:val="00161F34"/>
    <w:rsid w:val="00162ECD"/>
    <w:rsid w:val="0016343A"/>
    <w:rsid w:val="00164168"/>
    <w:rsid w:val="00167F41"/>
    <w:rsid w:val="0017149E"/>
    <w:rsid w:val="00174797"/>
    <w:rsid w:val="0017514D"/>
    <w:rsid w:val="00176250"/>
    <w:rsid w:val="0017635A"/>
    <w:rsid w:val="00177855"/>
    <w:rsid w:val="0018192B"/>
    <w:rsid w:val="00181EB7"/>
    <w:rsid w:val="00182881"/>
    <w:rsid w:val="00182BE5"/>
    <w:rsid w:val="00185AD7"/>
    <w:rsid w:val="00187D5A"/>
    <w:rsid w:val="00190775"/>
    <w:rsid w:val="00192AB7"/>
    <w:rsid w:val="00193BA3"/>
    <w:rsid w:val="00194A66"/>
    <w:rsid w:val="0019546A"/>
    <w:rsid w:val="0019553D"/>
    <w:rsid w:val="00195F01"/>
    <w:rsid w:val="001A087C"/>
    <w:rsid w:val="001A1A97"/>
    <w:rsid w:val="001A509F"/>
    <w:rsid w:val="001A5DC1"/>
    <w:rsid w:val="001B6939"/>
    <w:rsid w:val="001C27BA"/>
    <w:rsid w:val="001C2A57"/>
    <w:rsid w:val="001C587A"/>
    <w:rsid w:val="001C67CD"/>
    <w:rsid w:val="001D01D5"/>
    <w:rsid w:val="001D0513"/>
    <w:rsid w:val="001D06CE"/>
    <w:rsid w:val="001D2E40"/>
    <w:rsid w:val="001D33D0"/>
    <w:rsid w:val="001D45A9"/>
    <w:rsid w:val="001D51F9"/>
    <w:rsid w:val="001D624F"/>
    <w:rsid w:val="001D6704"/>
    <w:rsid w:val="001D6BCF"/>
    <w:rsid w:val="001D7B92"/>
    <w:rsid w:val="001E01CA"/>
    <w:rsid w:val="001E23A3"/>
    <w:rsid w:val="001E36B3"/>
    <w:rsid w:val="001E3FC9"/>
    <w:rsid w:val="001E4086"/>
    <w:rsid w:val="001E4AE3"/>
    <w:rsid w:val="001E4F40"/>
    <w:rsid w:val="001E5017"/>
    <w:rsid w:val="001E54CB"/>
    <w:rsid w:val="001F1378"/>
    <w:rsid w:val="001F1E05"/>
    <w:rsid w:val="001F490B"/>
    <w:rsid w:val="001F4CF4"/>
    <w:rsid w:val="001F79C6"/>
    <w:rsid w:val="001F7D6F"/>
    <w:rsid w:val="0020126D"/>
    <w:rsid w:val="00202F32"/>
    <w:rsid w:val="002037F2"/>
    <w:rsid w:val="00204A55"/>
    <w:rsid w:val="00207687"/>
    <w:rsid w:val="00207F84"/>
    <w:rsid w:val="00212A3D"/>
    <w:rsid w:val="00216B54"/>
    <w:rsid w:val="00216DBB"/>
    <w:rsid w:val="002207E3"/>
    <w:rsid w:val="00220BBF"/>
    <w:rsid w:val="0022368F"/>
    <w:rsid w:val="002260E2"/>
    <w:rsid w:val="00227A57"/>
    <w:rsid w:val="00234596"/>
    <w:rsid w:val="00235B82"/>
    <w:rsid w:val="00236755"/>
    <w:rsid w:val="00240EAE"/>
    <w:rsid w:val="00241343"/>
    <w:rsid w:val="00244E78"/>
    <w:rsid w:val="00245D4E"/>
    <w:rsid w:val="00246B7F"/>
    <w:rsid w:val="00246D9E"/>
    <w:rsid w:val="00247B59"/>
    <w:rsid w:val="00247D24"/>
    <w:rsid w:val="00247E7F"/>
    <w:rsid w:val="00250E97"/>
    <w:rsid w:val="002514E8"/>
    <w:rsid w:val="00251F10"/>
    <w:rsid w:val="00252290"/>
    <w:rsid w:val="00252A54"/>
    <w:rsid w:val="002549B7"/>
    <w:rsid w:val="00256276"/>
    <w:rsid w:val="00256634"/>
    <w:rsid w:val="00256693"/>
    <w:rsid w:val="00260E09"/>
    <w:rsid w:val="0026143B"/>
    <w:rsid w:val="00262B62"/>
    <w:rsid w:val="00266E2F"/>
    <w:rsid w:val="00270140"/>
    <w:rsid w:val="00270A74"/>
    <w:rsid w:val="002711E9"/>
    <w:rsid w:val="0027465F"/>
    <w:rsid w:val="00275245"/>
    <w:rsid w:val="00275CF5"/>
    <w:rsid w:val="0027797F"/>
    <w:rsid w:val="0028120C"/>
    <w:rsid w:val="00281C66"/>
    <w:rsid w:val="0028301F"/>
    <w:rsid w:val="002846D8"/>
    <w:rsid w:val="00285017"/>
    <w:rsid w:val="00285485"/>
    <w:rsid w:val="002865C6"/>
    <w:rsid w:val="00290154"/>
    <w:rsid w:val="00290E2C"/>
    <w:rsid w:val="00292FBD"/>
    <w:rsid w:val="00293479"/>
    <w:rsid w:val="00294572"/>
    <w:rsid w:val="00294CE7"/>
    <w:rsid w:val="00295043"/>
    <w:rsid w:val="00296370"/>
    <w:rsid w:val="002967C5"/>
    <w:rsid w:val="00297B70"/>
    <w:rsid w:val="002A07C6"/>
    <w:rsid w:val="002A14C5"/>
    <w:rsid w:val="002A1548"/>
    <w:rsid w:val="002A2D2E"/>
    <w:rsid w:val="002A30B4"/>
    <w:rsid w:val="002A4903"/>
    <w:rsid w:val="002A7E4A"/>
    <w:rsid w:val="002B0C4D"/>
    <w:rsid w:val="002B4E58"/>
    <w:rsid w:val="002B772E"/>
    <w:rsid w:val="002C00E8"/>
    <w:rsid w:val="002C0FE6"/>
    <w:rsid w:val="002C1EFC"/>
    <w:rsid w:val="002C20DA"/>
    <w:rsid w:val="002C4289"/>
    <w:rsid w:val="002C4514"/>
    <w:rsid w:val="002D0951"/>
    <w:rsid w:val="002D1A71"/>
    <w:rsid w:val="002D2E09"/>
    <w:rsid w:val="002D3CD5"/>
    <w:rsid w:val="002D65A8"/>
    <w:rsid w:val="002E1C9E"/>
    <w:rsid w:val="002E38D2"/>
    <w:rsid w:val="002E3DB3"/>
    <w:rsid w:val="002E4E3B"/>
    <w:rsid w:val="002E5FB5"/>
    <w:rsid w:val="002E709F"/>
    <w:rsid w:val="002E7D0C"/>
    <w:rsid w:val="002F18D6"/>
    <w:rsid w:val="002F1931"/>
    <w:rsid w:val="002F1D36"/>
    <w:rsid w:val="002F380E"/>
    <w:rsid w:val="002F4778"/>
    <w:rsid w:val="002F5169"/>
    <w:rsid w:val="002F5717"/>
    <w:rsid w:val="002F6D15"/>
    <w:rsid w:val="002F6EAE"/>
    <w:rsid w:val="002F7AB6"/>
    <w:rsid w:val="0030016E"/>
    <w:rsid w:val="00300AC3"/>
    <w:rsid w:val="00303AA3"/>
    <w:rsid w:val="00303F0C"/>
    <w:rsid w:val="00304DF7"/>
    <w:rsid w:val="003055FD"/>
    <w:rsid w:val="0030604F"/>
    <w:rsid w:val="003064E1"/>
    <w:rsid w:val="003137E8"/>
    <w:rsid w:val="003144DD"/>
    <w:rsid w:val="00314A5F"/>
    <w:rsid w:val="0031558F"/>
    <w:rsid w:val="00315759"/>
    <w:rsid w:val="00315EFF"/>
    <w:rsid w:val="00320DE4"/>
    <w:rsid w:val="003223C7"/>
    <w:rsid w:val="00322E7F"/>
    <w:rsid w:val="00323B81"/>
    <w:rsid w:val="00324129"/>
    <w:rsid w:val="00324E4A"/>
    <w:rsid w:val="00325FD9"/>
    <w:rsid w:val="00327240"/>
    <w:rsid w:val="003273E8"/>
    <w:rsid w:val="00330038"/>
    <w:rsid w:val="00330A5C"/>
    <w:rsid w:val="00331301"/>
    <w:rsid w:val="003319EC"/>
    <w:rsid w:val="00331C47"/>
    <w:rsid w:val="00333A38"/>
    <w:rsid w:val="00333A3A"/>
    <w:rsid w:val="0033569C"/>
    <w:rsid w:val="003367B0"/>
    <w:rsid w:val="00341DC9"/>
    <w:rsid w:val="00343250"/>
    <w:rsid w:val="003435E4"/>
    <w:rsid w:val="00343749"/>
    <w:rsid w:val="0034475B"/>
    <w:rsid w:val="00344E5D"/>
    <w:rsid w:val="003452AF"/>
    <w:rsid w:val="003453FC"/>
    <w:rsid w:val="00345940"/>
    <w:rsid w:val="00347009"/>
    <w:rsid w:val="00350E24"/>
    <w:rsid w:val="0035194E"/>
    <w:rsid w:val="003523F6"/>
    <w:rsid w:val="00354AA4"/>
    <w:rsid w:val="00354C29"/>
    <w:rsid w:val="00355A10"/>
    <w:rsid w:val="0036219D"/>
    <w:rsid w:val="0036380E"/>
    <w:rsid w:val="00364D8C"/>
    <w:rsid w:val="003660ED"/>
    <w:rsid w:val="003715B8"/>
    <w:rsid w:val="003728EA"/>
    <w:rsid w:val="00373FE8"/>
    <w:rsid w:val="00374D2B"/>
    <w:rsid w:val="0037655C"/>
    <w:rsid w:val="003770B1"/>
    <w:rsid w:val="00382319"/>
    <w:rsid w:val="003906DB"/>
    <w:rsid w:val="00390ED3"/>
    <w:rsid w:val="00391F9C"/>
    <w:rsid w:val="003923E5"/>
    <w:rsid w:val="003948A7"/>
    <w:rsid w:val="003956B1"/>
    <w:rsid w:val="00396B31"/>
    <w:rsid w:val="003A0892"/>
    <w:rsid w:val="003A0A59"/>
    <w:rsid w:val="003A106E"/>
    <w:rsid w:val="003A1626"/>
    <w:rsid w:val="003A1A4D"/>
    <w:rsid w:val="003A61BE"/>
    <w:rsid w:val="003A61FA"/>
    <w:rsid w:val="003B0550"/>
    <w:rsid w:val="003B2160"/>
    <w:rsid w:val="003B50C2"/>
    <w:rsid w:val="003B54E3"/>
    <w:rsid w:val="003B553B"/>
    <w:rsid w:val="003B6141"/>
    <w:rsid w:val="003B694F"/>
    <w:rsid w:val="003C2F60"/>
    <w:rsid w:val="003C3300"/>
    <w:rsid w:val="003C383B"/>
    <w:rsid w:val="003C3CE3"/>
    <w:rsid w:val="003C4F98"/>
    <w:rsid w:val="003C5B48"/>
    <w:rsid w:val="003C6026"/>
    <w:rsid w:val="003D0BB0"/>
    <w:rsid w:val="003D15EB"/>
    <w:rsid w:val="003D487D"/>
    <w:rsid w:val="003D5263"/>
    <w:rsid w:val="003D72A4"/>
    <w:rsid w:val="003D735C"/>
    <w:rsid w:val="003E219B"/>
    <w:rsid w:val="003E2F66"/>
    <w:rsid w:val="003E3C0A"/>
    <w:rsid w:val="003E6C87"/>
    <w:rsid w:val="003E7E45"/>
    <w:rsid w:val="003F171C"/>
    <w:rsid w:val="003F43C1"/>
    <w:rsid w:val="003F4A1E"/>
    <w:rsid w:val="003F6995"/>
    <w:rsid w:val="003F7CE5"/>
    <w:rsid w:val="00400410"/>
    <w:rsid w:val="00400EBE"/>
    <w:rsid w:val="004015D7"/>
    <w:rsid w:val="00402EF1"/>
    <w:rsid w:val="00405751"/>
    <w:rsid w:val="004071FC"/>
    <w:rsid w:val="004101F0"/>
    <w:rsid w:val="00410204"/>
    <w:rsid w:val="00411546"/>
    <w:rsid w:val="00412FC5"/>
    <w:rsid w:val="0041364F"/>
    <w:rsid w:val="004173FC"/>
    <w:rsid w:val="00420106"/>
    <w:rsid w:val="0042156D"/>
    <w:rsid w:val="00421EB9"/>
    <w:rsid w:val="00422036"/>
    <w:rsid w:val="00422276"/>
    <w:rsid w:val="004242F1"/>
    <w:rsid w:val="00424CD4"/>
    <w:rsid w:val="004269CF"/>
    <w:rsid w:val="0042713E"/>
    <w:rsid w:val="0042768A"/>
    <w:rsid w:val="00430E43"/>
    <w:rsid w:val="004310E7"/>
    <w:rsid w:val="00431572"/>
    <w:rsid w:val="00432038"/>
    <w:rsid w:val="0043218A"/>
    <w:rsid w:val="00432FAC"/>
    <w:rsid w:val="00434A7A"/>
    <w:rsid w:val="004413E9"/>
    <w:rsid w:val="004421AD"/>
    <w:rsid w:val="0044441A"/>
    <w:rsid w:val="00444D3F"/>
    <w:rsid w:val="0044577F"/>
    <w:rsid w:val="00445A00"/>
    <w:rsid w:val="004464CC"/>
    <w:rsid w:val="00446CF4"/>
    <w:rsid w:val="00446D6A"/>
    <w:rsid w:val="00447772"/>
    <w:rsid w:val="00451B0F"/>
    <w:rsid w:val="00451B40"/>
    <w:rsid w:val="004521D9"/>
    <w:rsid w:val="00452777"/>
    <w:rsid w:val="00453E63"/>
    <w:rsid w:val="0045457F"/>
    <w:rsid w:val="00455AC7"/>
    <w:rsid w:val="004568E0"/>
    <w:rsid w:val="0045735E"/>
    <w:rsid w:val="00457744"/>
    <w:rsid w:val="004600A1"/>
    <w:rsid w:val="0046022E"/>
    <w:rsid w:val="0046092E"/>
    <w:rsid w:val="00460B00"/>
    <w:rsid w:val="004612C2"/>
    <w:rsid w:val="0046199F"/>
    <w:rsid w:val="004633EC"/>
    <w:rsid w:val="004722A2"/>
    <w:rsid w:val="00474E83"/>
    <w:rsid w:val="00476F44"/>
    <w:rsid w:val="0048148F"/>
    <w:rsid w:val="00481EEE"/>
    <w:rsid w:val="00482512"/>
    <w:rsid w:val="0048285F"/>
    <w:rsid w:val="00482B4C"/>
    <w:rsid w:val="00484BA8"/>
    <w:rsid w:val="0049053F"/>
    <w:rsid w:val="004918F1"/>
    <w:rsid w:val="004941B3"/>
    <w:rsid w:val="00494BFC"/>
    <w:rsid w:val="004A1C61"/>
    <w:rsid w:val="004A23A7"/>
    <w:rsid w:val="004A2B83"/>
    <w:rsid w:val="004A6A43"/>
    <w:rsid w:val="004A7B21"/>
    <w:rsid w:val="004B023C"/>
    <w:rsid w:val="004B3511"/>
    <w:rsid w:val="004B3F00"/>
    <w:rsid w:val="004B45D3"/>
    <w:rsid w:val="004B5BDF"/>
    <w:rsid w:val="004C228C"/>
    <w:rsid w:val="004C2EE3"/>
    <w:rsid w:val="004C4252"/>
    <w:rsid w:val="004C5402"/>
    <w:rsid w:val="004C699E"/>
    <w:rsid w:val="004D019C"/>
    <w:rsid w:val="004D0A2C"/>
    <w:rsid w:val="004D2081"/>
    <w:rsid w:val="004D259F"/>
    <w:rsid w:val="004D25EE"/>
    <w:rsid w:val="004D3BA3"/>
    <w:rsid w:val="004D7A01"/>
    <w:rsid w:val="004D7A0B"/>
    <w:rsid w:val="004E1A2B"/>
    <w:rsid w:val="004E237F"/>
    <w:rsid w:val="004E3AE1"/>
    <w:rsid w:val="004E4A22"/>
    <w:rsid w:val="004E5862"/>
    <w:rsid w:val="004E6AD1"/>
    <w:rsid w:val="004E7C47"/>
    <w:rsid w:val="004F1AC0"/>
    <w:rsid w:val="004F1D6F"/>
    <w:rsid w:val="004F6A11"/>
    <w:rsid w:val="004F732C"/>
    <w:rsid w:val="004F7798"/>
    <w:rsid w:val="005005CF"/>
    <w:rsid w:val="005005DF"/>
    <w:rsid w:val="00502008"/>
    <w:rsid w:val="00502093"/>
    <w:rsid w:val="0050275F"/>
    <w:rsid w:val="00502FA5"/>
    <w:rsid w:val="00503E92"/>
    <w:rsid w:val="00505BAC"/>
    <w:rsid w:val="00505F1C"/>
    <w:rsid w:val="005069AA"/>
    <w:rsid w:val="00511968"/>
    <w:rsid w:val="00515639"/>
    <w:rsid w:val="005166AB"/>
    <w:rsid w:val="00516CD2"/>
    <w:rsid w:val="0052100E"/>
    <w:rsid w:val="005219FA"/>
    <w:rsid w:val="00521D92"/>
    <w:rsid w:val="00526BB8"/>
    <w:rsid w:val="00527500"/>
    <w:rsid w:val="005319A2"/>
    <w:rsid w:val="00532C8B"/>
    <w:rsid w:val="00533C1F"/>
    <w:rsid w:val="00534149"/>
    <w:rsid w:val="005349D8"/>
    <w:rsid w:val="00537294"/>
    <w:rsid w:val="005432FF"/>
    <w:rsid w:val="005467AE"/>
    <w:rsid w:val="00547043"/>
    <w:rsid w:val="005472C8"/>
    <w:rsid w:val="00552993"/>
    <w:rsid w:val="00552E96"/>
    <w:rsid w:val="00554732"/>
    <w:rsid w:val="00554930"/>
    <w:rsid w:val="0055614C"/>
    <w:rsid w:val="005571BB"/>
    <w:rsid w:val="00557D64"/>
    <w:rsid w:val="005600C6"/>
    <w:rsid w:val="0056099C"/>
    <w:rsid w:val="005630C3"/>
    <w:rsid w:val="00563E89"/>
    <w:rsid w:val="00564595"/>
    <w:rsid w:val="005660D0"/>
    <w:rsid w:val="00566D06"/>
    <w:rsid w:val="005711A4"/>
    <w:rsid w:val="005735B7"/>
    <w:rsid w:val="00573905"/>
    <w:rsid w:val="00573A0D"/>
    <w:rsid w:val="005773CD"/>
    <w:rsid w:val="00582656"/>
    <w:rsid w:val="005831EC"/>
    <w:rsid w:val="00585DF0"/>
    <w:rsid w:val="00586B73"/>
    <w:rsid w:val="00586E80"/>
    <w:rsid w:val="00586FE5"/>
    <w:rsid w:val="005877CF"/>
    <w:rsid w:val="0059021F"/>
    <w:rsid w:val="0059029B"/>
    <w:rsid w:val="00590FDC"/>
    <w:rsid w:val="00592701"/>
    <w:rsid w:val="0059507A"/>
    <w:rsid w:val="005974A7"/>
    <w:rsid w:val="005A1570"/>
    <w:rsid w:val="005A1654"/>
    <w:rsid w:val="005A1C84"/>
    <w:rsid w:val="005A44B6"/>
    <w:rsid w:val="005A796B"/>
    <w:rsid w:val="005A7E88"/>
    <w:rsid w:val="005B659F"/>
    <w:rsid w:val="005B6666"/>
    <w:rsid w:val="005B70F3"/>
    <w:rsid w:val="005C0595"/>
    <w:rsid w:val="005C0F8C"/>
    <w:rsid w:val="005C159F"/>
    <w:rsid w:val="005C215E"/>
    <w:rsid w:val="005C2712"/>
    <w:rsid w:val="005C2F4C"/>
    <w:rsid w:val="005C67DE"/>
    <w:rsid w:val="005C78E8"/>
    <w:rsid w:val="005D12EE"/>
    <w:rsid w:val="005D1875"/>
    <w:rsid w:val="005D393D"/>
    <w:rsid w:val="005D44FB"/>
    <w:rsid w:val="005D4D12"/>
    <w:rsid w:val="005D5A54"/>
    <w:rsid w:val="005D6120"/>
    <w:rsid w:val="005D6128"/>
    <w:rsid w:val="005D66C4"/>
    <w:rsid w:val="005E0C6F"/>
    <w:rsid w:val="005E14C2"/>
    <w:rsid w:val="005E1C92"/>
    <w:rsid w:val="005E28D1"/>
    <w:rsid w:val="005E41B1"/>
    <w:rsid w:val="005E52F6"/>
    <w:rsid w:val="005E627F"/>
    <w:rsid w:val="005E7F2D"/>
    <w:rsid w:val="005F11DD"/>
    <w:rsid w:val="005F1642"/>
    <w:rsid w:val="005F1B07"/>
    <w:rsid w:val="005F1FCD"/>
    <w:rsid w:val="005F218E"/>
    <w:rsid w:val="005F490C"/>
    <w:rsid w:val="005F4AD4"/>
    <w:rsid w:val="005F5026"/>
    <w:rsid w:val="005F589D"/>
    <w:rsid w:val="005F5B68"/>
    <w:rsid w:val="005F622E"/>
    <w:rsid w:val="005F714E"/>
    <w:rsid w:val="005F741D"/>
    <w:rsid w:val="006007C4"/>
    <w:rsid w:val="0060200D"/>
    <w:rsid w:val="00605111"/>
    <w:rsid w:val="00607BA5"/>
    <w:rsid w:val="0061180A"/>
    <w:rsid w:val="00613B30"/>
    <w:rsid w:val="006144AD"/>
    <w:rsid w:val="00614ABB"/>
    <w:rsid w:val="00614CBF"/>
    <w:rsid w:val="006152B8"/>
    <w:rsid w:val="00616E7D"/>
    <w:rsid w:val="00617A91"/>
    <w:rsid w:val="00621824"/>
    <w:rsid w:val="00622260"/>
    <w:rsid w:val="00622B10"/>
    <w:rsid w:val="006245CB"/>
    <w:rsid w:val="006251FC"/>
    <w:rsid w:val="00626EB6"/>
    <w:rsid w:val="006270B8"/>
    <w:rsid w:val="00631DB3"/>
    <w:rsid w:val="00632A02"/>
    <w:rsid w:val="00633B44"/>
    <w:rsid w:val="006353B9"/>
    <w:rsid w:val="00635B60"/>
    <w:rsid w:val="00642A3F"/>
    <w:rsid w:val="00643721"/>
    <w:rsid w:val="006439D0"/>
    <w:rsid w:val="00644935"/>
    <w:rsid w:val="00646D67"/>
    <w:rsid w:val="006474F2"/>
    <w:rsid w:val="00651960"/>
    <w:rsid w:val="00651F61"/>
    <w:rsid w:val="00653657"/>
    <w:rsid w:val="00654CCA"/>
    <w:rsid w:val="00655D03"/>
    <w:rsid w:val="00655EAD"/>
    <w:rsid w:val="0065655C"/>
    <w:rsid w:val="00656880"/>
    <w:rsid w:val="006570BD"/>
    <w:rsid w:val="006578B2"/>
    <w:rsid w:val="00661A04"/>
    <w:rsid w:val="00666EAF"/>
    <w:rsid w:val="00667362"/>
    <w:rsid w:val="00673429"/>
    <w:rsid w:val="00674414"/>
    <w:rsid w:val="00677DA6"/>
    <w:rsid w:val="006828D2"/>
    <w:rsid w:val="00683388"/>
    <w:rsid w:val="006834D0"/>
    <w:rsid w:val="00683F84"/>
    <w:rsid w:val="00685E03"/>
    <w:rsid w:val="0068625F"/>
    <w:rsid w:val="00686CCB"/>
    <w:rsid w:val="00686D6F"/>
    <w:rsid w:val="006879AE"/>
    <w:rsid w:val="00690F31"/>
    <w:rsid w:val="006918BE"/>
    <w:rsid w:val="00692F08"/>
    <w:rsid w:val="00693661"/>
    <w:rsid w:val="006961EE"/>
    <w:rsid w:val="00697555"/>
    <w:rsid w:val="006A0B9E"/>
    <w:rsid w:val="006A0BFC"/>
    <w:rsid w:val="006A3A7E"/>
    <w:rsid w:val="006A3E11"/>
    <w:rsid w:val="006A528A"/>
    <w:rsid w:val="006A5812"/>
    <w:rsid w:val="006A6550"/>
    <w:rsid w:val="006A6A81"/>
    <w:rsid w:val="006B13A1"/>
    <w:rsid w:val="006B1F63"/>
    <w:rsid w:val="006B2269"/>
    <w:rsid w:val="006B23BC"/>
    <w:rsid w:val="006B373F"/>
    <w:rsid w:val="006B43FE"/>
    <w:rsid w:val="006B4F94"/>
    <w:rsid w:val="006B50AC"/>
    <w:rsid w:val="006B5846"/>
    <w:rsid w:val="006B7169"/>
    <w:rsid w:val="006C03D1"/>
    <w:rsid w:val="006C2EF4"/>
    <w:rsid w:val="006C376B"/>
    <w:rsid w:val="006C4007"/>
    <w:rsid w:val="006C5FAF"/>
    <w:rsid w:val="006C747C"/>
    <w:rsid w:val="006D07FF"/>
    <w:rsid w:val="006D0EC8"/>
    <w:rsid w:val="006D10F9"/>
    <w:rsid w:val="006D1E32"/>
    <w:rsid w:val="006D2774"/>
    <w:rsid w:val="006D37F5"/>
    <w:rsid w:val="006D468B"/>
    <w:rsid w:val="006D5012"/>
    <w:rsid w:val="006D6E07"/>
    <w:rsid w:val="006D7B8C"/>
    <w:rsid w:val="006E1419"/>
    <w:rsid w:val="006E220A"/>
    <w:rsid w:val="006E4692"/>
    <w:rsid w:val="006E68E4"/>
    <w:rsid w:val="006E6B71"/>
    <w:rsid w:val="006E6E12"/>
    <w:rsid w:val="006F183A"/>
    <w:rsid w:val="006F2A01"/>
    <w:rsid w:val="006F3AD4"/>
    <w:rsid w:val="006F3EB7"/>
    <w:rsid w:val="006F4C10"/>
    <w:rsid w:val="006F63C0"/>
    <w:rsid w:val="006F7393"/>
    <w:rsid w:val="006F770C"/>
    <w:rsid w:val="006F7CDA"/>
    <w:rsid w:val="0070149A"/>
    <w:rsid w:val="00701A3F"/>
    <w:rsid w:val="0070224F"/>
    <w:rsid w:val="00702DFC"/>
    <w:rsid w:val="00703151"/>
    <w:rsid w:val="007032BE"/>
    <w:rsid w:val="0070470E"/>
    <w:rsid w:val="00706BB5"/>
    <w:rsid w:val="007107CB"/>
    <w:rsid w:val="0071094C"/>
    <w:rsid w:val="007115F7"/>
    <w:rsid w:val="007121B5"/>
    <w:rsid w:val="00712C06"/>
    <w:rsid w:val="00715827"/>
    <w:rsid w:val="00715F02"/>
    <w:rsid w:val="00716E27"/>
    <w:rsid w:val="007179E4"/>
    <w:rsid w:val="00720734"/>
    <w:rsid w:val="00720CF2"/>
    <w:rsid w:val="00721B68"/>
    <w:rsid w:val="00723477"/>
    <w:rsid w:val="00723926"/>
    <w:rsid w:val="00726098"/>
    <w:rsid w:val="00730135"/>
    <w:rsid w:val="007348F3"/>
    <w:rsid w:val="00734FAE"/>
    <w:rsid w:val="007370CD"/>
    <w:rsid w:val="007371BA"/>
    <w:rsid w:val="0074031D"/>
    <w:rsid w:val="007424FA"/>
    <w:rsid w:val="007465AD"/>
    <w:rsid w:val="00751A6E"/>
    <w:rsid w:val="00752AAD"/>
    <w:rsid w:val="007570C9"/>
    <w:rsid w:val="0076157C"/>
    <w:rsid w:val="0076159A"/>
    <w:rsid w:val="007644DE"/>
    <w:rsid w:val="00766C58"/>
    <w:rsid w:val="00772814"/>
    <w:rsid w:val="007739EF"/>
    <w:rsid w:val="00775C6B"/>
    <w:rsid w:val="00775FCC"/>
    <w:rsid w:val="00776145"/>
    <w:rsid w:val="007775EB"/>
    <w:rsid w:val="00780226"/>
    <w:rsid w:val="00782C4F"/>
    <w:rsid w:val="00783367"/>
    <w:rsid w:val="00785689"/>
    <w:rsid w:val="00786B5C"/>
    <w:rsid w:val="00790A68"/>
    <w:rsid w:val="00793406"/>
    <w:rsid w:val="00793D5A"/>
    <w:rsid w:val="00794D68"/>
    <w:rsid w:val="00795A9A"/>
    <w:rsid w:val="007964EE"/>
    <w:rsid w:val="00796502"/>
    <w:rsid w:val="0079754B"/>
    <w:rsid w:val="007A148D"/>
    <w:rsid w:val="007A1E6D"/>
    <w:rsid w:val="007A6676"/>
    <w:rsid w:val="007A6FC0"/>
    <w:rsid w:val="007A714A"/>
    <w:rsid w:val="007B0EB2"/>
    <w:rsid w:val="007B1B81"/>
    <w:rsid w:val="007B27A7"/>
    <w:rsid w:val="007B404D"/>
    <w:rsid w:val="007B5BF6"/>
    <w:rsid w:val="007B71D2"/>
    <w:rsid w:val="007B7840"/>
    <w:rsid w:val="007C1F2E"/>
    <w:rsid w:val="007C4EF8"/>
    <w:rsid w:val="007C53CB"/>
    <w:rsid w:val="007D103B"/>
    <w:rsid w:val="007D19FB"/>
    <w:rsid w:val="007D568C"/>
    <w:rsid w:val="007D7518"/>
    <w:rsid w:val="007D7787"/>
    <w:rsid w:val="007E0123"/>
    <w:rsid w:val="007E17DD"/>
    <w:rsid w:val="007E2324"/>
    <w:rsid w:val="007E46D5"/>
    <w:rsid w:val="007E751C"/>
    <w:rsid w:val="008034C3"/>
    <w:rsid w:val="00804943"/>
    <w:rsid w:val="008107F5"/>
    <w:rsid w:val="00810B6F"/>
    <w:rsid w:val="00810D66"/>
    <w:rsid w:val="00811A40"/>
    <w:rsid w:val="0081459B"/>
    <w:rsid w:val="00816A38"/>
    <w:rsid w:val="00822CE0"/>
    <w:rsid w:val="00824ECF"/>
    <w:rsid w:val="0083139F"/>
    <w:rsid w:val="00834ED1"/>
    <w:rsid w:val="00837D47"/>
    <w:rsid w:val="00841AB1"/>
    <w:rsid w:val="008422C1"/>
    <w:rsid w:val="0084256B"/>
    <w:rsid w:val="00843BD8"/>
    <w:rsid w:val="008457A9"/>
    <w:rsid w:val="00845CF1"/>
    <w:rsid w:val="00846435"/>
    <w:rsid w:val="00846DCF"/>
    <w:rsid w:val="00847AC0"/>
    <w:rsid w:val="00847C58"/>
    <w:rsid w:val="00847E73"/>
    <w:rsid w:val="00850D98"/>
    <w:rsid w:val="008524A5"/>
    <w:rsid w:val="00855916"/>
    <w:rsid w:val="00861A9C"/>
    <w:rsid w:val="00861EA4"/>
    <w:rsid w:val="008630C9"/>
    <w:rsid w:val="00863C89"/>
    <w:rsid w:val="00863CA4"/>
    <w:rsid w:val="00866999"/>
    <w:rsid w:val="0087001A"/>
    <w:rsid w:val="008710A7"/>
    <w:rsid w:val="00871925"/>
    <w:rsid w:val="00872D03"/>
    <w:rsid w:val="00875313"/>
    <w:rsid w:val="00876E3A"/>
    <w:rsid w:val="00885481"/>
    <w:rsid w:val="00886168"/>
    <w:rsid w:val="008879BA"/>
    <w:rsid w:val="00887C9D"/>
    <w:rsid w:val="00892C40"/>
    <w:rsid w:val="008959EA"/>
    <w:rsid w:val="00895E69"/>
    <w:rsid w:val="00896571"/>
    <w:rsid w:val="008A0C15"/>
    <w:rsid w:val="008A4AD0"/>
    <w:rsid w:val="008A7342"/>
    <w:rsid w:val="008B5B4E"/>
    <w:rsid w:val="008B5DED"/>
    <w:rsid w:val="008B709B"/>
    <w:rsid w:val="008B7486"/>
    <w:rsid w:val="008B7887"/>
    <w:rsid w:val="008B7973"/>
    <w:rsid w:val="008B7EFB"/>
    <w:rsid w:val="008C33E9"/>
    <w:rsid w:val="008C3539"/>
    <w:rsid w:val="008C3A8C"/>
    <w:rsid w:val="008C3C93"/>
    <w:rsid w:val="008C4F29"/>
    <w:rsid w:val="008C5097"/>
    <w:rsid w:val="008C68F1"/>
    <w:rsid w:val="008D1075"/>
    <w:rsid w:val="008D1F72"/>
    <w:rsid w:val="008D580E"/>
    <w:rsid w:val="008D6C87"/>
    <w:rsid w:val="008D751D"/>
    <w:rsid w:val="008D7CFD"/>
    <w:rsid w:val="008E0B21"/>
    <w:rsid w:val="008E0E2B"/>
    <w:rsid w:val="008E105C"/>
    <w:rsid w:val="008E2F01"/>
    <w:rsid w:val="008E349B"/>
    <w:rsid w:val="008E453E"/>
    <w:rsid w:val="008E4AB5"/>
    <w:rsid w:val="008E54D4"/>
    <w:rsid w:val="008E58B7"/>
    <w:rsid w:val="008F0433"/>
    <w:rsid w:val="008F0543"/>
    <w:rsid w:val="008F2782"/>
    <w:rsid w:val="008F2CA5"/>
    <w:rsid w:val="008F676C"/>
    <w:rsid w:val="008F7A69"/>
    <w:rsid w:val="009007E9"/>
    <w:rsid w:val="00902266"/>
    <w:rsid w:val="00906D52"/>
    <w:rsid w:val="0090743D"/>
    <w:rsid w:val="009105FC"/>
    <w:rsid w:val="009119FC"/>
    <w:rsid w:val="00912654"/>
    <w:rsid w:val="00912C45"/>
    <w:rsid w:val="009137CF"/>
    <w:rsid w:val="00914718"/>
    <w:rsid w:val="00915F2E"/>
    <w:rsid w:val="00921803"/>
    <w:rsid w:val="0092232F"/>
    <w:rsid w:val="0092296A"/>
    <w:rsid w:val="0092426F"/>
    <w:rsid w:val="009251DF"/>
    <w:rsid w:val="009257BE"/>
    <w:rsid w:val="00925B4B"/>
    <w:rsid w:val="00926503"/>
    <w:rsid w:val="00927A03"/>
    <w:rsid w:val="00927C19"/>
    <w:rsid w:val="00933A7C"/>
    <w:rsid w:val="0093401F"/>
    <w:rsid w:val="00936262"/>
    <w:rsid w:val="00936519"/>
    <w:rsid w:val="00936EA3"/>
    <w:rsid w:val="0094310D"/>
    <w:rsid w:val="00943BD5"/>
    <w:rsid w:val="00944133"/>
    <w:rsid w:val="009507FD"/>
    <w:rsid w:val="009517F2"/>
    <w:rsid w:val="009519E9"/>
    <w:rsid w:val="00951CBA"/>
    <w:rsid w:val="009568C2"/>
    <w:rsid w:val="00963C23"/>
    <w:rsid w:val="00964DFD"/>
    <w:rsid w:val="00966D1D"/>
    <w:rsid w:val="009675E7"/>
    <w:rsid w:val="009726D8"/>
    <w:rsid w:val="009748AC"/>
    <w:rsid w:val="0098101C"/>
    <w:rsid w:val="009827B3"/>
    <w:rsid w:val="00987086"/>
    <w:rsid w:val="009905B9"/>
    <w:rsid w:val="009913F9"/>
    <w:rsid w:val="009916E9"/>
    <w:rsid w:val="00993EBF"/>
    <w:rsid w:val="009A1158"/>
    <w:rsid w:val="009A144C"/>
    <w:rsid w:val="009A23D2"/>
    <w:rsid w:val="009A23EF"/>
    <w:rsid w:val="009A4153"/>
    <w:rsid w:val="009A4782"/>
    <w:rsid w:val="009A50F0"/>
    <w:rsid w:val="009A5240"/>
    <w:rsid w:val="009A56AB"/>
    <w:rsid w:val="009A582E"/>
    <w:rsid w:val="009A62DD"/>
    <w:rsid w:val="009A791B"/>
    <w:rsid w:val="009B1A65"/>
    <w:rsid w:val="009B3426"/>
    <w:rsid w:val="009B4A37"/>
    <w:rsid w:val="009B4E0F"/>
    <w:rsid w:val="009B55B2"/>
    <w:rsid w:val="009B55C8"/>
    <w:rsid w:val="009B5E70"/>
    <w:rsid w:val="009B6C43"/>
    <w:rsid w:val="009C1DD3"/>
    <w:rsid w:val="009C31BA"/>
    <w:rsid w:val="009C3363"/>
    <w:rsid w:val="009C5945"/>
    <w:rsid w:val="009C5EF9"/>
    <w:rsid w:val="009C719F"/>
    <w:rsid w:val="009C720C"/>
    <w:rsid w:val="009D0E57"/>
    <w:rsid w:val="009D23DE"/>
    <w:rsid w:val="009D2F37"/>
    <w:rsid w:val="009D4849"/>
    <w:rsid w:val="009D4DBE"/>
    <w:rsid w:val="009D5387"/>
    <w:rsid w:val="009D5DBC"/>
    <w:rsid w:val="009D7308"/>
    <w:rsid w:val="009D7FF1"/>
    <w:rsid w:val="009E385D"/>
    <w:rsid w:val="009E39B2"/>
    <w:rsid w:val="009E72AA"/>
    <w:rsid w:val="009E7D2A"/>
    <w:rsid w:val="009F1062"/>
    <w:rsid w:val="009F5F27"/>
    <w:rsid w:val="009F6EF2"/>
    <w:rsid w:val="009F76DB"/>
    <w:rsid w:val="009F7A03"/>
    <w:rsid w:val="00A016A4"/>
    <w:rsid w:val="00A03B36"/>
    <w:rsid w:val="00A03E1B"/>
    <w:rsid w:val="00A051C1"/>
    <w:rsid w:val="00A06298"/>
    <w:rsid w:val="00A07AE9"/>
    <w:rsid w:val="00A10142"/>
    <w:rsid w:val="00A12BE3"/>
    <w:rsid w:val="00A17C50"/>
    <w:rsid w:val="00A20278"/>
    <w:rsid w:val="00A20E8A"/>
    <w:rsid w:val="00A2197B"/>
    <w:rsid w:val="00A232E7"/>
    <w:rsid w:val="00A245F4"/>
    <w:rsid w:val="00A32C3B"/>
    <w:rsid w:val="00A32E1A"/>
    <w:rsid w:val="00A34446"/>
    <w:rsid w:val="00A36004"/>
    <w:rsid w:val="00A366D5"/>
    <w:rsid w:val="00A402C5"/>
    <w:rsid w:val="00A40A7A"/>
    <w:rsid w:val="00A41FB8"/>
    <w:rsid w:val="00A42840"/>
    <w:rsid w:val="00A43C75"/>
    <w:rsid w:val="00A444B0"/>
    <w:rsid w:val="00A44626"/>
    <w:rsid w:val="00A44693"/>
    <w:rsid w:val="00A45B38"/>
    <w:rsid w:val="00A45C7D"/>
    <w:rsid w:val="00A45F4F"/>
    <w:rsid w:val="00A46133"/>
    <w:rsid w:val="00A46140"/>
    <w:rsid w:val="00A5099E"/>
    <w:rsid w:val="00A511A7"/>
    <w:rsid w:val="00A5323F"/>
    <w:rsid w:val="00A55CC5"/>
    <w:rsid w:val="00A5708C"/>
    <w:rsid w:val="00A579CA"/>
    <w:rsid w:val="00A600A9"/>
    <w:rsid w:val="00A6083B"/>
    <w:rsid w:val="00A6154B"/>
    <w:rsid w:val="00A6458D"/>
    <w:rsid w:val="00A649D2"/>
    <w:rsid w:val="00A65A2D"/>
    <w:rsid w:val="00A660AB"/>
    <w:rsid w:val="00A7075C"/>
    <w:rsid w:val="00A709D9"/>
    <w:rsid w:val="00A71B13"/>
    <w:rsid w:val="00A73592"/>
    <w:rsid w:val="00A736DA"/>
    <w:rsid w:val="00A73D3A"/>
    <w:rsid w:val="00A756AA"/>
    <w:rsid w:val="00A7667B"/>
    <w:rsid w:val="00A812D1"/>
    <w:rsid w:val="00A81827"/>
    <w:rsid w:val="00A842C5"/>
    <w:rsid w:val="00A843EF"/>
    <w:rsid w:val="00A86BA9"/>
    <w:rsid w:val="00A90072"/>
    <w:rsid w:val="00A93663"/>
    <w:rsid w:val="00A9435D"/>
    <w:rsid w:val="00A9463D"/>
    <w:rsid w:val="00A9692D"/>
    <w:rsid w:val="00AA1281"/>
    <w:rsid w:val="00AA184E"/>
    <w:rsid w:val="00AA1EF6"/>
    <w:rsid w:val="00AA2153"/>
    <w:rsid w:val="00AA219D"/>
    <w:rsid w:val="00AA3F4B"/>
    <w:rsid w:val="00AA55B7"/>
    <w:rsid w:val="00AA583A"/>
    <w:rsid w:val="00AA5B9E"/>
    <w:rsid w:val="00AB0A93"/>
    <w:rsid w:val="00AB2407"/>
    <w:rsid w:val="00AB2985"/>
    <w:rsid w:val="00AB4202"/>
    <w:rsid w:val="00AB438B"/>
    <w:rsid w:val="00AB53DF"/>
    <w:rsid w:val="00AB5A8A"/>
    <w:rsid w:val="00AB6C79"/>
    <w:rsid w:val="00AC1F64"/>
    <w:rsid w:val="00AC2075"/>
    <w:rsid w:val="00AC36E8"/>
    <w:rsid w:val="00AC3AE9"/>
    <w:rsid w:val="00AC3E74"/>
    <w:rsid w:val="00AC6182"/>
    <w:rsid w:val="00AC78F5"/>
    <w:rsid w:val="00AD1415"/>
    <w:rsid w:val="00AD1A75"/>
    <w:rsid w:val="00AD2BB8"/>
    <w:rsid w:val="00AD2CBB"/>
    <w:rsid w:val="00AD45C0"/>
    <w:rsid w:val="00AD4FAF"/>
    <w:rsid w:val="00AD5A38"/>
    <w:rsid w:val="00AD69D9"/>
    <w:rsid w:val="00AD6EEA"/>
    <w:rsid w:val="00AE2ECC"/>
    <w:rsid w:val="00AE3625"/>
    <w:rsid w:val="00AF0A13"/>
    <w:rsid w:val="00AF1E05"/>
    <w:rsid w:val="00AF3E99"/>
    <w:rsid w:val="00B01318"/>
    <w:rsid w:val="00B01DE7"/>
    <w:rsid w:val="00B04355"/>
    <w:rsid w:val="00B05FC7"/>
    <w:rsid w:val="00B07050"/>
    <w:rsid w:val="00B07E5C"/>
    <w:rsid w:val="00B11142"/>
    <w:rsid w:val="00B2000C"/>
    <w:rsid w:val="00B203CE"/>
    <w:rsid w:val="00B20D64"/>
    <w:rsid w:val="00B2494F"/>
    <w:rsid w:val="00B2521F"/>
    <w:rsid w:val="00B25E68"/>
    <w:rsid w:val="00B30472"/>
    <w:rsid w:val="00B3134C"/>
    <w:rsid w:val="00B3225B"/>
    <w:rsid w:val="00B41332"/>
    <w:rsid w:val="00B43421"/>
    <w:rsid w:val="00B43602"/>
    <w:rsid w:val="00B44D4D"/>
    <w:rsid w:val="00B458E8"/>
    <w:rsid w:val="00B469C2"/>
    <w:rsid w:val="00B47393"/>
    <w:rsid w:val="00B476C5"/>
    <w:rsid w:val="00B507AC"/>
    <w:rsid w:val="00B536DB"/>
    <w:rsid w:val="00B548C8"/>
    <w:rsid w:val="00B54D69"/>
    <w:rsid w:val="00B55487"/>
    <w:rsid w:val="00B5775E"/>
    <w:rsid w:val="00B60072"/>
    <w:rsid w:val="00B61946"/>
    <w:rsid w:val="00B61B78"/>
    <w:rsid w:val="00B620DB"/>
    <w:rsid w:val="00B63980"/>
    <w:rsid w:val="00B63A34"/>
    <w:rsid w:val="00B65ACC"/>
    <w:rsid w:val="00B70B24"/>
    <w:rsid w:val="00B70D9A"/>
    <w:rsid w:val="00B7107E"/>
    <w:rsid w:val="00B72E4C"/>
    <w:rsid w:val="00B7302D"/>
    <w:rsid w:val="00B7338D"/>
    <w:rsid w:val="00B7401C"/>
    <w:rsid w:val="00B747EF"/>
    <w:rsid w:val="00B7550E"/>
    <w:rsid w:val="00B764B1"/>
    <w:rsid w:val="00B81019"/>
    <w:rsid w:val="00B811F7"/>
    <w:rsid w:val="00B822BC"/>
    <w:rsid w:val="00B82F25"/>
    <w:rsid w:val="00B84115"/>
    <w:rsid w:val="00B84F95"/>
    <w:rsid w:val="00B85150"/>
    <w:rsid w:val="00B857DA"/>
    <w:rsid w:val="00B865F7"/>
    <w:rsid w:val="00B868DD"/>
    <w:rsid w:val="00B87F29"/>
    <w:rsid w:val="00B96007"/>
    <w:rsid w:val="00B96D37"/>
    <w:rsid w:val="00B971C7"/>
    <w:rsid w:val="00B978C6"/>
    <w:rsid w:val="00B97DC3"/>
    <w:rsid w:val="00BA0BD7"/>
    <w:rsid w:val="00BA1D2E"/>
    <w:rsid w:val="00BA2C5F"/>
    <w:rsid w:val="00BA30F5"/>
    <w:rsid w:val="00BA5DC6"/>
    <w:rsid w:val="00BA6196"/>
    <w:rsid w:val="00BA7174"/>
    <w:rsid w:val="00BA72D3"/>
    <w:rsid w:val="00BA79BA"/>
    <w:rsid w:val="00BB3877"/>
    <w:rsid w:val="00BB6DB3"/>
    <w:rsid w:val="00BC263F"/>
    <w:rsid w:val="00BC2BD7"/>
    <w:rsid w:val="00BC3FC9"/>
    <w:rsid w:val="00BC59DF"/>
    <w:rsid w:val="00BC6D8C"/>
    <w:rsid w:val="00BC792B"/>
    <w:rsid w:val="00BD0747"/>
    <w:rsid w:val="00BD2122"/>
    <w:rsid w:val="00BD276F"/>
    <w:rsid w:val="00BD5B55"/>
    <w:rsid w:val="00BD63DD"/>
    <w:rsid w:val="00BD6C61"/>
    <w:rsid w:val="00BE0428"/>
    <w:rsid w:val="00BE2C40"/>
    <w:rsid w:val="00BE3C2B"/>
    <w:rsid w:val="00BE6162"/>
    <w:rsid w:val="00BE6DFD"/>
    <w:rsid w:val="00BF22AA"/>
    <w:rsid w:val="00BF257A"/>
    <w:rsid w:val="00BF3C35"/>
    <w:rsid w:val="00BF4156"/>
    <w:rsid w:val="00BF4716"/>
    <w:rsid w:val="00BF6759"/>
    <w:rsid w:val="00BF6D78"/>
    <w:rsid w:val="00C01947"/>
    <w:rsid w:val="00C02ADB"/>
    <w:rsid w:val="00C040FB"/>
    <w:rsid w:val="00C0542A"/>
    <w:rsid w:val="00C069DF"/>
    <w:rsid w:val="00C06EAB"/>
    <w:rsid w:val="00C073B9"/>
    <w:rsid w:val="00C12171"/>
    <w:rsid w:val="00C12278"/>
    <w:rsid w:val="00C1556E"/>
    <w:rsid w:val="00C1568F"/>
    <w:rsid w:val="00C16FAC"/>
    <w:rsid w:val="00C225FC"/>
    <w:rsid w:val="00C22725"/>
    <w:rsid w:val="00C2379B"/>
    <w:rsid w:val="00C23B6E"/>
    <w:rsid w:val="00C27087"/>
    <w:rsid w:val="00C334F7"/>
    <w:rsid w:val="00C33936"/>
    <w:rsid w:val="00C33F0B"/>
    <w:rsid w:val="00C34006"/>
    <w:rsid w:val="00C34C18"/>
    <w:rsid w:val="00C36B4C"/>
    <w:rsid w:val="00C375A4"/>
    <w:rsid w:val="00C40041"/>
    <w:rsid w:val="00C4046B"/>
    <w:rsid w:val="00C40566"/>
    <w:rsid w:val="00C406F9"/>
    <w:rsid w:val="00C408B2"/>
    <w:rsid w:val="00C42438"/>
    <w:rsid w:val="00C426B1"/>
    <w:rsid w:val="00C428DA"/>
    <w:rsid w:val="00C44AF8"/>
    <w:rsid w:val="00C44EA2"/>
    <w:rsid w:val="00C46414"/>
    <w:rsid w:val="00C46EF5"/>
    <w:rsid w:val="00C475F2"/>
    <w:rsid w:val="00C52D4F"/>
    <w:rsid w:val="00C545A6"/>
    <w:rsid w:val="00C55B43"/>
    <w:rsid w:val="00C55B6F"/>
    <w:rsid w:val="00C55C50"/>
    <w:rsid w:val="00C578D1"/>
    <w:rsid w:val="00C57B87"/>
    <w:rsid w:val="00C615C3"/>
    <w:rsid w:val="00C61F4B"/>
    <w:rsid w:val="00C62BC2"/>
    <w:rsid w:val="00C63637"/>
    <w:rsid w:val="00C655D3"/>
    <w:rsid w:val="00C66160"/>
    <w:rsid w:val="00C674AD"/>
    <w:rsid w:val="00C70E7E"/>
    <w:rsid w:val="00C721AC"/>
    <w:rsid w:val="00C727E9"/>
    <w:rsid w:val="00C734A8"/>
    <w:rsid w:val="00C753A0"/>
    <w:rsid w:val="00C81E23"/>
    <w:rsid w:val="00C82790"/>
    <w:rsid w:val="00C87514"/>
    <w:rsid w:val="00C90D6A"/>
    <w:rsid w:val="00C91650"/>
    <w:rsid w:val="00C918AC"/>
    <w:rsid w:val="00C932EE"/>
    <w:rsid w:val="00C935A3"/>
    <w:rsid w:val="00C9427F"/>
    <w:rsid w:val="00CA10B7"/>
    <w:rsid w:val="00CA14E5"/>
    <w:rsid w:val="00CA16AE"/>
    <w:rsid w:val="00CA247E"/>
    <w:rsid w:val="00CA2DB0"/>
    <w:rsid w:val="00CA4BC8"/>
    <w:rsid w:val="00CA6D21"/>
    <w:rsid w:val="00CA70CF"/>
    <w:rsid w:val="00CB123B"/>
    <w:rsid w:val="00CB2CF8"/>
    <w:rsid w:val="00CB42AD"/>
    <w:rsid w:val="00CB4670"/>
    <w:rsid w:val="00CB66F0"/>
    <w:rsid w:val="00CB7818"/>
    <w:rsid w:val="00CC2067"/>
    <w:rsid w:val="00CC6544"/>
    <w:rsid w:val="00CC66A7"/>
    <w:rsid w:val="00CC72B6"/>
    <w:rsid w:val="00CD5490"/>
    <w:rsid w:val="00CE0465"/>
    <w:rsid w:val="00CE178C"/>
    <w:rsid w:val="00CE1F42"/>
    <w:rsid w:val="00CE4AFF"/>
    <w:rsid w:val="00CE50EE"/>
    <w:rsid w:val="00CF0F17"/>
    <w:rsid w:val="00CF1DC5"/>
    <w:rsid w:val="00CF2583"/>
    <w:rsid w:val="00CF310C"/>
    <w:rsid w:val="00CF38A4"/>
    <w:rsid w:val="00CF3FD7"/>
    <w:rsid w:val="00CF5280"/>
    <w:rsid w:val="00CF57C9"/>
    <w:rsid w:val="00CF6FEF"/>
    <w:rsid w:val="00CF7C0D"/>
    <w:rsid w:val="00D000A3"/>
    <w:rsid w:val="00D00B30"/>
    <w:rsid w:val="00D0218D"/>
    <w:rsid w:val="00D05625"/>
    <w:rsid w:val="00D068B6"/>
    <w:rsid w:val="00D13BAC"/>
    <w:rsid w:val="00D1411C"/>
    <w:rsid w:val="00D14364"/>
    <w:rsid w:val="00D1505A"/>
    <w:rsid w:val="00D15275"/>
    <w:rsid w:val="00D2471F"/>
    <w:rsid w:val="00D25FB5"/>
    <w:rsid w:val="00D2797F"/>
    <w:rsid w:val="00D31699"/>
    <w:rsid w:val="00D35063"/>
    <w:rsid w:val="00D3593A"/>
    <w:rsid w:val="00D35CC6"/>
    <w:rsid w:val="00D4273B"/>
    <w:rsid w:val="00D44223"/>
    <w:rsid w:val="00D4437F"/>
    <w:rsid w:val="00D44F98"/>
    <w:rsid w:val="00D4559C"/>
    <w:rsid w:val="00D4602E"/>
    <w:rsid w:val="00D470F1"/>
    <w:rsid w:val="00D479C5"/>
    <w:rsid w:val="00D50FD0"/>
    <w:rsid w:val="00D52DBD"/>
    <w:rsid w:val="00D57061"/>
    <w:rsid w:val="00D61BAD"/>
    <w:rsid w:val="00D6212C"/>
    <w:rsid w:val="00D64047"/>
    <w:rsid w:val="00D71C04"/>
    <w:rsid w:val="00D73729"/>
    <w:rsid w:val="00D74599"/>
    <w:rsid w:val="00D74BC9"/>
    <w:rsid w:val="00D74F8D"/>
    <w:rsid w:val="00D7596E"/>
    <w:rsid w:val="00D774E6"/>
    <w:rsid w:val="00D77959"/>
    <w:rsid w:val="00D80239"/>
    <w:rsid w:val="00D83A84"/>
    <w:rsid w:val="00D83D02"/>
    <w:rsid w:val="00D83D4E"/>
    <w:rsid w:val="00D849E3"/>
    <w:rsid w:val="00D855D7"/>
    <w:rsid w:val="00D90A28"/>
    <w:rsid w:val="00D9542A"/>
    <w:rsid w:val="00D97E6D"/>
    <w:rsid w:val="00DA0660"/>
    <w:rsid w:val="00DA0F84"/>
    <w:rsid w:val="00DA250D"/>
    <w:rsid w:val="00DA2529"/>
    <w:rsid w:val="00DA4118"/>
    <w:rsid w:val="00DA5939"/>
    <w:rsid w:val="00DA5C14"/>
    <w:rsid w:val="00DB130A"/>
    <w:rsid w:val="00DB19BF"/>
    <w:rsid w:val="00DB2EBB"/>
    <w:rsid w:val="00DB493B"/>
    <w:rsid w:val="00DB572F"/>
    <w:rsid w:val="00DB6B91"/>
    <w:rsid w:val="00DC0D91"/>
    <w:rsid w:val="00DC10A1"/>
    <w:rsid w:val="00DC3034"/>
    <w:rsid w:val="00DC393B"/>
    <w:rsid w:val="00DC5158"/>
    <w:rsid w:val="00DC622C"/>
    <w:rsid w:val="00DC655F"/>
    <w:rsid w:val="00DD0B59"/>
    <w:rsid w:val="00DD2029"/>
    <w:rsid w:val="00DD3631"/>
    <w:rsid w:val="00DD41AD"/>
    <w:rsid w:val="00DD46F0"/>
    <w:rsid w:val="00DD579F"/>
    <w:rsid w:val="00DD75A0"/>
    <w:rsid w:val="00DD7B97"/>
    <w:rsid w:val="00DD7EBD"/>
    <w:rsid w:val="00DE2C43"/>
    <w:rsid w:val="00DE2C49"/>
    <w:rsid w:val="00DE39CB"/>
    <w:rsid w:val="00DE4A76"/>
    <w:rsid w:val="00DE6049"/>
    <w:rsid w:val="00DE77D3"/>
    <w:rsid w:val="00DF2AA8"/>
    <w:rsid w:val="00DF5B17"/>
    <w:rsid w:val="00DF62B6"/>
    <w:rsid w:val="00DF6557"/>
    <w:rsid w:val="00DF6F1C"/>
    <w:rsid w:val="00E00C8D"/>
    <w:rsid w:val="00E052FE"/>
    <w:rsid w:val="00E0548D"/>
    <w:rsid w:val="00E058D2"/>
    <w:rsid w:val="00E07103"/>
    <w:rsid w:val="00E07225"/>
    <w:rsid w:val="00E1125B"/>
    <w:rsid w:val="00E133CD"/>
    <w:rsid w:val="00E14750"/>
    <w:rsid w:val="00E14DFA"/>
    <w:rsid w:val="00E215C9"/>
    <w:rsid w:val="00E21B89"/>
    <w:rsid w:val="00E2216A"/>
    <w:rsid w:val="00E2242A"/>
    <w:rsid w:val="00E22AF3"/>
    <w:rsid w:val="00E24725"/>
    <w:rsid w:val="00E25580"/>
    <w:rsid w:val="00E25A6D"/>
    <w:rsid w:val="00E275D3"/>
    <w:rsid w:val="00E32DC0"/>
    <w:rsid w:val="00E33443"/>
    <w:rsid w:val="00E33B83"/>
    <w:rsid w:val="00E345C2"/>
    <w:rsid w:val="00E40FA4"/>
    <w:rsid w:val="00E41046"/>
    <w:rsid w:val="00E42708"/>
    <w:rsid w:val="00E428E3"/>
    <w:rsid w:val="00E42EDA"/>
    <w:rsid w:val="00E43B21"/>
    <w:rsid w:val="00E440CD"/>
    <w:rsid w:val="00E445D0"/>
    <w:rsid w:val="00E4625F"/>
    <w:rsid w:val="00E467F7"/>
    <w:rsid w:val="00E507CF"/>
    <w:rsid w:val="00E50E4D"/>
    <w:rsid w:val="00E51AC1"/>
    <w:rsid w:val="00E51C8D"/>
    <w:rsid w:val="00E53313"/>
    <w:rsid w:val="00E5409F"/>
    <w:rsid w:val="00E54F46"/>
    <w:rsid w:val="00E5733B"/>
    <w:rsid w:val="00E61DF5"/>
    <w:rsid w:val="00E624D8"/>
    <w:rsid w:val="00E64186"/>
    <w:rsid w:val="00E6477A"/>
    <w:rsid w:val="00E65D9F"/>
    <w:rsid w:val="00E65FF2"/>
    <w:rsid w:val="00E66FD3"/>
    <w:rsid w:val="00E6745A"/>
    <w:rsid w:val="00E67CA9"/>
    <w:rsid w:val="00E7028F"/>
    <w:rsid w:val="00E715D5"/>
    <w:rsid w:val="00E74B13"/>
    <w:rsid w:val="00E774F5"/>
    <w:rsid w:val="00E77743"/>
    <w:rsid w:val="00E812FB"/>
    <w:rsid w:val="00E8250D"/>
    <w:rsid w:val="00E82676"/>
    <w:rsid w:val="00E83C30"/>
    <w:rsid w:val="00E872F2"/>
    <w:rsid w:val="00E90237"/>
    <w:rsid w:val="00EA1B3B"/>
    <w:rsid w:val="00EA268B"/>
    <w:rsid w:val="00EA439B"/>
    <w:rsid w:val="00EA4CBE"/>
    <w:rsid w:val="00EA528E"/>
    <w:rsid w:val="00EB30AC"/>
    <w:rsid w:val="00EB3BC6"/>
    <w:rsid w:val="00EB3DA3"/>
    <w:rsid w:val="00EC1A8E"/>
    <w:rsid w:val="00EC270C"/>
    <w:rsid w:val="00EC4742"/>
    <w:rsid w:val="00EC7A2D"/>
    <w:rsid w:val="00ED00AF"/>
    <w:rsid w:val="00ED160B"/>
    <w:rsid w:val="00ED33C9"/>
    <w:rsid w:val="00ED51D2"/>
    <w:rsid w:val="00EE353A"/>
    <w:rsid w:val="00EE4239"/>
    <w:rsid w:val="00EE464A"/>
    <w:rsid w:val="00EE4E88"/>
    <w:rsid w:val="00EE5636"/>
    <w:rsid w:val="00EE6488"/>
    <w:rsid w:val="00EE7A48"/>
    <w:rsid w:val="00EF1227"/>
    <w:rsid w:val="00EF2C32"/>
    <w:rsid w:val="00EF4352"/>
    <w:rsid w:val="00EF4CE0"/>
    <w:rsid w:val="00EF5FE1"/>
    <w:rsid w:val="00EF6025"/>
    <w:rsid w:val="00EF6888"/>
    <w:rsid w:val="00EF7A87"/>
    <w:rsid w:val="00EF7D80"/>
    <w:rsid w:val="00F003FD"/>
    <w:rsid w:val="00F01165"/>
    <w:rsid w:val="00F0147F"/>
    <w:rsid w:val="00F02092"/>
    <w:rsid w:val="00F021FA"/>
    <w:rsid w:val="00F0360C"/>
    <w:rsid w:val="00F100C2"/>
    <w:rsid w:val="00F11410"/>
    <w:rsid w:val="00F11428"/>
    <w:rsid w:val="00F114FA"/>
    <w:rsid w:val="00F12A59"/>
    <w:rsid w:val="00F131D4"/>
    <w:rsid w:val="00F13E55"/>
    <w:rsid w:val="00F15E4F"/>
    <w:rsid w:val="00F25EC9"/>
    <w:rsid w:val="00F26152"/>
    <w:rsid w:val="00F261EC"/>
    <w:rsid w:val="00F26D73"/>
    <w:rsid w:val="00F276F0"/>
    <w:rsid w:val="00F27977"/>
    <w:rsid w:val="00F3072F"/>
    <w:rsid w:val="00F31478"/>
    <w:rsid w:val="00F32F64"/>
    <w:rsid w:val="00F334F2"/>
    <w:rsid w:val="00F34245"/>
    <w:rsid w:val="00F35624"/>
    <w:rsid w:val="00F3744D"/>
    <w:rsid w:val="00F37C4E"/>
    <w:rsid w:val="00F40ABE"/>
    <w:rsid w:val="00F42947"/>
    <w:rsid w:val="00F42FAD"/>
    <w:rsid w:val="00F43596"/>
    <w:rsid w:val="00F4736C"/>
    <w:rsid w:val="00F50246"/>
    <w:rsid w:val="00F5079B"/>
    <w:rsid w:val="00F52337"/>
    <w:rsid w:val="00F5296A"/>
    <w:rsid w:val="00F53F1D"/>
    <w:rsid w:val="00F55F4A"/>
    <w:rsid w:val="00F56D10"/>
    <w:rsid w:val="00F57560"/>
    <w:rsid w:val="00F576D0"/>
    <w:rsid w:val="00F61376"/>
    <w:rsid w:val="00F62E97"/>
    <w:rsid w:val="00F63317"/>
    <w:rsid w:val="00F63375"/>
    <w:rsid w:val="00F63C44"/>
    <w:rsid w:val="00F64012"/>
    <w:rsid w:val="00F64209"/>
    <w:rsid w:val="00F672A8"/>
    <w:rsid w:val="00F676E9"/>
    <w:rsid w:val="00F72531"/>
    <w:rsid w:val="00F73D51"/>
    <w:rsid w:val="00F74CCD"/>
    <w:rsid w:val="00F7527F"/>
    <w:rsid w:val="00F77376"/>
    <w:rsid w:val="00F80201"/>
    <w:rsid w:val="00F80DF5"/>
    <w:rsid w:val="00F82A88"/>
    <w:rsid w:val="00F8412A"/>
    <w:rsid w:val="00F85951"/>
    <w:rsid w:val="00F90595"/>
    <w:rsid w:val="00F909F0"/>
    <w:rsid w:val="00F9191C"/>
    <w:rsid w:val="00F93BF5"/>
    <w:rsid w:val="00F94034"/>
    <w:rsid w:val="00F94643"/>
    <w:rsid w:val="00F9481F"/>
    <w:rsid w:val="00F9488D"/>
    <w:rsid w:val="00F94A9C"/>
    <w:rsid w:val="00F969C3"/>
    <w:rsid w:val="00FA0793"/>
    <w:rsid w:val="00FB2243"/>
    <w:rsid w:val="00FB2351"/>
    <w:rsid w:val="00FB3BFF"/>
    <w:rsid w:val="00FB78CA"/>
    <w:rsid w:val="00FB79BC"/>
    <w:rsid w:val="00FC1480"/>
    <w:rsid w:val="00FC1C1A"/>
    <w:rsid w:val="00FC6B98"/>
    <w:rsid w:val="00FC7E28"/>
    <w:rsid w:val="00FD046B"/>
    <w:rsid w:val="00FD2948"/>
    <w:rsid w:val="00FD3330"/>
    <w:rsid w:val="00FD33EA"/>
    <w:rsid w:val="00FD376A"/>
    <w:rsid w:val="00FD4A26"/>
    <w:rsid w:val="00FD7001"/>
    <w:rsid w:val="00FE009F"/>
    <w:rsid w:val="00FE638D"/>
    <w:rsid w:val="00FF38F8"/>
    <w:rsid w:val="00FF3A80"/>
    <w:rsid w:val="00FF4367"/>
    <w:rsid w:val="00FF59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8B36C71-C544-4B91-8BBE-5B5C23A7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uiPriority w:val="99"/>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2E5FB5"/>
  </w:style>
  <w:style w:type="character" w:customStyle="1" w:styleId="ParaNumChar">
    <w:name w:val="ParaNum Char"/>
    <w:link w:val="ParaNum"/>
    <w:rsid w:val="00F003FD"/>
    <w:rPr>
      <w:snapToGrid w:val="0"/>
      <w:kern w:val="28"/>
      <w:sz w:val="22"/>
    </w:rPr>
  </w:style>
  <w:style w:type="character" w:customStyle="1" w:styleId="UnresolvedMention">
    <w:name w:val="Unresolved Mention"/>
    <w:uiPriority w:val="99"/>
    <w:semiHidden/>
    <w:unhideWhenUsed/>
    <w:rsid w:val="00646D67"/>
    <w:rPr>
      <w:color w:val="605E5C"/>
      <w:shd w:val="clear" w:color="auto" w:fill="E1DFDD"/>
    </w:rPr>
  </w:style>
  <w:style w:type="paragraph" w:styleId="BalloonText">
    <w:name w:val="Balloon Text"/>
    <w:basedOn w:val="Normal"/>
    <w:link w:val="BalloonTextChar"/>
    <w:rsid w:val="0049053F"/>
    <w:rPr>
      <w:rFonts w:ascii="Segoe UI" w:hAnsi="Segoe UI" w:cs="Segoe UI"/>
      <w:sz w:val="18"/>
      <w:szCs w:val="18"/>
    </w:rPr>
  </w:style>
  <w:style w:type="character" w:customStyle="1" w:styleId="BalloonTextChar">
    <w:name w:val="Balloon Text Char"/>
    <w:link w:val="BalloonText"/>
    <w:rsid w:val="0049053F"/>
    <w:rPr>
      <w:rFonts w:ascii="Segoe UI" w:hAnsi="Segoe UI" w:cs="Segoe UI"/>
      <w:snapToGrid w:val="0"/>
      <w:kern w:val="28"/>
      <w:sz w:val="18"/>
      <w:szCs w:val="18"/>
    </w:rPr>
  </w:style>
  <w:style w:type="character" w:styleId="CommentReference">
    <w:name w:val="annotation reference"/>
    <w:rsid w:val="00E6477A"/>
    <w:rPr>
      <w:sz w:val="16"/>
      <w:szCs w:val="16"/>
    </w:rPr>
  </w:style>
  <w:style w:type="paragraph" w:styleId="CommentText">
    <w:name w:val="annotation text"/>
    <w:basedOn w:val="Normal"/>
    <w:link w:val="CommentTextChar"/>
    <w:rsid w:val="00E6477A"/>
    <w:rPr>
      <w:sz w:val="20"/>
    </w:rPr>
  </w:style>
  <w:style w:type="character" w:customStyle="1" w:styleId="CommentTextChar">
    <w:name w:val="Comment Text Char"/>
    <w:link w:val="CommentText"/>
    <w:rsid w:val="00E6477A"/>
    <w:rPr>
      <w:snapToGrid w:val="0"/>
      <w:kern w:val="28"/>
    </w:rPr>
  </w:style>
  <w:style w:type="paragraph" w:styleId="CommentSubject">
    <w:name w:val="annotation subject"/>
    <w:basedOn w:val="CommentText"/>
    <w:next w:val="CommentText"/>
    <w:link w:val="CommentSubjectChar"/>
    <w:rsid w:val="00E6477A"/>
    <w:rPr>
      <w:b/>
      <w:bCs/>
    </w:rPr>
  </w:style>
  <w:style w:type="character" w:customStyle="1" w:styleId="CommentSubjectChar">
    <w:name w:val="Comment Subject Char"/>
    <w:link w:val="CommentSubject"/>
    <w:rsid w:val="00E6477A"/>
    <w:rPr>
      <w:b/>
      <w:bCs/>
      <w:snapToGrid w:val="0"/>
      <w:kern w:val="28"/>
    </w:rPr>
  </w:style>
  <w:style w:type="character" w:customStyle="1" w:styleId="ssleftalign">
    <w:name w:val="ss_leftalign"/>
    <w:rsid w:val="002711E9"/>
  </w:style>
  <w:style w:type="character" w:customStyle="1" w:styleId="apple-converted-space">
    <w:name w:val="apple-converted-space"/>
    <w:rsid w:val="0009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