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15A93" w:rsidP="00B15A93" w14:paraId="54B0F80A" w14:textId="77777777">
      <w:pPr>
        <w:rPr>
          <w:sz w:val="24"/>
        </w:rPr>
      </w:pPr>
      <w:bookmarkStart w:id="0" w:name="TOChere"/>
    </w:p>
    <w:p w:rsidR="00B15A93" w:rsidRPr="00B20363" w:rsidP="00B15A93" w14:paraId="24286DE1" w14:textId="65E1DB34">
      <w:pPr>
        <w:jc w:val="right"/>
        <w:rPr>
          <w:b/>
          <w:sz w:val="24"/>
        </w:rPr>
      </w:pPr>
      <w:r>
        <w:rPr>
          <w:b/>
          <w:sz w:val="24"/>
        </w:rPr>
        <w:t>DA 20-</w:t>
      </w:r>
      <w:r>
        <w:rPr>
          <w:b/>
          <w:sz w:val="24"/>
        </w:rPr>
        <w:t>763</w:t>
      </w:r>
    </w:p>
    <w:p w:rsidR="00B15A93" w:rsidRPr="00B20363" w:rsidP="00B15A93" w14:paraId="3E0C06D6" w14:textId="77777777">
      <w:pPr>
        <w:spacing w:before="60"/>
        <w:jc w:val="right"/>
        <w:rPr>
          <w:b/>
          <w:sz w:val="24"/>
        </w:rPr>
      </w:pPr>
      <w:r>
        <w:rPr>
          <w:b/>
          <w:sz w:val="24"/>
        </w:rPr>
        <w:t>Released:  July 20, 2020</w:t>
      </w:r>
    </w:p>
    <w:p w:rsidR="00B15A93" w:rsidP="00B15A93" w14:paraId="6E6F1F20" w14:textId="77777777">
      <w:pPr>
        <w:jc w:val="right"/>
        <w:rPr>
          <w:sz w:val="24"/>
        </w:rPr>
      </w:pPr>
    </w:p>
    <w:p w:rsidR="00B15A93" w:rsidP="00B15A93" w14:paraId="3809F13B" w14:textId="77777777">
      <w:pPr>
        <w:jc w:val="center"/>
        <w:rPr>
          <w:rFonts w:ascii="Times New Roman Bold" w:hAnsi="Times New Roman Bold"/>
          <w:b/>
          <w:caps/>
          <w:sz w:val="24"/>
        </w:rPr>
      </w:pPr>
      <w:r>
        <w:rPr>
          <w:rFonts w:ascii="Times New Roman Bold" w:hAnsi="Times New Roman Bold"/>
          <w:b/>
          <w:caps/>
          <w:sz w:val="24"/>
        </w:rPr>
        <w:t xml:space="preserve">Wireline competition Bureau seeks Comment on A Petition for DECLARATORY RULING Filed By </w:t>
      </w:r>
    </w:p>
    <w:p w:rsidR="00B15A93" w:rsidRPr="00BA725E" w:rsidP="00B15A93" w14:paraId="70783FC5" w14:textId="77777777">
      <w:pPr>
        <w:spacing w:after="240"/>
        <w:jc w:val="center"/>
        <w:rPr>
          <w:b/>
          <w:bCs/>
          <w:caps/>
          <w:sz w:val="24"/>
        </w:rPr>
      </w:pPr>
      <w:r w:rsidRPr="00BA725E">
        <w:rPr>
          <w:b/>
          <w:caps/>
          <w:sz w:val="24"/>
          <w:szCs w:val="24"/>
        </w:rPr>
        <w:t xml:space="preserve">NCTA </w:t>
      </w:r>
      <w:r w:rsidRPr="00BA725E">
        <w:rPr>
          <w:b/>
          <w:sz w:val="24"/>
          <w:szCs w:val="24"/>
          <w:shd w:val="clear" w:color="auto" w:fill="FFFFFF"/>
        </w:rPr>
        <w:t>— THE INTERNET &amp; TELEVISION ASSOCIATION</w:t>
      </w:r>
    </w:p>
    <w:p w:rsidR="00B15A93" w:rsidP="00B15A93" w14:paraId="50335284" w14:textId="77777777">
      <w:pPr>
        <w:jc w:val="center"/>
        <w:rPr>
          <w:b/>
          <w:sz w:val="24"/>
        </w:rPr>
      </w:pPr>
      <w:r>
        <w:rPr>
          <w:b/>
          <w:sz w:val="24"/>
        </w:rPr>
        <w:t>WC Docket No. 17-84</w:t>
      </w:r>
    </w:p>
    <w:p w:rsidR="00B15A93" w:rsidRPr="00930ECF" w:rsidP="00B15A93" w14:paraId="5BF165CC" w14:textId="77777777">
      <w:pPr>
        <w:rPr>
          <w:sz w:val="24"/>
        </w:rPr>
      </w:pPr>
    </w:p>
    <w:p w:rsidR="00B15A93" w:rsidP="00B15A93" w14:paraId="56DB26C3" w14:textId="77777777">
      <w:pPr>
        <w:rPr>
          <w:b/>
          <w:bCs/>
          <w:sz w:val="24"/>
        </w:rPr>
      </w:pPr>
      <w:r w:rsidRPr="00CE39B7">
        <w:rPr>
          <w:b/>
          <w:bCs/>
          <w:sz w:val="24"/>
        </w:rPr>
        <w:t>Comments Due:</w:t>
      </w:r>
      <w:r>
        <w:rPr>
          <w:b/>
          <w:bCs/>
          <w:sz w:val="24"/>
        </w:rPr>
        <w:t xml:space="preserve"> August 19, 2020</w:t>
      </w:r>
    </w:p>
    <w:p w:rsidR="00B15A93" w:rsidRPr="00CE39B7" w:rsidP="00B15A93" w14:paraId="306AF702" w14:textId="77777777">
      <w:pPr>
        <w:rPr>
          <w:b/>
          <w:bCs/>
          <w:sz w:val="24"/>
        </w:rPr>
      </w:pPr>
      <w:r>
        <w:rPr>
          <w:b/>
          <w:bCs/>
          <w:sz w:val="24"/>
        </w:rPr>
        <w:t>Reply Comments Due: September 3, 2020</w:t>
      </w:r>
    </w:p>
    <w:p w:rsidR="00B15A93" w:rsidP="00B15A93" w14:paraId="1292DE59" w14:textId="77777777">
      <w:pPr>
        <w:rPr>
          <w:sz w:val="24"/>
        </w:rPr>
      </w:pPr>
    </w:p>
    <w:p w:rsidR="00B15A93" w:rsidP="00B15A93" w14:paraId="2768AEE9" w14:textId="77777777">
      <w:pPr>
        <w:autoSpaceDE w:val="0"/>
        <w:autoSpaceDN w:val="0"/>
        <w:adjustRightInd w:val="0"/>
        <w:spacing w:after="200"/>
        <w:ind w:firstLine="720"/>
        <w:rPr>
          <w:szCs w:val="22"/>
        </w:rPr>
      </w:pPr>
      <w:r>
        <w:rPr>
          <w:szCs w:val="22"/>
        </w:rPr>
        <w:t xml:space="preserve">The Wireline Competition Bureau seeks comment on a petition for declaratory ruling filed on July 16, 2020 by </w:t>
      </w:r>
      <w:r w:rsidRPr="001F56F1">
        <w:t xml:space="preserve">NCTA </w:t>
      </w:r>
      <w:r w:rsidRPr="002F4FC7">
        <w:rPr>
          <w:color w:val="222222"/>
          <w:shd w:val="clear" w:color="auto" w:fill="FFFFFF"/>
        </w:rPr>
        <w:t>—</w:t>
      </w:r>
      <w:r>
        <w:t xml:space="preserve"> The Internet &amp; Television Association (NCTA)</w:t>
      </w:r>
      <w:r>
        <w:rPr>
          <w:szCs w:val="22"/>
        </w:rPr>
        <w:t>.</w:t>
      </w:r>
      <w:r>
        <w:rPr>
          <w:rStyle w:val="FootnoteReference"/>
          <w:szCs w:val="22"/>
        </w:rPr>
        <w:footnoteReference w:id="3"/>
      </w:r>
      <w:r>
        <w:rPr>
          <w:szCs w:val="22"/>
        </w:rPr>
        <w:t xml:space="preserve">  NCTA asks the Commission to declare that: (1) pole owners must share in the cost of pole replacements in unserved areas pursuant to section 224 of the Communications Act, section 1.1408(b) of the Commission’s rules, and Commission precedent;</w:t>
      </w:r>
      <w:r>
        <w:rPr>
          <w:rStyle w:val="FootnoteReference"/>
          <w:szCs w:val="22"/>
        </w:rPr>
        <w:footnoteReference w:id="4"/>
      </w:r>
      <w:r>
        <w:rPr>
          <w:szCs w:val="22"/>
        </w:rPr>
        <w:t xml:space="preserve"> (2) pole attachment complaints arising in unserved areas should be prioritized through placement on the Accelerated Docket under section 1.736 of the Commission’s rules;</w:t>
      </w:r>
      <w:r>
        <w:rPr>
          <w:rStyle w:val="FootnoteReference"/>
          <w:szCs w:val="22"/>
        </w:rPr>
        <w:footnoteReference w:id="5"/>
      </w:r>
      <w:r>
        <w:rPr>
          <w:szCs w:val="22"/>
        </w:rPr>
        <w:t xml:space="preserve"> and (3) section 1.1407(b) of the Commission’s rules authorizes the Commission to order any pole owner to complete a pole replacement within a specified period of time or designate an authorized contractor to do so.</w:t>
      </w:r>
      <w:r>
        <w:rPr>
          <w:rStyle w:val="FootnoteReference"/>
          <w:szCs w:val="22"/>
        </w:rPr>
        <w:footnoteReference w:id="6"/>
      </w:r>
    </w:p>
    <w:p w:rsidR="00B15A93" w:rsidRPr="00443249" w:rsidP="00B15A93" w14:paraId="760AEB6C" w14:textId="77777777">
      <w:pPr>
        <w:widowControl/>
        <w:autoSpaceDE w:val="0"/>
        <w:autoSpaceDN w:val="0"/>
        <w:adjustRightInd w:val="0"/>
        <w:spacing w:after="200"/>
        <w:ind w:firstLine="720"/>
        <w:rPr>
          <w:rFonts w:eastAsia="Calibri"/>
          <w:color w:val="000000"/>
          <w:szCs w:val="22"/>
        </w:rPr>
      </w:pPr>
      <w:r>
        <w:rPr>
          <w:rFonts w:eastAsia="Calibri"/>
          <w:color w:val="000000"/>
          <w:szCs w:val="22"/>
        </w:rPr>
        <w:t xml:space="preserve">Interested parties may file comments on the Petition on or before </w:t>
      </w:r>
      <w:r>
        <w:rPr>
          <w:rFonts w:eastAsia="Calibri"/>
          <w:b/>
          <w:color w:val="000000"/>
          <w:szCs w:val="22"/>
        </w:rPr>
        <w:t>August 19</w:t>
      </w:r>
      <w:r w:rsidRPr="00EB46B4">
        <w:rPr>
          <w:rFonts w:eastAsia="Calibri"/>
          <w:b/>
          <w:color w:val="000000"/>
          <w:szCs w:val="22"/>
        </w:rPr>
        <w:t>, 20</w:t>
      </w:r>
      <w:r>
        <w:rPr>
          <w:rFonts w:eastAsia="Calibri"/>
          <w:b/>
          <w:color w:val="000000"/>
          <w:szCs w:val="22"/>
        </w:rPr>
        <w:t>20</w:t>
      </w:r>
      <w:r>
        <w:rPr>
          <w:rFonts w:eastAsia="Calibri"/>
          <w:color w:val="000000"/>
          <w:szCs w:val="22"/>
        </w:rPr>
        <w:t xml:space="preserve"> and reply </w:t>
      </w:r>
      <w:r w:rsidRPr="00B61403">
        <w:rPr>
          <w:szCs w:val="22"/>
        </w:rPr>
        <w:t>comments</w:t>
      </w:r>
      <w:r>
        <w:rPr>
          <w:rFonts w:eastAsia="Calibri"/>
          <w:color w:val="000000"/>
          <w:szCs w:val="22"/>
        </w:rPr>
        <w:t xml:space="preserve"> on or before </w:t>
      </w:r>
      <w:r>
        <w:rPr>
          <w:rFonts w:eastAsia="Calibri"/>
          <w:b/>
          <w:bCs/>
          <w:color w:val="000000"/>
          <w:szCs w:val="22"/>
        </w:rPr>
        <w:t>September 3</w:t>
      </w:r>
      <w:r>
        <w:rPr>
          <w:rFonts w:eastAsia="Calibri"/>
          <w:b/>
          <w:color w:val="000000"/>
          <w:szCs w:val="22"/>
        </w:rPr>
        <w:t>, 2020</w:t>
      </w:r>
      <w:r>
        <w:rPr>
          <w:rFonts w:eastAsia="Calibri"/>
          <w:color w:val="000000"/>
          <w:szCs w:val="22"/>
        </w:rPr>
        <w:t xml:space="preserve">.  All filings must </w:t>
      </w:r>
      <w:r w:rsidRPr="00443249">
        <w:rPr>
          <w:rFonts w:eastAsia="Calibri"/>
          <w:color w:val="000000"/>
          <w:szCs w:val="22"/>
        </w:rPr>
        <w:t xml:space="preserve">reference </w:t>
      </w:r>
      <w:r w:rsidRPr="0095457F">
        <w:rPr>
          <w:rFonts w:eastAsia="Calibri"/>
          <w:b/>
          <w:szCs w:val="22"/>
        </w:rPr>
        <w:t xml:space="preserve">WC </w:t>
      </w:r>
      <w:r w:rsidRPr="004C4552">
        <w:rPr>
          <w:rFonts w:eastAsia="Calibri"/>
          <w:b/>
          <w:szCs w:val="22"/>
        </w:rPr>
        <w:t xml:space="preserve">Docket No. </w:t>
      </w:r>
      <w:r>
        <w:rPr>
          <w:rFonts w:eastAsia="Calibri"/>
          <w:b/>
          <w:szCs w:val="22"/>
        </w:rPr>
        <w:t>17</w:t>
      </w:r>
      <w:r w:rsidRPr="004C4552">
        <w:rPr>
          <w:rFonts w:eastAsia="Calibri"/>
          <w:b/>
          <w:szCs w:val="22"/>
        </w:rPr>
        <w:t>-</w:t>
      </w:r>
      <w:r>
        <w:rPr>
          <w:rFonts w:eastAsia="Calibri"/>
          <w:b/>
          <w:szCs w:val="22"/>
        </w:rPr>
        <w:t>84</w:t>
      </w:r>
      <w:r w:rsidRPr="00443249">
        <w:rPr>
          <w:rFonts w:eastAsia="Calibri"/>
          <w:szCs w:val="22"/>
        </w:rPr>
        <w:t xml:space="preserve"> </w:t>
      </w:r>
      <w:r>
        <w:rPr>
          <w:rFonts w:eastAsia="Calibri"/>
          <w:szCs w:val="22"/>
        </w:rPr>
        <w:t xml:space="preserve">and </w:t>
      </w:r>
      <w:r w:rsidRPr="00443249">
        <w:rPr>
          <w:rFonts w:eastAsia="Calibri"/>
          <w:szCs w:val="22"/>
        </w:rPr>
        <w:t>be addressed to the Commission’s Secretary, Office of the Secretary, Federal Communications Commission.</w:t>
      </w:r>
      <w:r>
        <w:rPr>
          <w:rFonts w:eastAsia="Calibri"/>
          <w:szCs w:val="22"/>
        </w:rPr>
        <w:t xml:space="preserve">  </w:t>
      </w:r>
      <w:r>
        <w:rPr>
          <w:rFonts w:eastAsia="Calibri"/>
          <w:bCs/>
          <w:szCs w:val="22"/>
        </w:rPr>
        <w:t xml:space="preserve">Comments </w:t>
      </w:r>
      <w:r w:rsidRPr="00443249">
        <w:rPr>
          <w:rFonts w:eastAsia="Calibri"/>
          <w:color w:val="000000"/>
          <w:szCs w:val="22"/>
        </w:rPr>
        <w:t>may be filed</w:t>
      </w:r>
      <w:r>
        <w:rPr>
          <w:rFonts w:eastAsia="Calibri"/>
          <w:color w:val="000000"/>
          <w:szCs w:val="22"/>
        </w:rPr>
        <w:t xml:space="preserve"> by paper or by</w:t>
      </w:r>
      <w:r w:rsidRPr="00443249">
        <w:rPr>
          <w:rFonts w:eastAsia="Calibri"/>
          <w:color w:val="000000"/>
          <w:szCs w:val="22"/>
        </w:rPr>
        <w:t xml:space="preserve"> using the Commission’s Electronic Comment Filing System (ECFS).</w:t>
      </w:r>
      <w:r>
        <w:rPr>
          <w:rStyle w:val="FootnoteReference"/>
          <w:rFonts w:eastAsia="Calibri"/>
          <w:szCs w:val="22"/>
        </w:rPr>
        <w:footnoteReference w:id="7"/>
      </w:r>
      <w:r w:rsidRPr="00443249">
        <w:rPr>
          <w:rFonts w:eastAsia="Calibri"/>
          <w:color w:val="000000"/>
          <w:szCs w:val="22"/>
        </w:rPr>
        <w:t xml:space="preserve">  </w:t>
      </w:r>
    </w:p>
    <w:p w:rsidR="00B15A93" w:rsidRPr="00416470" w:rsidP="00B15A93" w14:paraId="1BF672B7"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ECFS:  </w:t>
      </w:r>
      <w:hyperlink r:id="rId5" w:history="1">
        <w:r w:rsidRPr="00D15479">
          <w:rPr>
            <w:rStyle w:val="Hyperlink"/>
            <w:rFonts w:eastAsia="Calibri"/>
            <w:szCs w:val="22"/>
          </w:rPr>
          <w:t>http://fjallfoss.fcc.gov/ecfs2/</w:t>
        </w:r>
      </w:hyperlink>
      <w:r w:rsidRPr="00443249">
        <w:rPr>
          <w:rFonts w:eastAsia="Calibri"/>
          <w:szCs w:val="22"/>
        </w:rPr>
        <w:t>.</w:t>
      </w:r>
    </w:p>
    <w:p w:rsidR="00B15A93" w:rsidRPr="00416470" w:rsidP="00B15A93" w14:paraId="589BA049" w14:textId="77777777">
      <w:pPr>
        <w:widowControl/>
        <w:numPr>
          <w:ilvl w:val="0"/>
          <w:numId w:val="7"/>
        </w:numPr>
        <w:spacing w:after="120"/>
        <w:rPr>
          <w:rFonts w:eastAsia="Calibri"/>
          <w:szCs w:val="22"/>
        </w:rPr>
      </w:pPr>
      <w:r w:rsidRPr="00443249">
        <w:rPr>
          <w:rFonts w:eastAsia="Calibri"/>
          <w:szCs w:val="22"/>
        </w:rPr>
        <w:t>Paper Filers:  Parties who choose to file by paper must file an original and one copy of each filing.  Filings can be sent by commercial overnight courier or by first-class or overnight U.S. Postal Service mail.</w:t>
      </w:r>
      <w:r>
        <w:rPr>
          <w:rStyle w:val="FootnoteReference"/>
          <w:rFonts w:eastAsia="Calibri"/>
          <w:szCs w:val="22"/>
        </w:rPr>
        <w:footnoteReference w:id="8"/>
      </w:r>
    </w:p>
    <w:p w:rsidR="00B15A93" w:rsidRPr="00416470" w:rsidP="00B15A93" w14:paraId="6560E722" w14:textId="77777777">
      <w:pPr>
        <w:widowControl/>
        <w:numPr>
          <w:ilvl w:val="0"/>
          <w:numId w:val="8"/>
        </w:numPr>
        <w:spacing w:after="120"/>
        <w:ind w:left="1080"/>
        <w:rPr>
          <w:rFonts w:eastAsia="Calibri"/>
          <w:szCs w:val="22"/>
        </w:rPr>
      </w:pPr>
      <w:r w:rsidRPr="00443249">
        <w:rPr>
          <w:rFonts w:eastAsia="Calibri"/>
          <w:szCs w:val="22"/>
        </w:rPr>
        <w:t>Commercial overnight mail (other than U.S. Postal Service Express Mail and Priority Mail) must be sent to 9</w:t>
      </w:r>
      <w:r>
        <w:rPr>
          <w:rFonts w:eastAsia="Calibri"/>
          <w:szCs w:val="22"/>
        </w:rPr>
        <w:t>050 Junction Drive, Annapolis Junction, MD 20701.</w:t>
      </w:r>
    </w:p>
    <w:p w:rsidR="00B15A93" w:rsidRPr="00443249" w:rsidP="00B15A93" w14:paraId="519002A7" w14:textId="77777777">
      <w:pPr>
        <w:widowControl/>
        <w:numPr>
          <w:ilvl w:val="0"/>
          <w:numId w:val="8"/>
        </w:numPr>
        <w:spacing w:after="120"/>
        <w:ind w:left="1080"/>
        <w:rPr>
          <w:rFonts w:eastAsia="Calibri"/>
          <w:szCs w:val="22"/>
        </w:rPr>
      </w:pPr>
      <w:r w:rsidRPr="00443249">
        <w:rPr>
          <w:rFonts w:eastAsia="Calibri"/>
          <w:szCs w:val="22"/>
        </w:rPr>
        <w:t>U.S. Postal Service first-class, Express, and Priority mail must be addressed to 445 12th Street, SW, Washington DC 20554.</w:t>
      </w:r>
    </w:p>
    <w:p w:rsidR="00B15A93" w:rsidRPr="00443249" w:rsidP="00B15A93" w14:paraId="1CC2B1D0" w14:textId="77777777">
      <w:pPr>
        <w:ind w:firstLine="720"/>
        <w:contextualSpacing/>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disability </w:t>
      </w:r>
      <w:r w:rsidRPr="00443249">
        <w:rPr>
          <w:rFonts w:eastAsia="Calibri"/>
          <w:szCs w:val="22"/>
        </w:rPr>
        <w:t>es</w:t>
      </w:r>
    </w:p>
    <w:p w:rsidR="00B15A93" w:rsidRPr="00443249" w:rsidP="00B15A93" w14:paraId="742C36AD" w14:textId="77777777">
      <w:pPr>
        <w:spacing w:after="120"/>
        <w:rPr>
          <w:rFonts w:eastAsia="Calibri"/>
          <w:szCs w:val="22"/>
        </w:rPr>
      </w:pP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(tty).</w:t>
      </w:r>
    </w:p>
    <w:p w:rsidR="00B15A93" w:rsidRPr="00CE39B7" w:rsidP="00B15A93" w14:paraId="5F3A7AF0" w14:textId="77777777">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9"/>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w:t>
      </w:r>
      <w:r>
        <w:rPr>
          <w:rStyle w:val="FootnoteReference"/>
          <w:szCs w:val="22"/>
        </w:rPr>
        <w:footnoteReference w:id="10"/>
      </w:r>
      <w:r w:rsidRPr="00443249">
        <w:rPr>
          <w:szCs w:val="22"/>
        </w:rPr>
        <w:t xml:space="preserve">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.doc, .xml, .ppt, searchable .pdf).  Participants in this proceedi</w:t>
      </w:r>
      <w:bookmarkStart w:id="1" w:name="_GoBack"/>
      <w:bookmarkEnd w:id="1"/>
      <w:r w:rsidRPr="006147A5">
        <w:rPr>
          <w:szCs w:val="22"/>
        </w:rPr>
        <w:t xml:space="preserve">ng should familiarize themselves with the Commission’s </w:t>
      </w:r>
      <w:r w:rsidRPr="006147A5">
        <w:rPr>
          <w:i/>
          <w:iCs/>
          <w:szCs w:val="22"/>
        </w:rPr>
        <w:t xml:space="preserve">ex parte </w:t>
      </w:r>
      <w:r w:rsidRPr="006147A5">
        <w:rPr>
          <w:szCs w:val="22"/>
        </w:rPr>
        <w:t>rules.</w:t>
      </w:r>
    </w:p>
    <w:p w:rsidR="00B15A93" w:rsidRPr="00443249" w:rsidP="00B15A93" w14:paraId="618B3F33" w14:textId="77777777">
      <w:pPr>
        <w:ind w:firstLine="720"/>
        <w:contextualSpacing/>
        <w:rPr>
          <w:rFonts w:eastAsia="Calibri"/>
          <w:szCs w:val="22"/>
        </w:rPr>
      </w:pPr>
      <w:r w:rsidRPr="006147A5">
        <w:rPr>
          <w:rFonts w:eastAsia="Calibri"/>
          <w:szCs w:val="22"/>
        </w:rPr>
        <w:t xml:space="preserve">For further information, </w:t>
      </w:r>
      <w:r w:rsidRPr="00116983">
        <w:rPr>
          <w:rFonts w:eastAsia="Calibri"/>
          <w:szCs w:val="22"/>
        </w:rPr>
        <w:t xml:space="preserve">please contact </w:t>
      </w:r>
      <w:r>
        <w:rPr>
          <w:rFonts w:eastAsia="Calibri"/>
          <w:szCs w:val="22"/>
        </w:rPr>
        <w:t>Michael Ray</w:t>
      </w:r>
      <w:r w:rsidRPr="00116983">
        <w:rPr>
          <w:rFonts w:eastAsia="Calibri"/>
          <w:szCs w:val="22"/>
        </w:rPr>
        <w:t>, Competition Policy Division, Wireline Competition Bureau, at (202) 418-</w:t>
      </w:r>
      <w:r>
        <w:rPr>
          <w:rFonts w:eastAsia="Calibri"/>
          <w:szCs w:val="22"/>
        </w:rPr>
        <w:t>0357</w:t>
      </w:r>
      <w:r w:rsidRPr="00116983">
        <w:rPr>
          <w:rFonts w:eastAsia="Calibri"/>
          <w:szCs w:val="22"/>
        </w:rPr>
        <w:t xml:space="preserve"> or via e-mail a</w:t>
      </w:r>
      <w:r>
        <w:rPr>
          <w:rFonts w:eastAsia="Calibri"/>
          <w:szCs w:val="22"/>
        </w:rPr>
        <w:t>t Michael.Ray</w:t>
      </w:r>
      <w:r w:rsidRPr="00116983">
        <w:rPr>
          <w:rFonts w:eastAsia="Calibri"/>
          <w:szCs w:val="22"/>
        </w:rPr>
        <w:t>@</w:t>
      </w:r>
      <w:r w:rsidRPr="006147A5">
        <w:rPr>
          <w:rFonts w:eastAsia="Calibri"/>
          <w:szCs w:val="22"/>
        </w:rPr>
        <w:t>fcc.gov.</w:t>
      </w:r>
    </w:p>
    <w:p w:rsidR="00B15A93" w:rsidRPr="00443249" w:rsidP="00B15A93" w14:paraId="36046497" w14:textId="77777777">
      <w:pPr>
        <w:contextualSpacing/>
        <w:rPr>
          <w:rFonts w:eastAsia="Calibri"/>
          <w:szCs w:val="22"/>
        </w:rPr>
      </w:pPr>
    </w:p>
    <w:p w:rsidR="00B15A93" w:rsidRPr="00911C8F" w:rsidP="00B15A93" w14:paraId="6193BF42" w14:textId="77777777">
      <w:pPr>
        <w:contextualSpacing/>
        <w:jc w:val="center"/>
        <w:rPr>
          <w:szCs w:val="22"/>
        </w:rPr>
      </w:pPr>
      <w:r w:rsidRPr="00443249">
        <w:rPr>
          <w:rFonts w:eastAsia="Calibri"/>
          <w:b/>
          <w:szCs w:val="22"/>
        </w:rPr>
        <w:t>- FCC -</w:t>
      </w:r>
    </w:p>
    <w:p w:rsidR="00B15A93" w:rsidRPr="00930ECF" w:rsidP="00B15A93" w14:paraId="7C1D2EF9" w14:textId="77777777">
      <w:pPr>
        <w:rPr>
          <w:sz w:val="24"/>
        </w:rPr>
      </w:pPr>
    </w:p>
    <w:p w:rsidR="00F96F63" w:rsidRPr="00930ECF" w:rsidP="00F96F63" w14:paraId="397BABB4" w14:textId="77777777">
      <w:pPr>
        <w:rPr>
          <w:sz w:val="24"/>
        </w:rPr>
      </w:pPr>
    </w:p>
    <w:bookmarkEnd w:id="0"/>
    <w:p w:rsidR="00F96F63" w:rsidP="00F96F63" w14:paraId="5876EDCF" w14:textId="77777777">
      <w:pPr>
        <w:rPr>
          <w:sz w:val="24"/>
        </w:rPr>
      </w:pPr>
    </w:p>
    <w:p w:rsidR="00930ECF" w:rsidRPr="00930ECF" w:rsidP="00F96F63" w14:paraId="658DFABC"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FED8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B41A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777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87B7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2E9" w14:paraId="4B1EBABD" w14:textId="77777777">
      <w:r>
        <w:separator/>
      </w:r>
    </w:p>
  </w:footnote>
  <w:footnote w:type="continuationSeparator" w:id="1">
    <w:p w:rsidR="002B62E9" w14:paraId="08C6A6E1" w14:textId="77777777">
      <w:pPr>
        <w:rPr>
          <w:sz w:val="20"/>
        </w:rPr>
      </w:pPr>
      <w:r>
        <w:rPr>
          <w:sz w:val="20"/>
        </w:rPr>
        <w:t xml:space="preserve">(Continued from previous page)  </w:t>
      </w:r>
      <w:r>
        <w:rPr>
          <w:sz w:val="20"/>
        </w:rPr>
        <w:separator/>
      </w:r>
    </w:p>
  </w:footnote>
  <w:footnote w:type="continuationNotice" w:id="2">
    <w:p w:rsidR="002B62E9" w:rsidP="00910F12" w14:paraId="454EC52B" w14:textId="77777777">
      <w:pPr>
        <w:jc w:val="right"/>
        <w:rPr>
          <w:sz w:val="20"/>
        </w:rPr>
      </w:pPr>
      <w:r>
        <w:rPr>
          <w:sz w:val="20"/>
        </w:rPr>
        <w:t>(continued….)</w:t>
      </w:r>
    </w:p>
  </w:footnote>
  <w:footnote w:id="3">
    <w:p w:rsidR="00B15A93" w:rsidRPr="008855EC" w:rsidP="00B15A93" w14:paraId="06A00B29" w14:textId="77777777">
      <w:pPr>
        <w:pStyle w:val="FootnoteText"/>
        <w:rPr>
          <w:i/>
          <w:iCs/>
        </w:rPr>
      </w:pPr>
      <w:r>
        <w:rPr>
          <w:rStyle w:val="FootnoteReference"/>
        </w:rPr>
        <w:footnoteRef/>
      </w:r>
      <w:r>
        <w:t xml:space="preserve"> </w:t>
      </w:r>
      <w:r w:rsidRPr="008855EC">
        <w:rPr>
          <w:i/>
          <w:iCs/>
        </w:rPr>
        <w:t xml:space="preserve">Petition </w:t>
      </w:r>
      <w:r>
        <w:rPr>
          <w:i/>
          <w:iCs/>
        </w:rPr>
        <w:t>for Expedited Declaratory Ruling</w:t>
      </w:r>
      <w:r>
        <w:t xml:space="preserve"> </w:t>
      </w:r>
      <w:r w:rsidRPr="00CA7AF0">
        <w:t>(filed</w:t>
      </w:r>
      <w:r>
        <w:t xml:space="preserve"> July 16</w:t>
      </w:r>
      <w:r w:rsidRPr="00CA7AF0">
        <w:t>, 2020),</w:t>
      </w:r>
      <w:r>
        <w:t xml:space="preserve"> </w:t>
      </w:r>
      <w:hyperlink r:id="rId1" w:history="1">
        <w:r w:rsidRPr="00EA1CB0">
          <w:rPr>
            <w:rStyle w:val="Hyperlink"/>
          </w:rPr>
          <w:t>https://www.fcc.gov/ecfs/filing/107161552527661</w:t>
        </w:r>
      </w:hyperlink>
      <w:r>
        <w:t xml:space="preserve"> </w:t>
      </w:r>
      <w:r w:rsidRPr="00CA7AF0">
        <w:t>(Petition).</w:t>
      </w:r>
    </w:p>
  </w:footnote>
  <w:footnote w:id="4">
    <w:p w:rsidR="00B15A93" w:rsidP="00B15A93" w14:paraId="44D8CB62" w14:textId="77777777">
      <w:pPr>
        <w:pStyle w:val="FootnoteText"/>
      </w:pPr>
      <w:r>
        <w:rPr>
          <w:rStyle w:val="FootnoteReference"/>
        </w:rPr>
        <w:footnoteRef/>
      </w:r>
      <w:r>
        <w:t xml:space="preserve"> Petition at 9-27.</w:t>
      </w:r>
    </w:p>
  </w:footnote>
  <w:footnote w:id="5">
    <w:p w:rsidR="00B15A93" w:rsidRPr="002F4FC7" w:rsidP="00B15A93" w14:paraId="4BFF3DE0" w14:textId="77777777">
      <w:pPr>
        <w:pStyle w:val="FootnoteText"/>
      </w:pPr>
      <w:r>
        <w:rPr>
          <w:rStyle w:val="FootnoteReference"/>
        </w:rPr>
        <w:footnoteRef/>
      </w:r>
      <w:r>
        <w:t xml:space="preserve"> </w:t>
      </w:r>
      <w:r>
        <w:rPr>
          <w:i/>
          <w:iCs/>
        </w:rPr>
        <w:t>Id.</w:t>
      </w:r>
      <w:r>
        <w:t xml:space="preserve"> at 27-29.</w:t>
      </w:r>
    </w:p>
  </w:footnote>
  <w:footnote w:id="6">
    <w:p w:rsidR="00B15A93" w:rsidRPr="002F4FC7" w:rsidP="00B15A93" w14:paraId="19F59AF6" w14:textId="77777777">
      <w:pPr>
        <w:pStyle w:val="FootnoteText"/>
      </w:pPr>
      <w:r>
        <w:rPr>
          <w:rStyle w:val="FootnoteReference"/>
        </w:rPr>
        <w:footnoteRef/>
      </w:r>
      <w:r>
        <w:t xml:space="preserve"> </w:t>
      </w:r>
      <w:r>
        <w:rPr>
          <w:i/>
          <w:iCs/>
        </w:rPr>
        <w:t>Id</w:t>
      </w:r>
      <w:r>
        <w:t>. at 29-31.</w:t>
      </w:r>
    </w:p>
  </w:footnote>
  <w:footnote w:id="7">
    <w:p w:rsidR="00B15A93" w:rsidP="00B15A93" w14:paraId="7E468802"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r>
        <w:rPr>
          <w:rFonts w:eastAsia="Calibri"/>
          <w:color w:val="000000"/>
          <w:szCs w:val="22"/>
        </w:rPr>
        <w:t xml:space="preserve">  </w:t>
      </w:r>
    </w:p>
  </w:footnote>
  <w:footnote w:id="8">
    <w:p w:rsidR="00B15A93" w:rsidRPr="00891132" w:rsidP="00B15A93" w14:paraId="72DCC137" w14:textId="77777777">
      <w:pPr>
        <w:pStyle w:val="FootnoteText"/>
      </w:pPr>
      <w:r>
        <w:rPr>
          <w:rStyle w:val="FootnoteReference"/>
        </w:rPr>
        <w:footnoteRef/>
      </w:r>
      <w:r>
        <w:t xml:space="preserve"> In response to the COVID-19 pandemic, the Commission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Pr>
          <w:i/>
          <w:iCs/>
        </w:rPr>
        <w:t>FCC Announces Closure of FCC Headquarters Open Window and Change in Hand-Delivery Filing</w:t>
      </w:r>
      <w:r>
        <w:t xml:space="preserve">, Public Notice, DA 20-304 (rel. Mar. 19, 2020), </w:t>
      </w:r>
      <w:hyperlink r:id="rId2" w:history="1">
        <w:r>
          <w:rPr>
            <w:rStyle w:val="Hyperlink"/>
          </w:rPr>
          <w:t>https://www.fcc.gov/document/fcc-closes-headquarters-open-window-and-changes-hand-delivery-policy</w:t>
        </w:r>
      </w:hyperlink>
      <w:r>
        <w:t>.</w:t>
      </w:r>
    </w:p>
  </w:footnote>
  <w:footnote w:id="9">
    <w:p w:rsidR="00B15A93" w:rsidRPr="001B64A7" w:rsidP="00B15A93" w14:paraId="19ED4B00"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 w:id="10">
    <w:p w:rsidR="00B15A93" w:rsidP="00B15A93" w14:paraId="3F6307C1" w14:textId="77777777">
      <w:pPr>
        <w:pStyle w:val="FootnoteText"/>
      </w:pPr>
      <w:r>
        <w:rPr>
          <w:rStyle w:val="FootnoteReference"/>
        </w:rPr>
        <w:footnoteRef/>
      </w:r>
      <w:r>
        <w:t xml:space="preserve"> 47 CFR </w:t>
      </w:r>
      <w:r w:rsidRPr="001B64A7">
        <w:t>§</w:t>
      </w:r>
      <w:r>
        <w:t xml:space="preserve">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D2C799E" w14:textId="25520312">
    <w:pPr>
      <w:tabs>
        <w:tab w:val="center" w:pos="4680"/>
        <w:tab w:val="right" w:pos="9360"/>
      </w:tabs>
    </w:pPr>
    <w:r w:rsidRPr="009838BC">
      <w:rPr>
        <w:b/>
      </w:rPr>
      <w:tab/>
      <w:t>Federal Communications Commission</w:t>
    </w:r>
    <w:r w:rsidRPr="009838BC">
      <w:rPr>
        <w:b/>
      </w:rPr>
      <w:tab/>
    </w:r>
    <w:r w:rsidR="00B15A93">
      <w:rPr>
        <w:b/>
      </w:rPr>
      <w:t>DA 20-763</w:t>
    </w:r>
  </w:p>
  <w:p w:rsidR="009838BC" w:rsidRPr="00B15A93" w:rsidP="00B15A93" w14:paraId="17296765" w14:textId="564C8E8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98F2F6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ABDAF2E" w14:textId="77777777">
                <w:pPr>
                  <w:rPr>
                    <w:rFonts w:ascii="Arial" w:hAnsi="Arial"/>
                    <w:b/>
                  </w:rPr>
                </w:pPr>
                <w:r>
                  <w:rPr>
                    <w:rFonts w:ascii="Arial" w:hAnsi="Arial"/>
                    <w:b/>
                  </w:rPr>
                  <w:t>Federal Communications Commission</w:t>
                </w:r>
              </w:p>
              <w:p w:rsidR="009838BC" w:rsidP="009838BC" w14:paraId="79F631A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4DAD6F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5192E3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DEC850C" w14:textId="77777777">
                <w:pPr>
                  <w:spacing w:before="40"/>
                  <w:jc w:val="right"/>
                  <w:rPr>
                    <w:rFonts w:ascii="Arial" w:hAnsi="Arial"/>
                    <w:b/>
                    <w:sz w:val="16"/>
                  </w:rPr>
                </w:pPr>
                <w:r>
                  <w:rPr>
                    <w:rFonts w:ascii="Arial" w:hAnsi="Arial"/>
                    <w:b/>
                    <w:sz w:val="16"/>
                  </w:rPr>
                  <w:t>News Media Information 202 / 418-0500</w:t>
                </w:r>
              </w:p>
              <w:p w:rsidR="009838BC" w:rsidP="009838BC" w14:paraId="75B91A7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93A146F" w14:textId="77777777">
                <w:pPr>
                  <w:jc w:val="right"/>
                </w:pPr>
                <w:r>
                  <w:rPr>
                    <w:rFonts w:ascii="Arial" w:hAnsi="Arial"/>
                    <w:b/>
                    <w:sz w:val="16"/>
                  </w:rPr>
                  <w:t>TTY: 1-888-835-5322</w:t>
                </w:r>
              </w:p>
            </w:txbxContent>
          </v:textbox>
        </v:shape>
      </w:pict>
    </w:r>
  </w:p>
  <w:p w:rsidR="006F7393" w:rsidRPr="009838BC" w:rsidP="009838BC" w14:paraId="520F0A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93"/>
    <w:rsid w:val="000072CE"/>
    <w:rsid w:val="00013A8B"/>
    <w:rsid w:val="00021445"/>
    <w:rsid w:val="00036039"/>
    <w:rsid w:val="00037F90"/>
    <w:rsid w:val="000875BF"/>
    <w:rsid w:val="00096D8C"/>
    <w:rsid w:val="000C0B65"/>
    <w:rsid w:val="000E3D42"/>
    <w:rsid w:val="000E5884"/>
    <w:rsid w:val="00116983"/>
    <w:rsid w:val="00122BD5"/>
    <w:rsid w:val="001979D9"/>
    <w:rsid w:val="001B64A7"/>
    <w:rsid w:val="001D6BCF"/>
    <w:rsid w:val="001E01CA"/>
    <w:rsid w:val="001F56F1"/>
    <w:rsid w:val="002060D9"/>
    <w:rsid w:val="00226822"/>
    <w:rsid w:val="00260594"/>
    <w:rsid w:val="00285017"/>
    <w:rsid w:val="002A2D2E"/>
    <w:rsid w:val="002B62E9"/>
    <w:rsid w:val="002F4FC7"/>
    <w:rsid w:val="00343749"/>
    <w:rsid w:val="00357D50"/>
    <w:rsid w:val="003925DC"/>
    <w:rsid w:val="003B0550"/>
    <w:rsid w:val="003B694F"/>
    <w:rsid w:val="003F171C"/>
    <w:rsid w:val="00412FC5"/>
    <w:rsid w:val="00416470"/>
    <w:rsid w:val="00422276"/>
    <w:rsid w:val="004242F1"/>
    <w:rsid w:val="00443249"/>
    <w:rsid w:val="00445A00"/>
    <w:rsid w:val="00451B0F"/>
    <w:rsid w:val="0046125F"/>
    <w:rsid w:val="00487524"/>
    <w:rsid w:val="00496106"/>
    <w:rsid w:val="004C12D0"/>
    <w:rsid w:val="004C2EE3"/>
    <w:rsid w:val="004C4552"/>
    <w:rsid w:val="004E4A22"/>
    <w:rsid w:val="00511968"/>
    <w:rsid w:val="0055614C"/>
    <w:rsid w:val="00607BA5"/>
    <w:rsid w:val="006147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855EC"/>
    <w:rsid w:val="00891132"/>
    <w:rsid w:val="008C22FD"/>
    <w:rsid w:val="00910F12"/>
    <w:rsid w:val="00911C8F"/>
    <w:rsid w:val="00926503"/>
    <w:rsid w:val="00930ECF"/>
    <w:rsid w:val="0095457F"/>
    <w:rsid w:val="009838BC"/>
    <w:rsid w:val="00A14B49"/>
    <w:rsid w:val="00A45F4F"/>
    <w:rsid w:val="00A600A9"/>
    <w:rsid w:val="00A866AC"/>
    <w:rsid w:val="00AA55B7"/>
    <w:rsid w:val="00AA5B9E"/>
    <w:rsid w:val="00AB2407"/>
    <w:rsid w:val="00AB53DF"/>
    <w:rsid w:val="00B07E5C"/>
    <w:rsid w:val="00B15A93"/>
    <w:rsid w:val="00B20363"/>
    <w:rsid w:val="00B326E3"/>
    <w:rsid w:val="00B61403"/>
    <w:rsid w:val="00B811F7"/>
    <w:rsid w:val="00BA5DC6"/>
    <w:rsid w:val="00BA6196"/>
    <w:rsid w:val="00BA725E"/>
    <w:rsid w:val="00BC6D8C"/>
    <w:rsid w:val="00C16AF2"/>
    <w:rsid w:val="00C34006"/>
    <w:rsid w:val="00C426B1"/>
    <w:rsid w:val="00C82B6B"/>
    <w:rsid w:val="00C90D6A"/>
    <w:rsid w:val="00CA7AF0"/>
    <w:rsid w:val="00CC72B6"/>
    <w:rsid w:val="00CE39B7"/>
    <w:rsid w:val="00D0218D"/>
    <w:rsid w:val="00D15479"/>
    <w:rsid w:val="00D216CD"/>
    <w:rsid w:val="00DA2529"/>
    <w:rsid w:val="00DB130A"/>
    <w:rsid w:val="00DC10A1"/>
    <w:rsid w:val="00DC655F"/>
    <w:rsid w:val="00DD7EBD"/>
    <w:rsid w:val="00DF62B6"/>
    <w:rsid w:val="00E07225"/>
    <w:rsid w:val="00E155B7"/>
    <w:rsid w:val="00E5409F"/>
    <w:rsid w:val="00EA1CB0"/>
    <w:rsid w:val="00EB46B4"/>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58155E-1BE8-4E29-90D7-8CCF3FB7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9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w:link w:val="FootnoteText"/>
    <w:semiHidden/>
    <w:rsid w:val="00B1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7161552527661" TargetMode="External" /><Relationship Id="rId2"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