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B6BAF" w:rsidP="000B6BAF" w14:paraId="63489937" w14:textId="77777777">
      <w:pPr>
        <w:jc w:val="center"/>
        <w:rPr>
          <w:b/>
        </w:rPr>
      </w:pPr>
      <w:r>
        <w:rPr>
          <w:b/>
        </w:rPr>
        <w:t>Before the</w:t>
      </w:r>
    </w:p>
    <w:p w:rsidR="000B6BAF" w:rsidP="000B6BAF" w14:paraId="732ACF49" w14:textId="77777777">
      <w:pPr>
        <w:jc w:val="center"/>
        <w:rPr>
          <w:b/>
        </w:rPr>
      </w:pPr>
      <w:r>
        <w:rPr>
          <w:b/>
        </w:rPr>
        <w:t>Federal Communications Commission</w:t>
      </w:r>
    </w:p>
    <w:p w:rsidR="000B6BAF" w:rsidP="000B6BAF" w14:paraId="4C5F0A78" w14:textId="77777777">
      <w:pPr>
        <w:jc w:val="center"/>
        <w:rPr>
          <w:b/>
        </w:rPr>
      </w:pPr>
      <w:r>
        <w:rPr>
          <w:b/>
        </w:rPr>
        <w:t>Washington, D.C. 20554</w:t>
      </w:r>
    </w:p>
    <w:p w:rsidR="000B6BAF" w:rsidP="000B6BAF" w14:paraId="75218D9C" w14:textId="77777777"/>
    <w:p w:rsidR="000B6BAF" w:rsidP="000B6BAF" w14:paraId="234288B8" w14:textId="77777777"/>
    <w:tbl>
      <w:tblPr>
        <w:tblW w:w="9744" w:type="dxa"/>
        <w:tblLayout w:type="fixed"/>
        <w:tblLook w:val="0000"/>
      </w:tblPr>
      <w:tblGrid>
        <w:gridCol w:w="4745"/>
        <w:gridCol w:w="727"/>
        <w:gridCol w:w="4272"/>
      </w:tblGrid>
      <w:tr w14:paraId="01890DE3" w14:textId="77777777" w:rsidTr="00ED7A9A">
        <w:tblPrEx>
          <w:tblW w:w="9744" w:type="dxa"/>
          <w:tblLayout w:type="fixed"/>
          <w:tblLook w:val="0000"/>
        </w:tblPrEx>
        <w:trPr>
          <w:trHeight w:val="2177"/>
        </w:trPr>
        <w:tc>
          <w:tcPr>
            <w:tcW w:w="4745" w:type="dxa"/>
          </w:tcPr>
          <w:p w:rsidR="000B6BAF" w:rsidP="00ED7A9A" w14:paraId="4A83B5D0" w14:textId="423B370F">
            <w:pPr>
              <w:ind w:right="-18"/>
            </w:pPr>
            <w:r>
              <w:t>In re</w:t>
            </w:r>
          </w:p>
          <w:p w:rsidR="000B6BAF" w:rsidP="00ED7A9A" w14:paraId="39E2C487" w14:textId="77777777">
            <w:pPr>
              <w:ind w:right="-18"/>
            </w:pPr>
          </w:p>
          <w:p w:rsidR="000B6BAF" w:rsidP="00ED7A9A" w14:paraId="4B9A5253" w14:textId="77777777">
            <w:pPr>
              <w:ind w:right="-18"/>
            </w:pPr>
            <w:r>
              <w:t>Avangrid Networks, Inc.</w:t>
            </w:r>
          </w:p>
          <w:p w:rsidR="000B6BAF" w:rsidP="00ED7A9A" w14:paraId="7A55077A" w14:textId="77777777">
            <w:pPr>
              <w:ind w:right="-18"/>
            </w:pPr>
          </w:p>
          <w:p w:rsidR="00C55017" w:rsidP="00C55017" w14:paraId="785D8AA4" w14:textId="77777777">
            <w:pPr>
              <w:ind w:right="-18"/>
            </w:pPr>
            <w:r>
              <w:t>Request for Waiver of Upfront Payment Deadline for Auction 105</w:t>
            </w:r>
          </w:p>
          <w:p w:rsidR="000B6BAF" w:rsidP="00ED7A9A" w14:paraId="22F6B1A4" w14:textId="77777777">
            <w:pPr>
              <w:ind w:right="-18"/>
            </w:pPr>
          </w:p>
          <w:p w:rsidR="000B6BAF" w:rsidP="00C55017" w14:paraId="24EEBE56" w14:textId="77777777">
            <w:pPr>
              <w:ind w:right="-18"/>
            </w:pPr>
          </w:p>
        </w:tc>
        <w:tc>
          <w:tcPr>
            <w:tcW w:w="727" w:type="dxa"/>
          </w:tcPr>
          <w:p w:rsidR="000B6BAF" w:rsidP="00ED7A9A" w14:paraId="7608AA0D" w14:textId="77777777">
            <w:pPr>
              <w:rPr>
                <w:b/>
              </w:rPr>
            </w:pPr>
            <w:r>
              <w:rPr>
                <w:b/>
              </w:rPr>
              <w:t>)</w:t>
            </w:r>
          </w:p>
          <w:p w:rsidR="000B6BAF" w:rsidP="00ED7A9A" w14:paraId="4570B97F" w14:textId="77777777">
            <w:pPr>
              <w:rPr>
                <w:b/>
              </w:rPr>
            </w:pPr>
            <w:r>
              <w:rPr>
                <w:b/>
              </w:rPr>
              <w:t>)</w:t>
            </w:r>
          </w:p>
          <w:p w:rsidR="000B6BAF" w:rsidP="00ED7A9A" w14:paraId="108911E2" w14:textId="77777777">
            <w:pPr>
              <w:rPr>
                <w:b/>
              </w:rPr>
            </w:pPr>
            <w:r>
              <w:rPr>
                <w:b/>
              </w:rPr>
              <w:t>)</w:t>
            </w:r>
          </w:p>
          <w:p w:rsidR="000B6BAF" w:rsidP="00ED7A9A" w14:paraId="757FCF49" w14:textId="77777777">
            <w:pPr>
              <w:rPr>
                <w:b/>
              </w:rPr>
            </w:pPr>
            <w:r>
              <w:rPr>
                <w:b/>
              </w:rPr>
              <w:t>)</w:t>
            </w:r>
          </w:p>
          <w:p w:rsidR="000B6BAF" w:rsidP="00ED7A9A" w14:paraId="43400899" w14:textId="77777777">
            <w:pPr>
              <w:rPr>
                <w:b/>
              </w:rPr>
            </w:pPr>
            <w:r>
              <w:rPr>
                <w:b/>
              </w:rPr>
              <w:t>)</w:t>
            </w:r>
          </w:p>
          <w:p w:rsidR="000B6BAF" w:rsidP="00ED7A9A" w14:paraId="0A96B0C6" w14:textId="77777777">
            <w:pPr>
              <w:rPr>
                <w:b/>
              </w:rPr>
            </w:pPr>
            <w:r>
              <w:rPr>
                <w:b/>
              </w:rPr>
              <w:t>)</w:t>
            </w:r>
          </w:p>
          <w:p w:rsidR="000B6BAF" w:rsidP="00ED7A9A" w14:paraId="242E76B4" w14:textId="0438829F">
            <w:pPr>
              <w:rPr>
                <w:b/>
              </w:rPr>
            </w:pPr>
            <w:r>
              <w:rPr>
                <w:b/>
              </w:rPr>
              <w:t>)</w:t>
            </w:r>
          </w:p>
        </w:tc>
        <w:tc>
          <w:tcPr>
            <w:tcW w:w="4272" w:type="dxa"/>
          </w:tcPr>
          <w:p w:rsidR="000B6BAF" w:rsidP="00ED7A9A" w14:paraId="258CAC5C" w14:textId="77777777"/>
          <w:p w:rsidR="000B6BAF" w:rsidP="00ED7A9A" w14:paraId="20BD1E84" w14:textId="77777777"/>
          <w:p w:rsidR="000B6BAF" w:rsidP="00ED7A9A" w14:paraId="1248604F" w14:textId="77777777"/>
          <w:p w:rsidR="000B6BAF" w:rsidP="00ED7A9A" w14:paraId="7DA36C92" w14:textId="77777777"/>
        </w:tc>
      </w:tr>
    </w:tbl>
    <w:p w:rsidR="000B6BAF" w:rsidP="000B6BAF" w14:paraId="01E65FDC" w14:textId="77777777">
      <w:pPr>
        <w:spacing w:before="120"/>
        <w:jc w:val="center"/>
        <w:rPr>
          <w:b/>
        </w:rPr>
      </w:pPr>
      <w:r>
        <w:rPr>
          <w:b/>
        </w:rPr>
        <w:t>ORDER</w:t>
      </w:r>
    </w:p>
    <w:p w:rsidR="000B6BAF" w:rsidP="000B6BAF" w14:paraId="7DF83CB5" w14:textId="77777777"/>
    <w:p w:rsidR="000B6BAF" w:rsidP="000B6BAF" w14:paraId="373DE386" w14:textId="3F08CC50">
      <w:pPr>
        <w:tabs>
          <w:tab w:val="left" w:pos="5760"/>
        </w:tabs>
        <w:jc w:val="both"/>
        <w:rPr>
          <w:b/>
        </w:rPr>
      </w:pPr>
      <w:r>
        <w:rPr>
          <w:b/>
        </w:rPr>
        <w:t xml:space="preserve">Adopted:  </w:t>
      </w:r>
      <w:r w:rsidR="00C55017">
        <w:rPr>
          <w:b/>
        </w:rPr>
        <w:t xml:space="preserve">July </w:t>
      </w:r>
      <w:r w:rsidR="00630211">
        <w:rPr>
          <w:b/>
        </w:rPr>
        <w:t>2</w:t>
      </w:r>
      <w:r w:rsidR="00735875">
        <w:rPr>
          <w:b/>
        </w:rPr>
        <w:t>3</w:t>
      </w:r>
      <w:r>
        <w:rPr>
          <w:b/>
        </w:rPr>
        <w:t>, 2020</w:t>
      </w:r>
      <w:r>
        <w:rPr>
          <w:b/>
        </w:rPr>
        <w:tab/>
      </w:r>
      <w:r w:rsidR="00630211">
        <w:rPr>
          <w:b/>
        </w:rPr>
        <w:tab/>
      </w:r>
      <w:r>
        <w:rPr>
          <w:b/>
        </w:rPr>
        <w:t xml:space="preserve">Released:  </w:t>
      </w:r>
      <w:r w:rsidR="00C55017">
        <w:rPr>
          <w:b/>
        </w:rPr>
        <w:t>July</w:t>
      </w:r>
      <w:r w:rsidR="00630211">
        <w:rPr>
          <w:b/>
        </w:rPr>
        <w:t xml:space="preserve"> 2</w:t>
      </w:r>
      <w:r w:rsidR="00F5318B">
        <w:rPr>
          <w:b/>
        </w:rPr>
        <w:t>3</w:t>
      </w:r>
      <w:r>
        <w:rPr>
          <w:b/>
        </w:rPr>
        <w:t>, 2020</w:t>
      </w:r>
    </w:p>
    <w:p w:rsidR="000B6BAF" w:rsidP="000B6BAF" w14:paraId="5C4E6F42" w14:textId="77777777">
      <w:pPr>
        <w:tabs>
          <w:tab w:val="left" w:pos="5760"/>
        </w:tabs>
        <w:rPr>
          <w:b/>
        </w:rPr>
      </w:pPr>
    </w:p>
    <w:p w:rsidR="000B6BAF" w:rsidP="000B6BAF" w14:paraId="480F202D" w14:textId="77777777">
      <w:pPr>
        <w:tabs>
          <w:tab w:val="left" w:pos="5760"/>
        </w:tabs>
        <w:ind w:left="1350" w:hanging="1350"/>
        <w:rPr>
          <w:spacing w:val="-2"/>
          <w:szCs w:val="22"/>
        </w:rPr>
      </w:pPr>
      <w:r>
        <w:rPr>
          <w:szCs w:val="22"/>
        </w:rPr>
        <w:t>By the Chief, Auctions Division, Office of Economics and Analytics</w:t>
      </w:r>
    </w:p>
    <w:p w:rsidR="000B6BAF" w:rsidP="000B6BAF" w14:paraId="07523917" w14:textId="77777777">
      <w:pPr>
        <w:tabs>
          <w:tab w:val="left" w:pos="5760"/>
        </w:tabs>
        <w:rPr>
          <w:b/>
          <w:spacing w:val="-2"/>
          <w:szCs w:val="22"/>
        </w:rPr>
      </w:pPr>
    </w:p>
    <w:p w:rsidR="000B6BAF" w:rsidP="000B6BAF" w14:paraId="7864D98E" w14:textId="77777777">
      <w:pPr>
        <w:pStyle w:val="Heading1"/>
        <w:widowControl/>
        <w:rPr>
          <w:b w:val="0"/>
          <w:szCs w:val="22"/>
        </w:rPr>
      </w:pPr>
      <w:r>
        <w:t>INTRODUCTION</w:t>
      </w:r>
      <w:r>
        <w:rPr>
          <w:b w:val="0"/>
          <w:szCs w:val="22"/>
        </w:rPr>
        <w:tab/>
      </w:r>
    </w:p>
    <w:p w:rsidR="000B6BAF" w:rsidP="000B6BAF" w14:paraId="4FFB1140" w14:textId="4C67BE74">
      <w:pPr>
        <w:pStyle w:val="ParaNum"/>
      </w:pPr>
      <w:r>
        <w:t xml:space="preserve">In this Order, we deny </w:t>
      </w:r>
      <w:r w:rsidR="00504439">
        <w:t xml:space="preserve">a request from </w:t>
      </w:r>
      <w:r>
        <w:t>Avangrid Networks, Inc</w:t>
      </w:r>
      <w:r w:rsidR="00504439">
        <w:t xml:space="preserve">. asking </w:t>
      </w:r>
      <w:r w:rsidR="00C55017">
        <w:t xml:space="preserve">that the Commission treat as timely an </w:t>
      </w:r>
      <w:r>
        <w:t>upfront payment for Auction 105</w:t>
      </w:r>
      <w:r w:rsidR="00C55017">
        <w:t xml:space="preserve"> </w:t>
      </w:r>
      <w:r w:rsidR="00BE475C">
        <w:t>that</w:t>
      </w:r>
      <w:r w:rsidR="00C55017">
        <w:t xml:space="preserve"> was submitted</w:t>
      </w:r>
      <w:r>
        <w:t xml:space="preserve"> after the deadline for doing so.</w:t>
      </w:r>
      <w:r>
        <w:rPr>
          <w:rStyle w:val="FootnoteReference"/>
          <w:szCs w:val="22"/>
        </w:rPr>
        <w:footnoteReference w:id="3"/>
      </w:r>
      <w:r>
        <w:t xml:space="preserve">  For the reasons set forth below, we deny</w:t>
      </w:r>
      <w:r w:rsidR="0041227A">
        <w:t xml:space="preserve"> Avangrid</w:t>
      </w:r>
      <w:r>
        <w:t>’s request for a waiver of the upfront payment deadline.</w:t>
      </w:r>
    </w:p>
    <w:p w:rsidR="000B6BAF" w:rsidP="000B6BAF" w14:paraId="6DD1970B" w14:textId="77777777">
      <w:pPr>
        <w:pStyle w:val="Heading1"/>
        <w:widowControl/>
        <w:rPr>
          <w:b w:val="0"/>
          <w:szCs w:val="22"/>
        </w:rPr>
      </w:pPr>
      <w:r>
        <w:t>BACKGROUND</w:t>
      </w:r>
      <w:r>
        <w:rPr>
          <w:b w:val="0"/>
          <w:szCs w:val="22"/>
        </w:rPr>
        <w:t xml:space="preserve"> </w:t>
      </w:r>
    </w:p>
    <w:p w:rsidR="00C55017" w:rsidRPr="00C55017" w:rsidP="001E107E" w14:paraId="008462EE" w14:textId="39FC584F">
      <w:pPr>
        <w:pStyle w:val="ParaNum"/>
      </w:pPr>
      <w:r>
        <w:t>Avangrid</w:t>
      </w:r>
      <w:r w:rsidRPr="00D5275E">
        <w:t xml:space="preserve"> </w:t>
      </w:r>
      <w:r>
        <w:t>Networks, Inc.</w:t>
      </w:r>
      <w:r>
        <w:t xml:space="preserve">’s </w:t>
      </w:r>
      <w:r>
        <w:t xml:space="preserve">(Avangrid) </w:t>
      </w:r>
      <w:r>
        <w:t>request arises out of its efforts to participate in Auction</w:t>
      </w:r>
      <w:r w:rsidR="00735875">
        <w:t> </w:t>
      </w:r>
      <w:r>
        <w:t xml:space="preserve">105, </w:t>
      </w:r>
      <w:r w:rsidRPr="00C55017">
        <w:t xml:space="preserve">an auction of Priority Access Licenses in the Citizens Broadband Radio Service in the 3550-3650 MHz band, for which bidding is scheduled to start on July 23, 2020.  </w:t>
      </w:r>
    </w:p>
    <w:p w:rsidR="00C55017" w:rsidRPr="00B96BFD" w:rsidP="00630211" w14:paraId="4802F62D" w14:textId="796DF5AF">
      <w:pPr>
        <w:pStyle w:val="ParaNum"/>
        <w:widowControl/>
        <w:ind w:left="-86"/>
      </w:pPr>
      <w:r>
        <w:t>The Commission’s competitive bidding rules provide that i</w:t>
      </w:r>
      <w:r w:rsidRPr="00374269">
        <w:t xml:space="preserve">n order to be </w:t>
      </w:r>
      <w:r w:rsidR="00E9199B">
        <w:t>qualified</w:t>
      </w:r>
      <w:r w:rsidRPr="00374269">
        <w:t xml:space="preserve"> to bid</w:t>
      </w:r>
      <w:r>
        <w:t xml:space="preserve"> in a spectrum auction</w:t>
      </w:r>
      <w:r w:rsidRPr="00374269">
        <w:t xml:space="preserve">, an applicant must </w:t>
      </w:r>
      <w:r w:rsidR="00692781">
        <w:t xml:space="preserve">have on file a </w:t>
      </w:r>
      <w:r w:rsidRPr="00374269">
        <w:t>timely submit</w:t>
      </w:r>
      <w:r w:rsidR="00692781">
        <w:t>ted</w:t>
      </w:r>
      <w:r w:rsidRPr="00374269">
        <w:t xml:space="preserve"> </w:t>
      </w:r>
      <w:r w:rsidR="00692781">
        <w:t xml:space="preserve">and complete </w:t>
      </w:r>
      <w:r w:rsidRPr="00374269">
        <w:t>short-form application (FCC Form 175), together with any appropriate upfront payment set forth by Public Notice</w:t>
      </w:r>
      <w:r w:rsidRPr="00C55017">
        <w:rPr>
          <w:szCs w:val="22"/>
        </w:rPr>
        <w:t>.</w:t>
      </w:r>
      <w:r>
        <w:rPr>
          <w:rStyle w:val="FootnoteReference"/>
          <w:szCs w:val="22"/>
        </w:rPr>
        <w:footnoteReference w:id="4"/>
      </w:r>
      <w:r w:rsidRPr="00C55017">
        <w:rPr>
          <w:szCs w:val="22"/>
        </w:rPr>
        <w:t xml:space="preserve">  </w:t>
      </w:r>
      <w:r>
        <w:t>In a Public Notice released on March 25, 2020, the Office of Economics and Analytics and the Wireless Telecommunications Bureau established  a deadline of 6:00 p.m. ET on June 19, 2020, for submission of upfront payments for applicants seeking to participate in Auction 105.</w:t>
      </w:r>
      <w:r>
        <w:rPr>
          <w:rStyle w:val="FootnoteReference"/>
        </w:rPr>
        <w:footnoteReference w:id="5"/>
      </w:r>
      <w:r>
        <w:t xml:space="preserve">  Such payments were required to be made via wire transfer to the Commission’s account at the U.S. Treasury.</w:t>
      </w:r>
      <w:r>
        <w:rPr>
          <w:rStyle w:val="FootnoteReference"/>
        </w:rPr>
        <w:footnoteReference w:id="6"/>
      </w:r>
      <w:r>
        <w:t xml:space="preserve">  Each applicant was also </w:t>
      </w:r>
      <w:r>
        <w:t xml:space="preserve">required to fax an </w:t>
      </w:r>
      <w:r w:rsidRPr="00C55017">
        <w:rPr>
          <w:szCs w:val="22"/>
        </w:rPr>
        <w:t>FCC Remittance Advice Form (FCC Form 159) to the Commission by the upfront deadline to accompany its upfront payment.</w:t>
      </w:r>
      <w:r>
        <w:rPr>
          <w:rStyle w:val="FootnoteReference"/>
          <w:szCs w:val="22"/>
        </w:rPr>
        <w:footnoteReference w:id="7"/>
      </w:r>
    </w:p>
    <w:p w:rsidR="00B96BFD" w:rsidRPr="00B96BFD" w:rsidP="001E107E" w14:paraId="67512F3E" w14:textId="599654F8">
      <w:pPr>
        <w:pStyle w:val="ParaNum"/>
        <w:rPr>
          <w:szCs w:val="22"/>
        </w:rPr>
      </w:pPr>
      <w:r>
        <w:t>In establishing the procedures for Auction 105, the Commission emphasized that each applicant was “responsible for obtaining confirmation from its financial institution that its wire transfer to the U.S. Treasury was successful and from Commission staff that the upfront payment was timely received and that it was deposited into the proper account.”</w:t>
      </w:r>
      <w:r>
        <w:rPr>
          <w:rStyle w:val="FootnoteReference"/>
        </w:rPr>
        <w:footnoteReference w:id="8"/>
      </w:r>
      <w:r>
        <w:t xml:space="preserve">  </w:t>
      </w:r>
      <w:r w:rsidRPr="00B96BFD">
        <w:rPr>
          <w:szCs w:val="22"/>
        </w:rPr>
        <w:t>The Commission also cautioned auction applicants regarding the importance of planning ahead to account for last-minute problems; in particular, Auction 105 applicants were warned to avoid untimely payments by discussing wire transfer arrangements with their bank well in advance of the deadline and to leave sufficient time to avoid any problems.</w:t>
      </w:r>
      <w:r>
        <w:rPr>
          <w:rStyle w:val="FootnoteReference"/>
          <w:szCs w:val="22"/>
        </w:rPr>
        <w:footnoteReference w:id="9"/>
      </w:r>
      <w:r w:rsidRPr="00B96BFD">
        <w:rPr>
          <w:szCs w:val="22"/>
        </w:rPr>
        <w:t xml:space="preserve">  </w:t>
      </w:r>
      <w:r>
        <w:t>Moreover, the Commission warned applicants that failure to submit a timely upfront payment “will result in dismissal of the short-form application and disqualification from participation in the auction.”</w:t>
      </w:r>
      <w:r>
        <w:rPr>
          <w:rStyle w:val="FootnoteReference"/>
        </w:rPr>
        <w:footnoteReference w:id="10"/>
      </w:r>
      <w:r>
        <w:t xml:space="preserve">  </w:t>
      </w:r>
    </w:p>
    <w:p w:rsidR="00323F88" w:rsidRPr="00781915" w:rsidP="00323F88" w14:paraId="77438B72" w14:textId="44890E33">
      <w:pPr>
        <w:pStyle w:val="ParaNum"/>
        <w:rPr>
          <w:szCs w:val="22"/>
        </w:rPr>
      </w:pPr>
      <w:r>
        <w:t>Avangrid</w:t>
      </w:r>
      <w:r w:rsidRPr="00D5275E" w:rsidR="000B6BAF">
        <w:t xml:space="preserve"> timely filed a short-form application </w:t>
      </w:r>
      <w:r w:rsidR="000B6BAF">
        <w:t>(</w:t>
      </w:r>
      <w:r w:rsidRPr="00D5275E" w:rsidR="000B6BAF">
        <w:t xml:space="preserve">Form 175) to participate in Auction </w:t>
      </w:r>
      <w:r w:rsidR="000B6BAF">
        <w:t xml:space="preserve">105.  </w:t>
      </w:r>
      <w:r>
        <w:t xml:space="preserve">However, </w:t>
      </w:r>
      <w:r w:rsidR="006D3291">
        <w:t>Avangrid</w:t>
      </w:r>
      <w:r>
        <w:t xml:space="preserve"> did not make an upfront payment by the June 19</w:t>
      </w:r>
      <w:r w:rsidRPr="006F3DAD">
        <w:rPr>
          <w:vertAlign w:val="superscript"/>
        </w:rPr>
        <w:t>th</w:t>
      </w:r>
      <w:r>
        <w:t xml:space="preserve"> deadline; instead, its payment was received in the Commission’s account </w:t>
      </w:r>
      <w:r w:rsidR="006D3291">
        <w:t xml:space="preserve">two </w:t>
      </w:r>
      <w:r>
        <w:t>business day</w:t>
      </w:r>
      <w:r w:rsidR="006D3291">
        <w:t>s later</w:t>
      </w:r>
      <w:r>
        <w:t xml:space="preserve">, </w:t>
      </w:r>
      <w:r w:rsidR="006D3291">
        <w:t xml:space="preserve">on </w:t>
      </w:r>
      <w:r>
        <w:t>June</w:t>
      </w:r>
      <w:r w:rsidR="006D3291">
        <w:t> </w:t>
      </w:r>
      <w:r>
        <w:t>2</w:t>
      </w:r>
      <w:r w:rsidR="006D3291">
        <w:t>3</w:t>
      </w:r>
      <w:r w:rsidRPr="006D3291" w:rsidR="006D3291">
        <w:rPr>
          <w:vertAlign w:val="superscript"/>
        </w:rPr>
        <w:t>rd</w:t>
      </w:r>
      <w:r>
        <w:t>.</w:t>
      </w:r>
    </w:p>
    <w:p w:rsidR="00B838A7" w:rsidRPr="00B838A7" w:rsidP="000B6BAF" w14:paraId="69B6D6FD" w14:textId="6EF97920">
      <w:pPr>
        <w:pStyle w:val="ParaNum"/>
        <w:rPr>
          <w:szCs w:val="22"/>
        </w:rPr>
      </w:pPr>
      <w:r>
        <w:t xml:space="preserve">Avangrid claims it exercised </w:t>
      </w:r>
      <w:r w:rsidR="00183079">
        <w:t xml:space="preserve">reasonable </w:t>
      </w:r>
      <w:r>
        <w:t>due diligence in preparing its upfront payment</w:t>
      </w:r>
      <w:r w:rsidR="006F41B4">
        <w:t xml:space="preserve"> and promptly undertook action when it discovered </w:t>
      </w:r>
      <w:r w:rsidR="00772EAE">
        <w:t>multiple</w:t>
      </w:r>
      <w:r w:rsidR="006F41B4">
        <w:t xml:space="preserve"> internal system problem</w:t>
      </w:r>
      <w:r w:rsidR="00772EAE">
        <w:t>s that</w:t>
      </w:r>
      <w:r w:rsidR="006F41B4">
        <w:t xml:space="preserve"> prevented it from issuing a purchase order necessary to effectuate its wire transfer payment</w:t>
      </w:r>
      <w:r>
        <w:t>.</w:t>
      </w:r>
      <w:r>
        <w:rPr>
          <w:rStyle w:val="FootnoteReference"/>
        </w:rPr>
        <w:footnoteReference w:id="11"/>
      </w:r>
      <w:r>
        <w:t xml:space="preserve">  </w:t>
      </w:r>
      <w:r w:rsidR="00C3716A">
        <w:t xml:space="preserve">Avangrid </w:t>
      </w:r>
      <w:r w:rsidRPr="006D3291">
        <w:t>is a subsidiary of Avangrid, Inc., a New York corporation and publicly traded company of which Iberd</w:t>
      </w:r>
      <w:r w:rsidR="002629D3">
        <w:t>r</w:t>
      </w:r>
      <w:r w:rsidRPr="006D3291">
        <w:t>ola S.A., a Spanish corporation, owns</w:t>
      </w:r>
      <w:r w:rsidR="00183079">
        <w:t xml:space="preserve"> just over</w:t>
      </w:r>
      <w:r w:rsidRPr="006D3291">
        <w:t xml:space="preserve"> 8</w:t>
      </w:r>
      <w:r w:rsidR="00183079">
        <w:t>1</w:t>
      </w:r>
      <w:r w:rsidRPr="006D3291">
        <w:t xml:space="preserve">% of </w:t>
      </w:r>
      <w:r w:rsidR="00183079">
        <w:t xml:space="preserve">the </w:t>
      </w:r>
      <w:r w:rsidRPr="006D3291">
        <w:t>outstanding shares.</w:t>
      </w:r>
      <w:r>
        <w:rPr>
          <w:rStyle w:val="FootnoteReference"/>
        </w:rPr>
        <w:footnoteReference w:id="12"/>
      </w:r>
      <w:r w:rsidRPr="006D3291">
        <w:t xml:space="preserve">  </w:t>
      </w:r>
      <w:r w:rsidR="00A85137">
        <w:t>According to its request, u</w:t>
      </w:r>
      <w:r w:rsidR="00480DCC">
        <w:t xml:space="preserve">pon deciding to participate in Auction 105, Avangrid </w:t>
      </w:r>
      <w:r w:rsidR="00C518D8">
        <w:t>navigated its corporate processes and controls to obtain management approval for funds for the auction.</w:t>
      </w:r>
      <w:r>
        <w:rPr>
          <w:rStyle w:val="FootnoteReference"/>
        </w:rPr>
        <w:footnoteReference w:id="13"/>
      </w:r>
      <w:r w:rsidR="00C518D8">
        <w:t xml:space="preserve"> </w:t>
      </w:r>
      <w:r w:rsidR="00981B3D">
        <w:t xml:space="preserve"> Avangrid </w:t>
      </w:r>
      <w:r w:rsidR="00917634">
        <w:t xml:space="preserve">asserts that </w:t>
      </w:r>
      <w:r w:rsidR="00064C7D">
        <w:t>w</w:t>
      </w:r>
      <w:r w:rsidR="00981B3D">
        <w:t>hen it tried t</w:t>
      </w:r>
      <w:r w:rsidR="001603F3">
        <w:t>o</w:t>
      </w:r>
      <w:r w:rsidR="000C1F04">
        <w:t xml:space="preserve"> </w:t>
      </w:r>
      <w:r w:rsidR="00981B3D">
        <w:t>submit its upfront payment</w:t>
      </w:r>
      <w:r w:rsidR="00064C7D">
        <w:t xml:space="preserve"> o</w:t>
      </w:r>
      <w:r w:rsidR="001603F3">
        <w:t>n</w:t>
      </w:r>
      <w:r w:rsidR="00064C7D">
        <w:t xml:space="preserve"> June</w:t>
      </w:r>
      <w:r>
        <w:t> </w:t>
      </w:r>
      <w:r w:rsidR="00064C7D">
        <w:t>19</w:t>
      </w:r>
      <w:r w:rsidRPr="00574CA7" w:rsidR="00574CA7">
        <w:rPr>
          <w:vertAlign w:val="superscript"/>
        </w:rPr>
        <w:t>th</w:t>
      </w:r>
      <w:r w:rsidR="00574CA7">
        <w:t xml:space="preserve"> </w:t>
      </w:r>
      <w:r w:rsidR="00064C7D">
        <w:t>as it had planned</w:t>
      </w:r>
      <w:r w:rsidR="00981B3D">
        <w:t>, it hit a corporate roadblock.</w:t>
      </w:r>
      <w:r>
        <w:rPr>
          <w:rStyle w:val="FootnoteReference"/>
        </w:rPr>
        <w:footnoteReference w:id="14"/>
      </w:r>
      <w:r w:rsidR="00981B3D">
        <w:t xml:space="preserve">  </w:t>
      </w:r>
      <w:r w:rsidR="00FE5F01">
        <w:t xml:space="preserve">Avangrid </w:t>
      </w:r>
      <w:r w:rsidR="00A85137">
        <w:t>had</w:t>
      </w:r>
      <w:r w:rsidR="00FE5F01">
        <w:t xml:space="preserve"> not </w:t>
      </w:r>
      <w:r w:rsidR="006F19BC">
        <w:t>list</w:t>
      </w:r>
      <w:r w:rsidR="00A85137">
        <w:t>ed</w:t>
      </w:r>
      <w:r w:rsidR="00FE5F01">
        <w:t xml:space="preserve"> the Commission as an eligible payee in its </w:t>
      </w:r>
      <w:r w:rsidR="002006CA">
        <w:t xml:space="preserve">payment </w:t>
      </w:r>
      <w:r w:rsidR="00FE5F01">
        <w:t>system</w:t>
      </w:r>
      <w:r w:rsidR="002006CA">
        <w:t xml:space="preserve"> that is used across its international corporate structure, so when Avangrid </w:t>
      </w:r>
      <w:r w:rsidR="000C1F04">
        <w:t>tried</w:t>
      </w:r>
      <w:r w:rsidR="002006CA">
        <w:t xml:space="preserve"> to submit its upfront payment</w:t>
      </w:r>
      <w:r w:rsidR="00975E9A">
        <w:t>,</w:t>
      </w:r>
      <w:r w:rsidR="002006CA">
        <w:t xml:space="preserve"> its own payment system prevented it from proceeding.</w:t>
      </w:r>
      <w:r>
        <w:rPr>
          <w:rStyle w:val="FootnoteReference"/>
        </w:rPr>
        <w:footnoteReference w:id="15"/>
      </w:r>
      <w:r w:rsidR="002006CA">
        <w:t xml:space="preserve">  </w:t>
      </w:r>
      <w:r w:rsidR="001603F3">
        <w:t xml:space="preserve">Realizing the issue, </w:t>
      </w:r>
      <w:r w:rsidR="002006CA">
        <w:t xml:space="preserve">Avangrid </w:t>
      </w:r>
      <w:r w:rsidR="00175467">
        <w:t>then worked with its Spanish parent company to obtain the necessary approvals to add the Commission as a qualified payee.</w:t>
      </w:r>
      <w:r>
        <w:rPr>
          <w:rStyle w:val="FootnoteReference"/>
        </w:rPr>
        <w:footnoteReference w:id="16"/>
      </w:r>
      <w:r w:rsidR="00175467">
        <w:t xml:space="preserve">  </w:t>
      </w:r>
      <w:r>
        <w:t xml:space="preserve">This troubleshooting lasted </w:t>
      </w:r>
      <w:r w:rsidR="00CE4E9C">
        <w:t>past</w:t>
      </w:r>
      <w:r>
        <w:t xml:space="preserve"> the upfront payment deadline, and Avangrid notified the Commission of the issue before the deadline.</w:t>
      </w:r>
      <w:r>
        <w:rPr>
          <w:rStyle w:val="FootnoteReference"/>
        </w:rPr>
        <w:footnoteReference w:id="17"/>
      </w:r>
      <w:r>
        <w:t xml:space="preserve">  </w:t>
      </w:r>
    </w:p>
    <w:p w:rsidR="00C3716A" w:rsidRPr="0010481C" w:rsidP="000B6BAF" w14:paraId="26628BCB" w14:textId="1E5FF04C">
      <w:pPr>
        <w:pStyle w:val="ParaNum"/>
        <w:rPr>
          <w:szCs w:val="22"/>
        </w:rPr>
      </w:pPr>
      <w:r>
        <w:t>On Monday, June 22</w:t>
      </w:r>
      <w:r w:rsidR="001603F3">
        <w:t>,</w:t>
      </w:r>
      <w:r>
        <w:t xml:space="preserve"> Avangrid tried again to submit its upfront payment believing that it had fixed the issue.  However, the Avangrid employee making the transfer did not have the necessary permissions to submit the upfront payment.</w:t>
      </w:r>
      <w:r>
        <w:rPr>
          <w:rStyle w:val="FootnoteReference"/>
        </w:rPr>
        <w:footnoteReference w:id="18"/>
      </w:r>
      <w:r>
        <w:t xml:space="preserve">  By the time Avangrid identified an analyst with </w:t>
      </w:r>
      <w:r>
        <w:t xml:space="preserve">authorization to submit the upfront payment, </w:t>
      </w:r>
      <w:r w:rsidR="00B413CB">
        <w:t xml:space="preserve">the bank </w:t>
      </w:r>
      <w:r w:rsidR="001603F3">
        <w:t>that manages its account</w:t>
      </w:r>
      <w:r w:rsidR="00B413CB">
        <w:t xml:space="preserve"> had closed.</w:t>
      </w:r>
      <w:r>
        <w:rPr>
          <w:rStyle w:val="FootnoteReference"/>
        </w:rPr>
        <w:footnoteReference w:id="19"/>
      </w:r>
      <w:r w:rsidR="00B413CB">
        <w:t xml:space="preserve">  </w:t>
      </w:r>
      <w:r w:rsidR="0010481C">
        <w:t>The next morning on Tuesday, June 23</w:t>
      </w:r>
      <w:r w:rsidRPr="006F41B4" w:rsidR="006F41B4">
        <w:rPr>
          <w:vertAlign w:val="superscript"/>
        </w:rPr>
        <w:t>rd</w:t>
      </w:r>
      <w:r w:rsidR="0010481C">
        <w:t>, Avangrid sent its upfront payment to the Commission.</w:t>
      </w:r>
    </w:p>
    <w:p w:rsidR="0010481C" w:rsidP="008B69E2" w14:paraId="2D99A318" w14:textId="4A265F16">
      <w:pPr>
        <w:pStyle w:val="ParaNum"/>
        <w:rPr>
          <w:szCs w:val="22"/>
        </w:rPr>
      </w:pPr>
      <w:r w:rsidRPr="0010481C">
        <w:t xml:space="preserve">In its Waiver Request, </w:t>
      </w:r>
      <w:r>
        <w:t xml:space="preserve">Avangrid </w:t>
      </w:r>
      <w:r w:rsidRPr="0010481C">
        <w:t>asserts “that it was sufficiently diligent in making and following through on its payment arrangement</w:t>
      </w:r>
      <w:r w:rsidR="002417F2">
        <w:t>s</w:t>
      </w:r>
      <w:r>
        <w:t xml:space="preserve">” </w:t>
      </w:r>
      <w:r w:rsidRPr="0010481C">
        <w:t xml:space="preserve">and </w:t>
      </w:r>
      <w:r w:rsidR="008B69E2">
        <w:t xml:space="preserve">the fact that it submitted its upfront payment two </w:t>
      </w:r>
      <w:r w:rsidR="006F41B4">
        <w:t xml:space="preserve">business </w:t>
      </w:r>
      <w:r w:rsidR="008B69E2">
        <w:t xml:space="preserve">days after the deadline shows that there </w:t>
      </w:r>
      <w:r w:rsidR="002417F2">
        <w:t>“</w:t>
      </w:r>
      <w:r w:rsidR="008B69E2">
        <w:t xml:space="preserve">was </w:t>
      </w:r>
      <w:r w:rsidRPr="008B69E2" w:rsidR="008B69E2">
        <w:rPr>
          <w:szCs w:val="22"/>
        </w:rPr>
        <w:t>not a deliberate effort to delay payment or because</w:t>
      </w:r>
      <w:r w:rsidR="008B69E2">
        <w:rPr>
          <w:szCs w:val="22"/>
        </w:rPr>
        <w:t xml:space="preserve"> [Avangrid] </w:t>
      </w:r>
      <w:r w:rsidRPr="008B69E2" w:rsidR="008B69E2">
        <w:rPr>
          <w:szCs w:val="22"/>
        </w:rPr>
        <w:t>needed to obtain additional time to raise the needed capital</w:t>
      </w:r>
      <w:r w:rsidR="008B69E2">
        <w:rPr>
          <w:szCs w:val="22"/>
        </w:rPr>
        <w:t>.”</w:t>
      </w:r>
      <w:r>
        <w:rPr>
          <w:rStyle w:val="FootnoteReference"/>
          <w:szCs w:val="22"/>
        </w:rPr>
        <w:footnoteReference w:id="20"/>
      </w:r>
      <w:r w:rsidR="006F41B4">
        <w:rPr>
          <w:szCs w:val="22"/>
        </w:rPr>
        <w:t xml:space="preserve"> </w:t>
      </w:r>
    </w:p>
    <w:p w:rsidR="006D3291" w:rsidP="006D3291" w14:paraId="4FA18FF0" w14:textId="77777777">
      <w:pPr>
        <w:pStyle w:val="Heading1"/>
        <w:widowControl/>
        <w:rPr>
          <w:b w:val="0"/>
          <w:szCs w:val="22"/>
        </w:rPr>
      </w:pPr>
      <w:r>
        <w:t>DISCUSSION</w:t>
      </w:r>
      <w:r>
        <w:rPr>
          <w:b w:val="0"/>
          <w:szCs w:val="22"/>
        </w:rPr>
        <w:t xml:space="preserve">  </w:t>
      </w:r>
    </w:p>
    <w:p w:rsidR="006D3291" w:rsidP="006D3291" w14:paraId="041BBABD" w14:textId="6E841882">
      <w:pPr>
        <w:pStyle w:val="ParaNum"/>
      </w:pPr>
      <w:r>
        <w:t>The Commission may grant a request for a waiver if the requesting party shows that: (</w:t>
      </w:r>
      <w:r>
        <w:t>i</w:t>
      </w:r>
      <w:r>
        <w:t xml:space="preserve">) the underlying purpose of the rule would not be served or would be frustrated by its application </w:t>
      </w:r>
      <w:r w:rsidRPr="00C75BE5">
        <w:t>to the instant case, and that a grant of the waiver would be in the public interest</w:t>
      </w:r>
      <w:r>
        <w:t xml:space="preserve">; or (ii) </w:t>
      </w:r>
      <w:r w:rsidRPr="00C75BE5">
        <w:t xml:space="preserve">in view of </w:t>
      </w:r>
      <w:r>
        <w:t xml:space="preserve">the </w:t>
      </w:r>
      <w:r w:rsidRPr="00C75BE5">
        <w:t xml:space="preserve">unique or </w:t>
      </w:r>
      <w:r>
        <w:t>unusual facts of the instant case, application of the rule would be inequitable, unduly burdensome or contrary to the public interest</w:t>
      </w:r>
      <w:r w:rsidRPr="00C75BE5">
        <w:t>, or that the applicant has no reasonable alternative to seeking a waiver of the rule</w:t>
      </w:r>
      <w:r>
        <w:t>.</w:t>
      </w:r>
      <w:r>
        <w:rPr>
          <w:rStyle w:val="FootnoteReference"/>
        </w:rPr>
        <w:footnoteReference w:id="21"/>
      </w:r>
      <w:r>
        <w:t xml:space="preserve">  </w:t>
      </w:r>
      <w:r w:rsidRPr="00EE3785">
        <w:t xml:space="preserve">On the basis of the record before us, we are not persuaded that </w:t>
      </w:r>
      <w:r w:rsidR="006F41B4">
        <w:t>Avangrid</w:t>
      </w:r>
      <w:r w:rsidRPr="00EE3785">
        <w:t xml:space="preserve"> has demonstrated that application of the deadline in its case would undercut or frustrate its purpose, nor do we find that </w:t>
      </w:r>
      <w:r w:rsidR="006F41B4">
        <w:t>Avangrid</w:t>
      </w:r>
      <w:r w:rsidRPr="00EE3785">
        <w:t xml:space="preserve"> presented unique circumstances sufficient to justify grant of its waiver request. </w:t>
      </w:r>
      <w:r w:rsidR="00574CA7">
        <w:t xml:space="preserve"> </w:t>
      </w:r>
    </w:p>
    <w:p w:rsidR="00574CA7" w:rsidP="008B69E2" w14:paraId="036530FF" w14:textId="7770649C">
      <w:pPr>
        <w:pStyle w:val="ParaNum"/>
        <w:rPr>
          <w:szCs w:val="22"/>
        </w:rPr>
      </w:pPr>
      <w:r>
        <w:t>Avangrid does not explain how the purpose of the rule would not be served or would be frustrated by applying the deadline in these circumstances.  The Commission has explained on multiple occasions that the upfront payment deadline is purposefully set at a point in the auction timeline to provide qualified bidders and the Commission with sufficient time to prepare for bidding to begin under the announced schedule.</w:t>
      </w:r>
      <w:r>
        <w:rPr>
          <w:rStyle w:val="FootnoteReference"/>
        </w:rPr>
        <w:footnoteReference w:id="22"/>
      </w:r>
      <w:r>
        <w:t xml:space="preserve">  </w:t>
      </w:r>
      <w:r w:rsidRPr="007355F1">
        <w:t xml:space="preserve">Waiving the deadline to afford an applicant additional time to make an upfront payment in the absence of a sufficient showing under section 1.925(b)(3) undermines the rule’s purpose </w:t>
      </w:r>
      <w:r w:rsidRPr="007355F1">
        <w:rPr>
          <w:szCs w:val="22"/>
        </w:rPr>
        <w:t xml:space="preserve">by disrupting the </w:t>
      </w:r>
      <w:r w:rsidR="00956DAC">
        <w:rPr>
          <w:szCs w:val="22"/>
        </w:rPr>
        <w:t xml:space="preserve">Commission’s </w:t>
      </w:r>
      <w:r w:rsidRPr="007355F1">
        <w:rPr>
          <w:szCs w:val="22"/>
        </w:rPr>
        <w:t>auction preparations and potentially delaying the entire auction.</w:t>
      </w:r>
      <w:r w:rsidRPr="0008448E">
        <w:rPr>
          <w:szCs w:val="22"/>
        </w:rPr>
        <w:t xml:space="preserve">  In addition, waiving the deadline for any single applican</w:t>
      </w:r>
      <w:r w:rsidRPr="0003069C">
        <w:rPr>
          <w:szCs w:val="22"/>
        </w:rPr>
        <w:t>t inherently raises questions</w:t>
      </w:r>
      <w:r w:rsidRPr="001433A4">
        <w:rPr>
          <w:szCs w:val="22"/>
        </w:rPr>
        <w:t xml:space="preserve"> of fairness to other applicants who met the deadline</w:t>
      </w:r>
      <w:r>
        <w:t xml:space="preserve"> </w:t>
      </w:r>
      <w:r w:rsidR="00956DAC">
        <w:t xml:space="preserve">and can continue their auction preparations </w:t>
      </w:r>
      <w:r>
        <w:t>and future applicants that rely on the certainty of the auction process, and would blur the line for determining whether an applicant is entitled to a waiver.</w:t>
      </w:r>
      <w:r>
        <w:rPr>
          <w:rStyle w:val="FootnoteReference"/>
        </w:rPr>
        <w:footnoteReference w:id="23"/>
      </w:r>
      <w:r>
        <w:t xml:space="preserve"> </w:t>
      </w:r>
    </w:p>
    <w:p w:rsidR="00B306B3" w:rsidRPr="00574CA7" w:rsidP="00944AC7" w14:paraId="622068D9" w14:textId="15664744">
      <w:pPr>
        <w:pStyle w:val="ParaNum"/>
      </w:pPr>
      <w:r>
        <w:t>Avangrid</w:t>
      </w:r>
      <w:r w:rsidR="00574CA7">
        <w:t xml:space="preserve"> </w:t>
      </w:r>
      <w:r w:rsidRPr="00BD2A50" w:rsidR="00574CA7">
        <w:t xml:space="preserve">has </w:t>
      </w:r>
      <w:r w:rsidR="00956DAC">
        <w:t xml:space="preserve">also </w:t>
      </w:r>
      <w:r w:rsidRPr="00BD2A50" w:rsidR="00574CA7">
        <w:t xml:space="preserve">not shown that enforcement of the deadline would be inequitable, unduly burdensome or contrary to the public interest </w:t>
      </w:r>
      <w:r w:rsidR="00574CA7">
        <w:t xml:space="preserve">in view of any unique or unusual </w:t>
      </w:r>
      <w:r w:rsidRPr="00BD2A50" w:rsidR="00574CA7">
        <w:t xml:space="preserve">circumstances.  </w:t>
      </w:r>
      <w:r w:rsidR="00574CA7">
        <w:t>Indeed, w</w:t>
      </w:r>
      <w:r w:rsidRPr="00BD2A50" w:rsidR="00574CA7">
        <w:t xml:space="preserve">e are not persuaded </w:t>
      </w:r>
      <w:r w:rsidR="00574CA7">
        <w:t>that</w:t>
      </w:r>
      <w:r w:rsidRPr="00BD2A50" w:rsidR="00574CA7">
        <w:t xml:space="preserve"> </w:t>
      </w:r>
      <w:r w:rsidR="00574CA7">
        <w:t xml:space="preserve">Avangrid </w:t>
      </w:r>
      <w:r w:rsidRPr="00D7045E" w:rsidR="00574CA7">
        <w:t xml:space="preserve">has presented any unique facts or circumstances that merit waiving its obligation to submit its </w:t>
      </w:r>
      <w:r w:rsidR="00574CA7">
        <w:t xml:space="preserve">upfront </w:t>
      </w:r>
      <w:r w:rsidRPr="00D7045E" w:rsidR="00574CA7">
        <w:t xml:space="preserve">payment </w:t>
      </w:r>
      <w:r w:rsidR="00574CA7">
        <w:t>by the established deadline</w:t>
      </w:r>
      <w:r w:rsidRPr="00D7045E" w:rsidR="00574CA7">
        <w:t xml:space="preserve">. </w:t>
      </w:r>
      <w:r w:rsidR="00574CA7">
        <w:t xml:space="preserve"> We disagree with Avangrid’s </w:t>
      </w:r>
      <w:r w:rsidRPr="00BD2A50" w:rsidR="00574CA7">
        <w:t>claims that it</w:t>
      </w:r>
      <w:r w:rsidR="00574CA7">
        <w:t>s</w:t>
      </w:r>
      <w:r w:rsidRPr="00574CA7">
        <w:t xml:space="preserve"> </w:t>
      </w:r>
      <w:r w:rsidRPr="00574CA7" w:rsidR="000C2D8A">
        <w:t xml:space="preserve">efforts to overcome its internal payment </w:t>
      </w:r>
      <w:r w:rsidR="00574CA7">
        <w:t xml:space="preserve">procedure problems with its Spanish corporate parent </w:t>
      </w:r>
      <w:r w:rsidR="00917634">
        <w:t xml:space="preserve">and within the domestic organization </w:t>
      </w:r>
      <w:r w:rsidR="00574CA7">
        <w:t>demonstrated the diligence expected of an auction applicant.  Nor are we persuaded that its efforts over the following days to untangle its corporate payment process</w:t>
      </w:r>
      <w:r w:rsidR="00917634">
        <w:t xml:space="preserve"> and obtain needed internal permissions </w:t>
      </w:r>
      <w:r w:rsidR="00574CA7">
        <w:t xml:space="preserve">justify waiver of the upfront payment deadline.  We find that Avangrid’s </w:t>
      </w:r>
      <w:r w:rsidR="009E15F5">
        <w:t xml:space="preserve">apparent belated discoveries of hurdles in its internal payment processes and initiation </w:t>
      </w:r>
      <w:r w:rsidR="00574CA7">
        <w:t xml:space="preserve">of efforts so close to the deadline do not </w:t>
      </w:r>
      <w:r w:rsidR="00944AC7">
        <w:t>demonstrate that</w:t>
      </w:r>
      <w:r w:rsidR="00574CA7">
        <w:t xml:space="preserve"> “</w:t>
      </w:r>
      <w:r w:rsidR="00944AC7">
        <w:t xml:space="preserve">it exercised reasonable diligence by allowing sufficient time to </w:t>
      </w:r>
      <w:r w:rsidR="00944AC7">
        <w:t>initiate and complete the transfer,” nor can we conclude that “it performed sufficient due diligence to overcome any error in the submission of its payment through its attentiveness to the process,” as it claims.</w:t>
      </w:r>
      <w:r>
        <w:rPr>
          <w:rStyle w:val="FootnoteReference"/>
        </w:rPr>
        <w:footnoteReference w:id="24"/>
      </w:r>
      <w:r w:rsidR="00944AC7">
        <w:t xml:space="preserve">  </w:t>
      </w:r>
      <w:r w:rsidR="00574CA7">
        <w:t xml:space="preserve"> </w:t>
      </w:r>
    </w:p>
    <w:p w:rsidR="00B838A7" w:rsidP="001E5FEF" w14:paraId="7A1299F8" w14:textId="50CF3FD5">
      <w:pPr>
        <w:pStyle w:val="ParaNum"/>
        <w:rPr>
          <w:szCs w:val="22"/>
        </w:rPr>
      </w:pPr>
      <w:r w:rsidRPr="001E5FEF">
        <w:rPr>
          <w:szCs w:val="22"/>
        </w:rPr>
        <w:t xml:space="preserve">Indeed, the </w:t>
      </w:r>
      <w:r w:rsidRPr="001E5FEF">
        <w:t>circumstances</w:t>
      </w:r>
      <w:r w:rsidRPr="001E5FEF">
        <w:rPr>
          <w:szCs w:val="22"/>
        </w:rPr>
        <w:t xml:space="preserve"> presented by </w:t>
      </w:r>
      <w:r>
        <w:rPr>
          <w:szCs w:val="22"/>
        </w:rPr>
        <w:t>Avangrid</w:t>
      </w:r>
      <w:r w:rsidRPr="001E5FEF">
        <w:rPr>
          <w:szCs w:val="22"/>
        </w:rPr>
        <w:t xml:space="preserve"> do not meet the standard of diligence established in</w:t>
      </w:r>
      <w:r>
        <w:rPr>
          <w:szCs w:val="22"/>
        </w:rPr>
        <w:t xml:space="preserve"> the various decisions that it cites</w:t>
      </w:r>
      <w:r w:rsidR="004C580C">
        <w:rPr>
          <w:szCs w:val="22"/>
        </w:rPr>
        <w:t>.</w:t>
      </w:r>
      <w:r>
        <w:rPr>
          <w:rStyle w:val="FootnoteReference"/>
          <w:szCs w:val="22"/>
        </w:rPr>
        <w:footnoteReference w:id="25"/>
      </w:r>
      <w:r w:rsidR="004C580C">
        <w:rPr>
          <w:szCs w:val="22"/>
        </w:rPr>
        <w:t xml:space="preserve">  </w:t>
      </w:r>
      <w:r w:rsidRPr="0003069C" w:rsidR="004C580C">
        <w:rPr>
          <w:szCs w:val="22"/>
        </w:rPr>
        <w:t xml:space="preserve">In </w:t>
      </w:r>
      <w:r w:rsidRPr="0003069C" w:rsidR="004C580C">
        <w:rPr>
          <w:i/>
          <w:szCs w:val="22"/>
        </w:rPr>
        <w:t>Hayes-Bell</w:t>
      </w:r>
      <w:r w:rsidRPr="0003069C" w:rsidR="004C580C">
        <w:rPr>
          <w:iCs/>
          <w:szCs w:val="22"/>
        </w:rPr>
        <w:t>, the Bureau was persuaded by the applicant’s f</w:t>
      </w:r>
      <w:r w:rsidRPr="001433A4" w:rsidR="004C580C">
        <w:rPr>
          <w:iCs/>
          <w:szCs w:val="22"/>
        </w:rPr>
        <w:t>inancial qualifications in conjunction with</w:t>
      </w:r>
      <w:r w:rsidRPr="001433A4" w:rsidR="004C580C">
        <w:rPr>
          <w:szCs w:val="22"/>
        </w:rPr>
        <w:t xml:space="preserve"> the applicant’s</w:t>
      </w:r>
      <w:r w:rsidR="004C580C">
        <w:t xml:space="preserve"> diligence in presenting the wire transfer instructions to the bank four days in advance of the upfront payment deadline, finding that the applicant’s circumstances were distinguishable from another case in which an applicant did not initiate its wire transfer until the day of the payment deadline, like Avangrid here.</w:t>
      </w:r>
      <w:r>
        <w:rPr>
          <w:rStyle w:val="FootnoteReference"/>
        </w:rPr>
        <w:footnoteReference w:id="26"/>
      </w:r>
      <w:r w:rsidR="004C580C">
        <w:t xml:space="preserve">  </w:t>
      </w:r>
      <w:r w:rsidR="00EB5B38">
        <w:t xml:space="preserve">Similarly, we find that </w:t>
      </w:r>
      <w:r w:rsidRPr="00217B9D" w:rsidR="00EB5B38">
        <w:rPr>
          <w:i/>
          <w:iCs/>
        </w:rPr>
        <w:t xml:space="preserve">MPCS Wireless </w:t>
      </w:r>
      <w:r w:rsidR="00EB5B38">
        <w:t xml:space="preserve">is readily distinguishable as the half-hour delay in submission of the wire transfer </w:t>
      </w:r>
      <w:r w:rsidR="00F95EBE">
        <w:t xml:space="preserve">in that case </w:t>
      </w:r>
      <w:r w:rsidR="00EB5B38">
        <w:t xml:space="preserve">was caused by errors made by the applicant’s bank, not due to internal </w:t>
      </w:r>
      <w:r w:rsidR="000A251C">
        <w:t xml:space="preserve">payment procedures </w:t>
      </w:r>
      <w:r w:rsidR="00EB5B38">
        <w:t>within the applicant’s corporate structure</w:t>
      </w:r>
      <w:r w:rsidR="00217B9D">
        <w:t xml:space="preserve"> and difficulties in coordinating with its foreign corporate parent.</w:t>
      </w:r>
      <w:r>
        <w:rPr>
          <w:rStyle w:val="FootnoteReference"/>
        </w:rPr>
        <w:footnoteReference w:id="27"/>
      </w:r>
      <w:r w:rsidR="00217B9D">
        <w:t xml:space="preserve">  Likewise, we are unable to conclude that Avangrid’s efforts to resolve its internal payment procedures were comparable to those in </w:t>
      </w:r>
      <w:r w:rsidRPr="00F00EEB" w:rsidR="00217B9D">
        <w:rPr>
          <w:i/>
          <w:iCs/>
        </w:rPr>
        <w:t>Lynch 3G</w:t>
      </w:r>
      <w:r w:rsidR="00217B9D">
        <w:t xml:space="preserve"> </w:t>
      </w:r>
      <w:r w:rsidR="00F00EEB">
        <w:t xml:space="preserve">or </w:t>
      </w:r>
      <w:r w:rsidR="00F95EBE">
        <w:rPr>
          <w:i/>
          <w:iCs/>
        </w:rPr>
        <w:t>Texas License Consultants</w:t>
      </w:r>
      <w:r w:rsidR="00F00EEB">
        <w:t xml:space="preserve"> which also involved error on the part of the applicant’s bank in one case and error by an applicant’s law firm in the other.</w:t>
      </w:r>
      <w:r>
        <w:rPr>
          <w:rStyle w:val="FootnoteReference"/>
        </w:rPr>
        <w:footnoteReference w:id="28"/>
      </w:r>
      <w:r w:rsidR="00745FFC">
        <w:t xml:space="preserve">  </w:t>
      </w:r>
      <w:r w:rsidRPr="00745FFC" w:rsidR="00745FFC">
        <w:t>An applicant’s inability to successfully navigate its own internal processes does not constitute unique circumstances, and last-minute adherence to its established processes does not meet the standard of diligence the Commission’s precedent requires for waiver of the upfront payment deadline.</w:t>
      </w:r>
      <w:r w:rsidR="00745FFC">
        <w:t xml:space="preserve"> </w:t>
      </w:r>
    </w:p>
    <w:p w:rsidR="004C580C" w:rsidRPr="004C580C" w:rsidP="001E5FEF" w14:paraId="76409910" w14:textId="5862BD62">
      <w:pPr>
        <w:pStyle w:val="ParaNum"/>
        <w:rPr>
          <w:szCs w:val="22"/>
        </w:rPr>
      </w:pPr>
      <w:r w:rsidRPr="008E7AF6">
        <w:t xml:space="preserve">In order to demonstrate the required </w:t>
      </w:r>
      <w:r>
        <w:t xml:space="preserve">unique </w:t>
      </w:r>
      <w:r w:rsidRPr="008E7AF6">
        <w:t>circumstances</w:t>
      </w:r>
      <w:r>
        <w:t xml:space="preserve"> which differentiate i</w:t>
      </w:r>
      <w:r w:rsidRPr="008E7AF6">
        <w:t xml:space="preserve">t from all others to which the </w:t>
      </w:r>
      <w:r>
        <w:t>deadline applies</w:t>
      </w:r>
      <w:r w:rsidRPr="008E7AF6">
        <w:t xml:space="preserve">, </w:t>
      </w:r>
      <w:r>
        <w:t>Avangrid must also show t</w:t>
      </w:r>
      <w:r w:rsidRPr="008E7AF6">
        <w:t>hat no reasonable alternative existed which would have allowed</w:t>
      </w:r>
      <w:r>
        <w:t xml:space="preserve"> it </w:t>
      </w:r>
      <w:r w:rsidRPr="008E7AF6">
        <w:t>to comply with rule.</w:t>
      </w:r>
      <w:r>
        <w:rPr>
          <w:rStyle w:val="FootnoteReference"/>
        </w:rPr>
        <w:footnoteReference w:id="29"/>
      </w:r>
      <w:r w:rsidRPr="008E7AF6">
        <w:t xml:space="preserve"> </w:t>
      </w:r>
      <w:r>
        <w:t xml:space="preserve"> In Avangrid’s case, it ha</w:t>
      </w:r>
      <w:r w:rsidRPr="002144C4">
        <w:t xml:space="preserve">d the reasonable alternative of exercising due diligence </w:t>
      </w:r>
      <w:r w:rsidR="00AF1283">
        <w:t>sufficiently in advance of</w:t>
      </w:r>
      <w:r w:rsidRPr="002144C4">
        <w:t xml:space="preserve"> the filing deadline.</w:t>
      </w:r>
      <w:r>
        <w:rPr>
          <w:rStyle w:val="FootnoteReference"/>
        </w:rPr>
        <w:footnoteReference w:id="30"/>
      </w:r>
      <w:r w:rsidRPr="002144C4">
        <w:t xml:space="preserve"> </w:t>
      </w:r>
      <w:r>
        <w:t xml:space="preserve"> </w:t>
      </w:r>
    </w:p>
    <w:p w:rsidR="004C580C" w:rsidRPr="00781915" w:rsidP="001E5FEF" w14:paraId="47CCF701" w14:textId="171CAACF">
      <w:pPr>
        <w:pStyle w:val="ParaNum"/>
        <w:rPr>
          <w:szCs w:val="22"/>
        </w:rPr>
      </w:pPr>
      <w:r>
        <w:rPr>
          <w:szCs w:val="22"/>
        </w:rPr>
        <w:t xml:space="preserve">In short, Avangrid has failed to demonstrate that it was sufficiently diligent in making or following through on its </w:t>
      </w:r>
      <w:r w:rsidR="00F562B4">
        <w:rPr>
          <w:szCs w:val="22"/>
        </w:rPr>
        <w:t xml:space="preserve">internal corporate </w:t>
      </w:r>
      <w:r>
        <w:rPr>
          <w:szCs w:val="22"/>
        </w:rPr>
        <w:t xml:space="preserve">payment arrangements and that its particular circumstances merit waiving the upfront payment deadline.  The upfront deadline is not simply a matter of administrative convenience.  Among other purposes, timely submission of an upfront payment assists in establishing that </w:t>
      </w:r>
      <w:r>
        <w:rPr>
          <w:szCs w:val="22"/>
        </w:rPr>
        <w:t>an applicant is financially qualified to participate in an auction.</w:t>
      </w:r>
      <w:r>
        <w:rPr>
          <w:rStyle w:val="FootnoteReference"/>
          <w:szCs w:val="22"/>
        </w:rPr>
        <w:footnoteReference w:id="31"/>
      </w:r>
      <w:r>
        <w:rPr>
          <w:szCs w:val="22"/>
        </w:rPr>
        <w:t xml:space="preserve">  The Commission has determined that a policy of strict adherence to payment deadlines is necessary to serve the public interests of integrity, fairness, and efficiency of the auction process.</w:t>
      </w:r>
      <w:r>
        <w:rPr>
          <w:rStyle w:val="FootnoteReference"/>
          <w:szCs w:val="22"/>
        </w:rPr>
        <w:footnoteReference w:id="32"/>
      </w:r>
      <w:r>
        <w:rPr>
          <w:szCs w:val="22"/>
        </w:rPr>
        <w:t xml:space="preserve">  In light of the public interest in maintaining the deadline and the absence of a particularized showing of extreme circumstances here, we deny </w:t>
      </w:r>
      <w:r w:rsidR="00F562B4">
        <w:rPr>
          <w:szCs w:val="22"/>
        </w:rPr>
        <w:t>Avangrid</w:t>
      </w:r>
      <w:r>
        <w:rPr>
          <w:szCs w:val="22"/>
        </w:rPr>
        <w:t>’s request for waiver of the upfront payment deadline</w:t>
      </w:r>
      <w:r w:rsidR="00F562B4">
        <w:rPr>
          <w:szCs w:val="22"/>
        </w:rPr>
        <w:t>.</w:t>
      </w:r>
    </w:p>
    <w:p w:rsidR="000B6BAF" w:rsidP="000B6BAF" w14:paraId="36A9BF86" w14:textId="77777777">
      <w:pPr>
        <w:pStyle w:val="Heading1"/>
        <w:widowControl/>
      </w:pPr>
      <w:r>
        <w:t>Ordering CLAUses</w:t>
      </w:r>
    </w:p>
    <w:p w:rsidR="000B6BAF" w:rsidRPr="00F346D5" w:rsidP="000B6BAF" w14:paraId="2925380B" w14:textId="700BFF90">
      <w:pPr>
        <w:pStyle w:val="ParaNum"/>
      </w:pPr>
      <w:r>
        <w:t xml:space="preserve">Accordingly, IT IS ORDERED, pursuant to delegated authority </w:t>
      </w:r>
      <w:r w:rsidRPr="006A1FDF">
        <w:t>under Sections 0.2</w:t>
      </w:r>
      <w:r w:rsidR="001E5FEF">
        <w:t>1</w:t>
      </w:r>
      <w:r w:rsidR="00630211">
        <w:t>(m)</w:t>
      </w:r>
      <w:r w:rsidRPr="006A1FDF">
        <w:t xml:space="preserve"> and 0.2</w:t>
      </w:r>
      <w:r w:rsidR="001E5FEF">
        <w:t>7</w:t>
      </w:r>
      <w:r w:rsidRPr="006A1FDF">
        <w:t>1 of the Commission's rules, 47 CFR §§ 0.2</w:t>
      </w:r>
      <w:r w:rsidR="001E5FEF">
        <w:t>1</w:t>
      </w:r>
      <w:r w:rsidR="00630211">
        <w:t>(m)</w:t>
      </w:r>
      <w:r w:rsidR="001E5FEF">
        <w:t>, 0.2</w:t>
      </w:r>
      <w:r w:rsidRPr="006A1FDF">
        <w:t xml:space="preserve">71, </w:t>
      </w:r>
      <w:r w:rsidR="00C96A7A">
        <w:t>Avangrid Networks</w:t>
      </w:r>
      <w:r w:rsidRPr="006A1FDF">
        <w:t>, Inc.</w:t>
      </w:r>
      <w:r w:rsidR="00630211">
        <w:t>’</w:t>
      </w:r>
      <w:r w:rsidRPr="006A1FDF">
        <w:t>s Request for</w:t>
      </w:r>
      <w:r w:rsidR="00C96A7A">
        <w:t xml:space="preserve"> Waiver of Upfront Payment Deadline</w:t>
      </w:r>
      <w:r w:rsidRPr="006A1FDF">
        <w:t>, dated June 2</w:t>
      </w:r>
      <w:r w:rsidR="00C96A7A">
        <w:t>5</w:t>
      </w:r>
      <w:r w:rsidR="001E5FEF">
        <w:t>,</w:t>
      </w:r>
      <w:r w:rsidRPr="006A1FDF">
        <w:t xml:space="preserve"> 2020, is DENIED.</w:t>
      </w:r>
    </w:p>
    <w:p w:rsidR="00630211" w:rsidRPr="00034472" w:rsidP="00630211" w14:paraId="46334CB5" w14:textId="77777777"/>
    <w:p w:rsidR="00630211" w:rsidRPr="00034472" w:rsidP="00630211" w14:paraId="39128DF3" w14:textId="77777777">
      <w:r w:rsidRPr="00034472">
        <w:tab/>
      </w:r>
      <w:r w:rsidRPr="00034472">
        <w:tab/>
      </w:r>
      <w:r w:rsidRPr="00034472">
        <w:tab/>
      </w:r>
      <w:r w:rsidRPr="00034472">
        <w:tab/>
      </w:r>
      <w:r w:rsidRPr="00034472">
        <w:tab/>
      </w:r>
      <w:r w:rsidRPr="00034472">
        <w:tab/>
        <w:t>FEDERAL COMMUNICATIONS COMMISSION</w:t>
      </w:r>
    </w:p>
    <w:p w:rsidR="00630211" w:rsidRPr="00034472" w:rsidP="00630211" w14:paraId="17DC8716" w14:textId="77777777"/>
    <w:p w:rsidR="00630211" w:rsidRPr="00034472" w:rsidP="00630211" w14:paraId="02370860" w14:textId="77777777"/>
    <w:p w:rsidR="00630211" w:rsidRPr="00034472" w:rsidP="00630211" w14:paraId="1448F2E4" w14:textId="77777777"/>
    <w:p w:rsidR="00630211" w:rsidRPr="00034472" w:rsidP="00630211" w14:paraId="4D9AC828" w14:textId="77777777"/>
    <w:p w:rsidR="00630211" w:rsidRPr="00034472" w:rsidP="00630211" w14:paraId="45FD8145" w14:textId="690EB78D">
      <w:r w:rsidRPr="00034472">
        <w:tab/>
      </w:r>
      <w:r w:rsidRPr="00034472">
        <w:tab/>
      </w:r>
      <w:r w:rsidRPr="00034472">
        <w:tab/>
      </w:r>
      <w:r w:rsidRPr="00034472">
        <w:tab/>
      </w:r>
      <w:r w:rsidRPr="00034472">
        <w:tab/>
      </w:r>
      <w:r w:rsidRPr="00034472">
        <w:tab/>
      </w:r>
      <w:r w:rsidRPr="00FC001A" w:rsidR="00FC001A">
        <w:t xml:space="preserve">Jonathan </w:t>
      </w:r>
      <w:r w:rsidR="005B7FEF">
        <w:t xml:space="preserve">M. </w:t>
      </w:r>
      <w:r w:rsidRPr="00FC001A" w:rsidR="00FC001A">
        <w:t>Campbell</w:t>
      </w:r>
    </w:p>
    <w:p w:rsidR="00630211" w:rsidRPr="00034472" w:rsidP="00630211" w14:paraId="29550CA2" w14:textId="5365109E">
      <w:r w:rsidRPr="00034472">
        <w:tab/>
      </w:r>
      <w:r w:rsidRPr="00034472">
        <w:tab/>
      </w:r>
      <w:r w:rsidRPr="00034472">
        <w:tab/>
      </w:r>
      <w:r w:rsidRPr="00034472">
        <w:tab/>
      </w:r>
      <w:r w:rsidRPr="00034472">
        <w:tab/>
      </w:r>
      <w:r w:rsidRPr="00034472">
        <w:tab/>
        <w:t>Chief</w:t>
      </w:r>
      <w:r w:rsidR="00FC001A">
        <w:t>, Auctions Division</w:t>
      </w:r>
    </w:p>
    <w:p w:rsidR="00D641D3" w14:paraId="026BCF3F" w14:textId="610499E8">
      <w:r w:rsidRPr="00034472">
        <w:tab/>
      </w:r>
      <w:r w:rsidRPr="00034472">
        <w:tab/>
      </w:r>
      <w:r w:rsidRPr="00034472">
        <w:tab/>
      </w:r>
      <w:r w:rsidRPr="00034472">
        <w:tab/>
      </w:r>
      <w:r w:rsidRPr="00034472">
        <w:tab/>
      </w:r>
      <w:r w:rsidRPr="00034472">
        <w:tab/>
      </w:r>
      <w:r w:rsidRPr="00FC001A" w:rsidR="00FC001A">
        <w:t>Office of Economics and Analytics</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A9A" w14:paraId="0D0B6C9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6BAF" w:rsidP="000B6BAF" w14:paraId="735A0A9D" w14:textId="77777777">
      <w:r>
        <w:separator/>
      </w:r>
    </w:p>
  </w:footnote>
  <w:footnote w:type="continuationSeparator" w:id="1">
    <w:p w:rsidR="000B6BAF" w:rsidP="000B6BAF" w14:paraId="620BF6D7" w14:textId="77777777">
      <w:r>
        <w:continuationSeparator/>
      </w:r>
    </w:p>
  </w:footnote>
  <w:footnote w:type="continuationNotice" w:id="2">
    <w:p w:rsidR="00940B00" w14:paraId="5426845C" w14:textId="77777777"/>
  </w:footnote>
  <w:footnote w:id="3">
    <w:p w:rsidR="000B6BAF" w:rsidP="000B6BAF" w14:paraId="4BF1F61A" w14:textId="4969CF03">
      <w:pPr>
        <w:pStyle w:val="FootnoteText"/>
      </w:pPr>
      <w:r>
        <w:rPr>
          <w:rStyle w:val="FootnoteReference"/>
        </w:rPr>
        <w:footnoteRef/>
      </w:r>
      <w:r>
        <w:t xml:space="preserve"> </w:t>
      </w:r>
      <w:r w:rsidRPr="00267A2F">
        <w:rPr>
          <w:i/>
          <w:iCs/>
        </w:rPr>
        <w:t>See</w:t>
      </w:r>
      <w:r>
        <w:t xml:space="preserve"> </w:t>
      </w:r>
      <w:r w:rsidR="00DF25FC">
        <w:t>Avangrid Networks</w:t>
      </w:r>
      <w:r>
        <w:t xml:space="preserve">, Inc </w:t>
      </w:r>
      <w:r w:rsidR="00DF25FC">
        <w:t xml:space="preserve">Request for Waiver of Upfront </w:t>
      </w:r>
      <w:r w:rsidR="00772EAE">
        <w:t xml:space="preserve">Payment </w:t>
      </w:r>
      <w:r w:rsidR="00DF25FC">
        <w:t>Deadline and Request for Confidential Treatment</w:t>
      </w:r>
      <w:r>
        <w:t xml:space="preserve"> (June 2</w:t>
      </w:r>
      <w:r w:rsidR="003B1AEA">
        <w:t>5</w:t>
      </w:r>
      <w:r>
        <w:t>, 2020) (</w:t>
      </w:r>
      <w:r w:rsidRPr="00614745">
        <w:t>Waiver Request</w:t>
      </w:r>
      <w:r>
        <w:t>).</w:t>
      </w:r>
    </w:p>
  </w:footnote>
  <w:footnote w:id="4">
    <w:p w:rsidR="00C55017" w:rsidRPr="006F2B9D" w:rsidP="00C55017" w14:paraId="34AAE734" w14:textId="77777777">
      <w:pPr>
        <w:pStyle w:val="FootnoteText"/>
      </w:pPr>
      <w:r>
        <w:rPr>
          <w:rStyle w:val="FootnoteReference"/>
        </w:rPr>
        <w:footnoteRef/>
      </w:r>
      <w:r>
        <w:t xml:space="preserve"> </w:t>
      </w:r>
      <w:r>
        <w:rPr>
          <w:i/>
          <w:iCs/>
        </w:rPr>
        <w:t xml:space="preserve">See </w:t>
      </w:r>
      <w:r>
        <w:t>47 CFR §1.2105(a).</w:t>
      </w:r>
    </w:p>
  </w:footnote>
  <w:footnote w:id="5">
    <w:p w:rsidR="00C55017" w:rsidRPr="00882962" w:rsidP="00C55017" w14:paraId="1B747AFA" w14:textId="77777777">
      <w:pPr>
        <w:pStyle w:val="FootnoteText"/>
      </w:pPr>
      <w:r w:rsidRPr="00315DC9">
        <w:rPr>
          <w:rStyle w:val="FootnoteReference"/>
        </w:rPr>
        <w:footnoteRef/>
      </w:r>
      <w:r w:rsidRPr="00882962">
        <w:rPr>
          <w:i/>
          <w:iCs/>
        </w:rPr>
        <w:t xml:space="preserve"> Auction of Priority Access Licenses for </w:t>
      </w:r>
      <w:r>
        <w:rPr>
          <w:i/>
          <w:iCs/>
        </w:rPr>
        <w:t>t</w:t>
      </w:r>
      <w:r w:rsidRPr="00882962">
        <w:rPr>
          <w:i/>
          <w:iCs/>
        </w:rPr>
        <w:t xml:space="preserve">he 3550-3650 MHz Band Rescheduled to Begin July 23, 2020; Auction 105 Short-Form Application Deadline Postponed </w:t>
      </w:r>
      <w:r>
        <w:rPr>
          <w:i/>
          <w:iCs/>
        </w:rPr>
        <w:t>t</w:t>
      </w:r>
      <w:r w:rsidRPr="00882962">
        <w:rPr>
          <w:i/>
          <w:iCs/>
        </w:rPr>
        <w:t>o May 7, 2020</w:t>
      </w:r>
      <w:r>
        <w:t xml:space="preserve">, AU Docket No. 19-244, Public Notice, 35 FCC </w:t>
      </w:r>
      <w:r>
        <w:t>Rcd</w:t>
      </w:r>
      <w:r>
        <w:t xml:space="preserve"> 2891 (OEA/WTB 2020).  </w:t>
      </w:r>
      <w:r>
        <w:rPr>
          <w:i/>
          <w:iCs/>
        </w:rPr>
        <w:t>See also</w:t>
      </w:r>
      <w:r>
        <w:t xml:space="preserve"> 47 CFR §1.2106(a) (upfront payments may be established by public notice).</w:t>
      </w:r>
    </w:p>
  </w:footnote>
  <w:footnote w:id="6">
    <w:p w:rsidR="00C55017" w:rsidP="00C55017" w14:paraId="5E9E8E6D" w14:textId="1D10C9AB">
      <w:pPr>
        <w:pStyle w:val="FootnoteText"/>
      </w:pPr>
      <w:r>
        <w:rPr>
          <w:rStyle w:val="FootnoteReference"/>
        </w:rPr>
        <w:footnoteRef/>
      </w:r>
      <w:r>
        <w:t xml:space="preserve"> </w:t>
      </w:r>
      <w:r w:rsidRPr="008E6CBD">
        <w:rPr>
          <w:i/>
          <w:iCs/>
        </w:rPr>
        <w:t xml:space="preserve">See </w:t>
      </w:r>
      <w:r w:rsidRPr="00B20992">
        <w:rPr>
          <w:i/>
          <w:iCs/>
        </w:rPr>
        <w:t>Auction of Priority Access Licenses for the 3550-3650 MHz Band; Notice and Filing Requirements, Minimum Opening Bids, Upfront Payments, and Other Procedures for Auction 105; Bidding in Auction 105 Scheduled to Begin June 25, 2020</w:t>
      </w:r>
      <w:r>
        <w:t xml:space="preserve">, AU Docket No. 19-244, Public Notice, 35 FCC </w:t>
      </w:r>
      <w:r>
        <w:t>Rcd</w:t>
      </w:r>
      <w:r>
        <w:t xml:space="preserve"> 2140, 2182 para. 13</w:t>
      </w:r>
      <w:r w:rsidR="00772EAE">
        <w:t>2</w:t>
      </w:r>
      <w:r>
        <w:t xml:space="preserve"> (2020) (</w:t>
      </w:r>
      <w:r w:rsidRPr="00267A2F">
        <w:rPr>
          <w:i/>
          <w:iCs/>
        </w:rPr>
        <w:t>Auction 105 Procedures Public Notice</w:t>
      </w:r>
      <w:r>
        <w:t xml:space="preserve">). </w:t>
      </w:r>
    </w:p>
  </w:footnote>
  <w:footnote w:id="7">
    <w:p w:rsidR="00C55017" w:rsidRPr="00D23E72" w:rsidP="00C55017" w14:paraId="03CAE1FD" w14:textId="0ACC46FC">
      <w:pPr>
        <w:pStyle w:val="FootnoteText"/>
      </w:pPr>
      <w:r>
        <w:rPr>
          <w:rStyle w:val="FootnoteReference"/>
        </w:rPr>
        <w:footnoteRef/>
      </w:r>
      <w:r>
        <w:t xml:space="preserve"> </w:t>
      </w:r>
      <w:r>
        <w:rPr>
          <w:i/>
          <w:iCs/>
        </w:rPr>
        <w:t xml:space="preserve">See </w:t>
      </w:r>
      <w:r w:rsidR="002417F2">
        <w:rPr>
          <w:i/>
          <w:iCs/>
        </w:rPr>
        <w:t>id.</w:t>
      </w:r>
      <w:r>
        <w:t xml:space="preserve"> at 2182-83, paras. 131, 134.</w:t>
      </w:r>
    </w:p>
  </w:footnote>
  <w:footnote w:id="8">
    <w:p w:rsidR="00B96BFD" w:rsidP="00B96BFD" w14:paraId="5BB7F367" w14:textId="4E678CD9">
      <w:pPr>
        <w:pStyle w:val="FootnoteText"/>
      </w:pPr>
      <w:r>
        <w:rPr>
          <w:rStyle w:val="FootnoteReference"/>
        </w:rPr>
        <w:footnoteRef/>
      </w:r>
      <w:r>
        <w:t xml:space="preserve"> </w:t>
      </w:r>
      <w:r w:rsidR="002417F2">
        <w:rPr>
          <w:i/>
        </w:rPr>
        <w:t xml:space="preserve">Id. </w:t>
      </w:r>
      <w:r>
        <w:t xml:space="preserve">at 2183, para. 135.  This language appears in bold in that Public Notice.  </w:t>
      </w:r>
    </w:p>
  </w:footnote>
  <w:footnote w:id="9">
    <w:p w:rsidR="00B96BFD" w:rsidP="00B96BFD" w14:paraId="3B01A23E" w14:textId="77777777">
      <w:pPr>
        <w:pStyle w:val="FootnoteText"/>
      </w:pPr>
      <w:r>
        <w:rPr>
          <w:rStyle w:val="FootnoteReference"/>
        </w:rPr>
        <w:footnoteRef/>
      </w:r>
      <w:r>
        <w:t xml:space="preserve"> </w:t>
      </w:r>
      <w:r w:rsidRPr="00032E06">
        <w:rPr>
          <w:i/>
          <w:iCs/>
        </w:rPr>
        <w:t>See</w:t>
      </w:r>
      <w:r>
        <w:t xml:space="preserve"> </w:t>
      </w:r>
      <w:r>
        <w:rPr>
          <w:i/>
        </w:rPr>
        <w:t>id</w:t>
      </w:r>
      <w:r w:rsidRPr="002C65B8">
        <w:rPr>
          <w:iCs/>
        </w:rPr>
        <w:t>. at 2182, para. 133.</w:t>
      </w:r>
    </w:p>
  </w:footnote>
  <w:footnote w:id="10">
    <w:p w:rsidR="00B96BFD" w:rsidP="00B96BFD" w14:paraId="48B9E69C" w14:textId="77777777">
      <w:pPr>
        <w:pStyle w:val="FootnoteText"/>
      </w:pPr>
      <w:r>
        <w:rPr>
          <w:rStyle w:val="FootnoteReference"/>
        </w:rPr>
        <w:footnoteRef/>
      </w:r>
      <w:r>
        <w:t xml:space="preserve"> </w:t>
      </w:r>
      <w:r>
        <w:rPr>
          <w:i/>
        </w:rPr>
        <w:t>Id</w:t>
      </w:r>
      <w:r>
        <w:t xml:space="preserve">. at 2183, para. 137.  </w:t>
      </w:r>
      <w:r>
        <w:rPr>
          <w:i/>
        </w:rPr>
        <w:t>See also</w:t>
      </w:r>
      <w:r>
        <w:t xml:space="preserve"> 47 CFR § 1.2106(c).</w:t>
      </w:r>
    </w:p>
  </w:footnote>
  <w:footnote w:id="11">
    <w:p w:rsidR="00183079" w:rsidRPr="00183079" w14:paraId="32214215" w14:textId="68D7C4F2">
      <w:pPr>
        <w:pStyle w:val="FootnoteText"/>
      </w:pPr>
      <w:r>
        <w:rPr>
          <w:rStyle w:val="FootnoteReference"/>
        </w:rPr>
        <w:footnoteRef/>
      </w:r>
      <w:r>
        <w:t xml:space="preserve"> </w:t>
      </w:r>
      <w:r>
        <w:rPr>
          <w:i/>
          <w:iCs/>
        </w:rPr>
        <w:t xml:space="preserve">See </w:t>
      </w:r>
      <w:r>
        <w:t xml:space="preserve">Waiver Request at </w:t>
      </w:r>
      <w:r w:rsidR="006F41B4">
        <w:t>2-7.</w:t>
      </w:r>
    </w:p>
  </w:footnote>
  <w:footnote w:id="12">
    <w:p w:rsidR="002417F2" w:rsidP="002417F2" w14:paraId="1092971A" w14:textId="77777777">
      <w:pPr>
        <w:pStyle w:val="FootnoteText"/>
      </w:pPr>
      <w:r>
        <w:rPr>
          <w:rStyle w:val="FootnoteReference"/>
        </w:rPr>
        <w:footnoteRef/>
      </w:r>
      <w:r>
        <w:t xml:space="preserve"> </w:t>
      </w:r>
      <w:r w:rsidRPr="001E2237">
        <w:rPr>
          <w:i/>
          <w:iCs/>
        </w:rPr>
        <w:t>Id</w:t>
      </w:r>
      <w:r>
        <w:t>. at 1.</w:t>
      </w:r>
    </w:p>
  </w:footnote>
  <w:footnote w:id="13">
    <w:p w:rsidR="00C518D8" w14:paraId="22F400DD" w14:textId="37222A3D">
      <w:pPr>
        <w:pStyle w:val="FootnoteText"/>
      </w:pPr>
      <w:r>
        <w:rPr>
          <w:rStyle w:val="FootnoteReference"/>
        </w:rPr>
        <w:footnoteRef/>
      </w:r>
      <w:r>
        <w:t xml:space="preserve"> </w:t>
      </w:r>
      <w:r w:rsidRPr="002417F2" w:rsidR="002417F2">
        <w:rPr>
          <w:i/>
          <w:iCs/>
        </w:rPr>
        <w:t>Id.</w:t>
      </w:r>
      <w:r>
        <w:t xml:space="preserve"> at 2-3.</w:t>
      </w:r>
    </w:p>
  </w:footnote>
  <w:footnote w:id="14">
    <w:p w:rsidR="00064C7D" w14:paraId="609672E9" w14:textId="77777777">
      <w:pPr>
        <w:pStyle w:val="FootnoteText"/>
      </w:pPr>
      <w:r>
        <w:rPr>
          <w:rStyle w:val="FootnoteReference"/>
        </w:rPr>
        <w:footnoteRef/>
      </w:r>
      <w:r>
        <w:t xml:space="preserve"> </w:t>
      </w:r>
      <w:r w:rsidRPr="001603F3">
        <w:rPr>
          <w:i/>
          <w:iCs/>
        </w:rPr>
        <w:t>Id</w:t>
      </w:r>
      <w:r>
        <w:t>. at 5.</w:t>
      </w:r>
    </w:p>
  </w:footnote>
  <w:footnote w:id="15">
    <w:p w:rsidR="002006CA" w14:paraId="06C3450A" w14:textId="77777777">
      <w:pPr>
        <w:pStyle w:val="FootnoteText"/>
      </w:pPr>
      <w:r>
        <w:rPr>
          <w:rStyle w:val="FootnoteReference"/>
        </w:rPr>
        <w:footnoteRef/>
      </w:r>
      <w:r>
        <w:t xml:space="preserve"> </w:t>
      </w:r>
      <w:r w:rsidRPr="001603F3">
        <w:rPr>
          <w:i/>
          <w:iCs/>
        </w:rPr>
        <w:t>See id</w:t>
      </w:r>
      <w:r>
        <w:t>. at 4-5.</w:t>
      </w:r>
    </w:p>
  </w:footnote>
  <w:footnote w:id="16">
    <w:p w:rsidR="00175467" w14:paraId="0C3C55CC" w14:textId="77777777">
      <w:pPr>
        <w:pStyle w:val="FootnoteText"/>
      </w:pPr>
      <w:r>
        <w:rPr>
          <w:rStyle w:val="FootnoteReference"/>
        </w:rPr>
        <w:footnoteRef/>
      </w:r>
      <w:r>
        <w:t xml:space="preserve"> </w:t>
      </w:r>
      <w:r w:rsidRPr="001603F3">
        <w:rPr>
          <w:i/>
          <w:iCs/>
        </w:rPr>
        <w:t>See id</w:t>
      </w:r>
      <w:r>
        <w:t>. at 5-6.</w:t>
      </w:r>
    </w:p>
  </w:footnote>
  <w:footnote w:id="17">
    <w:p w:rsidR="00B838A7" w14:paraId="01B41954" w14:textId="77777777">
      <w:pPr>
        <w:pStyle w:val="FootnoteText"/>
      </w:pPr>
      <w:r>
        <w:rPr>
          <w:rStyle w:val="FootnoteReference"/>
        </w:rPr>
        <w:footnoteRef/>
      </w:r>
      <w:r>
        <w:t xml:space="preserve"> </w:t>
      </w:r>
      <w:r w:rsidRPr="001603F3">
        <w:rPr>
          <w:i/>
          <w:iCs/>
        </w:rPr>
        <w:t>See id</w:t>
      </w:r>
      <w:r>
        <w:t>. at 6.</w:t>
      </w:r>
    </w:p>
  </w:footnote>
  <w:footnote w:id="18">
    <w:p w:rsidR="00B838A7" w14:paraId="753C510D" w14:textId="73B87CF7">
      <w:pPr>
        <w:pStyle w:val="FootnoteText"/>
      </w:pPr>
      <w:r>
        <w:rPr>
          <w:rStyle w:val="FootnoteReference"/>
        </w:rPr>
        <w:footnoteRef/>
      </w:r>
      <w:r>
        <w:t xml:space="preserve"> </w:t>
      </w:r>
      <w:r w:rsidRPr="002417F2" w:rsidR="002417F2">
        <w:rPr>
          <w:i/>
          <w:iCs/>
        </w:rPr>
        <w:t>See id</w:t>
      </w:r>
      <w:r w:rsidRPr="002417F2">
        <w:rPr>
          <w:i/>
          <w:iCs/>
        </w:rPr>
        <w:t>.</w:t>
      </w:r>
      <w:r>
        <w:t xml:space="preserve"> at 7.</w:t>
      </w:r>
    </w:p>
  </w:footnote>
  <w:footnote w:id="19">
    <w:p w:rsidR="00B413CB" w14:paraId="25FE6001" w14:textId="77777777">
      <w:pPr>
        <w:pStyle w:val="FootnoteText"/>
      </w:pPr>
      <w:r>
        <w:rPr>
          <w:rStyle w:val="FootnoteReference"/>
        </w:rPr>
        <w:footnoteRef/>
      </w:r>
      <w:r>
        <w:t xml:space="preserve"> </w:t>
      </w:r>
      <w:r w:rsidRPr="001603F3">
        <w:rPr>
          <w:i/>
          <w:iCs/>
        </w:rPr>
        <w:t>Id</w:t>
      </w:r>
      <w:r>
        <w:t>.</w:t>
      </w:r>
    </w:p>
  </w:footnote>
  <w:footnote w:id="20">
    <w:p w:rsidR="008B69E2" w14:paraId="2AB5CFB8" w14:textId="77777777">
      <w:pPr>
        <w:pStyle w:val="FootnoteText"/>
      </w:pPr>
      <w:r>
        <w:rPr>
          <w:rStyle w:val="FootnoteReference"/>
        </w:rPr>
        <w:footnoteRef/>
      </w:r>
      <w:r>
        <w:t xml:space="preserve"> </w:t>
      </w:r>
      <w:r w:rsidRPr="001603F3">
        <w:rPr>
          <w:i/>
          <w:iCs/>
        </w:rPr>
        <w:t>Id</w:t>
      </w:r>
      <w:r>
        <w:t>. at 8.</w:t>
      </w:r>
    </w:p>
  </w:footnote>
  <w:footnote w:id="21">
    <w:p w:rsidR="006D3291" w:rsidP="006D3291" w14:paraId="36D7A241" w14:textId="77777777">
      <w:pPr>
        <w:pStyle w:val="FootnoteText"/>
      </w:pPr>
      <w:r>
        <w:rPr>
          <w:rStyle w:val="FootnoteReference"/>
        </w:rPr>
        <w:footnoteRef/>
      </w:r>
      <w:r>
        <w:t xml:space="preserve"> </w:t>
      </w:r>
      <w:r w:rsidRPr="00315DC9">
        <w:rPr>
          <w:i/>
          <w:iCs/>
        </w:rPr>
        <w:t xml:space="preserve">See </w:t>
      </w:r>
      <w:r>
        <w:t>47 CFR § 1.925(b)(3)</w:t>
      </w:r>
    </w:p>
  </w:footnote>
  <w:footnote w:id="22">
    <w:p w:rsidR="00574CA7" w:rsidRPr="00330976" w:rsidP="00574CA7" w14:paraId="7D3F9604" w14:textId="4F92FF1D">
      <w:pPr>
        <w:pStyle w:val="FootnoteText"/>
      </w:pPr>
      <w:r>
        <w:rPr>
          <w:rStyle w:val="FootnoteReference"/>
        </w:rPr>
        <w:footnoteRef/>
      </w:r>
      <w:r>
        <w:t xml:space="preserve"> </w:t>
      </w:r>
      <w:r w:rsidRPr="00032E06">
        <w:rPr>
          <w:i/>
          <w:iCs/>
        </w:rPr>
        <w:t>See</w:t>
      </w:r>
      <w:r>
        <w:t xml:space="preserve"> </w:t>
      </w:r>
      <w:r w:rsidRPr="002417F2">
        <w:rPr>
          <w:i/>
          <w:iCs/>
        </w:rPr>
        <w:t>Four Corner</w:t>
      </w:r>
      <w:r w:rsidRPr="002417F2" w:rsidR="00AE6B41">
        <w:rPr>
          <w:i/>
          <w:iCs/>
        </w:rPr>
        <w:t>s</w:t>
      </w:r>
      <w:r w:rsidRPr="002417F2">
        <w:rPr>
          <w:i/>
          <w:iCs/>
        </w:rPr>
        <w:t xml:space="preserve"> Broadcasting, LLC, Request for Waiver of Section 1.2106(a)</w:t>
      </w:r>
      <w:r w:rsidRPr="002417F2" w:rsidR="002417F2">
        <w:rPr>
          <w:i/>
          <w:iCs/>
        </w:rPr>
        <w:t>, Closed</w:t>
      </w:r>
      <w:r w:rsidRPr="002417F2">
        <w:rPr>
          <w:i/>
          <w:iCs/>
        </w:rPr>
        <w:t xml:space="preserve"> Broadcast Auction 88</w:t>
      </w:r>
      <w:r>
        <w:t>,</w:t>
      </w:r>
      <w:r w:rsidR="002417F2">
        <w:t xml:space="preserve"> Letter Order,</w:t>
      </w:r>
      <w:r>
        <w:t xml:space="preserve"> 25 FCC </w:t>
      </w:r>
      <w:r>
        <w:t>Rcd</w:t>
      </w:r>
      <w:r>
        <w:t xml:space="preserve"> 9046, 9048-49 (WTB 2008)</w:t>
      </w:r>
      <w:r>
        <w:rPr>
          <w:i/>
        </w:rPr>
        <w:t xml:space="preserve"> </w:t>
      </w:r>
      <w:r>
        <w:t>(</w:t>
      </w:r>
      <w:r>
        <w:rPr>
          <w:i/>
          <w:iCs/>
        </w:rPr>
        <w:t>Four Corners</w:t>
      </w:r>
      <w:r>
        <w:t>);</w:t>
      </w:r>
      <w:r>
        <w:rPr>
          <w:i/>
        </w:rPr>
        <w:t xml:space="preserve"> </w:t>
      </w:r>
      <w:r w:rsidRPr="002417F2">
        <w:rPr>
          <w:i/>
        </w:rPr>
        <w:t>Spectrum Acquisitions, Inc. Application to Participate in Auction 73 – Request for Waiver of Upfront Payment Deadline</w:t>
      </w:r>
      <w:r>
        <w:t xml:space="preserve">, </w:t>
      </w:r>
      <w:r w:rsidR="002417F2">
        <w:t xml:space="preserve">Letter Order, </w:t>
      </w:r>
      <w:r>
        <w:t xml:space="preserve">23 FCC </w:t>
      </w:r>
      <w:r>
        <w:t>Rcd</w:t>
      </w:r>
      <w:r>
        <w:t xml:space="preserve"> 4765, 4767 (WTB 2008).  </w:t>
      </w:r>
    </w:p>
  </w:footnote>
  <w:footnote w:id="23">
    <w:p w:rsidR="00574CA7" w:rsidP="00574CA7" w14:paraId="0B6B1676" w14:textId="41B83B6C">
      <w:pPr>
        <w:pStyle w:val="FootnoteText"/>
      </w:pPr>
      <w:r>
        <w:rPr>
          <w:rStyle w:val="FootnoteReference"/>
        </w:rPr>
        <w:footnoteRef/>
      </w:r>
      <w:r>
        <w:t xml:space="preserve"> </w:t>
      </w:r>
      <w:r w:rsidRPr="00D56001">
        <w:rPr>
          <w:i/>
          <w:iCs/>
        </w:rPr>
        <w:t>See</w:t>
      </w:r>
      <w:r>
        <w:t xml:space="preserve"> </w:t>
      </w:r>
      <w:r>
        <w:rPr>
          <w:i/>
          <w:iCs/>
        </w:rPr>
        <w:t>Four Corners</w:t>
      </w:r>
      <w:r>
        <w:t xml:space="preserve">, 35 FCC </w:t>
      </w:r>
      <w:r>
        <w:t>Rcd</w:t>
      </w:r>
      <w:r>
        <w:t xml:space="preserve"> at 9048-49; </w:t>
      </w:r>
      <w:r>
        <w:rPr>
          <w:i/>
        </w:rPr>
        <w:t>Spectrum Acquisitions</w:t>
      </w:r>
      <w:r>
        <w:t xml:space="preserve">, 23 FCC </w:t>
      </w:r>
      <w:r>
        <w:t>Rcd</w:t>
      </w:r>
      <w:r>
        <w:t xml:space="preserve"> at 4769-70</w:t>
      </w:r>
      <w:r w:rsidR="002417F2">
        <w:t xml:space="preserve">; Letter to M. </w:t>
      </w:r>
      <w:r w:rsidR="002417F2">
        <w:t>Tamber</w:t>
      </w:r>
      <w:r w:rsidR="002417F2">
        <w:t xml:space="preserve"> Christian, from Amy J. </w:t>
      </w:r>
      <w:r w:rsidR="002417F2">
        <w:t>Zoslov</w:t>
      </w:r>
      <w:r w:rsidR="002417F2">
        <w:t xml:space="preserve">, Chief, Auction and Industry Analysis Division, Wireless Telecommunications Bureau, 14 FCC </w:t>
      </w:r>
      <w:r w:rsidR="002417F2">
        <w:t>Rcd</w:t>
      </w:r>
      <w:r w:rsidR="002417F2">
        <w:t xml:space="preserve"> 4013, 4015 (WTB 1999).</w:t>
      </w:r>
      <w:r w:rsidR="00AE6B41">
        <w:t xml:space="preserve"> </w:t>
      </w:r>
      <w:bookmarkStart w:id="0" w:name="_GoBack"/>
      <w:bookmarkEnd w:id="0"/>
    </w:p>
  </w:footnote>
  <w:footnote w:id="24">
    <w:p w:rsidR="00944AC7" w14:paraId="4A9A6D15" w14:textId="70C6ECCA">
      <w:pPr>
        <w:pStyle w:val="FootnoteText"/>
      </w:pPr>
      <w:r>
        <w:rPr>
          <w:rStyle w:val="FootnoteReference"/>
        </w:rPr>
        <w:footnoteRef/>
      </w:r>
      <w:r>
        <w:t xml:space="preserve"> Waiver Request at 10.  </w:t>
      </w:r>
    </w:p>
  </w:footnote>
  <w:footnote w:id="25">
    <w:p w:rsidR="004C580C" w:rsidRPr="004C580C" w14:paraId="34D31E8D" w14:textId="66D65E38">
      <w:pPr>
        <w:pStyle w:val="FootnoteText"/>
      </w:pPr>
      <w:r>
        <w:rPr>
          <w:rStyle w:val="FootnoteReference"/>
        </w:rPr>
        <w:footnoteRef/>
      </w:r>
      <w:r>
        <w:t xml:space="preserve"> </w:t>
      </w:r>
      <w:r w:rsidR="002417F2">
        <w:rPr>
          <w:i/>
          <w:iCs/>
        </w:rPr>
        <w:t>Id.</w:t>
      </w:r>
      <w:r w:rsidR="002417F2">
        <w:t xml:space="preserve"> at 8-10 (citing </w:t>
      </w:r>
      <w:r w:rsidRPr="001E2237" w:rsidR="002417F2">
        <w:rPr>
          <w:i/>
          <w:iCs/>
        </w:rPr>
        <w:t>Application of Ramona Lee Hayes-Bell for a New FM Construction Permit On Channel 236a At Pahrump, Nevad</w:t>
      </w:r>
      <w:r w:rsidRPr="00F00BD9" w:rsidR="002417F2">
        <w:t>a</w:t>
      </w:r>
      <w:r w:rsidR="002417F2">
        <w:t xml:space="preserve">, </w:t>
      </w:r>
      <w:r w:rsidRPr="001E2237" w:rsidR="002417F2">
        <w:rPr>
          <w:iCs/>
        </w:rPr>
        <w:t>Memorandum Opinion and Order</w:t>
      </w:r>
      <w:r w:rsidR="002417F2">
        <w:t xml:space="preserve">, 15 FCC </w:t>
      </w:r>
      <w:r w:rsidR="002417F2">
        <w:t>Rcd</w:t>
      </w:r>
      <w:r w:rsidR="002417F2">
        <w:t xml:space="preserve"> 14729 (WTB 2000) (</w:t>
      </w:r>
      <w:r w:rsidR="002417F2">
        <w:rPr>
          <w:i/>
        </w:rPr>
        <w:t>Hayes-Bell</w:t>
      </w:r>
      <w:r w:rsidR="002417F2">
        <w:t xml:space="preserve">); </w:t>
      </w:r>
      <w:r w:rsidRPr="001E2237" w:rsidR="002417F2">
        <w:t xml:space="preserve">Letter to Lynn R. </w:t>
      </w:r>
      <w:r w:rsidRPr="001E2237" w:rsidR="002417F2">
        <w:t>Chartyan</w:t>
      </w:r>
      <w:r w:rsidRPr="001E2237" w:rsidR="002417F2">
        <w:t>, counsel to MPCS Wireless, Inc., from Margaret W. Wiener, Chief, Auctions and Industry Analysis Division, Wireless Telecommunications Bureau</w:t>
      </w:r>
      <w:r w:rsidRPr="00F00BD9" w:rsidR="002417F2">
        <w:rPr>
          <w:i/>
          <w:iCs/>
        </w:rPr>
        <w:t>,</w:t>
      </w:r>
      <w:r w:rsidRPr="004A2D45" w:rsidR="002417F2">
        <w:rPr>
          <w:i/>
          <w:iCs/>
        </w:rPr>
        <w:t>.</w:t>
      </w:r>
      <w:r w:rsidR="002417F2">
        <w:t xml:space="preserve">, 15 FCC </w:t>
      </w:r>
      <w:r w:rsidR="002417F2">
        <w:t>Rcd</w:t>
      </w:r>
      <w:r w:rsidR="002417F2">
        <w:t xml:space="preserve"> 24540 (</w:t>
      </w:r>
      <w:r w:rsidRPr="001E2237" w:rsidR="002417F2">
        <w:rPr>
          <w:i/>
          <w:iCs/>
        </w:rPr>
        <w:t>MPCS Wireless</w:t>
      </w:r>
      <w:r w:rsidR="002417F2">
        <w:t xml:space="preserve">); Letter to Patrick Shannon, Esq., Counsel to Lynch 3G Communications Corporation, from Margaret W. Wiener, Chief, Auctions and Industry Analysis Division, Wireless Telecommunications Bureau, </w:t>
      </w:r>
      <w:r w:rsidR="002417F2">
        <w:rPr>
          <w:rStyle w:val="item-value"/>
        </w:rPr>
        <w:t xml:space="preserve">18 FCC </w:t>
      </w:r>
      <w:r w:rsidR="002417F2">
        <w:rPr>
          <w:rStyle w:val="item-value"/>
        </w:rPr>
        <w:t>Rcd</w:t>
      </w:r>
      <w:r w:rsidR="002417F2">
        <w:rPr>
          <w:rStyle w:val="item-value"/>
        </w:rPr>
        <w:t xml:space="preserve"> 11552 (WTB 2003) (</w:t>
      </w:r>
      <w:r w:rsidR="002417F2">
        <w:rPr>
          <w:rStyle w:val="item-value"/>
          <w:i/>
          <w:iCs/>
        </w:rPr>
        <w:t>Lynch 3G</w:t>
      </w:r>
      <w:r w:rsidR="002417F2">
        <w:rPr>
          <w:rStyle w:val="item-value"/>
        </w:rPr>
        <w:t>);</w:t>
      </w:r>
      <w:r w:rsidR="002417F2">
        <w:t xml:space="preserve"> Letter to Patrick Shannon, Esq., Counsel to Jeff Scott </w:t>
      </w:r>
      <w:r w:rsidR="002417F2">
        <w:t>Cofsky</w:t>
      </w:r>
      <w:r w:rsidR="002417F2">
        <w:t xml:space="preserve"> d/b/a Texas License Consultants, from Margaret W. Wiener, Chief, Auctions and Industry Analysis Division, Wireless Telecommunications Bureau, 18 FCC </w:t>
      </w:r>
      <w:r w:rsidR="002417F2">
        <w:t>Rcd</w:t>
      </w:r>
      <w:r w:rsidR="002417F2">
        <w:t xml:space="preserve"> 9721 (WTB 2003) (</w:t>
      </w:r>
      <w:r w:rsidRPr="00F95EBE" w:rsidR="002417F2">
        <w:rPr>
          <w:i/>
          <w:iCs/>
        </w:rPr>
        <w:t>Texas License Consultants</w:t>
      </w:r>
      <w:r w:rsidR="002417F2">
        <w:t xml:space="preserve">)). </w:t>
      </w:r>
    </w:p>
  </w:footnote>
  <w:footnote w:id="26">
    <w:p w:rsidR="004C580C" w:rsidP="004C580C" w14:paraId="265C82ED" w14:textId="1EE9EBDF">
      <w:pPr>
        <w:pStyle w:val="FootnoteText"/>
      </w:pPr>
      <w:r>
        <w:rPr>
          <w:rStyle w:val="FootnoteReference"/>
        </w:rPr>
        <w:footnoteRef/>
      </w:r>
      <w:r>
        <w:t xml:space="preserve"> </w:t>
      </w:r>
      <w:r w:rsidRPr="002C15CB">
        <w:rPr>
          <w:i/>
          <w:iCs/>
        </w:rPr>
        <w:t xml:space="preserve">See </w:t>
      </w:r>
      <w:r w:rsidR="00AE6B41">
        <w:rPr>
          <w:i/>
        </w:rPr>
        <w:t>Hayes-Bell</w:t>
      </w:r>
      <w:r>
        <w:t xml:space="preserve">, 15 FCC </w:t>
      </w:r>
      <w:r>
        <w:t>Rcd</w:t>
      </w:r>
      <w:r>
        <w:t xml:space="preserve"> </w:t>
      </w:r>
      <w:r w:rsidR="00AE6B41">
        <w:t>at</w:t>
      </w:r>
      <w:r>
        <w:t xml:space="preserve"> 14732.</w:t>
      </w:r>
    </w:p>
  </w:footnote>
  <w:footnote w:id="27">
    <w:p w:rsidR="002417F2" w:rsidP="002417F2" w14:paraId="53FFA9EA" w14:textId="77777777">
      <w:pPr>
        <w:pStyle w:val="FootnoteText"/>
      </w:pPr>
      <w:r>
        <w:rPr>
          <w:rStyle w:val="FootnoteReference"/>
        </w:rPr>
        <w:footnoteRef/>
      </w:r>
      <w:r>
        <w:t xml:space="preserve"> </w:t>
      </w:r>
      <w:r w:rsidRPr="001E2237">
        <w:rPr>
          <w:i/>
          <w:iCs/>
        </w:rPr>
        <w:t>See</w:t>
      </w:r>
      <w:r>
        <w:t xml:space="preserve"> </w:t>
      </w:r>
      <w:r w:rsidRPr="001E2237">
        <w:rPr>
          <w:i/>
          <w:iCs/>
        </w:rPr>
        <w:t>MPCS Wireless</w:t>
      </w:r>
      <w:r>
        <w:t xml:space="preserve">, 15 FCC </w:t>
      </w:r>
      <w:r>
        <w:t>Rcd</w:t>
      </w:r>
      <w:r>
        <w:t xml:space="preserve"> at 24541-42.</w:t>
      </w:r>
    </w:p>
  </w:footnote>
  <w:footnote w:id="28">
    <w:p w:rsidR="00F95EBE" w:rsidRPr="00F95EBE" w14:paraId="062C72AF" w14:textId="53E95612">
      <w:pPr>
        <w:pStyle w:val="FootnoteText"/>
      </w:pPr>
      <w:r>
        <w:rPr>
          <w:rStyle w:val="FootnoteReference"/>
        </w:rPr>
        <w:footnoteRef/>
      </w:r>
      <w:r>
        <w:t xml:space="preserve"> </w:t>
      </w:r>
      <w:r>
        <w:rPr>
          <w:i/>
          <w:iCs/>
        </w:rPr>
        <w:t>See Lynch 3G</w:t>
      </w:r>
      <w:r>
        <w:t xml:space="preserve">, 18 FCC </w:t>
      </w:r>
      <w:r>
        <w:t>Rcd</w:t>
      </w:r>
      <w:r>
        <w:t xml:space="preserve"> </w:t>
      </w:r>
      <w:r w:rsidR="004A101C">
        <w:t xml:space="preserve">at </w:t>
      </w:r>
      <w:r>
        <w:t xml:space="preserve">11552; </w:t>
      </w:r>
      <w:r>
        <w:rPr>
          <w:i/>
          <w:iCs/>
        </w:rPr>
        <w:t>Texas License Consultants</w:t>
      </w:r>
      <w:r>
        <w:t xml:space="preserve">, 18 FCC </w:t>
      </w:r>
      <w:r>
        <w:t>Rcd</w:t>
      </w:r>
      <w:r w:rsidR="004A101C">
        <w:t xml:space="preserve"> at</w:t>
      </w:r>
      <w:r>
        <w:t xml:space="preserve"> 9721.</w:t>
      </w:r>
    </w:p>
  </w:footnote>
  <w:footnote w:id="29">
    <w:p w:rsidR="004C580C" w:rsidRPr="0008448E" w:rsidP="004C580C" w14:paraId="68824544" w14:textId="63FB9184">
      <w:pPr>
        <w:pStyle w:val="FootnoteText"/>
      </w:pPr>
      <w:r>
        <w:rPr>
          <w:rStyle w:val="FootnoteReference"/>
        </w:rPr>
        <w:footnoteRef/>
      </w:r>
      <w:r>
        <w:t xml:space="preserve"> </w:t>
      </w:r>
      <w:r w:rsidRPr="003F040E">
        <w:rPr>
          <w:i/>
        </w:rPr>
        <w:t>See</w:t>
      </w:r>
      <w:r>
        <w:rPr>
          <w:i/>
        </w:rPr>
        <w:t xml:space="preserve"> </w:t>
      </w:r>
      <w:r w:rsidRPr="002C113D">
        <w:rPr>
          <w:i/>
        </w:rPr>
        <w:t>e.</w:t>
      </w:r>
      <w:r>
        <w:rPr>
          <w:i/>
        </w:rPr>
        <w:t>g.</w:t>
      </w:r>
      <w:r w:rsidRPr="002C113D">
        <w:rPr>
          <w:i/>
        </w:rPr>
        <w:t>,</w:t>
      </w:r>
      <w:r>
        <w:t xml:space="preserve"> </w:t>
      </w:r>
      <w:r w:rsidRPr="009E594E">
        <w:rPr>
          <w:i/>
        </w:rPr>
        <w:t>Rio</w:t>
      </w:r>
      <w:r>
        <w:t xml:space="preserve"> </w:t>
      </w:r>
      <w:r w:rsidRPr="005552E3">
        <w:rPr>
          <w:i/>
        </w:rPr>
        <w:t>Grande Family Radio Fellowship</w:t>
      </w:r>
      <w:r>
        <w:rPr>
          <w:i/>
        </w:rPr>
        <w:t>,</w:t>
      </w:r>
      <w:r w:rsidRPr="005552E3">
        <w:rPr>
          <w:i/>
        </w:rPr>
        <w:t xml:space="preserve"> Inc. v. FCC</w:t>
      </w:r>
      <w:r>
        <w:t>, 406 F.2d 664, 666 (</w:t>
      </w:r>
      <w:r w:rsidRPr="00081CF5">
        <w:t xml:space="preserve">D.C. Cir. </w:t>
      </w:r>
      <w:r>
        <w:t xml:space="preserve">1968; </w:t>
      </w:r>
      <w:r>
        <w:rPr>
          <w:i/>
        </w:rPr>
        <w:t>Ted W. Austin, Jr.</w:t>
      </w:r>
      <w:r>
        <w:t xml:space="preserve">, </w:t>
      </w:r>
      <w:r w:rsidRPr="004148B2" w:rsidR="004A101C">
        <w:rPr>
          <w:i/>
          <w:iCs/>
        </w:rPr>
        <w:t>Application for Review of Order Denying Request for Waiver of Down Payment Deadline for Auction 62</w:t>
      </w:r>
      <w:r w:rsidR="004A101C">
        <w:t xml:space="preserve">, </w:t>
      </w:r>
      <w:r w:rsidRPr="00874F8E">
        <w:t xml:space="preserve">Memorandum Opinion and </w:t>
      </w:r>
      <w:r>
        <w:t xml:space="preserve">Order, 30 FCC </w:t>
      </w:r>
      <w:r>
        <w:t>Rcd</w:t>
      </w:r>
      <w:r>
        <w:t xml:space="preserve"> 3486, 3488, para. 6 (2015).  </w:t>
      </w:r>
    </w:p>
  </w:footnote>
  <w:footnote w:id="30">
    <w:p w:rsidR="004C580C" w:rsidP="004C580C" w14:paraId="68A82E0C" w14:textId="4D33E5F3">
      <w:pPr>
        <w:pStyle w:val="FootnoteText"/>
      </w:pPr>
      <w:r>
        <w:rPr>
          <w:rStyle w:val="FootnoteReference"/>
        </w:rPr>
        <w:footnoteRef/>
      </w:r>
      <w:r>
        <w:t xml:space="preserve"> </w:t>
      </w:r>
      <w:r>
        <w:rPr>
          <w:i/>
          <w:iCs/>
        </w:rPr>
        <w:t xml:space="preserve">See </w:t>
      </w:r>
      <w:r w:rsidRPr="001433A4">
        <w:rPr>
          <w:rStyle w:val="cosearchterm"/>
          <w:i/>
          <w:iCs/>
        </w:rPr>
        <w:t>NBVDS</w:t>
      </w:r>
      <w:r w:rsidRPr="001433A4">
        <w:rPr>
          <w:i/>
          <w:iCs/>
        </w:rPr>
        <w:t xml:space="preserve"> </w:t>
      </w:r>
      <w:r w:rsidRPr="001433A4">
        <w:rPr>
          <w:rStyle w:val="cosearchterm"/>
          <w:i/>
          <w:iCs/>
        </w:rPr>
        <w:t xml:space="preserve">Investment, </w:t>
      </w:r>
      <w:r w:rsidRPr="001433A4">
        <w:rPr>
          <w:i/>
          <w:iCs/>
        </w:rPr>
        <w:t>L.L.C. Request for Waiver of Section 1.2105 of the Commission’s Rules for Auction 101</w:t>
      </w:r>
      <w:r>
        <w:t xml:space="preserve">, Memorandum Opinion and Order, </w:t>
      </w:r>
      <w:r>
        <w:rPr>
          <w:rStyle w:val="item-value"/>
        </w:rPr>
        <w:t xml:space="preserve">34 FCC </w:t>
      </w:r>
      <w:r>
        <w:rPr>
          <w:rStyle w:val="item-value"/>
        </w:rPr>
        <w:t>Rcd</w:t>
      </w:r>
      <w:r>
        <w:rPr>
          <w:rStyle w:val="item-value"/>
        </w:rPr>
        <w:t xml:space="preserve"> 8507, 8511 para. 13 </w:t>
      </w:r>
      <w:r>
        <w:t xml:space="preserve">n.31 (2019) (upholding denial </w:t>
      </w:r>
      <w:r w:rsidR="004A101C">
        <w:t xml:space="preserve">or request for waiver of </w:t>
      </w:r>
      <w:r>
        <w:t>auction short-form application filing deadline).</w:t>
      </w:r>
    </w:p>
  </w:footnote>
  <w:footnote w:id="31">
    <w:p w:rsidR="00F00EEB" w:rsidP="00F00EEB" w14:paraId="1383A2FE" w14:textId="0056C8D0">
      <w:pPr>
        <w:pStyle w:val="FootnoteText"/>
      </w:pPr>
      <w:r>
        <w:rPr>
          <w:rStyle w:val="FootnoteReference"/>
        </w:rPr>
        <w:footnoteRef/>
      </w:r>
      <w:r>
        <w:t xml:space="preserve"> </w:t>
      </w:r>
      <w:r>
        <w:rPr>
          <w:i/>
        </w:rPr>
        <w:t>See</w:t>
      </w:r>
      <w:r>
        <w:t xml:space="preserve"> Implementation of Section 309(j) of the Communications Act - Competitive Bidding, PP Docket No. 93-253, </w:t>
      </w:r>
      <w:r>
        <w:rPr>
          <w:i/>
        </w:rPr>
        <w:t>Second Report and Order</w:t>
      </w:r>
      <w:r>
        <w:t xml:space="preserve">, 9 FCC </w:t>
      </w:r>
      <w:r>
        <w:t>Rcd</w:t>
      </w:r>
      <w:r>
        <w:t xml:space="preserve"> 2348, 2377 ¶ 169 (1994); </w:t>
      </w:r>
      <w:r>
        <w:rPr>
          <w:i/>
        </w:rPr>
        <w:t>Delta Radio, Inc. v. FCC</w:t>
      </w:r>
      <w:r>
        <w:t>, 387 F.3d 897, 899 (D.C. Cir. 2004) (</w:t>
      </w:r>
      <w:r w:rsidRPr="003D4374" w:rsidR="003D4374">
        <w:rPr>
          <w:i/>
          <w:iCs/>
        </w:rPr>
        <w:t>Delta Radio</w:t>
      </w:r>
      <w:r w:rsidR="003D4374">
        <w:t>) (</w:t>
      </w:r>
      <w:r>
        <w:t xml:space="preserve">affirming Commission denial of request for waiver of final payment deadline). </w:t>
      </w:r>
    </w:p>
  </w:footnote>
  <w:footnote w:id="32">
    <w:p w:rsidR="00F00EEB" w:rsidP="00F00EEB" w14:paraId="316C092D" w14:textId="77777777">
      <w:pPr>
        <w:pStyle w:val="FootnoteText"/>
      </w:pPr>
      <w:r>
        <w:rPr>
          <w:rStyle w:val="FootnoteReference"/>
        </w:rPr>
        <w:footnoteRef/>
      </w:r>
      <w:r>
        <w:rPr>
          <w:i/>
        </w:rPr>
        <w:t xml:space="preserve"> See Delta Radio</w:t>
      </w:r>
      <w:r>
        <w:t xml:space="preserve">, 387 F.3d at 901.  “Entering the auction unprepared to pay on schedule is precisely the kind of conduct the FCC rules are designed to deter.”  </w:t>
      </w:r>
      <w:smartTag w:uri="urn:schemas-microsoft-com:office:smarttags" w:element="place">
        <w:smartTag w:uri="urn:schemas-microsoft-com:office:smarttags" w:element="State">
          <w:r>
            <w:rPr>
              <w:i/>
            </w:rPr>
            <w:t>Id.</w:t>
          </w:r>
        </w:smartTag>
      </w:smartTag>
      <w:r>
        <w:t xml:space="preserve"> at 903.</w:t>
      </w:r>
    </w:p>
    <w:p w:rsidR="00F00EEB" w:rsidP="00F00EEB" w14:paraId="18A8D94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A9A" w14:paraId="5A889258" w14:textId="0D06CEDA">
    <w:pPr>
      <w:pStyle w:val="Header"/>
    </w:pPr>
    <w:r>
      <w:tab/>
      <w:t>Federal Communications Commission</w:t>
    </w:r>
    <w:r>
      <w:tab/>
      <w:t xml:space="preserve">DA </w:t>
    </w:r>
    <w:r w:rsidR="00B96BFD">
      <w:t>20-</w:t>
    </w:r>
    <w:r w:rsidR="00630211">
      <w:t>765</w:t>
    </w:r>
  </w:p>
  <w:p w:rsidR="00ED7A9A" w14:paraId="44632DA8"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ED7A9A" w14:paraId="2BDB71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A9A" w14:paraId="07237A5E" w14:textId="1F6D6266">
    <w:pPr>
      <w:pStyle w:val="Header"/>
    </w:pPr>
    <w:r>
      <w:tab/>
      <w:t xml:space="preserve">Federal Communications Commission   </w:t>
    </w:r>
    <w:r>
      <w:tab/>
      <w:t>DA 20-</w:t>
    </w:r>
    <w:r w:rsidR="00630211">
      <w:t>765</w:t>
    </w:r>
  </w:p>
  <w:p w:rsidR="00ED7A9A" w14:paraId="771A1CBF"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61182925"/>
    <w:multiLevelType w:val="singleLevel"/>
    <w:tmpl w:val="9EF241DA"/>
    <w:lvl w:ilvl="0">
      <w:start w:val="1"/>
      <w:numFmt w:val="decimal"/>
      <w:pStyle w:val="ParaNum"/>
      <w:lvlText w:val="%1."/>
      <w:lvlJc w:val="left"/>
      <w:pPr>
        <w:tabs>
          <w:tab w:val="num" w:pos="990"/>
        </w:tabs>
        <w:ind w:left="-9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num w:numId="1">
    <w:abstractNumId w:val="2"/>
  </w:num>
  <w:num w:numId="2">
    <w:abstractNumId w:val="0"/>
  </w:num>
  <w:num w:numId="3">
    <w:abstractNumId w:val="1"/>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F"/>
    <w:rsid w:val="0003069C"/>
    <w:rsid w:val="00032E06"/>
    <w:rsid w:val="00033D64"/>
    <w:rsid w:val="00034472"/>
    <w:rsid w:val="00064C7D"/>
    <w:rsid w:val="00081CF5"/>
    <w:rsid w:val="0008448E"/>
    <w:rsid w:val="0008531C"/>
    <w:rsid w:val="000913E2"/>
    <w:rsid w:val="000A251C"/>
    <w:rsid w:val="000B6BAF"/>
    <w:rsid w:val="000C1F04"/>
    <w:rsid w:val="000C2D8A"/>
    <w:rsid w:val="000D31A0"/>
    <w:rsid w:val="0010481C"/>
    <w:rsid w:val="00124966"/>
    <w:rsid w:val="001433A4"/>
    <w:rsid w:val="001603F3"/>
    <w:rsid w:val="00175467"/>
    <w:rsid w:val="00183079"/>
    <w:rsid w:val="001E107E"/>
    <w:rsid w:val="001E2237"/>
    <w:rsid w:val="001E5FEF"/>
    <w:rsid w:val="002006CA"/>
    <w:rsid w:val="002144C4"/>
    <w:rsid w:val="00217B9D"/>
    <w:rsid w:val="002411E2"/>
    <w:rsid w:val="002417F2"/>
    <w:rsid w:val="002629D3"/>
    <w:rsid w:val="00267A2F"/>
    <w:rsid w:val="002C113D"/>
    <w:rsid w:val="002C15CB"/>
    <w:rsid w:val="002C65B8"/>
    <w:rsid w:val="002F214E"/>
    <w:rsid w:val="00315DC9"/>
    <w:rsid w:val="00323F88"/>
    <w:rsid w:val="00330976"/>
    <w:rsid w:val="00335C21"/>
    <w:rsid w:val="00374269"/>
    <w:rsid w:val="003830FC"/>
    <w:rsid w:val="00391D66"/>
    <w:rsid w:val="003B1AEA"/>
    <w:rsid w:val="003D13DF"/>
    <w:rsid w:val="003D4374"/>
    <w:rsid w:val="003E0F77"/>
    <w:rsid w:val="003F040E"/>
    <w:rsid w:val="0041227A"/>
    <w:rsid w:val="004148B2"/>
    <w:rsid w:val="0045127B"/>
    <w:rsid w:val="00480DCC"/>
    <w:rsid w:val="004A101C"/>
    <w:rsid w:val="004A2D45"/>
    <w:rsid w:val="004C580C"/>
    <w:rsid w:val="004E117F"/>
    <w:rsid w:val="004E7DC6"/>
    <w:rsid w:val="00504439"/>
    <w:rsid w:val="005552E3"/>
    <w:rsid w:val="00574CA7"/>
    <w:rsid w:val="005B50B8"/>
    <w:rsid w:val="005B7FEF"/>
    <w:rsid w:val="00614745"/>
    <w:rsid w:val="00630211"/>
    <w:rsid w:val="006318FC"/>
    <w:rsid w:val="00692781"/>
    <w:rsid w:val="006A1FDF"/>
    <w:rsid w:val="006D3291"/>
    <w:rsid w:val="006D5994"/>
    <w:rsid w:val="006F19BC"/>
    <w:rsid w:val="006F2B9D"/>
    <w:rsid w:val="006F3DAD"/>
    <w:rsid w:val="006F41B4"/>
    <w:rsid w:val="007355F1"/>
    <w:rsid w:val="00735875"/>
    <w:rsid w:val="00745FFC"/>
    <w:rsid w:val="00772EAE"/>
    <w:rsid w:val="00781915"/>
    <w:rsid w:val="0079474E"/>
    <w:rsid w:val="00803271"/>
    <w:rsid w:val="00853274"/>
    <w:rsid w:val="00874F8E"/>
    <w:rsid w:val="00875524"/>
    <w:rsid w:val="00882962"/>
    <w:rsid w:val="008B69E2"/>
    <w:rsid w:val="008E6CBD"/>
    <w:rsid w:val="008E7AF6"/>
    <w:rsid w:val="00917634"/>
    <w:rsid w:val="00940B00"/>
    <w:rsid w:val="00944AC7"/>
    <w:rsid w:val="00951E7B"/>
    <w:rsid w:val="00956DAC"/>
    <w:rsid w:val="0096565A"/>
    <w:rsid w:val="00975E9A"/>
    <w:rsid w:val="00981B3D"/>
    <w:rsid w:val="00992EF1"/>
    <w:rsid w:val="009B5443"/>
    <w:rsid w:val="009E15F5"/>
    <w:rsid w:val="009E594E"/>
    <w:rsid w:val="00A32CB3"/>
    <w:rsid w:val="00A85137"/>
    <w:rsid w:val="00A90251"/>
    <w:rsid w:val="00AE6B41"/>
    <w:rsid w:val="00AF1283"/>
    <w:rsid w:val="00B20992"/>
    <w:rsid w:val="00B306B3"/>
    <w:rsid w:val="00B413CB"/>
    <w:rsid w:val="00B838A7"/>
    <w:rsid w:val="00B96BFD"/>
    <w:rsid w:val="00BD2A50"/>
    <w:rsid w:val="00BE475C"/>
    <w:rsid w:val="00BE78BD"/>
    <w:rsid w:val="00C3716A"/>
    <w:rsid w:val="00C518D8"/>
    <w:rsid w:val="00C55017"/>
    <w:rsid w:val="00C64101"/>
    <w:rsid w:val="00C75BE5"/>
    <w:rsid w:val="00C96A7A"/>
    <w:rsid w:val="00CA6C0A"/>
    <w:rsid w:val="00CB4C5B"/>
    <w:rsid w:val="00CC37B4"/>
    <w:rsid w:val="00CD0F40"/>
    <w:rsid w:val="00CE3CDC"/>
    <w:rsid w:val="00CE4E9C"/>
    <w:rsid w:val="00D043C2"/>
    <w:rsid w:val="00D13AAB"/>
    <w:rsid w:val="00D23E72"/>
    <w:rsid w:val="00D5275E"/>
    <w:rsid w:val="00D56001"/>
    <w:rsid w:val="00D641D3"/>
    <w:rsid w:val="00D7045E"/>
    <w:rsid w:val="00DE053C"/>
    <w:rsid w:val="00DF25FC"/>
    <w:rsid w:val="00DF7F75"/>
    <w:rsid w:val="00E00835"/>
    <w:rsid w:val="00E9199B"/>
    <w:rsid w:val="00EB5B38"/>
    <w:rsid w:val="00EC1AFE"/>
    <w:rsid w:val="00EC5AEF"/>
    <w:rsid w:val="00ED7A9A"/>
    <w:rsid w:val="00EE3785"/>
    <w:rsid w:val="00F00BD9"/>
    <w:rsid w:val="00F00EEB"/>
    <w:rsid w:val="00F346D5"/>
    <w:rsid w:val="00F5318B"/>
    <w:rsid w:val="00F562B4"/>
    <w:rsid w:val="00F95EBE"/>
    <w:rsid w:val="00FA6BEF"/>
    <w:rsid w:val="00FC001A"/>
    <w:rsid w:val="00FE5F01"/>
    <w:rsid w:val="00FE635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0095B7B7-284C-4007-8E0B-B7F6A68F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B6BAF"/>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6BAF"/>
    <w:pPr>
      <w:keepNext/>
      <w:numPr>
        <w:ilvl w:val="1"/>
        <w:numId w:val="2"/>
      </w:numPr>
      <w:spacing w:after="120"/>
      <w:outlineLvl w:val="1"/>
    </w:pPr>
    <w:rPr>
      <w:b/>
    </w:rPr>
  </w:style>
  <w:style w:type="paragraph" w:styleId="Heading3">
    <w:name w:val="heading 3"/>
    <w:basedOn w:val="Normal"/>
    <w:next w:val="ParaNum"/>
    <w:link w:val="Heading3Char"/>
    <w:qFormat/>
    <w:rsid w:val="000B6BA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B6BA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B6BA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B6BA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B6BA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B6BA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B6BA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BA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B6BA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B6BA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B6BA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B6BA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B6BA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B6BA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B6BA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B6BAF"/>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B6BAF"/>
    <w:pPr>
      <w:numPr>
        <w:numId w:val="1"/>
      </w:numPr>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Footnote Text Char3 Char Char Char,f,ft,ft Char Char,ft Char1 Char"/>
    <w:link w:val="FootnoteTextChar1"/>
    <w:qFormat/>
    <w:rsid w:val="000B6BA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B6BA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0B6BAF"/>
    <w:rPr>
      <w:rFonts w:ascii="Times New Roman" w:hAnsi="Times New Roman"/>
      <w:dstrike w:val="0"/>
      <w:sz w:val="22"/>
      <w:vertAlign w:val="superscript"/>
    </w:rPr>
  </w:style>
  <w:style w:type="paragraph" w:styleId="Header">
    <w:name w:val="header"/>
    <w:basedOn w:val="Normal"/>
    <w:link w:val="HeaderChar"/>
    <w:autoRedefine/>
    <w:rsid w:val="000B6BAF"/>
    <w:pPr>
      <w:tabs>
        <w:tab w:val="center" w:pos="4680"/>
        <w:tab w:val="right" w:pos="9360"/>
      </w:tabs>
    </w:pPr>
    <w:rPr>
      <w:b/>
    </w:rPr>
  </w:style>
  <w:style w:type="character" w:customStyle="1" w:styleId="HeaderChar">
    <w:name w:val="Header Char"/>
    <w:basedOn w:val="DefaultParagraphFont"/>
    <w:link w:val="Header"/>
    <w:rsid w:val="000B6BAF"/>
    <w:rPr>
      <w:rFonts w:ascii="Times New Roman" w:eastAsia="Times New Roman" w:hAnsi="Times New Roman" w:cs="Times New Roman"/>
      <w:b/>
      <w:snapToGrid w:val="0"/>
      <w:kern w:val="28"/>
      <w:szCs w:val="20"/>
    </w:rPr>
  </w:style>
  <w:style w:type="paragraph" w:styleId="Footer">
    <w:name w:val="footer"/>
    <w:basedOn w:val="Normal"/>
    <w:link w:val="FooterChar"/>
    <w:rsid w:val="000B6BAF"/>
    <w:pPr>
      <w:tabs>
        <w:tab w:val="center" w:pos="4320"/>
        <w:tab w:val="right" w:pos="8640"/>
      </w:tabs>
    </w:pPr>
  </w:style>
  <w:style w:type="character" w:customStyle="1" w:styleId="FooterChar">
    <w:name w:val="Footer Char"/>
    <w:basedOn w:val="DefaultParagraphFont"/>
    <w:link w:val="Footer"/>
    <w:rsid w:val="000B6BAF"/>
    <w:rPr>
      <w:rFonts w:ascii="Times New Roman" w:eastAsia="Times New Roman" w:hAnsi="Times New Roman" w:cs="Times New Roman"/>
      <w:snapToGrid w:val="0"/>
      <w:kern w:val="28"/>
      <w:szCs w:val="20"/>
    </w:rPr>
  </w:style>
  <w:style w:type="character" w:styleId="PageNumber">
    <w:name w:val="page number"/>
    <w:basedOn w:val="DefaultParagraphFont"/>
    <w:rsid w:val="000B6BAF"/>
  </w:style>
  <w:style w:type="character" w:customStyle="1" w:styleId="ParaNumChar">
    <w:name w:val="ParaNum Char"/>
    <w:link w:val="ParaNum"/>
    <w:rsid w:val="000B6BAF"/>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f Char1,ft Char,ft Char Char Char"/>
    <w:link w:val="FootnoteText"/>
    <w:semiHidden/>
    <w:rsid w:val="000B6B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AF"/>
    <w:rPr>
      <w:rFonts w:ascii="Segoe UI" w:eastAsia="Times New Roman" w:hAnsi="Segoe UI" w:cs="Segoe UI"/>
      <w:snapToGrid w:val="0"/>
      <w:kern w:val="28"/>
      <w:sz w:val="18"/>
      <w:szCs w:val="18"/>
    </w:rPr>
  </w:style>
  <w:style w:type="paragraph" w:customStyle="1" w:styleId="NumberedList">
    <w:name w:val="Numbered List"/>
    <w:basedOn w:val="Normal"/>
    <w:rsid w:val="00C55017"/>
    <w:pPr>
      <w:numPr>
        <w:numId w:val="3"/>
      </w:numPr>
      <w:tabs>
        <w:tab w:val="clear" w:pos="1080"/>
      </w:tabs>
      <w:spacing w:after="220"/>
      <w:ind w:firstLine="0"/>
    </w:pPr>
  </w:style>
  <w:style w:type="character" w:styleId="CommentReference">
    <w:name w:val="annotation reference"/>
    <w:basedOn w:val="DefaultParagraphFont"/>
    <w:uiPriority w:val="99"/>
    <w:semiHidden/>
    <w:unhideWhenUsed/>
    <w:rsid w:val="00574CA7"/>
    <w:rPr>
      <w:sz w:val="16"/>
      <w:szCs w:val="16"/>
    </w:rPr>
  </w:style>
  <w:style w:type="paragraph" w:styleId="CommentText">
    <w:name w:val="annotation text"/>
    <w:basedOn w:val="Normal"/>
    <w:link w:val="CommentTextChar"/>
    <w:uiPriority w:val="99"/>
    <w:semiHidden/>
    <w:unhideWhenUsed/>
    <w:rsid w:val="00574CA7"/>
    <w:rPr>
      <w:sz w:val="20"/>
    </w:rPr>
  </w:style>
  <w:style w:type="character" w:customStyle="1" w:styleId="CommentTextChar">
    <w:name w:val="Comment Text Char"/>
    <w:basedOn w:val="DefaultParagraphFont"/>
    <w:link w:val="CommentText"/>
    <w:uiPriority w:val="99"/>
    <w:semiHidden/>
    <w:rsid w:val="00574CA7"/>
    <w:rPr>
      <w:rFonts w:ascii="Times New Roman" w:eastAsia="Times New Roman" w:hAnsi="Times New Roman" w:cs="Times New Roman"/>
      <w:snapToGrid w:val="0"/>
      <w:kern w:val="28"/>
      <w:sz w:val="20"/>
      <w:szCs w:val="20"/>
    </w:rPr>
  </w:style>
  <w:style w:type="character" w:customStyle="1" w:styleId="cosearchterm">
    <w:name w:val="co_searchterm"/>
    <w:basedOn w:val="DefaultParagraphFont"/>
    <w:rsid w:val="004C580C"/>
  </w:style>
  <w:style w:type="character" w:customStyle="1" w:styleId="item-value">
    <w:name w:val="item-value"/>
    <w:basedOn w:val="DefaultParagraphFont"/>
    <w:rsid w:val="004C580C"/>
  </w:style>
  <w:style w:type="character" w:customStyle="1" w:styleId="FootnoteTextChar3">
    <w:name w:val="Footnote Text Char3"/>
    <w:aliases w:val="Footnote Text Char Char3 Char Char Char Char Char,Footnote Text Char1 Char1 Char Char,Footnote Text Char2 Char,Footnote Text Char3 Char1 Char Char Char Char,Footnote Text Char4 Char Char Char Char,f Char"/>
    <w:basedOn w:val="DefaultParagraphFont"/>
    <w:rsid w:val="00F00EEB"/>
    <w:rPr>
      <w:lang w:val="en-US" w:eastAsia="en-US" w:bidi="ar-SA"/>
    </w:rPr>
  </w:style>
  <w:style w:type="paragraph" w:styleId="CommentSubject">
    <w:name w:val="annotation subject"/>
    <w:basedOn w:val="CommentText"/>
    <w:next w:val="CommentText"/>
    <w:link w:val="CommentSubjectChar"/>
    <w:uiPriority w:val="99"/>
    <w:semiHidden/>
    <w:unhideWhenUsed/>
    <w:rsid w:val="00CE4E9C"/>
    <w:rPr>
      <w:b/>
      <w:bCs/>
    </w:rPr>
  </w:style>
  <w:style w:type="character" w:customStyle="1" w:styleId="CommentSubjectChar">
    <w:name w:val="Comment Subject Char"/>
    <w:basedOn w:val="CommentTextChar"/>
    <w:link w:val="CommentSubject"/>
    <w:uiPriority w:val="99"/>
    <w:semiHidden/>
    <w:rsid w:val="00CE4E9C"/>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951E7B"/>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