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0E5884" w:rsidP="00C82B6B" w14:paraId="73B74651" w14:textId="77777777">
      <w:pPr>
        <w:jc w:val="right"/>
        <w:rPr>
          <w:sz w:val="24"/>
        </w:rPr>
      </w:pPr>
    </w:p>
    <w:p w:rsidR="00013A8B" w:rsidRPr="00B20363" w:rsidP="00013A8B" w14:paraId="59117587" w14:textId="7727FF1E">
      <w:pPr>
        <w:spacing w:before="120" w:after="240"/>
        <w:rPr>
          <w:b/>
          <w:sz w:val="24"/>
        </w:rPr>
      </w:pPr>
      <w:r w:rsidRPr="00B20363">
        <w:rPr>
          <w:b/>
          <w:sz w:val="24"/>
        </w:rPr>
        <w:t xml:space="preserve">Report No. </w:t>
      </w:r>
      <w:r w:rsidR="00C248DC">
        <w:rPr>
          <w:b/>
          <w:sz w:val="24"/>
        </w:rPr>
        <w:t>SPB-282</w:t>
      </w:r>
    </w:p>
    <w:p w:rsidR="00013A8B" w:rsidRPr="00B20363" w:rsidP="00013A8B" w14:paraId="0DD6AFA9" w14:textId="42133115">
      <w:pPr>
        <w:jc w:val="right"/>
        <w:rPr>
          <w:b/>
          <w:sz w:val="24"/>
        </w:rPr>
      </w:pPr>
      <w:r>
        <w:rPr>
          <w:b/>
          <w:sz w:val="24"/>
        </w:rPr>
        <w:t>DA 20-</w:t>
      </w:r>
      <w:r w:rsidR="00AE1C43">
        <w:rPr>
          <w:b/>
          <w:sz w:val="24"/>
        </w:rPr>
        <w:t>779</w:t>
      </w:r>
    </w:p>
    <w:p w:rsidR="00013A8B" w:rsidRPr="00B20363" w:rsidP="00013A8B" w14:paraId="001DA44A" w14:textId="11F60DE3">
      <w:pPr>
        <w:spacing w:before="60"/>
        <w:jc w:val="right"/>
        <w:rPr>
          <w:b/>
          <w:sz w:val="24"/>
        </w:rPr>
      </w:pPr>
      <w:r>
        <w:rPr>
          <w:b/>
          <w:sz w:val="24"/>
        </w:rPr>
        <w:t>July 22, 2020</w:t>
      </w:r>
    </w:p>
    <w:p w:rsidR="00013A8B" w:rsidP="00013A8B" w14:paraId="0C345FB6" w14:textId="77777777">
      <w:pPr>
        <w:jc w:val="right"/>
        <w:rPr>
          <w:sz w:val="24"/>
        </w:rPr>
      </w:pPr>
    </w:p>
    <w:p w:rsidR="00013A8B" w:rsidP="00013A8B" w14:paraId="08340F85" w14:textId="10C7C07E">
      <w:pPr>
        <w:spacing w:after="240"/>
        <w:jc w:val="center"/>
        <w:rPr>
          <w:b/>
          <w:sz w:val="24"/>
        </w:rPr>
      </w:pPr>
      <w:r>
        <w:rPr>
          <w:rFonts w:ascii="Times New Roman Bold" w:hAnsi="Times New Roman Bold"/>
          <w:b/>
          <w:caps/>
          <w:sz w:val="24"/>
        </w:rPr>
        <w:t xml:space="preserve">INTERNATIONAL bUREAU SEEKS COMMENTS ON SATELLITE INDUSTRY </w:t>
      </w:r>
      <w:r w:rsidRPr="007916CD">
        <w:rPr>
          <w:b/>
          <w:caps/>
          <w:sz w:val="24"/>
        </w:rPr>
        <w:t>ASSOCIATION PETITION FOR RECONSIDE</w:t>
      </w:r>
      <w:r w:rsidR="00E57130">
        <w:rPr>
          <w:b/>
          <w:caps/>
          <w:sz w:val="24"/>
        </w:rPr>
        <w:t>R</w:t>
      </w:r>
      <w:r w:rsidRPr="007916CD">
        <w:rPr>
          <w:b/>
          <w:caps/>
          <w:sz w:val="24"/>
        </w:rPr>
        <w:t>ATION OF pUBLIC NOTICE</w:t>
      </w:r>
      <w:r w:rsidR="007916CD">
        <w:rPr>
          <w:b/>
          <w:caps/>
          <w:sz w:val="24"/>
        </w:rPr>
        <w:t xml:space="preserve"> ISSUING GUIDANCE</w:t>
      </w:r>
      <w:r w:rsidRPr="007916CD">
        <w:rPr>
          <w:b/>
          <w:caps/>
          <w:sz w:val="24"/>
        </w:rPr>
        <w:t xml:space="preserve"> ON SITING METHODOLOGIES FOR EARTH STATIONS S</w:t>
      </w:r>
      <w:r w:rsidR="00C718E5">
        <w:rPr>
          <w:b/>
          <w:caps/>
          <w:sz w:val="24"/>
        </w:rPr>
        <w:t xml:space="preserve">ubject to </w:t>
      </w:r>
      <w:r w:rsidR="007916CD">
        <w:rPr>
          <w:b/>
          <w:bCs/>
          <w:sz w:val="24"/>
          <w:szCs w:val="24"/>
        </w:rPr>
        <w:t>SECTION 25.136</w:t>
      </w:r>
    </w:p>
    <w:p w:rsidR="00745B83" w:rsidP="00745B83" w14:paraId="7BDD7BB3" w14:textId="367632FF">
      <w:pPr>
        <w:jc w:val="center"/>
        <w:rPr>
          <w:bCs/>
          <w:sz w:val="24"/>
        </w:rPr>
      </w:pPr>
      <w:r>
        <w:rPr>
          <w:b/>
          <w:sz w:val="24"/>
        </w:rPr>
        <w:t>IB Docket No. 17-172</w:t>
      </w:r>
    </w:p>
    <w:p w:rsidR="00AE1C43" w:rsidP="00745B83" w14:paraId="7ECF6BF2" w14:textId="77777777">
      <w:pPr>
        <w:rPr>
          <w:b/>
          <w:sz w:val="24"/>
          <w:szCs w:val="24"/>
        </w:rPr>
      </w:pPr>
    </w:p>
    <w:p w:rsidR="00745B83" w:rsidRPr="00745B83" w:rsidP="00745B83" w14:paraId="224D3AA2" w14:textId="7022B6E5">
      <w:pPr>
        <w:rPr>
          <w:b/>
          <w:sz w:val="24"/>
          <w:szCs w:val="24"/>
        </w:rPr>
      </w:pPr>
      <w:r w:rsidRPr="00745B83">
        <w:rPr>
          <w:b/>
          <w:sz w:val="24"/>
          <w:szCs w:val="24"/>
        </w:rPr>
        <w:t xml:space="preserve">Comment Date:  </w:t>
      </w:r>
      <w:r w:rsidRPr="00745B83">
        <w:rPr>
          <w:b/>
          <w:snapToGrid/>
          <w:kern w:val="0"/>
          <w:sz w:val="24"/>
          <w:szCs w:val="24"/>
        </w:rPr>
        <w:t>August 21, 2020</w:t>
      </w:r>
    </w:p>
    <w:p w:rsidR="00745B83" w:rsidRPr="00745B83" w:rsidP="00745B83" w14:paraId="59839168" w14:textId="4408E0DE">
      <w:pPr>
        <w:rPr>
          <w:b/>
          <w:sz w:val="24"/>
        </w:rPr>
      </w:pPr>
      <w:r w:rsidRPr="00745B83">
        <w:rPr>
          <w:b/>
          <w:sz w:val="24"/>
          <w:szCs w:val="24"/>
        </w:rPr>
        <w:t xml:space="preserve">Reply Comment Date: </w:t>
      </w:r>
      <w:r w:rsidRPr="00745B83">
        <w:rPr>
          <w:b/>
          <w:snapToGrid/>
          <w:kern w:val="0"/>
          <w:sz w:val="24"/>
          <w:szCs w:val="24"/>
        </w:rPr>
        <w:t xml:space="preserve">September </w:t>
      </w:r>
      <w:r w:rsidR="00950357">
        <w:rPr>
          <w:b/>
          <w:snapToGrid/>
          <w:kern w:val="0"/>
          <w:sz w:val="24"/>
          <w:szCs w:val="24"/>
        </w:rPr>
        <w:t>8</w:t>
      </w:r>
      <w:r w:rsidRPr="00745B83">
        <w:rPr>
          <w:b/>
          <w:snapToGrid/>
          <w:kern w:val="0"/>
          <w:sz w:val="24"/>
          <w:szCs w:val="24"/>
        </w:rPr>
        <w:t>, 2020</w:t>
      </w:r>
    </w:p>
    <w:p w:rsidR="00F96F63" w:rsidRPr="00930ECF" w:rsidP="00F96F63" w14:paraId="60E10A44" w14:textId="77777777">
      <w:pPr>
        <w:rPr>
          <w:sz w:val="24"/>
        </w:rPr>
      </w:pPr>
      <w:bookmarkStart w:id="0" w:name="TOChere"/>
    </w:p>
    <w:bookmarkEnd w:id="0"/>
    <w:p w:rsidR="00930ECF" w:rsidRPr="007916CD" w:rsidP="00F750FE" w14:paraId="0D6D4FDD" w14:textId="27889484">
      <w:pPr>
        <w:ind w:firstLine="720"/>
        <w:rPr>
          <w:szCs w:val="22"/>
        </w:rPr>
      </w:pPr>
      <w:r w:rsidRPr="007916CD">
        <w:rPr>
          <w:szCs w:val="22"/>
        </w:rPr>
        <w:t xml:space="preserve">By this Public Notice the International Bureau </w:t>
      </w:r>
      <w:r w:rsidR="00747A3A">
        <w:rPr>
          <w:szCs w:val="22"/>
        </w:rPr>
        <w:t xml:space="preserve">(Bureau) </w:t>
      </w:r>
      <w:r w:rsidRPr="007916CD">
        <w:rPr>
          <w:szCs w:val="22"/>
        </w:rPr>
        <w:t>seeks comment from interested parties on a Petition for Reconsideration filed by the Satellite Industry Association</w:t>
      </w:r>
      <w:r w:rsidRPr="007916CD" w:rsidR="00C457FB">
        <w:rPr>
          <w:szCs w:val="22"/>
        </w:rPr>
        <w:t xml:space="preserve"> (SIA) on July 16, 2020.</w:t>
      </w:r>
      <w:r>
        <w:rPr>
          <w:rStyle w:val="FootnoteReference"/>
          <w:szCs w:val="22"/>
        </w:rPr>
        <w:footnoteReference w:id="3"/>
      </w:r>
      <w:r w:rsidRPr="007916CD" w:rsidR="00C457FB">
        <w:rPr>
          <w:szCs w:val="22"/>
        </w:rPr>
        <w:t xml:space="preserve">  SIA filed the petition in response to the International Bureau’s public notice providing guidance on methodologies to implement</w:t>
      </w:r>
      <w:r w:rsidRPr="007916CD" w:rsidR="00F750FE">
        <w:rPr>
          <w:szCs w:val="22"/>
        </w:rPr>
        <w:t xml:space="preserve"> section 25.136 of the Commission’s rules which specifies conditions under which Fixed-Satellite Service (FSS) </w:t>
      </w:r>
      <w:r w:rsidR="00483A7C">
        <w:rPr>
          <w:szCs w:val="22"/>
        </w:rPr>
        <w:t xml:space="preserve">earth stations </w:t>
      </w:r>
      <w:r w:rsidRPr="007916CD" w:rsidR="00F750FE">
        <w:rPr>
          <w:szCs w:val="22"/>
        </w:rPr>
        <w:t>can operate in certain band</w:t>
      </w:r>
      <w:r w:rsidR="00505EA1">
        <w:rPr>
          <w:szCs w:val="22"/>
        </w:rPr>
        <w:t>s</w:t>
      </w:r>
      <w:r w:rsidRPr="007916CD" w:rsidR="00F750FE">
        <w:rPr>
          <w:szCs w:val="22"/>
        </w:rPr>
        <w:t xml:space="preserve"> shared with Upper Microwave Flexible Use Service (UMFUS).</w:t>
      </w:r>
      <w:r>
        <w:rPr>
          <w:rStyle w:val="FootnoteReference"/>
          <w:szCs w:val="22"/>
        </w:rPr>
        <w:footnoteReference w:id="4"/>
      </w:r>
    </w:p>
    <w:p w:rsidR="007916CD" w:rsidP="00F750FE" w14:paraId="7595B84F" w14:textId="0BCCA6BD">
      <w:pPr>
        <w:ind w:firstLine="720"/>
        <w:rPr>
          <w:sz w:val="24"/>
        </w:rPr>
      </w:pPr>
    </w:p>
    <w:p w:rsidR="007916CD" w:rsidRPr="007916CD" w:rsidP="006A5975" w14:paraId="0E310D2C" w14:textId="3689EE98">
      <w:pPr>
        <w:widowControl/>
        <w:shd w:val="clear" w:color="auto" w:fill="FFFFFF"/>
        <w:ind w:firstLine="720"/>
        <w:textAlignment w:val="baseline"/>
        <w:rPr>
          <w:snapToGrid/>
          <w:kern w:val="0"/>
          <w:szCs w:val="22"/>
        </w:rPr>
      </w:pPr>
      <w:r w:rsidRPr="007916CD">
        <w:rPr>
          <w:snapToGrid/>
          <w:kern w:val="0"/>
          <w:szCs w:val="22"/>
        </w:rPr>
        <w:t>In the </w:t>
      </w:r>
      <w:r w:rsidRPr="007916CD">
        <w:rPr>
          <w:i/>
          <w:iCs/>
          <w:snapToGrid/>
          <w:kern w:val="0"/>
          <w:szCs w:val="22"/>
          <w:bdr w:val="none" w:sz="0" w:space="0" w:color="auto" w:frame="1"/>
        </w:rPr>
        <w:t>Spectrum Frontiers First Report and Order</w:t>
      </w:r>
      <w:r w:rsidRPr="007916CD">
        <w:rPr>
          <w:snapToGrid/>
          <w:kern w:val="0"/>
          <w:szCs w:val="22"/>
        </w:rPr>
        <w:t>, the Commission adopted section </w:t>
      </w:r>
      <w:r w:rsidRPr="007916CD">
        <w:rPr>
          <w:snapToGrid/>
          <w:kern w:val="0"/>
          <w:szCs w:val="22"/>
          <w:bdr w:val="none" w:sz="0" w:space="0" w:color="auto" w:frame="1"/>
        </w:rPr>
        <w:t>25</w:t>
      </w:r>
      <w:r w:rsidRPr="007916CD">
        <w:rPr>
          <w:snapToGrid/>
          <w:kern w:val="0"/>
          <w:szCs w:val="22"/>
        </w:rPr>
        <w:t>.</w:t>
      </w:r>
      <w:r w:rsidRPr="007916CD">
        <w:rPr>
          <w:snapToGrid/>
          <w:kern w:val="0"/>
          <w:szCs w:val="22"/>
          <w:bdr w:val="none" w:sz="0" w:space="0" w:color="auto" w:frame="1"/>
        </w:rPr>
        <w:t>136</w:t>
      </w:r>
      <w:r w:rsidRPr="007916CD">
        <w:rPr>
          <w:snapToGrid/>
          <w:kern w:val="0"/>
          <w:szCs w:val="22"/>
        </w:rPr>
        <w:t xml:space="preserve"> to specify conditions under which </w:t>
      </w:r>
      <w:r w:rsidRPr="0039179C" w:rsidR="006A5975">
        <w:rPr>
          <w:snapToGrid/>
          <w:kern w:val="0"/>
          <w:szCs w:val="22"/>
        </w:rPr>
        <w:t xml:space="preserve">FSS </w:t>
      </w:r>
      <w:r w:rsidRPr="007916CD">
        <w:rPr>
          <w:snapToGrid/>
          <w:kern w:val="0"/>
          <w:szCs w:val="22"/>
        </w:rPr>
        <w:t>earth stations can coexist with UMFUS operations in the 27.5-28.35 GHz and 37.5-40.0 GHz bands.</w:t>
      </w:r>
      <w:r>
        <w:rPr>
          <w:rStyle w:val="FootnoteReference"/>
          <w:snapToGrid/>
          <w:kern w:val="0"/>
          <w:szCs w:val="22"/>
        </w:rPr>
        <w:footnoteReference w:id="5"/>
      </w:r>
      <w:r w:rsidRPr="007916CD">
        <w:rPr>
          <w:snapToGrid/>
          <w:kern w:val="0"/>
          <w:szCs w:val="22"/>
        </w:rPr>
        <w:t> </w:t>
      </w:r>
      <w:r w:rsidR="00747A3A">
        <w:rPr>
          <w:snapToGrid/>
          <w:kern w:val="0"/>
          <w:szCs w:val="22"/>
        </w:rPr>
        <w:t xml:space="preserve"> </w:t>
      </w:r>
      <w:r w:rsidR="00092447">
        <w:rPr>
          <w:snapToGrid/>
          <w:kern w:val="0"/>
          <w:szCs w:val="22"/>
        </w:rPr>
        <w:t xml:space="preserve"> </w:t>
      </w:r>
      <w:r w:rsidRPr="007916CD">
        <w:rPr>
          <w:snapToGrid/>
          <w:kern w:val="0"/>
          <w:szCs w:val="22"/>
        </w:rPr>
        <w:t xml:space="preserve">The Commission also directed the Bureau to issue a public notice seeking comment on earth station interference zone and protection zone calculation methodologies and on </w:t>
      </w:r>
      <w:r w:rsidRPr="007916CD">
        <w:rPr>
          <w:snapToGrid/>
          <w:kern w:val="0"/>
          <w:szCs w:val="22"/>
        </w:rPr>
        <w:t>best practices for siting earth stations.</w:t>
      </w:r>
      <w:r>
        <w:rPr>
          <w:rStyle w:val="FootnoteReference"/>
          <w:snapToGrid/>
          <w:kern w:val="0"/>
          <w:szCs w:val="22"/>
        </w:rPr>
        <w:footnoteReference w:id="6"/>
      </w:r>
      <w:r w:rsidRPr="007916CD">
        <w:rPr>
          <w:snapToGrid/>
          <w:kern w:val="0"/>
          <w:szCs w:val="22"/>
        </w:rPr>
        <w:t> </w:t>
      </w:r>
      <w:r w:rsidRPr="0039179C" w:rsidR="006A5975">
        <w:rPr>
          <w:snapToGrid/>
          <w:kern w:val="0"/>
          <w:szCs w:val="22"/>
        </w:rPr>
        <w:t xml:space="preserve"> </w:t>
      </w:r>
      <w:r w:rsidR="00092447">
        <w:rPr>
          <w:snapToGrid/>
          <w:kern w:val="0"/>
          <w:szCs w:val="22"/>
        </w:rPr>
        <w:t xml:space="preserve"> </w:t>
      </w:r>
      <w:r w:rsidRPr="0039179C" w:rsidR="006A5975">
        <w:rPr>
          <w:snapToGrid/>
          <w:kern w:val="0"/>
          <w:szCs w:val="22"/>
        </w:rPr>
        <w:t xml:space="preserve">This Public Notice was released on </w:t>
      </w:r>
      <w:r w:rsidRPr="007916CD">
        <w:rPr>
          <w:snapToGrid/>
          <w:kern w:val="0"/>
          <w:szCs w:val="22"/>
        </w:rPr>
        <w:t>June 21, 2017</w:t>
      </w:r>
      <w:r w:rsidRPr="0039179C" w:rsidR="006A5975">
        <w:rPr>
          <w:snapToGrid/>
          <w:kern w:val="0"/>
          <w:szCs w:val="22"/>
        </w:rPr>
        <w:t>.</w:t>
      </w:r>
      <w:r>
        <w:rPr>
          <w:rStyle w:val="FootnoteReference"/>
          <w:snapToGrid/>
          <w:kern w:val="0"/>
          <w:szCs w:val="22"/>
        </w:rPr>
        <w:footnoteReference w:id="7"/>
      </w:r>
      <w:r w:rsidRPr="0039179C" w:rsidR="006A5975">
        <w:rPr>
          <w:snapToGrid/>
          <w:kern w:val="0"/>
          <w:szCs w:val="22"/>
        </w:rPr>
        <w:t xml:space="preserve"> </w:t>
      </w:r>
      <w:r w:rsidR="00505EA1">
        <w:rPr>
          <w:snapToGrid/>
          <w:kern w:val="0"/>
          <w:szCs w:val="22"/>
        </w:rPr>
        <w:t xml:space="preserve"> Based on comments, </w:t>
      </w:r>
      <w:r w:rsidRPr="004536F1" w:rsidR="00505EA1">
        <w:rPr>
          <w:i/>
          <w:iCs/>
          <w:snapToGrid/>
          <w:kern w:val="0"/>
          <w:szCs w:val="22"/>
        </w:rPr>
        <w:t>ex parte</w:t>
      </w:r>
      <w:r w:rsidR="00505EA1">
        <w:rPr>
          <w:snapToGrid/>
          <w:kern w:val="0"/>
          <w:szCs w:val="22"/>
        </w:rPr>
        <w:t xml:space="preserve"> presentations, and experience in processing earth station applications, the Bureau released the Guidance Public Notice</w:t>
      </w:r>
      <w:r w:rsidRPr="0039179C" w:rsidR="006A5975">
        <w:rPr>
          <w:snapToGrid/>
          <w:kern w:val="0"/>
          <w:szCs w:val="22"/>
          <w:bdr w:val="none" w:sz="0" w:space="0" w:color="auto" w:frame="1"/>
          <w:vertAlign w:val="superscript"/>
        </w:rPr>
        <w:t xml:space="preserve"> </w:t>
      </w:r>
      <w:r w:rsidRPr="00505EA1" w:rsidR="006A5975">
        <w:rPr>
          <w:szCs w:val="22"/>
          <w:shd w:val="clear" w:color="auto" w:fill="FFFFFF"/>
        </w:rPr>
        <w:t>to provide applicants with a better understanding of the Bureau's expectations regarding earth station applications subject to section </w:t>
      </w:r>
      <w:r w:rsidRPr="00505EA1" w:rsidR="006A5975">
        <w:rPr>
          <w:szCs w:val="22"/>
          <w:bdr w:val="none" w:sz="0" w:space="0" w:color="auto" w:frame="1"/>
        </w:rPr>
        <w:t>25</w:t>
      </w:r>
      <w:r w:rsidRPr="00505EA1" w:rsidR="006A5975">
        <w:rPr>
          <w:szCs w:val="22"/>
          <w:shd w:val="clear" w:color="auto" w:fill="FFFFFF"/>
        </w:rPr>
        <w:t>.</w:t>
      </w:r>
      <w:r w:rsidRPr="00505EA1" w:rsidR="006A5975">
        <w:rPr>
          <w:szCs w:val="22"/>
          <w:bdr w:val="none" w:sz="0" w:space="0" w:color="auto" w:frame="1"/>
        </w:rPr>
        <w:t>136</w:t>
      </w:r>
      <w:r w:rsidRPr="00505EA1" w:rsidR="006A5975">
        <w:rPr>
          <w:szCs w:val="22"/>
          <w:shd w:val="clear" w:color="auto" w:fill="FFFFFF"/>
        </w:rPr>
        <w:t> </w:t>
      </w:r>
      <w:r w:rsidR="00505EA1">
        <w:rPr>
          <w:szCs w:val="22"/>
          <w:shd w:val="clear" w:color="auto" w:fill="FFFFFF"/>
        </w:rPr>
        <w:t>and</w:t>
      </w:r>
      <w:r w:rsidRPr="00505EA1" w:rsidR="006A5975">
        <w:rPr>
          <w:szCs w:val="22"/>
          <w:shd w:val="clear" w:color="auto" w:fill="FFFFFF"/>
        </w:rPr>
        <w:t xml:space="preserve"> to provide applicants flexibility </w:t>
      </w:r>
      <w:r w:rsidRPr="00505EA1" w:rsidR="00EF0F6A">
        <w:rPr>
          <w:szCs w:val="22"/>
          <w:shd w:val="clear" w:color="auto" w:fill="FFFFFF"/>
        </w:rPr>
        <w:t>in how they comply with the rule.</w:t>
      </w:r>
      <w:r>
        <w:rPr>
          <w:rStyle w:val="FootnoteReference"/>
          <w:snapToGrid/>
          <w:kern w:val="0"/>
          <w:szCs w:val="22"/>
          <w:bdr w:val="none" w:sz="0" w:space="0" w:color="auto" w:frame="1"/>
        </w:rPr>
        <w:footnoteReference w:id="8"/>
      </w:r>
    </w:p>
    <w:p w:rsidR="007916CD" w:rsidRPr="00505EA1" w:rsidP="00F750FE" w14:paraId="452553D6" w14:textId="77777777">
      <w:pPr>
        <w:ind w:firstLine="720"/>
        <w:rPr>
          <w:sz w:val="24"/>
        </w:rPr>
      </w:pPr>
    </w:p>
    <w:p w:rsidR="00F750FE" w:rsidRPr="0039179C" w:rsidP="00F750FE" w14:paraId="62B6E800" w14:textId="27718393">
      <w:pPr>
        <w:ind w:firstLine="720"/>
        <w:rPr>
          <w:szCs w:val="22"/>
        </w:rPr>
      </w:pPr>
      <w:r w:rsidRPr="0039179C">
        <w:rPr>
          <w:szCs w:val="22"/>
        </w:rPr>
        <w:t xml:space="preserve">SIA </w:t>
      </w:r>
      <w:r w:rsidRPr="0039179C" w:rsidR="00EF0F6A">
        <w:rPr>
          <w:szCs w:val="22"/>
        </w:rPr>
        <w:t xml:space="preserve">requests that the International Bureau reconsider several portions of the Public Notice, </w:t>
      </w:r>
      <w:r w:rsidR="00505EA1">
        <w:rPr>
          <w:szCs w:val="22"/>
        </w:rPr>
        <w:t xml:space="preserve">specifically </w:t>
      </w:r>
      <w:r w:rsidRPr="0039179C" w:rsidR="00EF0F6A">
        <w:rPr>
          <w:szCs w:val="22"/>
        </w:rPr>
        <w:t>that the Bureau: (1) eliminate limitations on earth station co</w:t>
      </w:r>
      <w:r w:rsidR="00E57130">
        <w:rPr>
          <w:szCs w:val="22"/>
        </w:rPr>
        <w:t>-</w:t>
      </w:r>
      <w:r w:rsidRPr="0039179C" w:rsidR="00EF0F6A">
        <w:rPr>
          <w:szCs w:val="22"/>
        </w:rPr>
        <w:t xml:space="preserve">location that conflict with Commission rules; (2) revert to the definition of a “Highway” adopted by the Commission; (3) allow applicants more flexibility in providing antenna pattern demonstrations; (4) permit the use of clear sky EIRP levels; and (5) remove the requirement to aggregate population values for all licensed points of communications.  </w:t>
      </w:r>
    </w:p>
    <w:p w:rsidR="00F750FE" w:rsidRPr="0039179C" w:rsidP="00F750FE" w14:paraId="5D977A40" w14:textId="1739E363">
      <w:pPr>
        <w:ind w:firstLine="720"/>
        <w:rPr>
          <w:szCs w:val="22"/>
        </w:rPr>
      </w:pPr>
    </w:p>
    <w:p w:rsidR="00350CF7" w:rsidRPr="00952F1B" w:rsidP="00350CF7" w14:paraId="6DAC9E3A" w14:textId="6C9DC837">
      <w:pPr>
        <w:widowControl/>
        <w:shd w:val="clear" w:color="auto" w:fill="FFFFFF"/>
        <w:ind w:firstLine="720"/>
        <w:textAlignment w:val="baseline"/>
        <w:rPr>
          <w:snapToGrid/>
          <w:kern w:val="0"/>
          <w:szCs w:val="22"/>
        </w:rPr>
      </w:pPr>
      <w:r w:rsidRPr="00952F1B">
        <w:rPr>
          <w:snapToGrid/>
          <w:kern w:val="0"/>
          <w:szCs w:val="22"/>
        </w:rPr>
        <w:t>Pursuant to sections 1.415 and 1.419 of the Commission's rules, </w:t>
      </w:r>
      <w:hyperlink r:id="rId5" w:history="1">
        <w:r w:rsidRPr="00952F1B">
          <w:rPr>
            <w:snapToGrid/>
            <w:kern w:val="0"/>
            <w:szCs w:val="22"/>
            <w:bdr w:val="none" w:sz="0" w:space="0" w:color="auto" w:frame="1"/>
          </w:rPr>
          <w:t>47 CFR §§ 1.415</w:t>
        </w:r>
      </w:hyperlink>
      <w:r w:rsidRPr="00952F1B">
        <w:rPr>
          <w:snapToGrid/>
          <w:kern w:val="0"/>
          <w:szCs w:val="22"/>
        </w:rPr>
        <w:t>, </w:t>
      </w:r>
      <w:hyperlink r:id="rId6" w:history="1">
        <w:r w:rsidRPr="00952F1B">
          <w:rPr>
            <w:snapToGrid/>
            <w:kern w:val="0"/>
            <w:szCs w:val="22"/>
            <w:bdr w:val="none" w:sz="0" w:space="0" w:color="auto" w:frame="1"/>
          </w:rPr>
          <w:t>1.419</w:t>
        </w:r>
      </w:hyperlink>
      <w:r w:rsidRPr="00952F1B">
        <w:rPr>
          <w:snapToGrid/>
          <w:kern w:val="0"/>
          <w:szCs w:val="22"/>
        </w:rPr>
        <w:t>, interested parties may file comments on or before </w:t>
      </w:r>
      <w:r w:rsidRPr="00952F1B" w:rsidR="004536F1">
        <w:rPr>
          <w:snapToGrid/>
          <w:kern w:val="0"/>
          <w:szCs w:val="22"/>
        </w:rPr>
        <w:t xml:space="preserve">August </w:t>
      </w:r>
      <w:r w:rsidR="005444C5">
        <w:rPr>
          <w:snapToGrid/>
          <w:kern w:val="0"/>
          <w:szCs w:val="22"/>
        </w:rPr>
        <w:t>21</w:t>
      </w:r>
      <w:r w:rsidRPr="00952F1B" w:rsidR="004536F1">
        <w:rPr>
          <w:snapToGrid/>
          <w:kern w:val="0"/>
          <w:szCs w:val="22"/>
        </w:rPr>
        <w:t xml:space="preserve">, 2020, </w:t>
      </w:r>
      <w:r w:rsidRPr="00952F1B">
        <w:rPr>
          <w:snapToGrid/>
          <w:kern w:val="0"/>
          <w:szCs w:val="22"/>
        </w:rPr>
        <w:t>and reply comments on or before </w:t>
      </w:r>
      <w:r w:rsidR="00A17D5C">
        <w:rPr>
          <w:snapToGrid/>
          <w:kern w:val="0"/>
          <w:szCs w:val="22"/>
        </w:rPr>
        <w:t xml:space="preserve">September </w:t>
      </w:r>
      <w:r w:rsidR="00950357">
        <w:rPr>
          <w:snapToGrid/>
          <w:kern w:val="0"/>
          <w:szCs w:val="22"/>
        </w:rPr>
        <w:t>8</w:t>
      </w:r>
      <w:bookmarkStart w:id="1" w:name="_GoBack"/>
      <w:bookmarkEnd w:id="1"/>
      <w:r w:rsidR="00A17D5C">
        <w:rPr>
          <w:snapToGrid/>
          <w:kern w:val="0"/>
          <w:szCs w:val="22"/>
        </w:rPr>
        <w:t>, 2020.</w:t>
      </w:r>
      <w:r w:rsidRPr="00350CF7">
        <w:rPr>
          <w:snapToGrid/>
          <w:kern w:val="0"/>
          <w:szCs w:val="22"/>
        </w:rPr>
        <w:t xml:space="preserve"> </w:t>
      </w:r>
      <w:r w:rsidR="005B3AFD">
        <w:rPr>
          <w:snapToGrid/>
          <w:kern w:val="0"/>
          <w:szCs w:val="22"/>
        </w:rPr>
        <w:t xml:space="preserve"> </w:t>
      </w:r>
      <w:r w:rsidRPr="00350CF7">
        <w:rPr>
          <w:snapToGrid/>
          <w:kern w:val="0"/>
          <w:szCs w:val="22"/>
        </w:rPr>
        <w:t>All filings must refer to </w:t>
      </w:r>
      <w:r w:rsidRPr="00350CF7">
        <w:rPr>
          <w:bCs/>
          <w:snapToGrid/>
          <w:kern w:val="0"/>
          <w:szCs w:val="22"/>
          <w:bdr w:val="none" w:sz="0" w:space="0" w:color="auto" w:frame="1"/>
        </w:rPr>
        <w:t>IB Docket No. 17-172</w:t>
      </w:r>
      <w:r w:rsidRPr="00350CF7">
        <w:rPr>
          <w:snapToGrid/>
          <w:kern w:val="0"/>
          <w:szCs w:val="22"/>
        </w:rPr>
        <w:t xml:space="preserve">. </w:t>
      </w:r>
      <w:r w:rsidR="00747A3A">
        <w:rPr>
          <w:snapToGrid/>
          <w:kern w:val="0"/>
          <w:szCs w:val="22"/>
        </w:rPr>
        <w:t xml:space="preserve"> </w:t>
      </w:r>
      <w:r w:rsidRPr="00350CF7">
        <w:rPr>
          <w:snapToGrid/>
          <w:kern w:val="0"/>
          <w:szCs w:val="22"/>
        </w:rPr>
        <w:t>Comments may be filed using the Commission's Electronic Comment Filing System (ECFS)</w:t>
      </w:r>
      <w:r w:rsidRPr="00382B6D" w:rsidR="00E97420">
        <w:rPr>
          <w:snapToGrid/>
          <w:kern w:val="0"/>
          <w:szCs w:val="22"/>
        </w:rPr>
        <w:t xml:space="preserve"> </w:t>
      </w:r>
      <w:r w:rsidRPr="00382B6D" w:rsidR="00E97420">
        <w:rPr>
          <w:snapToGrid/>
          <w:color w:val="000000"/>
          <w:kern w:val="0"/>
          <w:szCs w:val="22"/>
        </w:rPr>
        <w:t>by accessing ECFS at http://apps.fcc.gov/ecfs/.</w:t>
      </w:r>
      <w:r w:rsidRPr="00952F1B">
        <w:rPr>
          <w:snapToGrid/>
          <w:kern w:val="0"/>
          <w:szCs w:val="22"/>
        </w:rPr>
        <w:t xml:space="preserve"> </w:t>
      </w:r>
      <w:r w:rsidR="00D27C65">
        <w:rPr>
          <w:snapToGrid/>
          <w:kern w:val="0"/>
          <w:szCs w:val="22"/>
        </w:rPr>
        <w:t xml:space="preserve"> </w:t>
      </w:r>
      <w:r w:rsidRPr="00952F1B">
        <w:rPr>
          <w:i/>
          <w:iCs/>
          <w:snapToGrid/>
          <w:kern w:val="0"/>
          <w:szCs w:val="22"/>
        </w:rPr>
        <w:t>See</w:t>
      </w:r>
      <w:r w:rsidRPr="00952F1B">
        <w:rPr>
          <w:snapToGrid/>
          <w:kern w:val="0"/>
          <w:szCs w:val="22"/>
        </w:rPr>
        <w:t> </w:t>
      </w:r>
      <w:hyperlink r:id="rId7" w:anchor="co_pp_sp_1037_24121" w:history="1">
        <w:r w:rsidRPr="00952F1B">
          <w:rPr>
            <w:snapToGrid/>
            <w:kern w:val="0"/>
            <w:szCs w:val="22"/>
            <w:bdr w:val="none" w:sz="0" w:space="0" w:color="auto" w:frame="1"/>
          </w:rPr>
          <w:t>Electronic Filing of Documents in Rulemaking Proceedings, 63 FR 24121 (1998)</w:t>
        </w:r>
      </w:hyperlink>
      <w:r w:rsidRPr="00952F1B">
        <w:rPr>
          <w:snapToGrid/>
          <w:kern w:val="0"/>
          <w:szCs w:val="22"/>
        </w:rPr>
        <w:t>.</w:t>
      </w:r>
      <w:r w:rsidRPr="00952F1B" w:rsidR="00CF3319">
        <w:rPr>
          <w:snapToGrid/>
          <w:kern w:val="0"/>
          <w:szCs w:val="22"/>
        </w:rPr>
        <w:t xml:space="preserve">  </w:t>
      </w:r>
    </w:p>
    <w:p w:rsidR="007916CD" w:rsidRPr="00382B6D" w:rsidP="00350CF7" w14:paraId="00B3CD03" w14:textId="13F72160">
      <w:pPr>
        <w:widowControl/>
        <w:shd w:val="clear" w:color="auto" w:fill="FFFFFF"/>
        <w:ind w:firstLine="720"/>
        <w:textAlignment w:val="baseline"/>
        <w:rPr>
          <w:snapToGrid/>
          <w:color w:val="000000"/>
          <w:kern w:val="0"/>
          <w:szCs w:val="22"/>
        </w:rPr>
      </w:pPr>
    </w:p>
    <w:p w:rsidR="00952F1B" w:rsidP="00952F1B" w14:paraId="45139C13" w14:textId="46BFA1A7">
      <w:pPr>
        <w:widowControl/>
        <w:shd w:val="clear" w:color="auto" w:fill="FFFFFF"/>
        <w:ind w:firstLine="720"/>
        <w:textAlignment w:val="baseline"/>
        <w:rPr>
          <w:color w:val="000000"/>
          <w:szCs w:val="22"/>
          <w:shd w:val="clear" w:color="auto" w:fill="FFFFFF"/>
        </w:rPr>
      </w:pPr>
      <w:r w:rsidRPr="00827C22">
        <w:rPr>
          <w:snapToGrid/>
          <w:color w:val="3D3D3D"/>
          <w:kern w:val="0"/>
          <w:szCs w:val="22"/>
        </w:rPr>
        <w:t>·</w:t>
      </w:r>
      <w:r w:rsidRPr="00382B6D">
        <w:rPr>
          <w:color w:val="000000"/>
          <w:szCs w:val="22"/>
          <w:shd w:val="clear" w:color="auto" w:fill="FFFFFF"/>
        </w:rPr>
        <w:t xml:space="preserve">In addition, provide an electronic copy of each filing to Paul Blais at </w:t>
      </w:r>
      <w:hyperlink r:id="rId8" w:history="1">
        <w:r w:rsidRPr="00382B6D">
          <w:rPr>
            <w:rStyle w:val="Hyperlink"/>
            <w:szCs w:val="22"/>
            <w:shd w:val="clear" w:color="auto" w:fill="FFFFFF"/>
          </w:rPr>
          <w:t>Paul.Blais@fcc.gov</w:t>
        </w:r>
      </w:hyperlink>
      <w:r w:rsidRPr="00382B6D">
        <w:rPr>
          <w:color w:val="000000"/>
          <w:szCs w:val="22"/>
          <w:shd w:val="clear" w:color="auto" w:fill="FFFFFF"/>
        </w:rPr>
        <w:t xml:space="preserve">. </w:t>
      </w:r>
    </w:p>
    <w:p w:rsidR="00382B6D" w:rsidP="00952F1B" w14:paraId="09512244" w14:textId="089C3052">
      <w:pPr>
        <w:widowControl/>
        <w:shd w:val="clear" w:color="auto" w:fill="FFFFFF"/>
        <w:ind w:firstLine="720"/>
        <w:textAlignment w:val="baseline"/>
        <w:rPr>
          <w:color w:val="000000"/>
          <w:szCs w:val="22"/>
          <w:shd w:val="clear" w:color="auto" w:fill="FFFFFF"/>
        </w:rPr>
      </w:pPr>
    </w:p>
    <w:p w:rsidR="00382B6D" w:rsidRPr="00382B6D" w:rsidP="00382B6D" w14:paraId="73884EC8" w14:textId="08A94AEA">
      <w:pPr>
        <w:widowControl/>
        <w:shd w:val="clear" w:color="auto" w:fill="FFFFFF"/>
        <w:ind w:firstLine="720"/>
        <w:textAlignment w:val="baseline"/>
        <w:rPr>
          <w:snapToGrid/>
          <w:kern w:val="0"/>
          <w:szCs w:val="22"/>
        </w:rPr>
      </w:pPr>
      <w:r w:rsidRPr="00382B6D">
        <w:rPr>
          <w:snapToGrid/>
          <w:kern w:val="0"/>
          <w:szCs w:val="22"/>
        </w:rPr>
        <w:t xml:space="preserve">·Paper Filers: Parties who choose to file by paper must file an original and one copy of each filing. </w:t>
      </w:r>
      <w:r w:rsidR="00D27C65">
        <w:rPr>
          <w:snapToGrid/>
          <w:kern w:val="0"/>
          <w:szCs w:val="22"/>
        </w:rPr>
        <w:t xml:space="preserve"> </w:t>
      </w:r>
      <w:r w:rsidRPr="00382B6D">
        <w:rPr>
          <w:snapToGrid/>
          <w:kern w:val="0"/>
          <w:szCs w:val="22"/>
        </w:rPr>
        <w:t xml:space="preserve">Filings can be sent by commercial overnight courier, or by first-class or overnight U.S. Postal Service mail. </w:t>
      </w:r>
      <w:r w:rsidR="00D27C65">
        <w:rPr>
          <w:snapToGrid/>
          <w:kern w:val="0"/>
          <w:szCs w:val="22"/>
        </w:rPr>
        <w:t xml:space="preserve"> </w:t>
      </w:r>
      <w:r w:rsidRPr="00382B6D">
        <w:rPr>
          <w:snapToGrid/>
          <w:kern w:val="0"/>
          <w:szCs w:val="22"/>
        </w:rPr>
        <w:t>All filings must be addressed to the Commission's Secretary, Office of the Secretary, Federal Communications Commission.</w:t>
      </w:r>
    </w:p>
    <w:p w:rsidR="00382B6D" w:rsidRPr="00382B6D" w:rsidP="00382B6D" w14:paraId="0F9ADB41" w14:textId="77777777">
      <w:pPr>
        <w:widowControl/>
        <w:shd w:val="clear" w:color="auto" w:fill="FFFFFF"/>
        <w:ind w:firstLine="720"/>
        <w:textAlignment w:val="baseline"/>
        <w:rPr>
          <w:snapToGrid/>
          <w:kern w:val="0"/>
          <w:szCs w:val="22"/>
        </w:rPr>
      </w:pPr>
    </w:p>
    <w:p w:rsidR="00382B6D" w:rsidRPr="00382B6D" w:rsidP="00382B6D" w14:paraId="4F433ED3" w14:textId="40A94E86">
      <w:pPr>
        <w:widowControl/>
        <w:shd w:val="clear" w:color="auto" w:fill="FFFFFF"/>
        <w:ind w:firstLine="720"/>
        <w:textAlignment w:val="baseline"/>
        <w:rPr>
          <w:snapToGrid/>
          <w:kern w:val="0"/>
          <w:szCs w:val="22"/>
        </w:rPr>
      </w:pPr>
      <w:r w:rsidRPr="00382B6D">
        <w:rPr>
          <w:snapToGrid/>
          <w:kern w:val="0"/>
          <w:szCs w:val="22"/>
        </w:rPr>
        <w:t>·As of March 19, 2020, the FCC is not accepting hand-delivered or messenger-delivered </w:t>
      </w:r>
      <w:r w:rsidRPr="00382B6D">
        <w:rPr>
          <w:bCs/>
          <w:snapToGrid/>
          <w:kern w:val="0"/>
          <w:szCs w:val="22"/>
          <w:bdr w:val="none" w:sz="0" w:space="0" w:color="auto" w:frame="1"/>
        </w:rPr>
        <w:t>paper</w:t>
      </w:r>
      <w:r w:rsidRPr="00382B6D">
        <w:rPr>
          <w:snapToGrid/>
          <w:kern w:val="0"/>
          <w:szCs w:val="22"/>
        </w:rPr>
        <w:t> filings at FCC Headquarters due to the </w:t>
      </w:r>
      <w:r w:rsidRPr="00382B6D">
        <w:rPr>
          <w:bCs/>
          <w:snapToGrid/>
          <w:kern w:val="0"/>
          <w:szCs w:val="22"/>
          <w:bdr w:val="none" w:sz="0" w:space="0" w:color="auto" w:frame="1"/>
        </w:rPr>
        <w:t>COVID</w:t>
      </w:r>
      <w:r w:rsidRPr="00382B6D">
        <w:rPr>
          <w:snapToGrid/>
          <w:kern w:val="0"/>
          <w:szCs w:val="22"/>
        </w:rPr>
        <w:t>-19 pandemic.</w:t>
      </w:r>
      <w:r>
        <w:rPr>
          <w:rStyle w:val="FootnoteReference"/>
          <w:snapToGrid/>
          <w:kern w:val="0"/>
          <w:szCs w:val="22"/>
        </w:rPr>
        <w:footnoteReference w:id="9"/>
      </w:r>
      <w:r w:rsidRPr="00382B6D">
        <w:rPr>
          <w:snapToGrid/>
          <w:kern w:val="0"/>
          <w:szCs w:val="22"/>
        </w:rPr>
        <w:t xml:space="preserve"> </w:t>
      </w:r>
    </w:p>
    <w:p w:rsidR="00382B6D" w:rsidRPr="00382B6D" w:rsidP="00382B6D" w14:paraId="3F1191BC" w14:textId="77777777">
      <w:pPr>
        <w:widowControl/>
        <w:shd w:val="clear" w:color="auto" w:fill="FFFFFF"/>
        <w:ind w:firstLine="720"/>
        <w:textAlignment w:val="baseline"/>
        <w:rPr>
          <w:snapToGrid/>
          <w:kern w:val="0"/>
          <w:szCs w:val="22"/>
        </w:rPr>
      </w:pPr>
    </w:p>
    <w:p w:rsidR="00382B6D" w:rsidRPr="00382B6D" w:rsidP="00382B6D" w14:paraId="61CDFB58" w14:textId="3A362FC4">
      <w:pPr>
        <w:widowControl/>
        <w:shd w:val="clear" w:color="auto" w:fill="FFFFFF"/>
        <w:ind w:firstLine="720"/>
        <w:textAlignment w:val="baseline"/>
        <w:rPr>
          <w:snapToGrid/>
          <w:kern w:val="0"/>
          <w:szCs w:val="22"/>
        </w:rPr>
      </w:pPr>
      <w:r w:rsidRPr="00382B6D">
        <w:rPr>
          <w:snapToGrid/>
          <w:kern w:val="0"/>
          <w:szCs w:val="22"/>
        </w:rPr>
        <w:t>·Commercial overnight mail (other than U.S. Postal Service Express Mail and Priority Mail) must be sent to 9050 Junction Drive, Annapolis Junction, MD 20701.</w:t>
      </w:r>
    </w:p>
    <w:p w:rsidR="00382B6D" w:rsidRPr="00382B6D" w:rsidP="00382B6D" w14:paraId="64352611" w14:textId="77777777">
      <w:pPr>
        <w:widowControl/>
        <w:shd w:val="clear" w:color="auto" w:fill="FFFFFF"/>
        <w:ind w:firstLine="720"/>
        <w:textAlignment w:val="baseline"/>
        <w:rPr>
          <w:snapToGrid/>
          <w:kern w:val="0"/>
          <w:szCs w:val="22"/>
        </w:rPr>
      </w:pPr>
    </w:p>
    <w:p w:rsidR="00382B6D" w:rsidRPr="00382B6D" w:rsidP="00382B6D" w14:paraId="36303EE1" w14:textId="4BD337D0">
      <w:pPr>
        <w:widowControl/>
        <w:shd w:val="clear" w:color="auto" w:fill="FFFFFF"/>
        <w:ind w:firstLine="720"/>
        <w:textAlignment w:val="baseline"/>
        <w:rPr>
          <w:snapToGrid/>
          <w:kern w:val="0"/>
          <w:szCs w:val="22"/>
        </w:rPr>
      </w:pPr>
      <w:bookmarkStart w:id="2" w:name="_Hlk46298747"/>
      <w:r w:rsidRPr="00382B6D">
        <w:rPr>
          <w:snapToGrid/>
          <w:kern w:val="0"/>
          <w:szCs w:val="22"/>
        </w:rPr>
        <w:t>·</w:t>
      </w:r>
      <w:bookmarkEnd w:id="2"/>
      <w:r w:rsidRPr="00382B6D">
        <w:rPr>
          <w:snapToGrid/>
          <w:kern w:val="0"/>
          <w:szCs w:val="22"/>
        </w:rPr>
        <w:t>U.S. Postal Service first-class, Express, and Priority mail must be addressed to 445 12th Street, SW, Washington DC 20554.</w:t>
      </w:r>
    </w:p>
    <w:p w:rsidR="00382B6D" w:rsidRPr="00382B6D" w:rsidP="00952F1B" w14:paraId="6AF6744E" w14:textId="0BD8CF39">
      <w:pPr>
        <w:widowControl/>
        <w:shd w:val="clear" w:color="auto" w:fill="FFFFFF"/>
        <w:ind w:firstLine="720"/>
        <w:textAlignment w:val="baseline"/>
        <w:rPr>
          <w:szCs w:val="22"/>
          <w:shd w:val="clear" w:color="auto" w:fill="FFFFFF"/>
        </w:rPr>
      </w:pPr>
    </w:p>
    <w:p w:rsidR="00952F1B" w:rsidRPr="00382B6D" w:rsidP="00382B6D" w14:paraId="2A952E96" w14:textId="1F3840C5">
      <w:pPr>
        <w:widowControl/>
        <w:shd w:val="clear" w:color="auto" w:fill="FFFFFF"/>
        <w:ind w:firstLine="720"/>
        <w:textAlignment w:val="baseline"/>
        <w:rPr>
          <w:snapToGrid/>
          <w:kern w:val="0"/>
          <w:szCs w:val="22"/>
        </w:rPr>
      </w:pPr>
      <w:r w:rsidRPr="00382B6D">
        <w:rPr>
          <w:snapToGrid/>
          <w:kern w:val="0"/>
          <w:szCs w:val="22"/>
        </w:rPr>
        <w:t>·</w:t>
      </w:r>
      <w:r w:rsidRPr="00382B6D">
        <w:rPr>
          <w:snapToGrid/>
          <w:kern w:val="0"/>
          <w:szCs w:val="22"/>
        </w:rPr>
        <w:t xml:space="preserve">People with Disabilities: </w:t>
      </w:r>
      <w:r w:rsidR="005B3AFD">
        <w:rPr>
          <w:snapToGrid/>
          <w:kern w:val="0"/>
          <w:szCs w:val="22"/>
        </w:rPr>
        <w:t xml:space="preserve"> </w:t>
      </w:r>
      <w:r w:rsidRPr="00382B6D">
        <w:rPr>
          <w:snapToGrid/>
          <w:kern w:val="0"/>
          <w:szCs w:val="22"/>
        </w:rPr>
        <w:t>To request materials in accessible formats for people with disabilities (braille, large print, electronic files, audio format), send an e-mail to fcc504@fcc.gov or call the Consumer and Governmental Affairs Bureau at 202-418-0530 (voice), 1-888-835-5322 (tty).</w:t>
      </w:r>
    </w:p>
    <w:p w:rsidR="00952F1B" w:rsidRPr="00382B6D" w:rsidP="007916CD" w14:paraId="051BC7DD" w14:textId="77777777">
      <w:pPr>
        <w:widowControl/>
        <w:shd w:val="clear" w:color="auto" w:fill="FFFFFF"/>
        <w:textAlignment w:val="baseline"/>
        <w:rPr>
          <w:snapToGrid/>
          <w:kern w:val="0"/>
          <w:szCs w:val="22"/>
        </w:rPr>
      </w:pPr>
    </w:p>
    <w:p w:rsidR="00952F1B" w:rsidP="00382B6D" w14:paraId="17A6C5C3" w14:textId="52B78287">
      <w:pPr>
        <w:widowControl/>
        <w:shd w:val="clear" w:color="auto" w:fill="FFFFFF"/>
        <w:ind w:firstLine="720"/>
        <w:textAlignment w:val="baseline"/>
        <w:rPr>
          <w:szCs w:val="22"/>
          <w:shd w:val="clear" w:color="auto" w:fill="FFFFFF"/>
        </w:rPr>
      </w:pPr>
      <w:r w:rsidRPr="00382B6D">
        <w:rPr>
          <w:szCs w:val="22"/>
          <w:shd w:val="clear" w:color="auto" w:fill="FFFFFF"/>
        </w:rPr>
        <w:t xml:space="preserve">For further information about this notice please contact Paul Blais at (202) 418-7274 or Paul.Blais@fcc.gov, or Kal Krautkramer at (202) 418-1335 or </w:t>
      </w:r>
      <w:hyperlink r:id="rId9" w:history="1">
        <w:r w:rsidRPr="00A87121" w:rsidR="00AE1C43">
          <w:rPr>
            <w:rStyle w:val="Hyperlink"/>
            <w:szCs w:val="22"/>
            <w:shd w:val="clear" w:color="auto" w:fill="FFFFFF"/>
          </w:rPr>
          <w:t>Kal.Krautkramer@fcc.gov</w:t>
        </w:r>
      </w:hyperlink>
    </w:p>
    <w:p w:rsidR="00AE1C43" w:rsidP="00382B6D" w14:paraId="6AADCD46" w14:textId="651745BD">
      <w:pPr>
        <w:widowControl/>
        <w:shd w:val="clear" w:color="auto" w:fill="FFFFFF"/>
        <w:ind w:firstLine="720"/>
        <w:textAlignment w:val="baseline"/>
        <w:rPr>
          <w:szCs w:val="22"/>
          <w:shd w:val="clear" w:color="auto" w:fill="FFFFFF"/>
        </w:rPr>
      </w:pPr>
    </w:p>
    <w:p w:rsidR="00AE1C43" w:rsidP="00382B6D" w14:paraId="48DB558D" w14:textId="216DDFA9">
      <w:pPr>
        <w:widowControl/>
        <w:shd w:val="clear" w:color="auto" w:fill="FFFFFF"/>
        <w:ind w:firstLine="720"/>
        <w:textAlignment w:val="baseline"/>
        <w:rPr>
          <w:szCs w:val="22"/>
          <w:shd w:val="clear" w:color="auto" w:fill="FFFFFF"/>
        </w:rPr>
      </w:pPr>
    </w:p>
    <w:p w:rsidR="00AE1C43" w:rsidP="00382B6D" w14:paraId="0F2A1D48" w14:textId="5DB20030">
      <w:pPr>
        <w:widowControl/>
        <w:shd w:val="clear" w:color="auto" w:fill="FFFFFF"/>
        <w:ind w:firstLine="720"/>
        <w:textAlignment w:val="baseline"/>
        <w:rPr>
          <w:szCs w:val="22"/>
          <w:shd w:val="clear" w:color="auto" w:fill="FFFFFF"/>
        </w:rPr>
      </w:pPr>
    </w:p>
    <w:p w:rsidR="00AE1C43" w:rsidRPr="00AE1C43" w:rsidP="00AE1C43" w14:paraId="10BE11A6" w14:textId="1C038995">
      <w:pPr>
        <w:widowControl/>
        <w:shd w:val="clear" w:color="auto" w:fill="FFFFFF"/>
        <w:ind w:firstLine="720"/>
        <w:jc w:val="center"/>
        <w:textAlignment w:val="baseline"/>
        <w:rPr>
          <w:b/>
          <w:bCs/>
          <w:snapToGrid/>
          <w:kern w:val="0"/>
          <w:szCs w:val="22"/>
        </w:rPr>
      </w:pPr>
      <w:r>
        <w:rPr>
          <w:b/>
          <w:bCs/>
          <w:szCs w:val="22"/>
          <w:shd w:val="clear" w:color="auto" w:fill="FFFFFF"/>
        </w:rPr>
        <w:t>-FCC-</w:t>
      </w:r>
    </w:p>
    <w:p w:rsidR="00E97420" w:rsidRPr="00382B6D" w:rsidP="007916CD" w14:paraId="3496638A" w14:textId="08756EF1">
      <w:pPr>
        <w:widowControl/>
        <w:shd w:val="clear" w:color="auto" w:fill="FFFFFF"/>
        <w:textAlignment w:val="baseline"/>
        <w:rPr>
          <w:snapToGrid/>
          <w:kern w:val="0"/>
          <w:szCs w:val="22"/>
        </w:rPr>
      </w:pPr>
    </w:p>
    <w:p w:rsidR="00E97420" w:rsidRPr="00952F1B" w:rsidP="007916CD" w14:paraId="1C2DC3CF" w14:textId="77777777">
      <w:pPr>
        <w:widowControl/>
        <w:shd w:val="clear" w:color="auto" w:fill="FFFFFF"/>
        <w:textAlignment w:val="baseline"/>
        <w:rPr>
          <w:snapToGrid/>
          <w:kern w:val="0"/>
          <w:szCs w:val="22"/>
        </w:rPr>
      </w:pPr>
    </w:p>
    <w:sectPr w:rsidSect="000E588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440D93A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57E53FD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668216B3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376A9AA0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A2A46" w14:paraId="359D8C7B" w14:textId="77777777">
      <w:r>
        <w:separator/>
      </w:r>
    </w:p>
  </w:footnote>
  <w:footnote w:type="continuationSeparator" w:id="1">
    <w:p w:rsidR="00FA2A46" w14:paraId="74575BB7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FA2A46" w:rsidRPr="00015CC9" w:rsidP="00015CC9" w14:paraId="32EECDFB" w14:textId="094575A6">
      <w:pPr>
        <w:pStyle w:val="Footer"/>
      </w:pPr>
    </w:p>
  </w:footnote>
  <w:footnote w:id="3">
    <w:tbl>
      <w:tblPr>
        <w:tblW w:w="1899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95"/>
        <w:gridCol w:w="9495"/>
      </w:tblGrid>
      <w:tr w14:paraId="3638EFF1" w14:textId="012D2C34" w:rsidTr="00C019FA">
        <w:tblPrEx>
          <w:tblW w:w="18990" w:type="dxa"/>
          <w:tblInd w:w="-108" w:type="dxa"/>
          <w:tblBorders>
            <w:top w:val="nil"/>
            <w:left w:val="nil"/>
            <w:bottom w:val="nil"/>
            <w:right w:val="nil"/>
          </w:tblBorders>
          <w:tblLayout w:type="fixed"/>
          <w:tblLook w:val="0000"/>
        </w:tblPrEx>
        <w:trPr>
          <w:trHeight w:val="277"/>
        </w:trPr>
        <w:tc>
          <w:tcPr>
            <w:tcW w:w="9495" w:type="dxa"/>
          </w:tcPr>
          <w:p w:rsidR="00C019FA" w:rsidP="005B3AFD" w14:paraId="3851D3D9" w14:textId="043045EE">
            <w:pPr>
              <w:pStyle w:val="Default"/>
              <w:rPr>
                <w:sz w:val="23"/>
                <w:szCs w:val="23"/>
              </w:rPr>
            </w:pPr>
            <w:r>
              <w:rPr>
                <w:rStyle w:val="FootnoteReference"/>
              </w:rPr>
              <w:footnoteRef/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Satellite Industry </w:t>
            </w:r>
            <w:r w:rsidR="005B3AFD">
              <w:rPr>
                <w:sz w:val="20"/>
                <w:szCs w:val="20"/>
              </w:rPr>
              <w:t>Association</w:t>
            </w:r>
            <w:r>
              <w:rPr>
                <w:sz w:val="20"/>
                <w:szCs w:val="20"/>
              </w:rPr>
              <w:t xml:space="preserve">, Petition for Reconsideration of International Public Notice on Siting </w:t>
            </w:r>
            <w:r w:rsidR="005B3AFD">
              <w:rPr>
                <w:sz w:val="20"/>
                <w:szCs w:val="20"/>
              </w:rPr>
              <w:t>Methodologies</w:t>
            </w:r>
            <w:r>
              <w:rPr>
                <w:sz w:val="20"/>
                <w:szCs w:val="20"/>
              </w:rPr>
              <w:t xml:space="preserve"> for Earth Stations Seeking to Operate in the 24.75-25.25 GHz, 27.5-28.35 GHz, 37.5-40 GHz, 47.2-48.2 GHz, and 50.4-51.4 GHz Frequency Bands to Demonstrate Compliance with Section 25.136 (filed Jul</w:t>
            </w:r>
            <w:r w:rsidR="005B3AFD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 xml:space="preserve">16, 2020). </w:t>
            </w:r>
          </w:p>
        </w:tc>
        <w:tc>
          <w:tcPr>
            <w:tcW w:w="9495" w:type="dxa"/>
          </w:tcPr>
          <w:p w:rsidR="00C019FA" w:rsidP="005B3AFD" w14:paraId="3D057486" w14:textId="7777777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B97F6C" w:rsidP="005B3AFD" w14:paraId="08315109" w14:textId="0EBE3A14">
      <w:pPr>
        <w:pStyle w:val="FootnoteText"/>
        <w:spacing w:after="0"/>
      </w:pPr>
    </w:p>
  </w:footnote>
  <w:footnote w:id="4">
    <w:p w:rsidR="00F750FE" w:rsidP="005B3AFD" w14:paraId="688A6153" w14:textId="02349BEE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Public Notice, International Bureau Issues Guidance on Siting Methodologies for Earth Stations Seeking to Operate for Earth Stations Seeking to Operate in the 24.75-25.25 GHz, 27.5-28.35 GHz, 37.5-40.0 GHz, 47.2-48.2, and 50.4-51.4 GHz Frequency Bands to Demonstrate Compliance with Section 25.136, IB Docket No. 17-172, DA 20-631 (June 16, 2020)</w:t>
      </w:r>
      <w:r w:rsidR="00CF3319">
        <w:t xml:space="preserve"> (</w:t>
      </w:r>
      <w:r w:rsidR="004536F1">
        <w:t xml:space="preserve">Guidance </w:t>
      </w:r>
      <w:r w:rsidR="00CF3319">
        <w:t>Public Notice)</w:t>
      </w:r>
      <w:r>
        <w:t xml:space="preserve">. </w:t>
      </w:r>
    </w:p>
    <w:p w:rsidR="005B3AFD" w:rsidP="005B3AFD" w14:paraId="374EB3C2" w14:textId="77777777">
      <w:pPr>
        <w:pStyle w:val="FootnoteText"/>
        <w:spacing w:after="0"/>
      </w:pPr>
    </w:p>
  </w:footnote>
  <w:footnote w:id="5">
    <w:p w:rsidR="00CF3319" w:rsidRPr="004536F1" w:rsidP="005B3AFD" w14:paraId="3ADF0B1E" w14:textId="3F4417E4">
      <w:pPr>
        <w:widowControl/>
        <w:shd w:val="clear" w:color="auto" w:fill="FFFFFF"/>
        <w:textAlignment w:val="baseline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4536F1">
        <w:rPr>
          <w:i/>
          <w:iCs/>
          <w:sz w:val="20"/>
        </w:rPr>
        <w:t xml:space="preserve">Use of Spectrum Banks Above </w:t>
      </w:r>
      <w:r w:rsidRPr="00CF3319">
        <w:rPr>
          <w:i/>
          <w:iCs/>
          <w:sz w:val="20"/>
        </w:rPr>
        <w:t>24 GHz for Mobile Radio Services</w:t>
      </w:r>
      <w:r w:rsidRPr="00CF3319">
        <w:rPr>
          <w:sz w:val="20"/>
        </w:rPr>
        <w:t>, Report and Order and Further Notice of Proposed Rulemaking, 31 FCC Rcd 8014 (2016)</w:t>
      </w:r>
      <w:r w:rsidRPr="004536F1">
        <w:rPr>
          <w:sz w:val="20"/>
        </w:rPr>
        <w:t>. (</w:t>
      </w:r>
      <w:r w:rsidRPr="004536F1">
        <w:rPr>
          <w:i/>
          <w:iCs/>
          <w:sz w:val="20"/>
        </w:rPr>
        <w:t>Spectrum Frontiers First Report and Order</w:t>
      </w:r>
      <w:r w:rsidRPr="004536F1">
        <w:rPr>
          <w:sz w:val="20"/>
        </w:rPr>
        <w:t xml:space="preserve">). </w:t>
      </w:r>
    </w:p>
    <w:p w:rsidR="00CF3319" w:rsidP="005B3AFD" w14:paraId="325563F0" w14:textId="77777777">
      <w:pPr>
        <w:widowControl/>
        <w:shd w:val="clear" w:color="auto" w:fill="FFFFFF"/>
        <w:textAlignment w:val="baseline"/>
      </w:pPr>
    </w:p>
  </w:footnote>
  <w:footnote w:id="6">
    <w:p w:rsidR="00CF3319" w:rsidP="005B3AFD" w14:paraId="2C4077B7" w14:textId="6152D917">
      <w:pPr>
        <w:pStyle w:val="FootnoteText"/>
        <w:spacing w:after="0"/>
        <w:rPr>
          <w:color w:val="000000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r w:rsidRPr="00CF3319">
        <w:rPr>
          <w:rStyle w:val="Emphasis"/>
          <w:color w:val="000000"/>
          <w:bdr w:val="none" w:sz="0" w:space="0" w:color="auto" w:frame="1"/>
        </w:rPr>
        <w:t>Spectrum Frontiers First Report and Order</w:t>
      </w:r>
      <w:r w:rsidRPr="00CF3319">
        <w:rPr>
          <w:color w:val="000000"/>
          <w:shd w:val="clear" w:color="auto" w:fill="FFFFFF"/>
        </w:rPr>
        <w:t>, 31 FCC Rcd at 8051, paras. 54, 93 n.120 &amp; n.223.</w:t>
      </w:r>
    </w:p>
    <w:p w:rsidR="005B3AFD" w:rsidP="005B3AFD" w14:paraId="425F405D" w14:textId="77777777">
      <w:pPr>
        <w:pStyle w:val="FootnoteText"/>
        <w:spacing w:after="0"/>
      </w:pPr>
    </w:p>
  </w:footnote>
  <w:footnote w:id="7">
    <w:p w:rsidR="0039179C" w:rsidP="005B3AFD" w14:paraId="71E64E96" w14:textId="6D78E5B3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Public Notice, International Bureau Seeks Comment on Implementing Earth Station Siting Methodologies. IB Docket No. 17-172, 32 FCC Rcd 5044 (Int’l Bur. July 21, 2017). </w:t>
      </w:r>
    </w:p>
    <w:p w:rsidR="001D48F4" w:rsidP="005B3AFD" w14:paraId="5210E7AE" w14:textId="77777777">
      <w:pPr>
        <w:pStyle w:val="FootnoteText"/>
        <w:spacing w:after="0"/>
      </w:pPr>
    </w:p>
  </w:footnote>
  <w:footnote w:id="8">
    <w:p w:rsidR="00505EA1" w:rsidRPr="0039179C" w:rsidP="00505EA1" w14:paraId="09D628E0" w14:textId="69D35A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916CD">
        <w:t>S</w:t>
      </w:r>
      <w:r w:rsidRPr="00505EA1">
        <w:t>ubsequently, the Com</w:t>
      </w:r>
      <w:r w:rsidRPr="007916CD">
        <w:t xml:space="preserve">mission released additional orders in the Spectrum </w:t>
      </w:r>
      <w:r w:rsidRPr="00505EA1">
        <w:t>Frontiers proceeding a</w:t>
      </w:r>
      <w:r w:rsidRPr="007916CD">
        <w:t>ddressing the 24.75-25.25 GHz, 47.2-48.2 GHz, and 50.4-51.4 GHz bands in section </w:t>
      </w:r>
      <w:r w:rsidRPr="00382B6D">
        <w:rPr>
          <w:bdr w:val="none" w:sz="0" w:space="0" w:color="auto" w:frame="1"/>
        </w:rPr>
        <w:t>25</w:t>
      </w:r>
      <w:r w:rsidRPr="00E57130">
        <w:t>.</w:t>
      </w:r>
      <w:r w:rsidRPr="00382B6D">
        <w:rPr>
          <w:bdr w:val="none" w:sz="0" w:space="0" w:color="auto" w:frame="1"/>
        </w:rPr>
        <w:t>136.</w:t>
      </w:r>
      <w:r w:rsidRPr="00505EA1">
        <w:t xml:space="preserve"> </w:t>
      </w:r>
      <w:r w:rsidR="00B97F6C">
        <w:t xml:space="preserve"> </w:t>
      </w:r>
      <w:r w:rsidRPr="00505EA1">
        <w:t>The methodologies presented in the Guidance Public Notice are intended to be used for all frequency bands covered by section 25.136.  S</w:t>
      </w:r>
      <w:r w:rsidRPr="00505EA1">
        <w:rPr>
          <w:rStyle w:val="Emphasis"/>
          <w:bdr w:val="none" w:sz="0" w:space="0" w:color="auto" w:frame="1"/>
        </w:rPr>
        <w:t>ee Use of Spectrum Bands Above 24 GHz for Mobile Radio Services et. al.</w:t>
      </w:r>
      <w:r w:rsidRPr="00505EA1">
        <w:rPr>
          <w:shd w:val="clear" w:color="auto" w:fill="FFFFFF"/>
        </w:rPr>
        <w:t>, Second Report and Order, Second Further Notice of Proposed Rulemaking</w:t>
      </w:r>
      <w:r w:rsidRPr="0039179C">
        <w:rPr>
          <w:shd w:val="clear" w:color="auto" w:fill="FFFFFF"/>
        </w:rPr>
        <w:t>, Order on Reconsideration, and Memorandum Opinion and Order, 32 FCC Rcd 10988 (2017); </w:t>
      </w:r>
      <w:r w:rsidRPr="0039179C">
        <w:rPr>
          <w:rStyle w:val="Emphasis"/>
          <w:bdr w:val="none" w:sz="0" w:space="0" w:color="auto" w:frame="1"/>
        </w:rPr>
        <w:t>Use of Spectrum Bands Above 24 GHz for Mobile Radio Services et. al.</w:t>
      </w:r>
      <w:r w:rsidRPr="0039179C">
        <w:rPr>
          <w:shd w:val="clear" w:color="auto" w:fill="FFFFFF"/>
        </w:rPr>
        <w:t>, Third Report and Order, Third Further Notice of Proposed Rulemaking, and Memorandum Opinion and Order, 33 FCC Rcd 5576 (2018) (adopting rules for FSS operations in the 27.5-28.35 GHz and 38.6-40 GHz bands); </w:t>
      </w:r>
      <w:r w:rsidRPr="0039179C">
        <w:rPr>
          <w:rStyle w:val="Emphasis"/>
          <w:bdr w:val="none" w:sz="0" w:space="0" w:color="auto" w:frame="1"/>
        </w:rPr>
        <w:t>Use of Spectrum Bands Above 24 GHz for Mobile Radio Services</w:t>
      </w:r>
      <w:r w:rsidRPr="0039179C">
        <w:rPr>
          <w:shd w:val="clear" w:color="auto" w:fill="FFFFFF"/>
        </w:rPr>
        <w:t>, Fifth Report and Order, 34 FCC Rcd 2556 (2019) (adopting rules for FSS earth station operations in the 50.4-51.4 GHz band).</w:t>
      </w:r>
    </w:p>
  </w:footnote>
  <w:footnote w:id="9">
    <w:p w:rsidR="00382B6D" w:rsidRPr="00382B6D" w14:paraId="5EFFC657" w14:textId="0C9E4D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2B6D">
        <w:rPr>
          <w:rStyle w:val="Emphasis"/>
          <w:color w:val="000000"/>
          <w:bdr w:val="none" w:sz="0" w:space="0" w:color="auto" w:frame="1"/>
        </w:rPr>
        <w:t>FCC Announces Closure of FCC Headquarters Open Window and Change in Hand-Delivery Filing</w:t>
      </w:r>
      <w:r w:rsidRPr="00382B6D">
        <w:rPr>
          <w:color w:val="000000"/>
          <w:shd w:val="clear" w:color="auto" w:fill="FFFFFF"/>
        </w:rPr>
        <w:t>, Public Notice, DA 20-304 (OMD Mar. 19, 2020).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10391EAA" w14:textId="68FD09E8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AE1C43">
      <w:rPr>
        <w:b/>
      </w:rPr>
      <w:t>DA 20-779</w:t>
    </w:r>
  </w:p>
  <w:p w:rsidR="009838BC" w:rsidRPr="009838BC" w:rsidP="009838BC" w14:paraId="7A5A1627" w14:textId="61BE4EBF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6D10D16C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4E698256" w14:textId="294E82FF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69AF4FF7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059BB224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410DC8C6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8417848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40B9EC97" w14:textId="1EEF87FE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3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3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410B794B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7038F933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3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3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54BD1A41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37B64468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46"/>
    <w:rsid w:val="000072CE"/>
    <w:rsid w:val="00013A8B"/>
    <w:rsid w:val="00015CC9"/>
    <w:rsid w:val="00021445"/>
    <w:rsid w:val="00036039"/>
    <w:rsid w:val="00037F90"/>
    <w:rsid w:val="000875BF"/>
    <w:rsid w:val="00092447"/>
    <w:rsid w:val="00096D8C"/>
    <w:rsid w:val="000C0B65"/>
    <w:rsid w:val="000E3D42"/>
    <w:rsid w:val="000E5884"/>
    <w:rsid w:val="00122BD5"/>
    <w:rsid w:val="001979D9"/>
    <w:rsid w:val="001D48F4"/>
    <w:rsid w:val="001D6BCF"/>
    <w:rsid w:val="001E01CA"/>
    <w:rsid w:val="002060D9"/>
    <w:rsid w:val="00226822"/>
    <w:rsid w:val="00260594"/>
    <w:rsid w:val="00285017"/>
    <w:rsid w:val="002A2D2E"/>
    <w:rsid w:val="00343749"/>
    <w:rsid w:val="00350CF7"/>
    <w:rsid w:val="00357D50"/>
    <w:rsid w:val="00382B6D"/>
    <w:rsid w:val="0039179C"/>
    <w:rsid w:val="003925DC"/>
    <w:rsid w:val="003B0550"/>
    <w:rsid w:val="003B694F"/>
    <w:rsid w:val="003F171C"/>
    <w:rsid w:val="00412FC5"/>
    <w:rsid w:val="00422276"/>
    <w:rsid w:val="004242F1"/>
    <w:rsid w:val="00445A00"/>
    <w:rsid w:val="00451B0F"/>
    <w:rsid w:val="004536F1"/>
    <w:rsid w:val="0046125F"/>
    <w:rsid w:val="00483A7C"/>
    <w:rsid w:val="00487524"/>
    <w:rsid w:val="00496106"/>
    <w:rsid w:val="004C12D0"/>
    <w:rsid w:val="004C2EE3"/>
    <w:rsid w:val="004E4A22"/>
    <w:rsid w:val="00505EA1"/>
    <w:rsid w:val="00511968"/>
    <w:rsid w:val="005444C5"/>
    <w:rsid w:val="0055614C"/>
    <w:rsid w:val="005B3AFD"/>
    <w:rsid w:val="00607BA5"/>
    <w:rsid w:val="00626EB6"/>
    <w:rsid w:val="006353A3"/>
    <w:rsid w:val="00655D03"/>
    <w:rsid w:val="00683F84"/>
    <w:rsid w:val="006A5975"/>
    <w:rsid w:val="006A6A81"/>
    <w:rsid w:val="006E26AF"/>
    <w:rsid w:val="006F7393"/>
    <w:rsid w:val="0070224F"/>
    <w:rsid w:val="007115F7"/>
    <w:rsid w:val="00745B83"/>
    <w:rsid w:val="00747A3A"/>
    <w:rsid w:val="00785689"/>
    <w:rsid w:val="007916CD"/>
    <w:rsid w:val="0079754B"/>
    <w:rsid w:val="007A1E6D"/>
    <w:rsid w:val="00822CE0"/>
    <w:rsid w:val="00827C22"/>
    <w:rsid w:val="00831219"/>
    <w:rsid w:val="00837C62"/>
    <w:rsid w:val="00841AB1"/>
    <w:rsid w:val="008C22FD"/>
    <w:rsid w:val="008E7C85"/>
    <w:rsid w:val="00910F12"/>
    <w:rsid w:val="00926503"/>
    <w:rsid w:val="00930ECF"/>
    <w:rsid w:val="00950357"/>
    <w:rsid w:val="00952F1B"/>
    <w:rsid w:val="009838BC"/>
    <w:rsid w:val="00A17D5C"/>
    <w:rsid w:val="00A45F4F"/>
    <w:rsid w:val="00A600A9"/>
    <w:rsid w:val="00A866AC"/>
    <w:rsid w:val="00A87121"/>
    <w:rsid w:val="00AA55B7"/>
    <w:rsid w:val="00AA5B9E"/>
    <w:rsid w:val="00AB2407"/>
    <w:rsid w:val="00AB53DF"/>
    <w:rsid w:val="00AE1C43"/>
    <w:rsid w:val="00B07E5C"/>
    <w:rsid w:val="00B20363"/>
    <w:rsid w:val="00B326E3"/>
    <w:rsid w:val="00B811F7"/>
    <w:rsid w:val="00B97F6C"/>
    <w:rsid w:val="00BA5DC6"/>
    <w:rsid w:val="00BA6196"/>
    <w:rsid w:val="00BC6D8C"/>
    <w:rsid w:val="00C019FA"/>
    <w:rsid w:val="00C16AF2"/>
    <w:rsid w:val="00C248DC"/>
    <w:rsid w:val="00C34006"/>
    <w:rsid w:val="00C426B1"/>
    <w:rsid w:val="00C457FB"/>
    <w:rsid w:val="00C718E5"/>
    <w:rsid w:val="00C82B6B"/>
    <w:rsid w:val="00C90D6A"/>
    <w:rsid w:val="00CC72B6"/>
    <w:rsid w:val="00CD548B"/>
    <w:rsid w:val="00CF3319"/>
    <w:rsid w:val="00D0218D"/>
    <w:rsid w:val="00D02ECE"/>
    <w:rsid w:val="00D216CD"/>
    <w:rsid w:val="00D27C65"/>
    <w:rsid w:val="00DA2529"/>
    <w:rsid w:val="00DB130A"/>
    <w:rsid w:val="00DC10A1"/>
    <w:rsid w:val="00DC655F"/>
    <w:rsid w:val="00DD2ED5"/>
    <w:rsid w:val="00DD7EBD"/>
    <w:rsid w:val="00DF62B6"/>
    <w:rsid w:val="00E07225"/>
    <w:rsid w:val="00E155B7"/>
    <w:rsid w:val="00E5409F"/>
    <w:rsid w:val="00E57130"/>
    <w:rsid w:val="00E97420"/>
    <w:rsid w:val="00EC0185"/>
    <w:rsid w:val="00EF0F6A"/>
    <w:rsid w:val="00F021FA"/>
    <w:rsid w:val="00F57ACA"/>
    <w:rsid w:val="00F62E97"/>
    <w:rsid w:val="00F64209"/>
    <w:rsid w:val="00F750FE"/>
    <w:rsid w:val="00F93BF5"/>
    <w:rsid w:val="00F96F63"/>
    <w:rsid w:val="00FA2A4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3416C3B-613F-42F5-84C9-8FDC62FE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7FB"/>
    <w:rPr>
      <w:rFonts w:ascii="Segoe UI" w:hAnsi="Segoe UI" w:cs="Segoe UI"/>
      <w:snapToGrid w:val="0"/>
      <w:kern w:val="28"/>
      <w:sz w:val="18"/>
      <w:szCs w:val="18"/>
    </w:rPr>
  </w:style>
  <w:style w:type="character" w:styleId="Emphasis">
    <w:name w:val="Emphasis"/>
    <w:uiPriority w:val="20"/>
    <w:qFormat/>
    <w:rsid w:val="00CF3319"/>
    <w:rPr>
      <w:i/>
      <w:iCs/>
    </w:rPr>
  </w:style>
  <w:style w:type="character" w:customStyle="1" w:styleId="cosearchterm">
    <w:name w:val="co_searchterm"/>
    <w:rsid w:val="00952F1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52F1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27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C6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C65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C65"/>
    <w:rPr>
      <w:b/>
      <w:bCs/>
      <w:snapToGrid w:val="0"/>
      <w:kern w:val="28"/>
    </w:rPr>
  </w:style>
  <w:style w:type="paragraph" w:customStyle="1" w:styleId="Default">
    <w:name w:val="Default"/>
    <w:rsid w:val="00C019F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2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1.next.westlaw.com/Link/Document/FullText?findType=L&amp;pubNum=1000547&amp;cite=47CFRS1.415&amp;originatingDoc=I2b1c0c71593011e79822eed485bc7ca1&amp;refType=LQ&amp;originationContext=document&amp;transitionType=DocumentItem&amp;contextData=(sc.Search)" TargetMode="External" /><Relationship Id="rId6" Type="http://schemas.openxmlformats.org/officeDocument/2006/relationships/hyperlink" Target="https://1.next.westlaw.com/Link/Document/FullText?findType=L&amp;pubNum=1000547&amp;cite=47CFRS1.419&amp;originatingDoc=I2b1c0c71593011e79822eed485bc7ca1&amp;refType=LQ&amp;originationContext=document&amp;transitionType=DocumentItem&amp;contextData=(sc.Search)" TargetMode="External" /><Relationship Id="rId7" Type="http://schemas.openxmlformats.org/officeDocument/2006/relationships/hyperlink" Target="https://1.next.westlaw.com/Link/Document/FullText?findType=l&amp;pubNum=0001037&amp;cite=UUID(I09B97220344F11DAA76E8C4D774DCFAA)&amp;originatingDoc=I2b1c0c71593011e79822eed485bc7ca1&amp;refType=CP&amp;fi=co_pp_sp_1037_24121&amp;originationContext=document&amp;transitionType=DocumentItem&amp;contextData=(sc.Search)" TargetMode="External" /><Relationship Id="rId8" Type="http://schemas.openxmlformats.org/officeDocument/2006/relationships/hyperlink" Target="mailto:Paul.Blais@fcc.gov" TargetMode="External" /><Relationship Id="rId9" Type="http://schemas.openxmlformats.org/officeDocument/2006/relationships/hyperlink" Target="mailto:Kal.Krautkramer@fcc.gov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