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C0B43" w:rsidRPr="00AC0954" w:rsidP="00F30857">
      <w:pPr>
        <w:jc w:val="right"/>
        <w:rPr>
          <w:b/>
          <w:bCs/>
          <w:color w:val="000000"/>
          <w:szCs w:val="22"/>
        </w:rPr>
      </w:pPr>
      <w:r w:rsidRPr="00113EE0">
        <w:rPr>
          <w:b/>
          <w:bCs/>
          <w:color w:val="000000"/>
          <w:szCs w:val="22"/>
        </w:rPr>
        <w:t xml:space="preserve">DA </w:t>
      </w:r>
      <w:r w:rsidR="00BB5B26">
        <w:rPr>
          <w:b/>
          <w:bCs/>
          <w:color w:val="000000"/>
          <w:szCs w:val="22"/>
        </w:rPr>
        <w:t>20-793</w:t>
      </w:r>
    </w:p>
    <w:p w:rsidR="00942077" w:rsidRPr="00AC0954" w:rsidP="006F5622">
      <w:pPr>
        <w:jc w:val="right"/>
        <w:rPr>
          <w:b/>
          <w:bCs/>
          <w:color w:val="000000"/>
          <w:szCs w:val="22"/>
        </w:rPr>
      </w:pPr>
    </w:p>
    <w:p w:rsidR="005517BA" w:rsidRPr="00AC0954" w:rsidP="006F5622">
      <w:pPr>
        <w:jc w:val="right"/>
        <w:rPr>
          <w:b/>
          <w:color w:val="000000"/>
          <w:szCs w:val="22"/>
        </w:rPr>
        <w:sectPr w:rsidSect="00215FDD">
          <w:headerReference w:type="default" r:id="rId5"/>
          <w:footerReference w:type="default" r:id="rId6"/>
          <w:headerReference w:type="first" r:id="rId7"/>
          <w:pgSz w:w="12240" w:h="15840" w:code="1"/>
          <w:pgMar w:top="720" w:right="720" w:bottom="1440" w:left="720" w:header="720" w:footer="735" w:gutter="0"/>
          <w:pgNumType w:start="1"/>
          <w:cols w:space="720"/>
          <w:titlePg/>
        </w:sectPr>
      </w:pPr>
      <w:r w:rsidRPr="00AC0954">
        <w:rPr>
          <w:b/>
          <w:color w:val="000000"/>
          <w:szCs w:val="22"/>
        </w:rPr>
        <w:t xml:space="preserve">Released: </w:t>
      </w:r>
      <w:r w:rsidRPr="00AC0954" w:rsidR="0096342D">
        <w:rPr>
          <w:b/>
          <w:color w:val="000000"/>
          <w:szCs w:val="22"/>
        </w:rPr>
        <w:t xml:space="preserve"> </w:t>
      </w:r>
      <w:r w:rsidR="006B4295">
        <w:rPr>
          <w:b/>
          <w:color w:val="000000"/>
          <w:szCs w:val="22"/>
        </w:rPr>
        <w:t>July</w:t>
      </w:r>
      <w:r w:rsidR="009A1193">
        <w:rPr>
          <w:b/>
          <w:color w:val="000000"/>
          <w:szCs w:val="22"/>
        </w:rPr>
        <w:t xml:space="preserve"> 28, 2020</w:t>
      </w:r>
    </w:p>
    <w:p w:rsidR="006F5622" w:rsidRPr="00AC0954" w:rsidP="00C71056">
      <w:pPr>
        <w:rPr>
          <w:szCs w:val="22"/>
        </w:rPr>
      </w:pPr>
    </w:p>
    <w:p w:rsidR="00887277" w:rsidRPr="00AC0954" w:rsidP="003E3D15">
      <w:pPr>
        <w:jc w:val="right"/>
        <w:rPr>
          <w:b/>
          <w:bCs/>
          <w:color w:val="000000"/>
          <w:szCs w:val="22"/>
        </w:rPr>
      </w:pPr>
    </w:p>
    <w:p w:rsidR="001C71AE" w:rsidP="001C71AE">
      <w:pPr>
        <w:pStyle w:val="Header"/>
        <w:tabs>
          <w:tab w:val="right" w:pos="9346"/>
        </w:tabs>
        <w:jc w:val="center"/>
        <w:rPr>
          <w:b/>
        </w:rPr>
      </w:pPr>
      <w:r>
        <w:rPr>
          <w:b/>
        </w:rPr>
        <w:t>CONSUMER AND GOVERNMENTAL AFFAIRS BUREAU CLARIFICATION ON EMERGENCY COVID-19 RELATED CALLS</w:t>
      </w:r>
    </w:p>
    <w:p w:rsidR="00CB6C65" w:rsidP="001C71AE">
      <w:pPr>
        <w:pStyle w:val="Header"/>
        <w:tabs>
          <w:tab w:val="right" w:pos="9346"/>
        </w:tabs>
        <w:jc w:val="center"/>
        <w:rPr>
          <w:b/>
        </w:rPr>
      </w:pPr>
    </w:p>
    <w:p w:rsidR="00CB6C65" w:rsidRPr="00AC0954" w:rsidP="001C71AE">
      <w:pPr>
        <w:pStyle w:val="Header"/>
        <w:tabs>
          <w:tab w:val="right" w:pos="9346"/>
        </w:tabs>
        <w:jc w:val="center"/>
        <w:rPr>
          <w:b/>
        </w:rPr>
      </w:pPr>
      <w:r>
        <w:rPr>
          <w:b/>
        </w:rPr>
        <w:t>CG Docket No. 02-278</w:t>
      </w:r>
    </w:p>
    <w:p w:rsidR="00942077" w:rsidRPr="00AC0954" w:rsidP="001C71AE">
      <w:pPr>
        <w:pStyle w:val="Header"/>
        <w:tabs>
          <w:tab w:val="right" w:pos="9346"/>
        </w:tabs>
        <w:jc w:val="center"/>
        <w:rPr>
          <w:b/>
        </w:rPr>
      </w:pPr>
    </w:p>
    <w:p w:rsidR="005F2A92" w:rsidP="00C14621">
      <w:pPr>
        <w:pStyle w:val="ParaNum0"/>
        <w:numPr>
          <w:ilvl w:val="0"/>
          <w:numId w:val="0"/>
        </w:numPr>
        <w:ind w:firstLine="720"/>
      </w:pPr>
      <w:r>
        <w:t xml:space="preserve">By this Public Notice, the Consumer and Governmental Affairs Bureau (Bureau) confirms that calls </w:t>
      </w:r>
      <w:r w:rsidR="00F90398">
        <w:t xml:space="preserve">and text </w:t>
      </w:r>
      <w:bookmarkStart w:id="1" w:name="_Hlk46744604"/>
      <w:r w:rsidR="00F90398">
        <w:t xml:space="preserve">messages </w:t>
      </w:r>
      <w:r>
        <w:t>made by</w:t>
      </w:r>
      <w:r w:rsidR="00342516">
        <w:t xml:space="preserve"> or on behalf of</w:t>
      </w:r>
      <w:r>
        <w:t xml:space="preserve"> commercial labs, health insurers, physicians, and pharmacies </w:t>
      </w:r>
      <w:bookmarkEnd w:id="1"/>
      <w:r w:rsidR="00EE17AE">
        <w:t>(health</w:t>
      </w:r>
      <w:r w:rsidR="0092733C">
        <w:t xml:space="preserve"> </w:t>
      </w:r>
      <w:r w:rsidR="00EE17AE">
        <w:t xml:space="preserve">care entities) </w:t>
      </w:r>
      <w:r>
        <w:t xml:space="preserve">that, pursuant to </w:t>
      </w:r>
      <w:r w:rsidR="004656BB">
        <w:t xml:space="preserve">guidance </w:t>
      </w:r>
      <w:r>
        <w:t>from federal, state</w:t>
      </w:r>
      <w:r w:rsidR="00224EE5">
        <w:t>,</w:t>
      </w:r>
      <w:r>
        <w:t xml:space="preserve"> or local government officials, communicate with </w:t>
      </w:r>
      <w:r w:rsidR="004656BB">
        <w:t>individuals who have tested positive for COVID-19</w:t>
      </w:r>
      <w:r>
        <w:t xml:space="preserve"> to</w:t>
      </w:r>
      <w:r w:rsidR="00970E25">
        <w:t xml:space="preserve"> provide them with information regarding donating</w:t>
      </w:r>
      <w:r>
        <w:t xml:space="preserve"> their plasma after recovering, fall within the “emergency purposes” exception to the Telephone Consumer Protection Act (TCPA).  </w:t>
      </w:r>
      <w:r>
        <w:t xml:space="preserve">As a result, such calls </w:t>
      </w:r>
      <w:r w:rsidR="00224EE5">
        <w:t xml:space="preserve">during the ongoing pandemic </w:t>
      </w:r>
      <w:r w:rsidRPr="00CF6797">
        <w:t xml:space="preserve">do not require prior </w:t>
      </w:r>
      <w:r>
        <w:t xml:space="preserve">express </w:t>
      </w:r>
      <w:r w:rsidRPr="00CF6797">
        <w:t>consent to be lawful</w:t>
      </w:r>
      <w:r>
        <w:t>.</w:t>
      </w:r>
    </w:p>
    <w:p w:rsidR="00F253C1" w:rsidRPr="00C14621" w:rsidP="00C14621">
      <w:pPr>
        <w:pStyle w:val="ParaNum0"/>
        <w:numPr>
          <w:ilvl w:val="0"/>
          <w:numId w:val="0"/>
        </w:numPr>
        <w:ind w:firstLine="720"/>
        <w:rPr>
          <w:iCs/>
        </w:rPr>
      </w:pPr>
      <w:r>
        <w:rPr>
          <w:iCs/>
        </w:rPr>
        <w:t>T</w:t>
      </w:r>
      <w:r w:rsidRPr="00E918C8">
        <w:t xml:space="preserve">he </w:t>
      </w:r>
      <w:r>
        <w:t>TCPA</w:t>
      </w:r>
      <w:r w:rsidRPr="00E918C8">
        <w:t xml:space="preserve"> expressly ex</w:t>
      </w:r>
      <w:r>
        <w:t>cepts</w:t>
      </w:r>
      <w:r w:rsidRPr="00E918C8">
        <w:t xml:space="preserve"> from </w:t>
      </w:r>
      <w:r>
        <w:t>its</w:t>
      </w:r>
      <w:r w:rsidRPr="00E918C8">
        <w:t xml:space="preserve"> </w:t>
      </w:r>
      <w:r>
        <w:t>prior express consent requirements</w:t>
      </w:r>
      <w:r w:rsidRPr="00E918C8">
        <w:t xml:space="preserve"> </w:t>
      </w:r>
      <w:r w:rsidR="00A40BCE">
        <w:t xml:space="preserve">autodialed, prerecorded, and artificial voice </w:t>
      </w:r>
      <w:r w:rsidRPr="00E918C8">
        <w:t>calls</w:t>
      </w:r>
      <w:r w:rsidR="00D678D4">
        <w:t xml:space="preserve"> </w:t>
      </w:r>
      <w:r w:rsidRPr="00E918C8">
        <w:t>made for “emergency purposes.”</w:t>
      </w:r>
      <w:r>
        <w:rPr>
          <w:vertAlign w:val="superscript"/>
        </w:rPr>
        <w:footnoteReference w:id="3"/>
      </w:r>
      <w:r w:rsidRPr="00E918C8">
        <w:t xml:space="preserve"> </w:t>
      </w:r>
      <w:r>
        <w:t xml:space="preserve"> </w:t>
      </w:r>
      <w:r w:rsidRPr="00B45475">
        <w:t>The Commission’s rules define “emergency purposes” to mean “calls made necessary in any situation affecting the health and safety of consumers.”</w:t>
      </w:r>
      <w:r>
        <w:rPr>
          <w:rStyle w:val="FootnoteReference"/>
        </w:rPr>
        <w:footnoteReference w:id="4"/>
      </w:r>
      <w:r w:rsidRPr="00B45475">
        <w:t xml:space="preserve">  </w:t>
      </w:r>
      <w:r>
        <w:t>The “emergency purposes” exception is intended for “instances [that] pose significant risks to public health and safety, and [where] the use of prerecorded message calls could speed the dissemination of information regarding . . . potentially hazardous conditions to the public.”</w:t>
      </w:r>
      <w:r>
        <w:rPr>
          <w:rStyle w:val="FootnoteReference"/>
        </w:rPr>
        <w:footnoteReference w:id="5"/>
      </w:r>
    </w:p>
    <w:p w:rsidR="00E765E9" w:rsidP="00E94D0B">
      <w:pPr>
        <w:pStyle w:val="ParaNum0"/>
        <w:numPr>
          <w:ilvl w:val="0"/>
          <w:numId w:val="0"/>
        </w:numPr>
        <w:ind w:firstLine="720"/>
      </w:pPr>
      <w:r>
        <w:t xml:space="preserve">On March 13, 2020, the President </w:t>
      </w:r>
      <w:r w:rsidRPr="00E918C8">
        <w:t>proclaim</w:t>
      </w:r>
      <w:r>
        <w:t>ed</w:t>
      </w:r>
      <w:r w:rsidRPr="00E918C8">
        <w:t xml:space="preserve"> that the COVID-19 outbreak in the United States constitutes a national emergency</w:t>
      </w:r>
      <w:r>
        <w:t>.</w:t>
      </w:r>
      <w:r>
        <w:rPr>
          <w:rStyle w:val="FootnoteReference"/>
        </w:rPr>
        <w:footnoteReference w:id="6"/>
      </w:r>
      <w:r>
        <w:t xml:space="preserve">  </w:t>
      </w:r>
      <w:r w:rsidR="00E94D0B">
        <w:t>Shortly thereafter, i</w:t>
      </w:r>
      <w:r>
        <w:t xml:space="preserve">n </w:t>
      </w:r>
      <w:r w:rsidR="00D573B7">
        <w:t xml:space="preserve">a </w:t>
      </w:r>
      <w:r>
        <w:t>March 20, 2020</w:t>
      </w:r>
      <w:r w:rsidR="00D573B7">
        <w:t xml:space="preserve"> Declaratory Ruling</w:t>
      </w:r>
      <w:r>
        <w:t>, the Bureau confirm</w:t>
      </w:r>
      <w:r w:rsidR="00D573B7">
        <w:t xml:space="preserve">ed </w:t>
      </w:r>
      <w:r>
        <w:t xml:space="preserve">that the COVID-19 pandemic constitutes an “emergency” under the TCPA and that consequently hospitals, health care providers, state and local health officials, and other government </w:t>
      </w:r>
      <w:r>
        <w:t xml:space="preserve">officials may </w:t>
      </w:r>
      <w:r w:rsidRPr="00337A4C">
        <w:t>lawfully</w:t>
      </w:r>
      <w:r>
        <w:t xml:space="preserve"> communicate</w:t>
      </w:r>
      <w:r w:rsidR="005C3C93">
        <w:t>, through automated calls or texts to wireless numbers,</w:t>
      </w:r>
      <w:r>
        <w:t xml:space="preserve"> information about the novel coronavirus as well as mitigation measures.</w:t>
      </w:r>
      <w:r>
        <w:rPr>
          <w:rStyle w:val="FootnoteReference"/>
        </w:rPr>
        <w:footnoteReference w:id="7"/>
      </w:r>
      <w:r w:rsidR="00373207">
        <w:t xml:space="preserve">  Specifically, the </w:t>
      </w:r>
      <w:r w:rsidRPr="00C760D1" w:rsidR="00A40BCE">
        <w:rPr>
          <w:i/>
          <w:iCs/>
        </w:rPr>
        <w:t xml:space="preserve">March 20 </w:t>
      </w:r>
      <w:r w:rsidRPr="00C760D1" w:rsidR="00373207">
        <w:rPr>
          <w:i/>
          <w:iCs/>
        </w:rPr>
        <w:t>Declaratory Ruling</w:t>
      </w:r>
      <w:r w:rsidR="00373207">
        <w:t xml:space="preserve"> </w:t>
      </w:r>
      <w:r w:rsidR="00D573B7">
        <w:t xml:space="preserve">stated </w:t>
      </w:r>
      <w:r w:rsidR="00373207">
        <w:t xml:space="preserve">that callers may avail themselves of this emergency exception </w:t>
      </w:r>
      <w:r w:rsidR="0012621F">
        <w:t>where two conditions are met</w:t>
      </w:r>
      <w:r w:rsidR="00373207">
        <w:t xml:space="preserve">.  </w:t>
      </w:r>
      <w:r w:rsidRPr="003F3D18" w:rsidR="00373207">
        <w:rPr>
          <w:i/>
        </w:rPr>
        <w:t>First</w:t>
      </w:r>
      <w:r w:rsidR="00373207">
        <w:t>, the caller must be from a hospital, or be a health care provider, state or local health official, or other government official</w:t>
      </w:r>
      <w:r w:rsidR="0012621F">
        <w:t>,</w:t>
      </w:r>
      <w:r w:rsidR="00373207">
        <w:t xml:space="preserve"> as well as a person under the express direction of such an organization and acting on its behalf.  </w:t>
      </w:r>
      <w:r w:rsidRPr="003F3D18" w:rsidR="00373207">
        <w:rPr>
          <w:i/>
        </w:rPr>
        <w:t>Second</w:t>
      </w:r>
      <w:r w:rsidR="00373207">
        <w:t>, the content of the call must be solely informational, made necessary because of the COVID-19 outbreak, and directly related to the imminent health or safety risk arising out of the COVID-19 outbreak.</w:t>
      </w:r>
      <w:r>
        <w:rPr>
          <w:rStyle w:val="FootnoteReference"/>
        </w:rPr>
        <w:footnoteReference w:id="8"/>
      </w:r>
    </w:p>
    <w:p w:rsidR="00F253C1" w:rsidP="00435E06">
      <w:pPr>
        <w:pStyle w:val="ParaNum0"/>
        <w:numPr>
          <w:ilvl w:val="0"/>
          <w:numId w:val="0"/>
        </w:numPr>
        <w:ind w:firstLine="720"/>
      </w:pPr>
      <w:bookmarkStart w:id="3" w:name="_Hlk46473087"/>
      <w:r>
        <w:t xml:space="preserve">With this Public Notice, the Bureau confirms that </w:t>
      </w:r>
      <w:r w:rsidR="002F0744">
        <w:t>the TCPA’s</w:t>
      </w:r>
      <w:r>
        <w:t xml:space="preserve"> emergency exception </w:t>
      </w:r>
      <w:r w:rsidR="00342516">
        <w:t xml:space="preserve">also </w:t>
      </w:r>
      <w:r>
        <w:t xml:space="preserve">applies to </w:t>
      </w:r>
      <w:r w:rsidR="00D573B7">
        <w:t xml:space="preserve">calls or texts </w:t>
      </w:r>
      <w:r w:rsidR="00E94D0B">
        <w:t>made by or on behalf of</w:t>
      </w:r>
      <w:r w:rsidR="00D573B7">
        <w:t xml:space="preserve"> </w:t>
      </w:r>
      <w:r w:rsidR="00EC2D4A">
        <w:t>health care entities</w:t>
      </w:r>
      <w:r w:rsidR="005B645B">
        <w:t xml:space="preserve"> </w:t>
      </w:r>
      <w:r>
        <w:t xml:space="preserve">that, pursuant to </w:t>
      </w:r>
      <w:r w:rsidR="005B645B">
        <w:t xml:space="preserve">guidance </w:t>
      </w:r>
      <w:r>
        <w:t>from federal, state</w:t>
      </w:r>
      <w:r w:rsidR="00A40BCE">
        <w:t>,</w:t>
      </w:r>
      <w:r>
        <w:t xml:space="preserve"> or local government officials, communicate </w:t>
      </w:r>
      <w:r w:rsidR="005B645B">
        <w:t>with individuals who have tested positive for</w:t>
      </w:r>
      <w:r>
        <w:t xml:space="preserve"> COVID-19 to encourage them to donate their plasma after recovering.</w:t>
      </w:r>
      <w:bookmarkEnd w:id="3"/>
      <w:r>
        <w:t xml:space="preserve">  We find that such calls</w:t>
      </w:r>
      <w:r w:rsidR="00D573B7">
        <w:t xml:space="preserve"> or texts serve the same purposes as those we described in the </w:t>
      </w:r>
      <w:r w:rsidRPr="00C760D1" w:rsidR="00A40BCE">
        <w:rPr>
          <w:i/>
          <w:iCs/>
        </w:rPr>
        <w:t xml:space="preserve">March 20 </w:t>
      </w:r>
      <w:r w:rsidRPr="00C760D1" w:rsidR="00D573B7">
        <w:rPr>
          <w:i/>
          <w:iCs/>
        </w:rPr>
        <w:t xml:space="preserve">Declaratory </w:t>
      </w:r>
      <w:r w:rsidRPr="00C760D1" w:rsidR="00A40BCE">
        <w:rPr>
          <w:i/>
          <w:iCs/>
        </w:rPr>
        <w:t>R</w:t>
      </w:r>
      <w:r w:rsidRPr="00C760D1" w:rsidR="00D573B7">
        <w:rPr>
          <w:i/>
          <w:iCs/>
        </w:rPr>
        <w:t>uling</w:t>
      </w:r>
      <w:r w:rsidR="00D573B7">
        <w:t xml:space="preserve">, i.e., </w:t>
      </w:r>
      <w:r>
        <w:t>they</w:t>
      </w:r>
      <w:r w:rsidR="00E94D0B">
        <w:t xml:space="preserve"> are</w:t>
      </w:r>
      <w:r>
        <w:t xml:space="preserve"> </w:t>
      </w:r>
      <w:r w:rsidR="00D573B7">
        <w:t>made</w:t>
      </w:r>
      <w:r w:rsidR="000815DF">
        <w:t xml:space="preserve"> necessary</w:t>
      </w:r>
      <w:r w:rsidR="00D573B7">
        <w:t xml:space="preserve"> in a situation that “affect[s] the health and safety of consumers</w:t>
      </w:r>
      <w:r w:rsidR="00170D75">
        <w:t>,</w:t>
      </w:r>
      <w:r w:rsidR="00D573B7">
        <w:t>”</w:t>
      </w:r>
      <w:r>
        <w:rPr>
          <w:rStyle w:val="FootnoteReference"/>
        </w:rPr>
        <w:footnoteReference w:id="9"/>
      </w:r>
      <w:r w:rsidR="00D573B7">
        <w:t xml:space="preserve"> </w:t>
      </w:r>
      <w:r w:rsidR="00170D75">
        <w:t xml:space="preserve">as such calls are critical to inform their recipients of the need for them to participate in an effort to </w:t>
      </w:r>
      <w:r w:rsidR="00152109">
        <w:t>mitigate the</w:t>
      </w:r>
      <w:r w:rsidR="00E244C4">
        <w:t xml:space="preserve"> devastating</w:t>
      </w:r>
      <w:r w:rsidR="00152109">
        <w:t xml:space="preserve"> </w:t>
      </w:r>
      <w:r w:rsidR="00E244C4">
        <w:t>effects</w:t>
      </w:r>
      <w:r w:rsidR="00152109">
        <w:t xml:space="preserve"> of COVID-19</w:t>
      </w:r>
      <w:r w:rsidR="00E244C4">
        <w:t>.</w:t>
      </w:r>
      <w:r w:rsidR="00152109">
        <w:t xml:space="preserve">  </w:t>
      </w:r>
    </w:p>
    <w:p w:rsidR="0080674D" w:rsidP="0080674D">
      <w:pPr>
        <w:pStyle w:val="ParaNum0"/>
        <w:numPr>
          <w:ilvl w:val="0"/>
          <w:numId w:val="0"/>
        </w:numPr>
        <w:ind w:firstLine="720"/>
      </w:pPr>
      <w:r>
        <w:t xml:space="preserve">We reiterate that </w:t>
      </w:r>
      <w:r w:rsidR="00915F20">
        <w:t xml:space="preserve">automated </w:t>
      </w:r>
      <w:r>
        <w:t>calls that contain advertising or telemarketing of services or that attempt to collect debt, even if such debt arises from related health care treatment, do not constitute calls made for an “emergency purpose” as those calls do not “affect the health and safety of consumers,” and are not directly related to an imminent health or safety risk.</w:t>
      </w:r>
      <w:r>
        <w:rPr>
          <w:rStyle w:val="FootnoteReference"/>
        </w:rPr>
        <w:footnoteReference w:id="10"/>
      </w:r>
      <w:r>
        <w:t xml:space="preserve">  </w:t>
      </w:r>
      <w:r w:rsidR="00F90398">
        <w:t xml:space="preserve">As a result, those calls or texts </w:t>
      </w:r>
      <w:r>
        <w:t>require the prior express consent of the called party.</w:t>
      </w:r>
      <w:r>
        <w:rPr>
          <w:rStyle w:val="FootnoteReference"/>
        </w:rPr>
        <w:footnoteReference w:id="11"/>
      </w:r>
      <w:r w:rsidR="00F90398">
        <w:t xml:space="preserve"> </w:t>
      </w:r>
    </w:p>
    <w:p w:rsidR="002065EF" w:rsidP="002065EF">
      <w:pPr>
        <w:pStyle w:val="ParaNum0"/>
        <w:numPr>
          <w:ilvl w:val="0"/>
          <w:numId w:val="0"/>
        </w:numPr>
        <w:ind w:firstLine="720"/>
      </w:pPr>
      <w:r>
        <w:t xml:space="preserve">For further information, please contact Richard Smith, Consumer Policy Division, Consumer and Governmental Affairs Bureau, at 717-338-2797 or by e-mail to </w:t>
      </w:r>
      <w:hyperlink r:id="rId8" w:history="1">
        <w:r w:rsidRPr="00D06B48">
          <w:rPr>
            <w:rStyle w:val="Hyperlink"/>
          </w:rPr>
          <w:t>Richard.Smith@fcc.gov</w:t>
        </w:r>
      </w:hyperlink>
      <w:r w:rsidR="00E616DB">
        <w:t>.</w:t>
      </w:r>
    </w:p>
    <w:p w:rsidR="00BC5507" w:rsidRPr="00DB17E0" w:rsidP="00FC6DAB">
      <w:pPr>
        <w:pStyle w:val="ParaNum0"/>
        <w:numPr>
          <w:ilvl w:val="0"/>
          <w:numId w:val="0"/>
        </w:numPr>
        <w:jc w:val="center"/>
        <w:rPr>
          <w:b/>
          <w:bCs/>
        </w:rPr>
      </w:pPr>
      <w:r w:rsidRPr="00DB17E0">
        <w:rPr>
          <w:b/>
          <w:bCs/>
        </w:rPr>
        <w:t>– FCC –</w:t>
      </w:r>
      <w:bookmarkStart w:id="4" w:name="_GoBack"/>
      <w:bookmarkEnd w:id="4"/>
    </w:p>
    <w:sectPr w:rsidSect="00615379">
      <w:type w:val="continuous"/>
      <w:pgSz w:w="12240" w:h="15840" w:code="1"/>
      <w:pgMar w:top="990" w:right="1440" w:bottom="180" w:left="1440" w:header="720" w:footer="73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0DF" w:rsidP="001B2E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2D58">
      <w:r>
        <w:separator/>
      </w:r>
    </w:p>
  </w:footnote>
  <w:footnote w:type="continuationSeparator" w:id="1">
    <w:p w:rsidR="00722D58">
      <w:r>
        <w:continuationSeparator/>
      </w:r>
    </w:p>
  </w:footnote>
  <w:footnote w:type="continuationNotice" w:id="2">
    <w:p w:rsidR="00722D58"/>
  </w:footnote>
  <w:footnote w:id="3">
    <w:p w:rsidR="00F253C1" w:rsidRPr="00844037" w:rsidP="00F253C1">
      <w:pPr>
        <w:pStyle w:val="FootnoteText"/>
        <w:rPr>
          <w:sz w:val="20"/>
          <w:szCs w:val="18"/>
        </w:rPr>
      </w:pPr>
      <w:r w:rsidRPr="00844037">
        <w:rPr>
          <w:rStyle w:val="FootnoteReference"/>
          <w:sz w:val="20"/>
          <w:szCs w:val="18"/>
        </w:rPr>
        <w:footnoteRef/>
      </w:r>
      <w:r w:rsidRPr="00844037">
        <w:rPr>
          <w:sz w:val="20"/>
          <w:szCs w:val="18"/>
        </w:rPr>
        <w:t xml:space="preserve"> 47 U.S.C</w:t>
      </w:r>
      <w:r w:rsidRPr="00844037">
        <w:rPr>
          <w:i/>
          <w:sz w:val="20"/>
          <w:szCs w:val="18"/>
        </w:rPr>
        <w:t xml:space="preserve"> </w:t>
      </w:r>
      <w:r w:rsidRPr="00844037">
        <w:rPr>
          <w:sz w:val="20"/>
          <w:szCs w:val="18"/>
        </w:rPr>
        <w:t xml:space="preserve">§ 227(b)(1)(A)-(B).  </w:t>
      </w:r>
    </w:p>
  </w:footnote>
  <w:footnote w:id="4">
    <w:p w:rsidR="00F253C1" w:rsidRPr="00844037" w:rsidP="00F253C1">
      <w:pPr>
        <w:pStyle w:val="FootnoteText"/>
        <w:rPr>
          <w:sz w:val="20"/>
          <w:szCs w:val="18"/>
        </w:rPr>
      </w:pPr>
      <w:r w:rsidRPr="00844037">
        <w:rPr>
          <w:rStyle w:val="FootnoteReference"/>
          <w:sz w:val="20"/>
          <w:szCs w:val="18"/>
        </w:rPr>
        <w:footnoteRef/>
      </w:r>
      <w:r w:rsidRPr="00844037">
        <w:rPr>
          <w:sz w:val="20"/>
          <w:szCs w:val="18"/>
        </w:rPr>
        <w:t xml:space="preserve"> </w:t>
      </w:r>
      <w:r w:rsidRPr="00844037">
        <w:rPr>
          <w:i/>
          <w:sz w:val="20"/>
          <w:szCs w:val="18"/>
        </w:rPr>
        <w:t>See</w:t>
      </w:r>
      <w:r w:rsidRPr="00844037">
        <w:rPr>
          <w:sz w:val="20"/>
          <w:szCs w:val="18"/>
        </w:rPr>
        <w:t xml:space="preserve"> 47 CFR </w:t>
      </w:r>
      <w:bookmarkStart w:id="2" w:name="_Hlk35422800"/>
      <w:r w:rsidRPr="00844037">
        <w:rPr>
          <w:sz w:val="20"/>
          <w:szCs w:val="18"/>
        </w:rPr>
        <w:t>§</w:t>
      </w:r>
      <w:bookmarkEnd w:id="2"/>
      <w:r w:rsidRPr="00844037">
        <w:rPr>
          <w:sz w:val="20"/>
          <w:szCs w:val="18"/>
        </w:rPr>
        <w:t xml:space="preserve"> 64.1200(f)(4).</w:t>
      </w:r>
    </w:p>
  </w:footnote>
  <w:footnote w:id="5">
    <w:p w:rsidR="00F253C1" w:rsidRPr="00844037" w:rsidP="00F253C1">
      <w:pPr>
        <w:pStyle w:val="FootnoteText"/>
        <w:rPr>
          <w:sz w:val="20"/>
          <w:szCs w:val="18"/>
        </w:rPr>
      </w:pPr>
      <w:r w:rsidRPr="00844037">
        <w:rPr>
          <w:rStyle w:val="FootnoteReference"/>
          <w:sz w:val="20"/>
          <w:szCs w:val="18"/>
        </w:rPr>
        <w:footnoteRef/>
      </w:r>
      <w:r w:rsidRPr="00844037">
        <w:rPr>
          <w:sz w:val="20"/>
          <w:szCs w:val="18"/>
        </w:rPr>
        <w:t xml:space="preserve"> </w:t>
      </w:r>
      <w:r w:rsidRPr="00844037">
        <w:rPr>
          <w:i/>
          <w:iCs/>
          <w:sz w:val="20"/>
          <w:szCs w:val="18"/>
        </w:rPr>
        <w:t>See Rules and Regulations Implementing the Telephone Consumer Protection Act of 1991</w:t>
      </w:r>
      <w:r w:rsidRPr="00844037">
        <w:rPr>
          <w:sz w:val="20"/>
          <w:szCs w:val="18"/>
        </w:rPr>
        <w:t>,</w:t>
      </w:r>
      <w:r w:rsidRPr="00844037">
        <w:rPr>
          <w:i/>
          <w:iCs/>
          <w:sz w:val="20"/>
          <w:szCs w:val="18"/>
        </w:rPr>
        <w:t xml:space="preserve"> </w:t>
      </w:r>
      <w:r w:rsidRPr="00844037">
        <w:rPr>
          <w:sz w:val="20"/>
          <w:szCs w:val="18"/>
        </w:rPr>
        <w:t xml:space="preserve">CC Docket No. 92-90, Report and Order, 7 FCC </w:t>
      </w:r>
      <w:r w:rsidRPr="00844037">
        <w:rPr>
          <w:sz w:val="20"/>
          <w:szCs w:val="18"/>
        </w:rPr>
        <w:t>Rcd</w:t>
      </w:r>
      <w:r w:rsidRPr="00844037">
        <w:rPr>
          <w:sz w:val="20"/>
          <w:szCs w:val="18"/>
        </w:rPr>
        <w:t xml:space="preserve"> 8752, 8778, para. 51 (1992) (</w:t>
      </w:r>
      <w:r w:rsidRPr="00844037">
        <w:rPr>
          <w:i/>
          <w:iCs/>
          <w:sz w:val="20"/>
          <w:szCs w:val="18"/>
        </w:rPr>
        <w:t>1992 TCPA Order</w:t>
      </w:r>
      <w:r w:rsidRPr="00844037">
        <w:rPr>
          <w:sz w:val="20"/>
          <w:szCs w:val="18"/>
        </w:rPr>
        <w:t>).</w:t>
      </w:r>
    </w:p>
  </w:footnote>
  <w:footnote w:id="6">
    <w:p w:rsidR="00EE17AE" w:rsidRPr="006B4295" w:rsidP="00EE17AE">
      <w:pPr>
        <w:rPr>
          <w:sz w:val="20"/>
        </w:rPr>
      </w:pPr>
      <w:r w:rsidRPr="00844037">
        <w:rPr>
          <w:rStyle w:val="FootnoteReference"/>
          <w:sz w:val="20"/>
          <w:szCs w:val="18"/>
        </w:rPr>
        <w:footnoteRef/>
      </w:r>
      <w:r w:rsidRPr="00844037">
        <w:rPr>
          <w:sz w:val="20"/>
          <w:szCs w:val="18"/>
        </w:rPr>
        <w:t xml:space="preserve"> </w:t>
      </w:r>
      <w:r w:rsidRPr="00844037">
        <w:rPr>
          <w:i/>
          <w:iCs/>
          <w:sz w:val="20"/>
          <w:szCs w:val="18"/>
        </w:rPr>
        <w:t xml:space="preserve">See </w:t>
      </w:r>
      <w:r w:rsidRPr="00844037">
        <w:rPr>
          <w:sz w:val="20"/>
          <w:szCs w:val="18"/>
        </w:rPr>
        <w:t xml:space="preserve">Proclamation on Declaring a National Emergency Concerning the Novel Coronavirus Disease (COVID-19) Outbreak (Mar. 13, 2020), </w:t>
      </w:r>
      <w:hyperlink r:id="rId1" w:history="1">
        <w:r w:rsidRPr="00844037">
          <w:rPr>
            <w:rStyle w:val="Hyperlink"/>
            <w:sz w:val="20"/>
            <w:szCs w:val="18"/>
          </w:rPr>
          <w:t>https://www.whitehouse.gov/presidential-actions/proclamation-declaring-national-emergency-concerning-novel-coronavirus-disease-covid-19-outbreak/</w:t>
        </w:r>
      </w:hyperlink>
      <w:r>
        <w:rPr>
          <w:sz w:val="20"/>
          <w:szCs w:val="18"/>
        </w:rPr>
        <w:t>;</w:t>
      </w:r>
      <w:r w:rsidRPr="00EE17AE">
        <w:rPr>
          <w:sz w:val="20"/>
          <w:szCs w:val="18"/>
        </w:rPr>
        <w:t xml:space="preserve"> </w:t>
      </w:r>
      <w:r w:rsidR="00EC2D4A">
        <w:rPr>
          <w:sz w:val="20"/>
          <w:szCs w:val="18"/>
        </w:rPr>
        <w:t>News Release, Federal Emergency Management Agency</w:t>
      </w:r>
      <w:r w:rsidRPr="006B4295">
        <w:rPr>
          <w:i/>
          <w:iCs/>
          <w:sz w:val="20"/>
          <w:szCs w:val="18"/>
        </w:rPr>
        <w:t xml:space="preserve">, </w:t>
      </w:r>
      <w:r w:rsidRPr="00EC2D4A">
        <w:rPr>
          <w:sz w:val="20"/>
          <w:szCs w:val="18"/>
        </w:rPr>
        <w:t>COVID-19 Emergency Declaration</w:t>
      </w:r>
      <w:r w:rsidR="00F129F9">
        <w:rPr>
          <w:i/>
          <w:sz w:val="20"/>
          <w:szCs w:val="18"/>
        </w:rPr>
        <w:t xml:space="preserve"> </w:t>
      </w:r>
      <w:r w:rsidR="00F129F9">
        <w:rPr>
          <w:sz w:val="20"/>
          <w:szCs w:val="18"/>
        </w:rPr>
        <w:t>(Mar. 1</w:t>
      </w:r>
      <w:r w:rsidRPr="0092733C" w:rsidR="00F129F9">
        <w:rPr>
          <w:sz w:val="20"/>
        </w:rPr>
        <w:t>3, 2020)</w:t>
      </w:r>
      <w:r w:rsidR="00EC2D4A">
        <w:rPr>
          <w:sz w:val="20"/>
        </w:rPr>
        <w:t xml:space="preserve">, </w:t>
      </w:r>
      <w:hyperlink r:id="rId2" w:tgtFrame="_blank" w:history="1">
        <w:r w:rsidRPr="006B4295">
          <w:rPr>
            <w:rStyle w:val="Hyperlink"/>
            <w:sz w:val="20"/>
          </w:rPr>
          <w:t>https://www.fema.gov/news-re</w:t>
        </w:r>
        <w:r w:rsidRPr="006B4295">
          <w:rPr>
            <w:rStyle w:val="Hyperlink"/>
            <w:sz w:val="20"/>
          </w:rPr>
          <w:t>l</w:t>
        </w:r>
        <w:r w:rsidRPr="006B4295">
          <w:rPr>
            <w:rStyle w:val="Hyperlink"/>
            <w:sz w:val="20"/>
          </w:rPr>
          <w:t>ea</w:t>
        </w:r>
        <w:r w:rsidRPr="006B4295">
          <w:rPr>
            <w:rStyle w:val="Hyperlink"/>
            <w:sz w:val="20"/>
          </w:rPr>
          <w:t>s</w:t>
        </w:r>
        <w:r w:rsidRPr="006B4295">
          <w:rPr>
            <w:rStyle w:val="Hyperlink"/>
            <w:sz w:val="20"/>
          </w:rPr>
          <w:t>e/2020/03/13/covid-19-emergency-declaration</w:t>
        </w:r>
      </w:hyperlink>
      <w:r w:rsidR="00EC2D4A">
        <w:rPr>
          <w:sz w:val="20"/>
        </w:rPr>
        <w:t xml:space="preserve"> (</w:t>
      </w:r>
      <w:r w:rsidRPr="0092733C" w:rsidR="00EC2D4A">
        <w:rPr>
          <w:sz w:val="20"/>
        </w:rPr>
        <w:t xml:space="preserve">citing </w:t>
      </w:r>
      <w:r w:rsidRPr="00301DFC" w:rsidR="00EC2D4A">
        <w:rPr>
          <w:sz w:val="20"/>
        </w:rPr>
        <w:t>section 501 (b) of the Robert T. Stafford Disaster Relief and Emergency Assistance Act, 42 U.S.C. 5121-5207</w:t>
      </w:r>
      <w:r w:rsidR="00EC2D4A">
        <w:rPr>
          <w:sz w:val="20"/>
        </w:rPr>
        <w:t>)</w:t>
      </w:r>
      <w:r w:rsidRPr="006B4295">
        <w:rPr>
          <w:sz w:val="20"/>
        </w:rPr>
        <w:t>.</w:t>
      </w:r>
    </w:p>
    <w:p w:rsidR="002C2E38" w:rsidRPr="00844037" w:rsidP="002C2E38">
      <w:pPr>
        <w:pStyle w:val="FootnoteText"/>
        <w:rPr>
          <w:sz w:val="20"/>
          <w:szCs w:val="18"/>
        </w:rPr>
      </w:pPr>
    </w:p>
  </w:footnote>
  <w:footnote w:id="7">
    <w:p w:rsidR="00BC5507" w:rsidRPr="00844037">
      <w:pPr>
        <w:pStyle w:val="FootnoteText"/>
        <w:rPr>
          <w:sz w:val="20"/>
          <w:szCs w:val="18"/>
        </w:rPr>
      </w:pPr>
      <w:r w:rsidRPr="00844037">
        <w:rPr>
          <w:rStyle w:val="FootnoteReference"/>
          <w:sz w:val="20"/>
          <w:szCs w:val="18"/>
        </w:rPr>
        <w:footnoteRef/>
      </w:r>
      <w:r w:rsidRPr="00844037">
        <w:rPr>
          <w:sz w:val="20"/>
          <w:szCs w:val="18"/>
        </w:rPr>
        <w:t xml:space="preserve"> </w:t>
      </w:r>
      <w:r w:rsidRPr="00844037" w:rsidR="004E325C">
        <w:rPr>
          <w:i/>
          <w:iCs/>
          <w:sz w:val="20"/>
          <w:szCs w:val="18"/>
        </w:rPr>
        <w:t>See Rules and Regulations Implementing the Telephone Consumer Protection Act of 1991</w:t>
      </w:r>
      <w:r w:rsidRPr="00844037" w:rsidR="004E325C">
        <w:rPr>
          <w:sz w:val="20"/>
          <w:szCs w:val="18"/>
        </w:rPr>
        <w:t>, CG Docket No. 02-278, Declaratory Ruling, DA 20-318 (CGB Mar. 20, 2020) (</w:t>
      </w:r>
      <w:r w:rsidRPr="00844037" w:rsidR="004E325C">
        <w:rPr>
          <w:i/>
          <w:iCs/>
          <w:sz w:val="20"/>
          <w:szCs w:val="18"/>
        </w:rPr>
        <w:t>March 20 Declaratory Ruling</w:t>
      </w:r>
      <w:r w:rsidRPr="00844037" w:rsidR="004E325C">
        <w:rPr>
          <w:sz w:val="20"/>
          <w:szCs w:val="18"/>
        </w:rPr>
        <w:t>)</w:t>
      </w:r>
      <w:r w:rsidR="0022399F">
        <w:rPr>
          <w:sz w:val="20"/>
          <w:szCs w:val="18"/>
        </w:rPr>
        <w:t>;</w:t>
      </w:r>
      <w:r w:rsidRPr="00844037">
        <w:rPr>
          <w:sz w:val="20"/>
          <w:szCs w:val="18"/>
        </w:rPr>
        <w:t xml:space="preserve"> </w:t>
      </w:r>
      <w:r w:rsidR="0022399F">
        <w:rPr>
          <w:i/>
          <w:iCs/>
          <w:sz w:val="20"/>
          <w:szCs w:val="18"/>
        </w:rPr>
        <w:t>s</w:t>
      </w:r>
      <w:r w:rsidRPr="00844037">
        <w:rPr>
          <w:i/>
          <w:iCs/>
          <w:sz w:val="20"/>
          <w:szCs w:val="18"/>
        </w:rPr>
        <w:t>ee</w:t>
      </w:r>
      <w:r w:rsidRPr="00844037">
        <w:rPr>
          <w:sz w:val="20"/>
          <w:szCs w:val="18"/>
        </w:rPr>
        <w:t xml:space="preserve"> </w:t>
      </w:r>
      <w:r w:rsidRPr="00844037">
        <w:rPr>
          <w:i/>
          <w:iCs/>
          <w:sz w:val="20"/>
          <w:szCs w:val="18"/>
        </w:rPr>
        <w:t>also</w:t>
      </w:r>
      <w:r w:rsidRPr="00844037">
        <w:rPr>
          <w:sz w:val="20"/>
          <w:szCs w:val="18"/>
        </w:rPr>
        <w:t xml:space="preserve"> </w:t>
      </w:r>
      <w:r w:rsidRPr="00844037">
        <w:rPr>
          <w:i/>
          <w:iCs/>
          <w:sz w:val="20"/>
          <w:szCs w:val="18"/>
        </w:rPr>
        <w:t>Rules and Regulations Implementing the Telephone Consumer Protection Act of 1991</w:t>
      </w:r>
      <w:r w:rsidRPr="00844037">
        <w:rPr>
          <w:sz w:val="20"/>
          <w:szCs w:val="18"/>
        </w:rPr>
        <w:t xml:space="preserve">, </w:t>
      </w:r>
      <w:r w:rsidRPr="00844037">
        <w:rPr>
          <w:i/>
          <w:iCs/>
          <w:sz w:val="20"/>
          <w:szCs w:val="18"/>
        </w:rPr>
        <w:t>Blackboard, Inc. Petition for Expedited Declaratory Ruling</w:t>
      </w:r>
      <w:r w:rsidRPr="00844037">
        <w:rPr>
          <w:sz w:val="20"/>
          <w:szCs w:val="18"/>
        </w:rPr>
        <w:t xml:space="preserve">, CG Docket No. 02-278, Declaratory Ruling, 31 FCC </w:t>
      </w:r>
      <w:r w:rsidRPr="00844037">
        <w:rPr>
          <w:sz w:val="20"/>
          <w:szCs w:val="18"/>
        </w:rPr>
        <w:t>Rcd</w:t>
      </w:r>
      <w:r w:rsidRPr="00844037">
        <w:rPr>
          <w:sz w:val="20"/>
          <w:szCs w:val="18"/>
        </w:rPr>
        <w:t xml:space="preserve"> 9054, 9063, para. 21 (2016) (</w:t>
      </w:r>
      <w:r w:rsidRPr="00844037">
        <w:rPr>
          <w:i/>
          <w:iCs/>
          <w:sz w:val="20"/>
          <w:szCs w:val="18"/>
        </w:rPr>
        <w:t>Blackboard-Edison Declaratory Ruling</w:t>
      </w:r>
      <w:r w:rsidRPr="00844037">
        <w:rPr>
          <w:sz w:val="20"/>
          <w:szCs w:val="18"/>
        </w:rPr>
        <w:t>) (concluding that calls or messages relating to weather closures, incidents of threats and/or imminent danger to the school due to fire, dangerous persons, health risks, and unexcused absences constitute calls made for an emergency purpose because they potentially affect the health and safety of students and faculty).</w:t>
      </w:r>
    </w:p>
  </w:footnote>
  <w:footnote w:id="8">
    <w:p w:rsidR="00373207" w:rsidRPr="00844037" w:rsidP="00373207">
      <w:pPr>
        <w:pStyle w:val="FootnoteText"/>
        <w:rPr>
          <w:sz w:val="20"/>
          <w:szCs w:val="18"/>
        </w:rPr>
      </w:pPr>
      <w:r w:rsidRPr="00844037">
        <w:rPr>
          <w:rStyle w:val="FootnoteReference"/>
          <w:sz w:val="20"/>
          <w:szCs w:val="18"/>
        </w:rPr>
        <w:footnoteRef/>
      </w:r>
      <w:r w:rsidRPr="00844037">
        <w:rPr>
          <w:sz w:val="20"/>
          <w:szCs w:val="18"/>
        </w:rPr>
        <w:t xml:space="preserve"> </w:t>
      </w:r>
      <w:r w:rsidRPr="00844037">
        <w:rPr>
          <w:i/>
          <w:iCs/>
          <w:sz w:val="20"/>
          <w:szCs w:val="18"/>
        </w:rPr>
        <w:t>See</w:t>
      </w:r>
      <w:r w:rsidRPr="00844037">
        <w:rPr>
          <w:sz w:val="20"/>
          <w:szCs w:val="18"/>
        </w:rPr>
        <w:t xml:space="preserve"> 47 CFR § 64.1200(f)(4), (12), (14); </w:t>
      </w:r>
      <w:r w:rsidRPr="00844037">
        <w:rPr>
          <w:i/>
          <w:iCs/>
          <w:sz w:val="20"/>
          <w:szCs w:val="18"/>
        </w:rPr>
        <w:t>Blackboard-Edison Declaratory Ruling</w:t>
      </w:r>
      <w:r w:rsidRPr="00844037">
        <w:rPr>
          <w:sz w:val="20"/>
          <w:szCs w:val="18"/>
        </w:rPr>
        <w:t xml:space="preserve">, 31 FCC </w:t>
      </w:r>
      <w:r w:rsidRPr="00844037">
        <w:rPr>
          <w:sz w:val="20"/>
          <w:szCs w:val="18"/>
        </w:rPr>
        <w:t>Rcd</w:t>
      </w:r>
      <w:r w:rsidRPr="00844037">
        <w:rPr>
          <w:sz w:val="20"/>
          <w:szCs w:val="18"/>
        </w:rPr>
        <w:t xml:space="preserve"> at 9061, paras. 17-18.</w:t>
      </w:r>
    </w:p>
  </w:footnote>
  <w:footnote w:id="9">
    <w:p w:rsidR="00D573B7" w:rsidRPr="00844037" w:rsidP="00D573B7">
      <w:pPr>
        <w:pStyle w:val="FootnoteText"/>
        <w:rPr>
          <w:sz w:val="20"/>
          <w:szCs w:val="18"/>
        </w:rPr>
      </w:pPr>
      <w:r w:rsidRPr="00844037">
        <w:rPr>
          <w:rStyle w:val="FootnoteReference"/>
          <w:sz w:val="20"/>
          <w:szCs w:val="18"/>
        </w:rPr>
        <w:footnoteRef/>
      </w:r>
      <w:r w:rsidRPr="00844037">
        <w:rPr>
          <w:sz w:val="20"/>
          <w:szCs w:val="18"/>
        </w:rPr>
        <w:t xml:space="preserve"> </w:t>
      </w:r>
      <w:r w:rsidRPr="00844037">
        <w:rPr>
          <w:i/>
          <w:sz w:val="20"/>
          <w:szCs w:val="18"/>
        </w:rPr>
        <w:t xml:space="preserve">See </w:t>
      </w:r>
      <w:r w:rsidRPr="00844037">
        <w:rPr>
          <w:sz w:val="20"/>
          <w:szCs w:val="18"/>
        </w:rPr>
        <w:t xml:space="preserve">47 CFR § 64.1200(f)(4); </w:t>
      </w:r>
      <w:r w:rsidRPr="00844037">
        <w:rPr>
          <w:i/>
          <w:iCs/>
          <w:sz w:val="20"/>
          <w:szCs w:val="18"/>
        </w:rPr>
        <w:t>Blackboard-Edison Declaratory Ruling</w:t>
      </w:r>
      <w:r w:rsidRPr="00844037">
        <w:rPr>
          <w:sz w:val="20"/>
          <w:szCs w:val="18"/>
        </w:rPr>
        <w:t xml:space="preserve">, 31 FCC </w:t>
      </w:r>
      <w:r w:rsidRPr="00844037">
        <w:rPr>
          <w:sz w:val="20"/>
          <w:szCs w:val="18"/>
        </w:rPr>
        <w:t>Rcd</w:t>
      </w:r>
      <w:r w:rsidRPr="00844037">
        <w:rPr>
          <w:sz w:val="20"/>
          <w:szCs w:val="18"/>
        </w:rPr>
        <w:t xml:space="preserve"> at 9062, para. 20</w:t>
      </w:r>
      <w:r w:rsidRPr="00844037">
        <w:rPr>
          <w:rFonts w:ascii="Segoe UI Emoji" w:hAnsi="Segoe UI Emoji" w:cs="Segoe UI Emoji"/>
          <w:sz w:val="20"/>
          <w:szCs w:val="18"/>
        </w:rPr>
        <w:t>.</w:t>
      </w:r>
    </w:p>
  </w:footnote>
  <w:footnote w:id="10">
    <w:p w:rsidR="0080674D" w:rsidRPr="00844037" w:rsidP="0080674D">
      <w:pPr>
        <w:pStyle w:val="FootnoteText"/>
        <w:rPr>
          <w:sz w:val="20"/>
          <w:szCs w:val="18"/>
        </w:rPr>
      </w:pPr>
      <w:r w:rsidRPr="00844037">
        <w:rPr>
          <w:rStyle w:val="FootnoteReference"/>
          <w:sz w:val="20"/>
          <w:szCs w:val="18"/>
        </w:rPr>
        <w:footnoteRef/>
      </w:r>
      <w:r w:rsidRPr="00844037">
        <w:rPr>
          <w:sz w:val="20"/>
          <w:szCs w:val="18"/>
        </w:rPr>
        <w:t xml:space="preserve"> </w:t>
      </w:r>
      <w:r w:rsidRPr="00844037" w:rsidR="00322229">
        <w:rPr>
          <w:i/>
          <w:iCs/>
          <w:sz w:val="20"/>
          <w:szCs w:val="18"/>
        </w:rPr>
        <w:t>See</w:t>
      </w:r>
      <w:r w:rsidRPr="00844037" w:rsidR="00322229">
        <w:rPr>
          <w:sz w:val="20"/>
          <w:szCs w:val="18"/>
        </w:rPr>
        <w:t xml:space="preserve"> </w:t>
      </w:r>
      <w:r w:rsidRPr="00844037" w:rsidR="00322229">
        <w:rPr>
          <w:i/>
          <w:iCs/>
          <w:sz w:val="20"/>
          <w:szCs w:val="18"/>
        </w:rPr>
        <w:t>March 20 Declaratory Ruling</w:t>
      </w:r>
      <w:r w:rsidRPr="00844037" w:rsidR="00322229">
        <w:rPr>
          <w:sz w:val="20"/>
          <w:szCs w:val="18"/>
        </w:rPr>
        <w:t>, para. 9</w:t>
      </w:r>
      <w:r w:rsidR="0022399F">
        <w:rPr>
          <w:iCs/>
          <w:sz w:val="20"/>
          <w:szCs w:val="18"/>
        </w:rPr>
        <w:t xml:space="preserve">; </w:t>
      </w:r>
      <w:r w:rsidRPr="00844037">
        <w:rPr>
          <w:i/>
          <w:iCs/>
          <w:sz w:val="20"/>
          <w:szCs w:val="18"/>
        </w:rPr>
        <w:t>1992 TCPA Order</w:t>
      </w:r>
      <w:r w:rsidRPr="00844037">
        <w:rPr>
          <w:sz w:val="20"/>
          <w:szCs w:val="18"/>
        </w:rPr>
        <w:t xml:space="preserve">, 7 FCC </w:t>
      </w:r>
      <w:r w:rsidRPr="00844037">
        <w:rPr>
          <w:sz w:val="20"/>
          <w:szCs w:val="18"/>
        </w:rPr>
        <w:t>Rcd</w:t>
      </w:r>
      <w:r w:rsidRPr="00844037">
        <w:rPr>
          <w:sz w:val="20"/>
          <w:szCs w:val="18"/>
        </w:rPr>
        <w:t xml:space="preserve"> at 8778, para. 51.</w:t>
      </w:r>
    </w:p>
  </w:footnote>
  <w:footnote w:id="11">
    <w:p w:rsidR="0080674D" w:rsidRPr="00844037" w:rsidP="0080674D">
      <w:pPr>
        <w:pStyle w:val="FootnoteText"/>
        <w:rPr>
          <w:sz w:val="20"/>
          <w:szCs w:val="18"/>
        </w:rPr>
      </w:pPr>
      <w:r w:rsidRPr="00844037">
        <w:rPr>
          <w:rStyle w:val="FootnoteReference"/>
          <w:sz w:val="20"/>
          <w:szCs w:val="18"/>
        </w:rPr>
        <w:footnoteRef/>
      </w:r>
      <w:r w:rsidRPr="00844037">
        <w:rPr>
          <w:sz w:val="20"/>
          <w:szCs w:val="18"/>
        </w:rPr>
        <w:t xml:space="preserve"> </w:t>
      </w:r>
      <w:r w:rsidRPr="00844037">
        <w:rPr>
          <w:i/>
          <w:iCs/>
          <w:sz w:val="20"/>
          <w:szCs w:val="18"/>
        </w:rPr>
        <w:t xml:space="preserve">See </w:t>
      </w:r>
      <w:r w:rsidRPr="00844037">
        <w:rPr>
          <w:sz w:val="20"/>
          <w:szCs w:val="18"/>
        </w:rPr>
        <w:t>47 CFR § 64.1200(a).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135" w:rsidRPr="00197ADD" w:rsidP="000C40B0">
    <w:pPr>
      <w:pStyle w:val="Header"/>
      <w:tabs>
        <w:tab w:val="clear" w:pos="4320"/>
        <w:tab w:val="clear" w:pos="8640"/>
      </w:tabs>
      <w:spacing w:before="4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alt="fcc_logo" style="width:41.75pt;height:41.75pt;margin-top:8.5pt;margin-left:0;mso-position-horizontal:left;mso-position-horizontal-relative:margin;mso-wrap-edited:f;position:absolute;visibility:visible;z-index:251661312" o:allowincell="f">
          <v:imagedata r:id="rId1" o:title="fcc_logo"/>
          <w10:wrap type="square"/>
        </v:shape>
      </w:pict>
    </w:r>
    <w:r w:rsidR="00A40BCE">
      <w:rPr>
        <w:rFonts w:ascii="Arial" w:hAnsi="Arial" w:cs="Arial"/>
        <w:b/>
        <w:kern w:val="28"/>
        <w:sz w:val="96"/>
      </w:rPr>
      <w:t xml:space="preserve">    </w:t>
    </w:r>
    <w:r w:rsidRPr="00197ADD" w:rsidR="000616A4">
      <w:rPr>
        <w:rFonts w:ascii="Arial" w:hAnsi="Arial" w:cs="Arial"/>
        <w:b/>
        <w:kern w:val="28"/>
        <w:sz w:val="96"/>
      </w:rPr>
      <w:t>PUBLIC NOTICE</w:t>
    </w:r>
  </w:p>
  <w:p w:rsidR="00C01135">
    <w:pPr>
      <w:pStyle w:val="Header"/>
      <w:tabs>
        <w:tab w:val="left" w:pos="1080"/>
        <w:tab w:val="clear" w:pos="4320"/>
        <w:tab w:val="clear" w:pos="8640"/>
      </w:tabs>
      <w:spacing w:line="1120" w:lineRule="exact"/>
      <w:ind w:left="720"/>
      <w:rPr>
        <w:rFonts w:ascii="Arial" w:hAnsi="Arial"/>
        <w:b/>
        <w:sz w:val="28"/>
      </w:rPr>
    </w:pPr>
    <w:r>
      <w:rPr>
        <w:noProof/>
      </w:rPr>
      <w:pict>
        <v:shapetype id="_x0000_t202" coordsize="21600,21600" o:spt="202" path="m,l,21600r21600,l21600,xe">
          <v:stroke joinstyle="miter"/>
          <v:path gradientshapeok="t" o:connecttype="rect"/>
        </v:shapetype>
        <v:shape id="Text Box 2" o:spid="_x0000_s2050" type="#_x0000_t202" style="width:244.8pt;height:50.4pt;margin-top:0.4pt;margin-left:48.35pt;position:absolute;visibility:visible;z-index:251658240" o:allowincell="f" stroked="f">
          <v:textbox>
            <w:txbxContent>
              <w:p w:rsidR="00C01135">
                <w:pPr>
                  <w:rPr>
                    <w:rFonts w:ascii="Arial" w:hAnsi="Arial"/>
                    <w:b/>
                  </w:rPr>
                </w:pPr>
                <w:r>
                  <w:rPr>
                    <w:rFonts w:ascii="Arial" w:hAnsi="Arial"/>
                    <w:b/>
                  </w:rPr>
                  <w:t>Federal Communications Commission</w:t>
                </w:r>
              </w:p>
              <w:p w:rsidR="00C011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01135">
                <w:pPr>
                  <w:rPr>
                    <w:rFonts w:ascii="Arial" w:hAnsi="Arial"/>
                    <w:sz w:val="24"/>
                  </w:rPr>
                </w:pPr>
                <w:r>
                  <w:rPr>
                    <w:rFonts w:ascii="Arial" w:hAnsi="Arial"/>
                    <w:b/>
                  </w:rPr>
                  <w:t>Washington, D.C. 20554</w:t>
                </w:r>
              </w:p>
            </w:txbxContent>
          </v:textbox>
        </v:shape>
      </w:pict>
    </w:r>
    <w:r>
      <w:rPr>
        <w:noProof/>
      </w:rPr>
      <w:pict>
        <v:line id="Line 4" o:spid="_x0000_s2051" style="position:absolute;visibility:visible;z-index:251659264" from="0,54.95pt" to="540pt,55.15pt" o:allowincell="f"/>
      </w:pict>
    </w:r>
    <w:r>
      <w:rPr>
        <w:noProof/>
      </w:rPr>
      <w:pict>
        <v:shape id="Text Box 5" o:spid="_x0000_s2052" type="#_x0000_t202" style="width:207.95pt;height:43.2pt;margin-top:10.25pt;margin-left:336.7pt;position:absolute;visibility:visible;z-index:251660288" o:allowincell="f" stroked="f">
          <v:textbox inset=",0,,0">
            <w:txbxContent>
              <w:p w:rsidR="00C01135">
                <w:pPr>
                  <w:spacing w:before="40"/>
                  <w:jc w:val="right"/>
                  <w:rPr>
                    <w:rFonts w:ascii="Arial" w:hAnsi="Arial"/>
                    <w:b/>
                    <w:sz w:val="16"/>
                  </w:rPr>
                </w:pPr>
                <w:r>
                  <w:rPr>
                    <w:rFonts w:ascii="Arial" w:hAnsi="Arial"/>
                    <w:b/>
                    <w:sz w:val="16"/>
                  </w:rPr>
                  <w:t>News Media Information 202 / 418-0500</w:t>
                </w:r>
              </w:p>
              <w:p w:rsidR="00C0113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01135">
                <w:pPr>
                  <w:jc w:val="right"/>
                  <w:rPr>
                    <w:rFonts w:ascii="Arial" w:hAnsi="Arial"/>
                    <w:b/>
                    <w:sz w:val="16"/>
                  </w:rPr>
                </w:pPr>
                <w:r>
                  <w:rPr>
                    <w:rFonts w:ascii="Arial" w:hAnsi="Arial"/>
                    <w:b/>
                    <w:sz w:val="16"/>
                  </w:rPr>
                  <w:t>TTY: 1-888-835-5322</w:t>
                </w:r>
              </w:p>
              <w:p w:rsidR="00C01135">
                <w:pPr>
                  <w:jc w:val="right"/>
                </w:pPr>
              </w:p>
            </w:txbxContent>
          </v:textbox>
        </v:shape>
      </w:pict>
    </w:r>
  </w:p>
  <w:p w:rsidR="00C0113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418F87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5C"/>
    <w:multiLevelType w:val="hybridMultilevel"/>
    <w:tmpl w:val="76F4D7D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955F36"/>
    <w:multiLevelType w:val="hybridMultilevel"/>
    <w:tmpl w:val="BFE2E5A2"/>
    <w:lvl w:ilvl="0">
      <w:start w:val="1"/>
      <w:numFmt w:val="bullet"/>
      <w:lvlText w:val=""/>
      <w:lvlJc w:val="left"/>
      <w:pPr>
        <w:ind w:left="2885" w:hanging="360"/>
      </w:pPr>
      <w:rPr>
        <w:rFonts w:ascii="Symbol" w:hAnsi="Symbol" w:hint="default"/>
      </w:rPr>
    </w:lvl>
    <w:lvl w:ilvl="1" w:tentative="1">
      <w:start w:val="1"/>
      <w:numFmt w:val="bullet"/>
      <w:lvlText w:val="o"/>
      <w:lvlJc w:val="left"/>
      <w:pPr>
        <w:ind w:left="3605" w:hanging="360"/>
      </w:pPr>
      <w:rPr>
        <w:rFonts w:ascii="Courier New" w:hAnsi="Courier New" w:cs="Courier New" w:hint="default"/>
      </w:rPr>
    </w:lvl>
    <w:lvl w:ilvl="2" w:tentative="1">
      <w:start w:val="1"/>
      <w:numFmt w:val="bullet"/>
      <w:lvlText w:val=""/>
      <w:lvlJc w:val="left"/>
      <w:pPr>
        <w:ind w:left="4325" w:hanging="360"/>
      </w:pPr>
      <w:rPr>
        <w:rFonts w:ascii="Wingdings" w:hAnsi="Wingdings" w:hint="default"/>
      </w:rPr>
    </w:lvl>
    <w:lvl w:ilvl="3" w:tentative="1">
      <w:start w:val="1"/>
      <w:numFmt w:val="bullet"/>
      <w:lvlText w:val=""/>
      <w:lvlJc w:val="left"/>
      <w:pPr>
        <w:ind w:left="5045" w:hanging="360"/>
      </w:pPr>
      <w:rPr>
        <w:rFonts w:ascii="Symbol" w:hAnsi="Symbol" w:hint="default"/>
      </w:rPr>
    </w:lvl>
    <w:lvl w:ilvl="4" w:tentative="1">
      <w:start w:val="1"/>
      <w:numFmt w:val="bullet"/>
      <w:lvlText w:val="o"/>
      <w:lvlJc w:val="left"/>
      <w:pPr>
        <w:ind w:left="5765" w:hanging="360"/>
      </w:pPr>
      <w:rPr>
        <w:rFonts w:ascii="Courier New" w:hAnsi="Courier New" w:cs="Courier New" w:hint="default"/>
      </w:rPr>
    </w:lvl>
    <w:lvl w:ilvl="5" w:tentative="1">
      <w:start w:val="1"/>
      <w:numFmt w:val="bullet"/>
      <w:lvlText w:val=""/>
      <w:lvlJc w:val="left"/>
      <w:pPr>
        <w:ind w:left="6485" w:hanging="360"/>
      </w:pPr>
      <w:rPr>
        <w:rFonts w:ascii="Wingdings" w:hAnsi="Wingdings" w:hint="default"/>
      </w:rPr>
    </w:lvl>
    <w:lvl w:ilvl="6" w:tentative="1">
      <w:start w:val="1"/>
      <w:numFmt w:val="bullet"/>
      <w:lvlText w:val=""/>
      <w:lvlJc w:val="left"/>
      <w:pPr>
        <w:ind w:left="7205" w:hanging="360"/>
      </w:pPr>
      <w:rPr>
        <w:rFonts w:ascii="Symbol" w:hAnsi="Symbol" w:hint="default"/>
      </w:rPr>
    </w:lvl>
    <w:lvl w:ilvl="7" w:tentative="1">
      <w:start w:val="1"/>
      <w:numFmt w:val="bullet"/>
      <w:lvlText w:val="o"/>
      <w:lvlJc w:val="left"/>
      <w:pPr>
        <w:ind w:left="7925" w:hanging="360"/>
      </w:pPr>
      <w:rPr>
        <w:rFonts w:ascii="Courier New" w:hAnsi="Courier New" w:cs="Courier New" w:hint="default"/>
      </w:rPr>
    </w:lvl>
    <w:lvl w:ilvl="8" w:tentative="1">
      <w:start w:val="1"/>
      <w:numFmt w:val="bullet"/>
      <w:lvlText w:val=""/>
      <w:lvlJc w:val="left"/>
      <w:pPr>
        <w:ind w:left="8645" w:hanging="360"/>
      </w:pPr>
      <w:rPr>
        <w:rFonts w:ascii="Wingdings" w:hAnsi="Wingdings" w:hint="default"/>
      </w:rPr>
    </w:lvl>
  </w:abstractNum>
  <w:abstractNum w:abstractNumId="3">
    <w:nsid w:val="0A5342C4"/>
    <w:multiLevelType w:val="hybridMultilevel"/>
    <w:tmpl w:val="25BC02D8"/>
    <w:lvl w:ilvl="0">
      <w:start w:val="0"/>
      <w:numFmt w:val="bullet"/>
      <w:lvlText w:val="-"/>
      <w:lvlJc w:val="left"/>
      <w:pPr>
        <w:ind w:left="720" w:hanging="360"/>
      </w:pPr>
      <w:rPr>
        <w:rFonts w:ascii="Times New Roman" w:eastAsia="Times New Roman" w:hAnsi="Times New Roman" w:cs="Times New Roman" w:hint="default"/>
        <w:color w:val="01010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D65B58"/>
    <w:multiLevelType w:val="hybridMultilevel"/>
    <w:tmpl w:val="70F60D0C"/>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5">
    <w:nsid w:val="0BEB5E69"/>
    <w:multiLevelType w:val="hybridMultilevel"/>
    <w:tmpl w:val="64CC5868"/>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8467C66"/>
    <w:multiLevelType w:val="hybridMultilevel"/>
    <w:tmpl w:val="3BFCB038"/>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7">
    <w:nsid w:val="18C73EB2"/>
    <w:multiLevelType w:val="hybridMultilevel"/>
    <w:tmpl w:val="7A30EAA8"/>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19D539DB"/>
    <w:multiLevelType w:val="hybridMultilevel"/>
    <w:tmpl w:val="8A4647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FBA5EA5"/>
    <w:multiLevelType w:val="hybridMultilevel"/>
    <w:tmpl w:val="523888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E44195"/>
    <w:multiLevelType w:val="multilevel"/>
    <w:tmpl w:val="7CD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9776D"/>
    <w:multiLevelType w:val="hybridMultilevel"/>
    <w:tmpl w:val="E08871EA"/>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321D2CFE"/>
    <w:multiLevelType w:val="hybridMultilevel"/>
    <w:tmpl w:val="7CBCCC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E297A3E"/>
    <w:multiLevelType w:val="hybridMultilevel"/>
    <w:tmpl w:val="FA32F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EF2DDA"/>
    <w:multiLevelType w:val="hybridMultilevel"/>
    <w:tmpl w:val="164818AC"/>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7">
    <w:nsid w:val="4A7363BD"/>
    <w:multiLevelType w:val="hybridMultilevel"/>
    <w:tmpl w:val="2F2AD8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4B054FB0"/>
    <w:multiLevelType w:val="hybridMultilevel"/>
    <w:tmpl w:val="D24C2B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69328F"/>
    <w:multiLevelType w:val="hybridMultilevel"/>
    <w:tmpl w:val="CE84421E"/>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DDF2EC3"/>
    <w:multiLevelType w:val="hybridMultilevel"/>
    <w:tmpl w:val="AFFCEBF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4DFE45F1"/>
    <w:multiLevelType w:val="hybridMultilevel"/>
    <w:tmpl w:val="DF543770"/>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21F3525"/>
    <w:multiLevelType w:val="hybridMultilevel"/>
    <w:tmpl w:val="393E6D86"/>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9A617E"/>
    <w:multiLevelType w:val="hybridMultilevel"/>
    <w:tmpl w:val="7DAE10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9EF6ACC"/>
    <w:multiLevelType w:val="hybridMultilevel"/>
    <w:tmpl w:val="B3FA2190"/>
    <w:lvl w:ilvl="0">
      <w:start w:val="1"/>
      <w:numFmt w:val="bullet"/>
      <w:lvlText w:val="o"/>
      <w:lvlJc w:val="left"/>
      <w:pPr>
        <w:ind w:left="2982" w:hanging="360"/>
      </w:pPr>
      <w:rPr>
        <w:rFonts w:ascii="Courier New" w:hAnsi="Courier New" w:cs="Courier New" w:hint="default"/>
      </w:rPr>
    </w:lvl>
    <w:lvl w:ilvl="1" w:tentative="1">
      <w:start w:val="1"/>
      <w:numFmt w:val="bullet"/>
      <w:lvlText w:val="o"/>
      <w:lvlJc w:val="left"/>
      <w:pPr>
        <w:ind w:left="3702" w:hanging="360"/>
      </w:pPr>
      <w:rPr>
        <w:rFonts w:ascii="Courier New" w:hAnsi="Courier New" w:cs="Courier New" w:hint="default"/>
      </w:rPr>
    </w:lvl>
    <w:lvl w:ilvl="2" w:tentative="1">
      <w:start w:val="1"/>
      <w:numFmt w:val="bullet"/>
      <w:lvlText w:val=""/>
      <w:lvlJc w:val="left"/>
      <w:pPr>
        <w:ind w:left="4422" w:hanging="360"/>
      </w:pPr>
      <w:rPr>
        <w:rFonts w:ascii="Wingdings" w:hAnsi="Wingdings" w:hint="default"/>
      </w:rPr>
    </w:lvl>
    <w:lvl w:ilvl="3" w:tentative="1">
      <w:start w:val="1"/>
      <w:numFmt w:val="bullet"/>
      <w:lvlText w:val=""/>
      <w:lvlJc w:val="left"/>
      <w:pPr>
        <w:ind w:left="5142" w:hanging="360"/>
      </w:pPr>
      <w:rPr>
        <w:rFonts w:ascii="Symbol" w:hAnsi="Symbol" w:hint="default"/>
      </w:rPr>
    </w:lvl>
    <w:lvl w:ilvl="4" w:tentative="1">
      <w:start w:val="1"/>
      <w:numFmt w:val="bullet"/>
      <w:lvlText w:val="o"/>
      <w:lvlJc w:val="left"/>
      <w:pPr>
        <w:ind w:left="5862" w:hanging="360"/>
      </w:pPr>
      <w:rPr>
        <w:rFonts w:ascii="Courier New" w:hAnsi="Courier New" w:cs="Courier New" w:hint="default"/>
      </w:rPr>
    </w:lvl>
    <w:lvl w:ilvl="5" w:tentative="1">
      <w:start w:val="1"/>
      <w:numFmt w:val="bullet"/>
      <w:lvlText w:val=""/>
      <w:lvlJc w:val="left"/>
      <w:pPr>
        <w:ind w:left="6582" w:hanging="360"/>
      </w:pPr>
      <w:rPr>
        <w:rFonts w:ascii="Wingdings" w:hAnsi="Wingdings" w:hint="default"/>
      </w:rPr>
    </w:lvl>
    <w:lvl w:ilvl="6" w:tentative="1">
      <w:start w:val="1"/>
      <w:numFmt w:val="bullet"/>
      <w:lvlText w:val=""/>
      <w:lvlJc w:val="left"/>
      <w:pPr>
        <w:ind w:left="7302" w:hanging="360"/>
      </w:pPr>
      <w:rPr>
        <w:rFonts w:ascii="Symbol" w:hAnsi="Symbol" w:hint="default"/>
      </w:rPr>
    </w:lvl>
    <w:lvl w:ilvl="7" w:tentative="1">
      <w:start w:val="1"/>
      <w:numFmt w:val="bullet"/>
      <w:lvlText w:val="o"/>
      <w:lvlJc w:val="left"/>
      <w:pPr>
        <w:ind w:left="8022" w:hanging="360"/>
      </w:pPr>
      <w:rPr>
        <w:rFonts w:ascii="Courier New" w:hAnsi="Courier New" w:cs="Courier New" w:hint="default"/>
      </w:rPr>
    </w:lvl>
    <w:lvl w:ilvl="8" w:tentative="1">
      <w:start w:val="1"/>
      <w:numFmt w:val="bullet"/>
      <w:lvlText w:val=""/>
      <w:lvlJc w:val="left"/>
      <w:pPr>
        <w:ind w:left="8742" w:hanging="360"/>
      </w:pPr>
      <w:rPr>
        <w:rFonts w:ascii="Wingdings" w:hAnsi="Wingdings" w:hint="default"/>
      </w:rPr>
    </w:lvl>
  </w:abstractNum>
  <w:abstractNum w:abstractNumId="28">
    <w:nsid w:val="5B6B4F0B"/>
    <w:multiLevelType w:val="hybridMultilevel"/>
    <w:tmpl w:val="5E069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5FB576B3"/>
    <w:multiLevelType w:val="hybridMultilevel"/>
    <w:tmpl w:val="18980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32">
    <w:nsid w:val="68B2403A"/>
    <w:multiLevelType w:val="hybridMultilevel"/>
    <w:tmpl w:val="B68EF6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B026891"/>
    <w:multiLevelType w:val="hybridMultilevel"/>
    <w:tmpl w:val="9B546FC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6BB72BBC"/>
    <w:multiLevelType w:val="hybridMultilevel"/>
    <w:tmpl w:val="EEA48B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F6424C3"/>
    <w:multiLevelType w:val="hybridMultilevel"/>
    <w:tmpl w:val="3976CD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47C0918"/>
    <w:multiLevelType w:val="hybridMultilevel"/>
    <w:tmpl w:val="06E8660E"/>
    <w:lvl w:ilvl="0">
      <w:start w:val="1"/>
      <w:numFmt w:val="bullet"/>
      <w:lvlText w:val="o"/>
      <w:lvlJc w:val="left"/>
      <w:pPr>
        <w:ind w:left="2880" w:hanging="360"/>
      </w:pPr>
      <w:rPr>
        <w:rFonts w:ascii="Courier New" w:hAnsi="Courier New" w:cs="Courier New"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26"/>
  </w:num>
  <w:num w:numId="2">
    <w:abstractNumId w:val="24"/>
  </w:num>
  <w:num w:numId="3">
    <w:abstractNumId w:val="29"/>
  </w:num>
  <w:num w:numId="4">
    <w:abstractNumId w:val="1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3"/>
  </w:num>
  <w:num w:numId="12">
    <w:abstractNumId w:val="14"/>
  </w:num>
  <w:num w:numId="13">
    <w:abstractNumId w:val="34"/>
  </w:num>
  <w:num w:numId="14">
    <w:abstractNumId w:val="2"/>
  </w:num>
  <w:num w:numId="15">
    <w:abstractNumId w:val="16"/>
  </w:num>
  <w:num w:numId="16">
    <w:abstractNumId w:val="4"/>
  </w:num>
  <w:num w:numId="17">
    <w:abstractNumId w:val="27"/>
  </w:num>
  <w:num w:numId="18">
    <w:abstractNumId w:val="11"/>
  </w:num>
  <w:num w:numId="19">
    <w:abstractNumId w:val="22"/>
  </w:num>
  <w:num w:numId="20">
    <w:abstractNumId w:val="7"/>
  </w:num>
  <w:num w:numId="21">
    <w:abstractNumId w:val="36"/>
  </w:num>
  <w:num w:numId="22">
    <w:abstractNumId w:val="6"/>
  </w:num>
  <w:num w:numId="23">
    <w:abstractNumId w:val="21"/>
  </w:num>
  <w:num w:numId="24">
    <w:abstractNumId w:val="17"/>
  </w:num>
  <w:num w:numId="25">
    <w:abstractNumId w:val="35"/>
  </w:num>
  <w:num w:numId="26">
    <w:abstractNumId w:val="30"/>
  </w:num>
  <w:num w:numId="27">
    <w:abstractNumId w:val="19"/>
  </w:num>
  <w:num w:numId="28">
    <w:abstractNumId w:val="33"/>
  </w:num>
  <w:num w:numId="29">
    <w:abstractNumId w:val="5"/>
  </w:num>
  <w:num w:numId="30">
    <w:abstractNumId w:val="13"/>
  </w:num>
  <w:num w:numId="31">
    <w:abstractNumId w:val="32"/>
  </w:num>
  <w:num w:numId="32">
    <w:abstractNumId w:val="8"/>
  </w:num>
  <w:num w:numId="33">
    <w:abstractNumId w:val="28"/>
  </w:num>
  <w:num w:numId="34">
    <w:abstractNumId w:val="15"/>
  </w:num>
  <w:num w:numId="35">
    <w:abstractNumId w:val="0"/>
  </w:num>
  <w:num w:numId="36">
    <w:abstractNumId w:val="18"/>
  </w:num>
  <w:num w:numId="37">
    <w:abstractNumId w:val="25"/>
  </w:num>
  <w:num w:numId="38">
    <w:abstractNumId w:val="3"/>
  </w:num>
  <w:num w:numId="39">
    <w:abstractNumId w:val="9"/>
  </w:num>
  <w:num w:numId="40">
    <w:abstractNumId w:val="1"/>
  </w:num>
  <w:num w:numId="41">
    <w:abstractNumId w:val="20"/>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B8"/>
    <w:rsid w:val="00001227"/>
    <w:rsid w:val="0000472E"/>
    <w:rsid w:val="00011539"/>
    <w:rsid w:val="000124FA"/>
    <w:rsid w:val="00015EB3"/>
    <w:rsid w:val="00017367"/>
    <w:rsid w:val="00031E89"/>
    <w:rsid w:val="00041A41"/>
    <w:rsid w:val="00043887"/>
    <w:rsid w:val="000467FF"/>
    <w:rsid w:val="00054459"/>
    <w:rsid w:val="00054483"/>
    <w:rsid w:val="0005774B"/>
    <w:rsid w:val="000616A4"/>
    <w:rsid w:val="00064ACA"/>
    <w:rsid w:val="0007009A"/>
    <w:rsid w:val="000705D2"/>
    <w:rsid w:val="00071328"/>
    <w:rsid w:val="00071F94"/>
    <w:rsid w:val="0007279D"/>
    <w:rsid w:val="00074A40"/>
    <w:rsid w:val="00080557"/>
    <w:rsid w:val="0008138A"/>
    <w:rsid w:val="000815DF"/>
    <w:rsid w:val="000835D0"/>
    <w:rsid w:val="0008399E"/>
    <w:rsid w:val="00085BAC"/>
    <w:rsid w:val="00087BFE"/>
    <w:rsid w:val="000901E1"/>
    <w:rsid w:val="00092999"/>
    <w:rsid w:val="00093882"/>
    <w:rsid w:val="00096AA5"/>
    <w:rsid w:val="000A614C"/>
    <w:rsid w:val="000B269B"/>
    <w:rsid w:val="000B5374"/>
    <w:rsid w:val="000B7D17"/>
    <w:rsid w:val="000C0511"/>
    <w:rsid w:val="000C17C8"/>
    <w:rsid w:val="000C3A08"/>
    <w:rsid w:val="000C40B0"/>
    <w:rsid w:val="000C49F2"/>
    <w:rsid w:val="000C6318"/>
    <w:rsid w:val="000C6E9E"/>
    <w:rsid w:val="000C7672"/>
    <w:rsid w:val="000D1CA6"/>
    <w:rsid w:val="000E4964"/>
    <w:rsid w:val="000F0817"/>
    <w:rsid w:val="000F552D"/>
    <w:rsid w:val="000F5DD2"/>
    <w:rsid w:val="0010285E"/>
    <w:rsid w:val="00103FE5"/>
    <w:rsid w:val="001044DF"/>
    <w:rsid w:val="00106360"/>
    <w:rsid w:val="00106E88"/>
    <w:rsid w:val="0010735B"/>
    <w:rsid w:val="00113EE0"/>
    <w:rsid w:val="0011418B"/>
    <w:rsid w:val="00115B54"/>
    <w:rsid w:val="00121474"/>
    <w:rsid w:val="0012621F"/>
    <w:rsid w:val="00145C04"/>
    <w:rsid w:val="00152109"/>
    <w:rsid w:val="00160286"/>
    <w:rsid w:val="00161B77"/>
    <w:rsid w:val="00170D75"/>
    <w:rsid w:val="001726C7"/>
    <w:rsid w:val="0017727F"/>
    <w:rsid w:val="00180F84"/>
    <w:rsid w:val="00182FAF"/>
    <w:rsid w:val="00187794"/>
    <w:rsid w:val="001908BC"/>
    <w:rsid w:val="00193C83"/>
    <w:rsid w:val="001952B3"/>
    <w:rsid w:val="00196937"/>
    <w:rsid w:val="00197ADD"/>
    <w:rsid w:val="001A10DE"/>
    <w:rsid w:val="001A65FF"/>
    <w:rsid w:val="001B0108"/>
    <w:rsid w:val="001B18C9"/>
    <w:rsid w:val="001B2E0A"/>
    <w:rsid w:val="001B3E16"/>
    <w:rsid w:val="001C374A"/>
    <w:rsid w:val="001C6499"/>
    <w:rsid w:val="001C71AE"/>
    <w:rsid w:val="001D00AF"/>
    <w:rsid w:val="001D52FE"/>
    <w:rsid w:val="001D7B71"/>
    <w:rsid w:val="001E377F"/>
    <w:rsid w:val="001F0C19"/>
    <w:rsid w:val="001F2BB9"/>
    <w:rsid w:val="001F44F4"/>
    <w:rsid w:val="001F60FE"/>
    <w:rsid w:val="001F65BB"/>
    <w:rsid w:val="002047BB"/>
    <w:rsid w:val="002065EF"/>
    <w:rsid w:val="00211FA7"/>
    <w:rsid w:val="00212398"/>
    <w:rsid w:val="00212657"/>
    <w:rsid w:val="002137EB"/>
    <w:rsid w:val="00215FDD"/>
    <w:rsid w:val="00217F3B"/>
    <w:rsid w:val="0022399F"/>
    <w:rsid w:val="00224EE5"/>
    <w:rsid w:val="00231C6E"/>
    <w:rsid w:val="002337A3"/>
    <w:rsid w:val="00240338"/>
    <w:rsid w:val="00242F7E"/>
    <w:rsid w:val="00244E1A"/>
    <w:rsid w:val="0025025F"/>
    <w:rsid w:val="00251E70"/>
    <w:rsid w:val="00254E32"/>
    <w:rsid w:val="00261EB4"/>
    <w:rsid w:val="00267341"/>
    <w:rsid w:val="00267DFF"/>
    <w:rsid w:val="0027246B"/>
    <w:rsid w:val="00274006"/>
    <w:rsid w:val="00276CBF"/>
    <w:rsid w:val="002817F0"/>
    <w:rsid w:val="00292572"/>
    <w:rsid w:val="002A3378"/>
    <w:rsid w:val="002A7A96"/>
    <w:rsid w:val="002B072C"/>
    <w:rsid w:val="002B4B1B"/>
    <w:rsid w:val="002C2E38"/>
    <w:rsid w:val="002C5902"/>
    <w:rsid w:val="002C6827"/>
    <w:rsid w:val="002C7E42"/>
    <w:rsid w:val="002D147E"/>
    <w:rsid w:val="002D62E1"/>
    <w:rsid w:val="002E0837"/>
    <w:rsid w:val="002E3C93"/>
    <w:rsid w:val="002F0364"/>
    <w:rsid w:val="002F0744"/>
    <w:rsid w:val="00301DFC"/>
    <w:rsid w:val="0031471A"/>
    <w:rsid w:val="00314CC3"/>
    <w:rsid w:val="00316577"/>
    <w:rsid w:val="003221F7"/>
    <w:rsid w:val="00322229"/>
    <w:rsid w:val="0032330B"/>
    <w:rsid w:val="00331772"/>
    <w:rsid w:val="00337A4C"/>
    <w:rsid w:val="00342377"/>
    <w:rsid w:val="00342516"/>
    <w:rsid w:val="0034270E"/>
    <w:rsid w:val="0034398A"/>
    <w:rsid w:val="00363AC5"/>
    <w:rsid w:val="00373207"/>
    <w:rsid w:val="00374D4B"/>
    <w:rsid w:val="00383DEC"/>
    <w:rsid w:val="00386EE6"/>
    <w:rsid w:val="0038776F"/>
    <w:rsid w:val="003905FE"/>
    <w:rsid w:val="003912DC"/>
    <w:rsid w:val="003927AC"/>
    <w:rsid w:val="003B2C40"/>
    <w:rsid w:val="003B316F"/>
    <w:rsid w:val="003D0C9E"/>
    <w:rsid w:val="003D31A9"/>
    <w:rsid w:val="003D612F"/>
    <w:rsid w:val="003E3D15"/>
    <w:rsid w:val="003E6E53"/>
    <w:rsid w:val="003F3D18"/>
    <w:rsid w:val="003F7992"/>
    <w:rsid w:val="00407380"/>
    <w:rsid w:val="00410394"/>
    <w:rsid w:val="004104CA"/>
    <w:rsid w:val="0041201C"/>
    <w:rsid w:val="00415259"/>
    <w:rsid w:val="004172C2"/>
    <w:rsid w:val="004224CC"/>
    <w:rsid w:val="0042607A"/>
    <w:rsid w:val="00427FE4"/>
    <w:rsid w:val="0043111F"/>
    <w:rsid w:val="00434A7E"/>
    <w:rsid w:val="00435E06"/>
    <w:rsid w:val="004409CC"/>
    <w:rsid w:val="00442885"/>
    <w:rsid w:val="00443A1F"/>
    <w:rsid w:val="004465B8"/>
    <w:rsid w:val="00460DA5"/>
    <w:rsid w:val="00460FC3"/>
    <w:rsid w:val="004613A2"/>
    <w:rsid w:val="004656BB"/>
    <w:rsid w:val="0046617F"/>
    <w:rsid w:val="00471927"/>
    <w:rsid w:val="004728D7"/>
    <w:rsid w:val="004804E7"/>
    <w:rsid w:val="00483012"/>
    <w:rsid w:val="00485E34"/>
    <w:rsid w:val="0048681B"/>
    <w:rsid w:val="00491E18"/>
    <w:rsid w:val="004950EE"/>
    <w:rsid w:val="0049600B"/>
    <w:rsid w:val="00496577"/>
    <w:rsid w:val="004A4D94"/>
    <w:rsid w:val="004A77D1"/>
    <w:rsid w:val="004C07E1"/>
    <w:rsid w:val="004C0D83"/>
    <w:rsid w:val="004C22F2"/>
    <w:rsid w:val="004C6EE9"/>
    <w:rsid w:val="004D063D"/>
    <w:rsid w:val="004D1115"/>
    <w:rsid w:val="004D50BD"/>
    <w:rsid w:val="004E1EC6"/>
    <w:rsid w:val="004E263B"/>
    <w:rsid w:val="004E325C"/>
    <w:rsid w:val="004E7D5D"/>
    <w:rsid w:val="004F5CF1"/>
    <w:rsid w:val="00501CEA"/>
    <w:rsid w:val="00513C3A"/>
    <w:rsid w:val="005174C0"/>
    <w:rsid w:val="00517B6F"/>
    <w:rsid w:val="00526CBE"/>
    <w:rsid w:val="00536228"/>
    <w:rsid w:val="005425E5"/>
    <w:rsid w:val="00543FA4"/>
    <w:rsid w:val="00550272"/>
    <w:rsid w:val="005517BA"/>
    <w:rsid w:val="00553B69"/>
    <w:rsid w:val="00555833"/>
    <w:rsid w:val="00561611"/>
    <w:rsid w:val="00570DCA"/>
    <w:rsid w:val="00572471"/>
    <w:rsid w:val="00587D0F"/>
    <w:rsid w:val="00592558"/>
    <w:rsid w:val="005959F2"/>
    <w:rsid w:val="00596359"/>
    <w:rsid w:val="005A28D2"/>
    <w:rsid w:val="005A5164"/>
    <w:rsid w:val="005A6A13"/>
    <w:rsid w:val="005B0908"/>
    <w:rsid w:val="005B645B"/>
    <w:rsid w:val="005B7028"/>
    <w:rsid w:val="005B7323"/>
    <w:rsid w:val="005C3C93"/>
    <w:rsid w:val="005C72D8"/>
    <w:rsid w:val="005D4F56"/>
    <w:rsid w:val="005E14C1"/>
    <w:rsid w:val="005E546B"/>
    <w:rsid w:val="005F2799"/>
    <w:rsid w:val="005F2A92"/>
    <w:rsid w:val="00601E84"/>
    <w:rsid w:val="006027FF"/>
    <w:rsid w:val="00603709"/>
    <w:rsid w:val="00603CFF"/>
    <w:rsid w:val="00606199"/>
    <w:rsid w:val="00615379"/>
    <w:rsid w:val="0061618B"/>
    <w:rsid w:val="006246EE"/>
    <w:rsid w:val="00624DA3"/>
    <w:rsid w:val="0063125B"/>
    <w:rsid w:val="00632027"/>
    <w:rsid w:val="006333B8"/>
    <w:rsid w:val="00634318"/>
    <w:rsid w:val="00637A1F"/>
    <w:rsid w:val="0064026E"/>
    <w:rsid w:val="0065363D"/>
    <w:rsid w:val="006539F0"/>
    <w:rsid w:val="006554DF"/>
    <w:rsid w:val="006626F1"/>
    <w:rsid w:val="0066495C"/>
    <w:rsid w:val="00664D5A"/>
    <w:rsid w:val="00671666"/>
    <w:rsid w:val="006859B6"/>
    <w:rsid w:val="00685A4A"/>
    <w:rsid w:val="00687CBF"/>
    <w:rsid w:val="006929CA"/>
    <w:rsid w:val="00693337"/>
    <w:rsid w:val="006966BE"/>
    <w:rsid w:val="006A44EC"/>
    <w:rsid w:val="006A7CA5"/>
    <w:rsid w:val="006B230E"/>
    <w:rsid w:val="006B37D6"/>
    <w:rsid w:val="006B4295"/>
    <w:rsid w:val="006C0A9D"/>
    <w:rsid w:val="006C4D84"/>
    <w:rsid w:val="006D1D18"/>
    <w:rsid w:val="006D343A"/>
    <w:rsid w:val="006D5E1A"/>
    <w:rsid w:val="006D7BCB"/>
    <w:rsid w:val="006E0003"/>
    <w:rsid w:val="006E7EEA"/>
    <w:rsid w:val="006F5622"/>
    <w:rsid w:val="006F76AE"/>
    <w:rsid w:val="00715E67"/>
    <w:rsid w:val="007165C1"/>
    <w:rsid w:val="00720E82"/>
    <w:rsid w:val="00720EB1"/>
    <w:rsid w:val="00722D58"/>
    <w:rsid w:val="007237E3"/>
    <w:rsid w:val="00725964"/>
    <w:rsid w:val="00725D0A"/>
    <w:rsid w:val="00727E6E"/>
    <w:rsid w:val="00730427"/>
    <w:rsid w:val="007329DA"/>
    <w:rsid w:val="00736476"/>
    <w:rsid w:val="007427F3"/>
    <w:rsid w:val="00746F04"/>
    <w:rsid w:val="00747310"/>
    <w:rsid w:val="007525AF"/>
    <w:rsid w:val="007554EB"/>
    <w:rsid w:val="00760C42"/>
    <w:rsid w:val="00763ACE"/>
    <w:rsid w:val="007676D4"/>
    <w:rsid w:val="00781779"/>
    <w:rsid w:val="00787384"/>
    <w:rsid w:val="007911D4"/>
    <w:rsid w:val="00792FCB"/>
    <w:rsid w:val="007A2620"/>
    <w:rsid w:val="007A30B0"/>
    <w:rsid w:val="007A6BE3"/>
    <w:rsid w:val="007A6D37"/>
    <w:rsid w:val="007B0076"/>
    <w:rsid w:val="007C32CE"/>
    <w:rsid w:val="007C5E12"/>
    <w:rsid w:val="007C72B2"/>
    <w:rsid w:val="007D21BD"/>
    <w:rsid w:val="007D3163"/>
    <w:rsid w:val="007D73FD"/>
    <w:rsid w:val="007E21C1"/>
    <w:rsid w:val="007E7B9B"/>
    <w:rsid w:val="00800F14"/>
    <w:rsid w:val="0080674D"/>
    <w:rsid w:val="00810152"/>
    <w:rsid w:val="00813ADF"/>
    <w:rsid w:val="00821D5A"/>
    <w:rsid w:val="00823AA6"/>
    <w:rsid w:val="008264E3"/>
    <w:rsid w:val="008300B1"/>
    <w:rsid w:val="00833659"/>
    <w:rsid w:val="008379BD"/>
    <w:rsid w:val="00844037"/>
    <w:rsid w:val="0084733E"/>
    <w:rsid w:val="008627E8"/>
    <w:rsid w:val="00862BEB"/>
    <w:rsid w:val="00862F99"/>
    <w:rsid w:val="0087186B"/>
    <w:rsid w:val="008764C0"/>
    <w:rsid w:val="00887277"/>
    <w:rsid w:val="00887CF7"/>
    <w:rsid w:val="008929E8"/>
    <w:rsid w:val="008953CA"/>
    <w:rsid w:val="008A10F1"/>
    <w:rsid w:val="008A400E"/>
    <w:rsid w:val="008B2523"/>
    <w:rsid w:val="008B726D"/>
    <w:rsid w:val="008B75DC"/>
    <w:rsid w:val="008C4215"/>
    <w:rsid w:val="008C5981"/>
    <w:rsid w:val="008D4547"/>
    <w:rsid w:val="008D47D9"/>
    <w:rsid w:val="008E2BED"/>
    <w:rsid w:val="008E74ED"/>
    <w:rsid w:val="008F7E0D"/>
    <w:rsid w:val="00900FA3"/>
    <w:rsid w:val="009036B8"/>
    <w:rsid w:val="00913217"/>
    <w:rsid w:val="009132E5"/>
    <w:rsid w:val="00915F20"/>
    <w:rsid w:val="0091628B"/>
    <w:rsid w:val="009176DE"/>
    <w:rsid w:val="00922A7D"/>
    <w:rsid w:val="00923B7C"/>
    <w:rsid w:val="0092733C"/>
    <w:rsid w:val="009306F8"/>
    <w:rsid w:val="00932C5D"/>
    <w:rsid w:val="009370DF"/>
    <w:rsid w:val="009374E5"/>
    <w:rsid w:val="00942077"/>
    <w:rsid w:val="009441C8"/>
    <w:rsid w:val="00946CD6"/>
    <w:rsid w:val="009516F8"/>
    <w:rsid w:val="00955AEF"/>
    <w:rsid w:val="00956510"/>
    <w:rsid w:val="00957C43"/>
    <w:rsid w:val="0096342D"/>
    <w:rsid w:val="009678CA"/>
    <w:rsid w:val="00970E25"/>
    <w:rsid w:val="009839A7"/>
    <w:rsid w:val="00985E9E"/>
    <w:rsid w:val="00986BF3"/>
    <w:rsid w:val="00990518"/>
    <w:rsid w:val="00996C07"/>
    <w:rsid w:val="009A1193"/>
    <w:rsid w:val="009A19E7"/>
    <w:rsid w:val="009A5B9B"/>
    <w:rsid w:val="009B053D"/>
    <w:rsid w:val="009B3069"/>
    <w:rsid w:val="009B7B97"/>
    <w:rsid w:val="009C0B43"/>
    <w:rsid w:val="009C2BB2"/>
    <w:rsid w:val="009D0A95"/>
    <w:rsid w:val="009D11D6"/>
    <w:rsid w:val="009D23EC"/>
    <w:rsid w:val="009D56D2"/>
    <w:rsid w:val="009E7D7C"/>
    <w:rsid w:val="009F3325"/>
    <w:rsid w:val="009F351A"/>
    <w:rsid w:val="009F5FBD"/>
    <w:rsid w:val="00A1049B"/>
    <w:rsid w:val="00A125FF"/>
    <w:rsid w:val="00A126F2"/>
    <w:rsid w:val="00A20BB8"/>
    <w:rsid w:val="00A32BE7"/>
    <w:rsid w:val="00A339C3"/>
    <w:rsid w:val="00A40BCE"/>
    <w:rsid w:val="00A4744F"/>
    <w:rsid w:val="00A52B1E"/>
    <w:rsid w:val="00A56DC6"/>
    <w:rsid w:val="00A60215"/>
    <w:rsid w:val="00A6249C"/>
    <w:rsid w:val="00A65A93"/>
    <w:rsid w:val="00A74326"/>
    <w:rsid w:val="00A76F6A"/>
    <w:rsid w:val="00A82231"/>
    <w:rsid w:val="00A91415"/>
    <w:rsid w:val="00A95EB6"/>
    <w:rsid w:val="00A9645B"/>
    <w:rsid w:val="00A97293"/>
    <w:rsid w:val="00AA5E08"/>
    <w:rsid w:val="00AB0324"/>
    <w:rsid w:val="00AB03EB"/>
    <w:rsid w:val="00AB2D65"/>
    <w:rsid w:val="00AB3210"/>
    <w:rsid w:val="00AB4565"/>
    <w:rsid w:val="00AC0954"/>
    <w:rsid w:val="00AC4524"/>
    <w:rsid w:val="00AD2924"/>
    <w:rsid w:val="00AD2DD8"/>
    <w:rsid w:val="00AD4726"/>
    <w:rsid w:val="00AD6277"/>
    <w:rsid w:val="00AE1118"/>
    <w:rsid w:val="00AE6851"/>
    <w:rsid w:val="00B03ECE"/>
    <w:rsid w:val="00B048D3"/>
    <w:rsid w:val="00B138A9"/>
    <w:rsid w:val="00B13BF1"/>
    <w:rsid w:val="00B16BCE"/>
    <w:rsid w:val="00B17CA2"/>
    <w:rsid w:val="00B216CE"/>
    <w:rsid w:val="00B260A1"/>
    <w:rsid w:val="00B27DF4"/>
    <w:rsid w:val="00B41DB6"/>
    <w:rsid w:val="00B45475"/>
    <w:rsid w:val="00B46F91"/>
    <w:rsid w:val="00B51281"/>
    <w:rsid w:val="00B5191B"/>
    <w:rsid w:val="00B51933"/>
    <w:rsid w:val="00B533B1"/>
    <w:rsid w:val="00B5397E"/>
    <w:rsid w:val="00B54D2D"/>
    <w:rsid w:val="00B60BCE"/>
    <w:rsid w:val="00B653C7"/>
    <w:rsid w:val="00B65B71"/>
    <w:rsid w:val="00B7059D"/>
    <w:rsid w:val="00B770F6"/>
    <w:rsid w:val="00B77EE9"/>
    <w:rsid w:val="00B807A6"/>
    <w:rsid w:val="00B94D14"/>
    <w:rsid w:val="00B95826"/>
    <w:rsid w:val="00B97D36"/>
    <w:rsid w:val="00BA4437"/>
    <w:rsid w:val="00BA552C"/>
    <w:rsid w:val="00BB0BD5"/>
    <w:rsid w:val="00BB5B26"/>
    <w:rsid w:val="00BB68A4"/>
    <w:rsid w:val="00BB72C3"/>
    <w:rsid w:val="00BC34BA"/>
    <w:rsid w:val="00BC417D"/>
    <w:rsid w:val="00BC5507"/>
    <w:rsid w:val="00BC7FDE"/>
    <w:rsid w:val="00BD1372"/>
    <w:rsid w:val="00BD1F04"/>
    <w:rsid w:val="00BD4550"/>
    <w:rsid w:val="00BE4674"/>
    <w:rsid w:val="00BE68A8"/>
    <w:rsid w:val="00BE7CB8"/>
    <w:rsid w:val="00BF1F68"/>
    <w:rsid w:val="00BF5310"/>
    <w:rsid w:val="00BF7967"/>
    <w:rsid w:val="00C01135"/>
    <w:rsid w:val="00C04BE7"/>
    <w:rsid w:val="00C10DB6"/>
    <w:rsid w:val="00C12045"/>
    <w:rsid w:val="00C13F2D"/>
    <w:rsid w:val="00C14621"/>
    <w:rsid w:val="00C16B92"/>
    <w:rsid w:val="00C1760E"/>
    <w:rsid w:val="00C17E2B"/>
    <w:rsid w:val="00C20A4B"/>
    <w:rsid w:val="00C2546B"/>
    <w:rsid w:val="00C30AE6"/>
    <w:rsid w:val="00C310B3"/>
    <w:rsid w:val="00C47E48"/>
    <w:rsid w:val="00C501A2"/>
    <w:rsid w:val="00C51FAF"/>
    <w:rsid w:val="00C550EE"/>
    <w:rsid w:val="00C709FC"/>
    <w:rsid w:val="00C71056"/>
    <w:rsid w:val="00C75080"/>
    <w:rsid w:val="00C760D1"/>
    <w:rsid w:val="00C779A3"/>
    <w:rsid w:val="00C81BA7"/>
    <w:rsid w:val="00C90130"/>
    <w:rsid w:val="00C940CA"/>
    <w:rsid w:val="00C95114"/>
    <w:rsid w:val="00CA0F06"/>
    <w:rsid w:val="00CA38D7"/>
    <w:rsid w:val="00CA547D"/>
    <w:rsid w:val="00CB13E6"/>
    <w:rsid w:val="00CB15D7"/>
    <w:rsid w:val="00CB2F2D"/>
    <w:rsid w:val="00CB342C"/>
    <w:rsid w:val="00CB6C65"/>
    <w:rsid w:val="00CC0964"/>
    <w:rsid w:val="00CC0E78"/>
    <w:rsid w:val="00CC21BA"/>
    <w:rsid w:val="00CD67C7"/>
    <w:rsid w:val="00CD6C75"/>
    <w:rsid w:val="00CE0870"/>
    <w:rsid w:val="00CE1F73"/>
    <w:rsid w:val="00CF4264"/>
    <w:rsid w:val="00CF6797"/>
    <w:rsid w:val="00D009C4"/>
    <w:rsid w:val="00D01DE3"/>
    <w:rsid w:val="00D0200A"/>
    <w:rsid w:val="00D03241"/>
    <w:rsid w:val="00D05F06"/>
    <w:rsid w:val="00D06B48"/>
    <w:rsid w:val="00D10C98"/>
    <w:rsid w:val="00D11122"/>
    <w:rsid w:val="00D2638D"/>
    <w:rsid w:val="00D31CDC"/>
    <w:rsid w:val="00D32697"/>
    <w:rsid w:val="00D43067"/>
    <w:rsid w:val="00D44406"/>
    <w:rsid w:val="00D53347"/>
    <w:rsid w:val="00D53FE9"/>
    <w:rsid w:val="00D55289"/>
    <w:rsid w:val="00D573B7"/>
    <w:rsid w:val="00D60FAD"/>
    <w:rsid w:val="00D61617"/>
    <w:rsid w:val="00D618B2"/>
    <w:rsid w:val="00D63F09"/>
    <w:rsid w:val="00D657DC"/>
    <w:rsid w:val="00D678D4"/>
    <w:rsid w:val="00D93722"/>
    <w:rsid w:val="00DA0A87"/>
    <w:rsid w:val="00DA5EB5"/>
    <w:rsid w:val="00DB17E0"/>
    <w:rsid w:val="00DB5862"/>
    <w:rsid w:val="00DC5202"/>
    <w:rsid w:val="00DC587A"/>
    <w:rsid w:val="00DC7C4C"/>
    <w:rsid w:val="00DD3D83"/>
    <w:rsid w:val="00DD4D23"/>
    <w:rsid w:val="00DD66DC"/>
    <w:rsid w:val="00DE4629"/>
    <w:rsid w:val="00DE7934"/>
    <w:rsid w:val="00DF2358"/>
    <w:rsid w:val="00DF653F"/>
    <w:rsid w:val="00E02665"/>
    <w:rsid w:val="00E02EA7"/>
    <w:rsid w:val="00E041EA"/>
    <w:rsid w:val="00E04B62"/>
    <w:rsid w:val="00E15100"/>
    <w:rsid w:val="00E15B08"/>
    <w:rsid w:val="00E20A54"/>
    <w:rsid w:val="00E21ECA"/>
    <w:rsid w:val="00E22258"/>
    <w:rsid w:val="00E244C4"/>
    <w:rsid w:val="00E2455B"/>
    <w:rsid w:val="00E256CD"/>
    <w:rsid w:val="00E3186A"/>
    <w:rsid w:val="00E31F0C"/>
    <w:rsid w:val="00E4026B"/>
    <w:rsid w:val="00E42528"/>
    <w:rsid w:val="00E4736E"/>
    <w:rsid w:val="00E55776"/>
    <w:rsid w:val="00E576AB"/>
    <w:rsid w:val="00E616DB"/>
    <w:rsid w:val="00E64A99"/>
    <w:rsid w:val="00E67593"/>
    <w:rsid w:val="00E71D04"/>
    <w:rsid w:val="00E74C84"/>
    <w:rsid w:val="00E757A3"/>
    <w:rsid w:val="00E765E9"/>
    <w:rsid w:val="00E822B6"/>
    <w:rsid w:val="00E82842"/>
    <w:rsid w:val="00E861E4"/>
    <w:rsid w:val="00E918C8"/>
    <w:rsid w:val="00E94D0B"/>
    <w:rsid w:val="00E95905"/>
    <w:rsid w:val="00E95D10"/>
    <w:rsid w:val="00E972A9"/>
    <w:rsid w:val="00EA450D"/>
    <w:rsid w:val="00EA540F"/>
    <w:rsid w:val="00EB0761"/>
    <w:rsid w:val="00EB1C81"/>
    <w:rsid w:val="00EB65AC"/>
    <w:rsid w:val="00EC20C4"/>
    <w:rsid w:val="00EC2D4A"/>
    <w:rsid w:val="00EC4123"/>
    <w:rsid w:val="00ED0250"/>
    <w:rsid w:val="00EE17AE"/>
    <w:rsid w:val="00EE3CA4"/>
    <w:rsid w:val="00EE6B59"/>
    <w:rsid w:val="00EF127B"/>
    <w:rsid w:val="00EF366D"/>
    <w:rsid w:val="00EF5277"/>
    <w:rsid w:val="00EF5E42"/>
    <w:rsid w:val="00F04FB4"/>
    <w:rsid w:val="00F06F96"/>
    <w:rsid w:val="00F07C42"/>
    <w:rsid w:val="00F129F9"/>
    <w:rsid w:val="00F143F6"/>
    <w:rsid w:val="00F22AE7"/>
    <w:rsid w:val="00F253C1"/>
    <w:rsid w:val="00F2659C"/>
    <w:rsid w:val="00F27763"/>
    <w:rsid w:val="00F30857"/>
    <w:rsid w:val="00F30969"/>
    <w:rsid w:val="00F336B9"/>
    <w:rsid w:val="00F37A09"/>
    <w:rsid w:val="00F37F7B"/>
    <w:rsid w:val="00F4417A"/>
    <w:rsid w:val="00F542FE"/>
    <w:rsid w:val="00F63DA0"/>
    <w:rsid w:val="00F70585"/>
    <w:rsid w:val="00F71053"/>
    <w:rsid w:val="00F71376"/>
    <w:rsid w:val="00F71702"/>
    <w:rsid w:val="00F840B5"/>
    <w:rsid w:val="00F90398"/>
    <w:rsid w:val="00F90AC6"/>
    <w:rsid w:val="00F96D15"/>
    <w:rsid w:val="00FA3D69"/>
    <w:rsid w:val="00FA3E6C"/>
    <w:rsid w:val="00FA4DB5"/>
    <w:rsid w:val="00FA6D89"/>
    <w:rsid w:val="00FA7CEE"/>
    <w:rsid w:val="00FB3B60"/>
    <w:rsid w:val="00FB4B67"/>
    <w:rsid w:val="00FB5D5A"/>
    <w:rsid w:val="00FB779D"/>
    <w:rsid w:val="00FC4B93"/>
    <w:rsid w:val="00FC5C8E"/>
    <w:rsid w:val="00FC5CE7"/>
    <w:rsid w:val="00FC6DAB"/>
    <w:rsid w:val="00FD0791"/>
    <w:rsid w:val="00FD22AB"/>
    <w:rsid w:val="00FD4EAD"/>
    <w:rsid w:val="00FE082D"/>
    <w:rsid w:val="00FE338A"/>
    <w:rsid w:val="00FE6DE3"/>
    <w:rsid w:val="00FE7F40"/>
    <w:rsid w:val="00FF3A35"/>
    <w:rsid w:val="17C0CE69"/>
    <w:rsid w:val="55646D28"/>
    <w:rsid w:val="6ADFBC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F27F8DEF-E10F-4DD3-8744-86982C7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ColorfulListAccent1">
    <w:name w:val="Colorful List Accent 1"/>
    <w:basedOn w:val="Normal"/>
    <w:uiPriority w:val="34"/>
    <w:qFormat/>
    <w:rsid w:val="00A32BE7"/>
    <w:pPr>
      <w:ind w:left="720"/>
      <w:contextualSpacing/>
    </w:pPr>
  </w:style>
  <w:style w:type="character" w:customStyle="1" w:styleId="FooterChar">
    <w:name w:val="Footer Char"/>
    <w:link w:val="Footer"/>
    <w:uiPriority w:val="99"/>
    <w:rsid w:val="009370DF"/>
    <w:rPr>
      <w:sz w:val="22"/>
    </w:rPr>
  </w:style>
  <w:style w:type="paragraph" w:styleId="ColorfulShadingAccent1">
    <w:name w:val="Colorful Shading Accent 1"/>
    <w:hidden/>
    <w:uiPriority w:val="99"/>
    <w:semiHidden/>
    <w:rsid w:val="00813ADF"/>
    <w:rPr>
      <w:sz w:val="22"/>
    </w:rPr>
  </w:style>
  <w:style w:type="character" w:customStyle="1" w:styleId="HeaderChar">
    <w:name w:val="Header Char"/>
    <w:link w:val="Header"/>
    <w:rsid w:val="00FA7CEE"/>
    <w:rPr>
      <w:sz w:val="22"/>
    </w:rPr>
  </w:style>
  <w:style w:type="paragraph" w:styleId="NormalWeb">
    <w:name w:val="Normal (Web)"/>
    <w:basedOn w:val="Normal"/>
    <w:uiPriority w:val="99"/>
    <w:unhideWhenUsed/>
    <w:rsid w:val="00572471"/>
    <w:pPr>
      <w:spacing w:before="100" w:beforeAutospacing="1" w:after="100" w:afterAutospacing="1"/>
    </w:pPr>
    <w:rPr>
      <w:sz w:val="24"/>
      <w:szCs w:val="24"/>
    </w:rPr>
  </w:style>
  <w:style w:type="character" w:customStyle="1" w:styleId="apple-converted-space">
    <w:name w:val="apple-converted-space"/>
    <w:basedOn w:val="DefaultParagraphFont"/>
    <w:rsid w:val="00572471"/>
  </w:style>
  <w:style w:type="paragraph" w:customStyle="1" w:styleId="ParaNum0">
    <w:name w:val="ParaNum"/>
    <w:basedOn w:val="Normal"/>
    <w:link w:val="ParaNumChar"/>
    <w:rsid w:val="00E765E9"/>
    <w:pPr>
      <w:widowControl w:val="0"/>
      <w:numPr>
        <w:numId w:val="43"/>
      </w:numPr>
      <w:tabs>
        <w:tab w:val="clear" w:pos="1080"/>
        <w:tab w:val="num" w:pos="1440"/>
      </w:tabs>
      <w:spacing w:after="120"/>
    </w:pPr>
    <w:rPr>
      <w:snapToGrid w:val="0"/>
      <w:kern w:val="28"/>
    </w:rPr>
  </w:style>
  <w:style w:type="character" w:customStyle="1" w:styleId="ParaNumChar">
    <w:name w:val="ParaNum Char"/>
    <w:link w:val="ParaNum0"/>
    <w:locked/>
    <w:rsid w:val="00E765E9"/>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E765E9"/>
    <w:rPr>
      <w:sz w:val="22"/>
    </w:rPr>
  </w:style>
  <w:style w:type="character" w:customStyle="1" w:styleId="UnresolvedMention">
    <w:name w:val="Unresolved Mention"/>
    <w:uiPriority w:val="99"/>
    <w:rsid w:val="0020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mailto:Richard.Smith@fcc.gov" TargetMode="Externa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www.fema.gov/news-release/2020/03/13/covid-19-emergency-declaration"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