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04CE3" w14:paraId="2B0800CF" w14:textId="77777777">
      <w:pPr>
        <w:rPr>
          <w:sz w:val="22"/>
          <w:szCs w:val="22"/>
        </w:rPr>
      </w:pPr>
    </w:p>
    <w:p w:rsidR="004935A0" w:rsidRPr="00537500" w14:paraId="6D13C0C4" w14:textId="0BD6F914">
      <w:pPr>
        <w:rPr>
          <w:rFonts w:ascii="Times New Roman" w:hAnsi="Times New Roman"/>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Times New Roman" w:hAnsi="Times New Roman"/>
          <w:b/>
          <w:bCs/>
          <w:sz w:val="22"/>
          <w:szCs w:val="22"/>
        </w:rPr>
        <w:t>DA 20-794</w:t>
      </w:r>
    </w:p>
    <w:p w:rsidR="00537500" w:rsidRPr="00537500" w14:paraId="2DC13FED" w14:textId="63B2FE96">
      <w:pPr>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Released: July 28, 2020</w:t>
      </w:r>
    </w:p>
    <w:p w:rsidR="00537500" w:rsidP="004935A0" w14:paraId="299B0552" w14:textId="77777777">
      <w:pPr>
        <w:autoSpaceDE w:val="0"/>
        <w:autoSpaceDN w:val="0"/>
        <w:adjustRightInd w:val="0"/>
        <w:rPr>
          <w:rFonts w:ascii="Times New Roman" w:hAnsi="Times New Roman"/>
          <w:sz w:val="22"/>
          <w:szCs w:val="22"/>
        </w:rPr>
      </w:pPr>
    </w:p>
    <w:p w:rsidR="004935A0" w:rsidRPr="005967E0" w:rsidP="004935A0" w14:paraId="29D7088E" w14:textId="64DDBCA5">
      <w:pPr>
        <w:autoSpaceDE w:val="0"/>
        <w:autoSpaceDN w:val="0"/>
        <w:adjustRightInd w:val="0"/>
        <w:rPr>
          <w:rFonts w:ascii="Times New Roman" w:hAnsi="Times New Roman"/>
          <w:sz w:val="22"/>
          <w:szCs w:val="22"/>
        </w:rPr>
      </w:pPr>
      <w:r w:rsidRPr="005967E0">
        <w:rPr>
          <w:rFonts w:ascii="Times New Roman" w:hAnsi="Times New Roman"/>
          <w:sz w:val="22"/>
          <w:szCs w:val="22"/>
        </w:rPr>
        <w:t>Meredith S. Senter, Jr.</w:t>
      </w:r>
    </w:p>
    <w:p w:rsidR="004935A0" w:rsidRPr="005967E0" w:rsidP="004935A0" w14:paraId="396FF20C" w14:textId="77777777">
      <w:pPr>
        <w:autoSpaceDE w:val="0"/>
        <w:autoSpaceDN w:val="0"/>
        <w:adjustRightInd w:val="0"/>
        <w:rPr>
          <w:rFonts w:ascii="Times New Roman" w:hAnsi="Times New Roman"/>
          <w:sz w:val="22"/>
          <w:szCs w:val="22"/>
        </w:rPr>
      </w:pPr>
      <w:r w:rsidRPr="005967E0">
        <w:rPr>
          <w:rFonts w:ascii="Times New Roman" w:hAnsi="Times New Roman"/>
          <w:sz w:val="22"/>
          <w:szCs w:val="22"/>
        </w:rPr>
        <w:t>Lerman</w:t>
      </w:r>
      <w:r w:rsidRPr="005967E0">
        <w:rPr>
          <w:rFonts w:ascii="Times New Roman" w:hAnsi="Times New Roman"/>
          <w:sz w:val="22"/>
          <w:szCs w:val="22"/>
        </w:rPr>
        <w:t xml:space="preserve"> Senter PLLC</w:t>
      </w:r>
    </w:p>
    <w:p w:rsidR="004935A0" w:rsidRPr="005967E0" w:rsidP="004935A0" w14:paraId="16A5949F" w14:textId="77777777">
      <w:pPr>
        <w:autoSpaceDE w:val="0"/>
        <w:autoSpaceDN w:val="0"/>
        <w:adjustRightInd w:val="0"/>
        <w:rPr>
          <w:rFonts w:ascii="Times New Roman" w:hAnsi="Times New Roman"/>
          <w:sz w:val="22"/>
          <w:szCs w:val="22"/>
        </w:rPr>
      </w:pPr>
      <w:r w:rsidRPr="005967E0">
        <w:rPr>
          <w:rFonts w:ascii="Times New Roman" w:hAnsi="Times New Roman"/>
          <w:sz w:val="22"/>
          <w:szCs w:val="22"/>
        </w:rPr>
        <w:t>2001 L Street NW, Suite 400</w:t>
      </w:r>
    </w:p>
    <w:p w:rsidR="004935A0" w:rsidRPr="005967E0" w:rsidP="004935A0" w14:paraId="69435E91" w14:textId="77777777">
      <w:pPr>
        <w:autoSpaceDE w:val="0"/>
        <w:autoSpaceDN w:val="0"/>
        <w:adjustRightInd w:val="0"/>
        <w:rPr>
          <w:rFonts w:ascii="Times New Roman" w:hAnsi="Times New Roman"/>
          <w:sz w:val="22"/>
          <w:szCs w:val="22"/>
        </w:rPr>
      </w:pPr>
      <w:r w:rsidRPr="005967E0">
        <w:rPr>
          <w:rFonts w:ascii="Times New Roman" w:hAnsi="Times New Roman"/>
          <w:sz w:val="22"/>
          <w:szCs w:val="22"/>
        </w:rPr>
        <w:t>Washington, D</w:t>
      </w:r>
      <w:r>
        <w:rPr>
          <w:rFonts w:ascii="Times New Roman" w:hAnsi="Times New Roman"/>
          <w:sz w:val="22"/>
          <w:szCs w:val="22"/>
        </w:rPr>
        <w:t>.</w:t>
      </w:r>
      <w:r w:rsidRPr="005967E0">
        <w:rPr>
          <w:rFonts w:ascii="Times New Roman" w:hAnsi="Times New Roman"/>
          <w:sz w:val="22"/>
          <w:szCs w:val="22"/>
        </w:rPr>
        <w:t>C</w:t>
      </w:r>
      <w:r>
        <w:rPr>
          <w:rFonts w:ascii="Times New Roman" w:hAnsi="Times New Roman"/>
          <w:sz w:val="22"/>
          <w:szCs w:val="22"/>
        </w:rPr>
        <w:t>.</w:t>
      </w:r>
      <w:r w:rsidRPr="005967E0">
        <w:rPr>
          <w:rFonts w:ascii="Times New Roman" w:hAnsi="Times New Roman"/>
          <w:sz w:val="22"/>
          <w:szCs w:val="22"/>
        </w:rPr>
        <w:t xml:space="preserve"> 20036</w:t>
      </w:r>
    </w:p>
    <w:p w:rsidR="004935A0" w:rsidRPr="005967E0" w:rsidP="004935A0" w14:paraId="588FD377" w14:textId="77777777">
      <w:pPr>
        <w:rPr>
          <w:rFonts w:ascii="Times New Roman" w:hAnsi="Times New Roman"/>
          <w:sz w:val="22"/>
          <w:szCs w:val="22"/>
        </w:rPr>
      </w:pPr>
      <w:r w:rsidRPr="005967E0">
        <w:rPr>
          <w:rFonts w:ascii="Times New Roman" w:hAnsi="Times New Roman"/>
          <w:sz w:val="22"/>
          <w:szCs w:val="22"/>
        </w:rPr>
        <w:t>msenter@lermansenter.com</w:t>
      </w:r>
    </w:p>
    <w:p w:rsidR="004935A0" w:rsidRPr="005967E0" w:rsidP="004935A0" w14:paraId="20B06090" w14:textId="77777777">
      <w:pPr>
        <w:rPr>
          <w:rFonts w:ascii="Times New Roman" w:hAnsi="Times New Roman"/>
          <w:sz w:val="22"/>
          <w:szCs w:val="22"/>
        </w:rPr>
      </w:pPr>
    </w:p>
    <w:p w:rsidR="004935A0" w:rsidRPr="005967E0" w:rsidP="004935A0" w14:paraId="2975301B" w14:textId="77777777">
      <w:pPr>
        <w:rPr>
          <w:rFonts w:ascii="Times New Roman" w:hAnsi="Times New Roman"/>
          <w:sz w:val="22"/>
          <w:szCs w:val="22"/>
        </w:rPr>
      </w:pPr>
      <w:r w:rsidRPr="005967E0">
        <w:rPr>
          <w:rFonts w:ascii="Times New Roman" w:hAnsi="Times New Roman"/>
          <w:sz w:val="22"/>
          <w:szCs w:val="22"/>
        </w:rPr>
        <w:t>Mark Schneider</w:t>
      </w:r>
    </w:p>
    <w:p w:rsidR="004935A0" w:rsidRPr="005967E0" w:rsidP="004935A0" w14:paraId="0FC353B4" w14:textId="77777777">
      <w:pPr>
        <w:rPr>
          <w:rFonts w:ascii="Times New Roman" w:hAnsi="Times New Roman"/>
          <w:sz w:val="22"/>
          <w:szCs w:val="22"/>
        </w:rPr>
      </w:pPr>
      <w:r w:rsidRPr="005967E0">
        <w:rPr>
          <w:rFonts w:ascii="Times New Roman" w:hAnsi="Times New Roman"/>
          <w:sz w:val="22"/>
          <w:szCs w:val="22"/>
        </w:rPr>
        <w:t>Sidley Austin LLP</w:t>
      </w:r>
    </w:p>
    <w:p w:rsidR="004935A0" w:rsidRPr="005967E0" w:rsidP="004935A0" w14:paraId="536ED657" w14:textId="77777777">
      <w:pPr>
        <w:rPr>
          <w:rFonts w:ascii="Times New Roman" w:hAnsi="Times New Roman"/>
          <w:sz w:val="22"/>
          <w:szCs w:val="22"/>
        </w:rPr>
      </w:pPr>
      <w:r w:rsidRPr="005967E0">
        <w:rPr>
          <w:rFonts w:ascii="Times New Roman" w:hAnsi="Times New Roman"/>
          <w:sz w:val="22"/>
          <w:szCs w:val="22"/>
        </w:rPr>
        <w:t>1501 K Street NW</w:t>
      </w:r>
    </w:p>
    <w:p w:rsidR="004935A0" w:rsidRPr="005967E0" w:rsidP="004935A0" w14:paraId="5E21990D" w14:textId="77777777">
      <w:pPr>
        <w:rPr>
          <w:rFonts w:ascii="Times New Roman" w:hAnsi="Times New Roman"/>
          <w:sz w:val="22"/>
          <w:szCs w:val="22"/>
        </w:rPr>
      </w:pPr>
      <w:r w:rsidRPr="005967E0">
        <w:rPr>
          <w:rFonts w:ascii="Times New Roman" w:hAnsi="Times New Roman"/>
          <w:sz w:val="22"/>
          <w:szCs w:val="22"/>
        </w:rPr>
        <w:t>Washington, D</w:t>
      </w:r>
      <w:r>
        <w:rPr>
          <w:rFonts w:ascii="Times New Roman" w:hAnsi="Times New Roman"/>
          <w:sz w:val="22"/>
          <w:szCs w:val="22"/>
        </w:rPr>
        <w:t>.</w:t>
      </w:r>
      <w:r w:rsidRPr="005967E0">
        <w:rPr>
          <w:rFonts w:ascii="Times New Roman" w:hAnsi="Times New Roman"/>
          <w:sz w:val="22"/>
          <w:szCs w:val="22"/>
        </w:rPr>
        <w:t>C</w:t>
      </w:r>
      <w:r>
        <w:rPr>
          <w:rFonts w:ascii="Times New Roman" w:hAnsi="Times New Roman"/>
          <w:sz w:val="22"/>
          <w:szCs w:val="22"/>
        </w:rPr>
        <w:t>.</w:t>
      </w:r>
      <w:r w:rsidRPr="005967E0">
        <w:rPr>
          <w:rFonts w:ascii="Times New Roman" w:hAnsi="Times New Roman"/>
          <w:sz w:val="22"/>
          <w:szCs w:val="22"/>
        </w:rPr>
        <w:t xml:space="preserve"> 20005</w:t>
      </w:r>
    </w:p>
    <w:p w:rsidR="004935A0" w:rsidRPr="005967E0" w:rsidP="004935A0" w14:paraId="49F97292" w14:textId="77777777">
      <w:pPr>
        <w:rPr>
          <w:rFonts w:ascii="Times New Roman" w:hAnsi="Times New Roman"/>
          <w:sz w:val="22"/>
          <w:szCs w:val="22"/>
        </w:rPr>
      </w:pPr>
      <w:r w:rsidRPr="005967E0">
        <w:rPr>
          <w:rFonts w:ascii="Times New Roman" w:hAnsi="Times New Roman"/>
          <w:sz w:val="22"/>
          <w:szCs w:val="22"/>
        </w:rPr>
        <w:t>mschneider@sidley.com</w:t>
      </w:r>
    </w:p>
    <w:p w:rsidR="004935A0" w:rsidRPr="005967E0" w:rsidP="004935A0" w14:paraId="01AD25A2" w14:textId="77777777">
      <w:pPr>
        <w:rPr>
          <w:rFonts w:ascii="Times New Roman" w:hAnsi="Times New Roman"/>
          <w:sz w:val="22"/>
          <w:szCs w:val="22"/>
        </w:rPr>
      </w:pPr>
    </w:p>
    <w:p w:rsidR="004935A0" w:rsidRPr="005967E0" w:rsidP="004935A0" w14:paraId="6A895C1D" w14:textId="77777777">
      <w:pPr>
        <w:ind w:left="1440" w:hanging="720"/>
        <w:rPr>
          <w:rFonts w:ascii="Times New Roman" w:hAnsi="Times New Roman"/>
          <w:sz w:val="22"/>
          <w:szCs w:val="22"/>
        </w:rPr>
      </w:pPr>
      <w:r w:rsidRPr="005967E0">
        <w:rPr>
          <w:rFonts w:ascii="Times New Roman" w:hAnsi="Times New Roman"/>
          <w:b/>
          <w:sz w:val="22"/>
          <w:szCs w:val="22"/>
        </w:rPr>
        <w:t>Re:</w:t>
      </w:r>
      <w:r w:rsidRPr="005967E0">
        <w:rPr>
          <w:rFonts w:ascii="Times New Roman" w:hAnsi="Times New Roman"/>
          <w:b/>
          <w:sz w:val="22"/>
          <w:szCs w:val="22"/>
        </w:rPr>
        <w:tab/>
        <w:t xml:space="preserve">Petition for Declaratory Ruling by Spanish Broadcasting System, Inc., Pursuant to </w:t>
      </w:r>
      <w:bookmarkStart w:id="0" w:name="_Hlk501524492"/>
      <w:r w:rsidRPr="005967E0">
        <w:rPr>
          <w:rFonts w:ascii="Times New Roman" w:hAnsi="Times New Roman"/>
          <w:b/>
          <w:sz w:val="22"/>
          <w:szCs w:val="22"/>
        </w:rPr>
        <w:t>47 CFR § 1.5004(f)(3)</w:t>
      </w:r>
      <w:bookmarkEnd w:id="0"/>
      <w:r w:rsidRPr="005967E0">
        <w:rPr>
          <w:rFonts w:ascii="Times New Roman" w:hAnsi="Times New Roman"/>
          <w:b/>
          <w:sz w:val="22"/>
          <w:szCs w:val="22"/>
        </w:rPr>
        <w:t>.</w:t>
      </w:r>
    </w:p>
    <w:p w:rsidR="004935A0" w:rsidRPr="005967E0" w:rsidP="004935A0" w14:paraId="329FC172" w14:textId="77777777">
      <w:pPr>
        <w:rPr>
          <w:rFonts w:ascii="Times New Roman" w:hAnsi="Times New Roman"/>
          <w:sz w:val="22"/>
          <w:szCs w:val="22"/>
        </w:rPr>
      </w:pPr>
    </w:p>
    <w:p w:rsidR="004935A0" w:rsidRPr="003349AB" w:rsidP="004935A0" w14:paraId="35CCF507" w14:textId="77777777">
      <w:pPr>
        <w:spacing w:after="120"/>
        <w:rPr>
          <w:rFonts w:ascii="Times New Roman" w:hAnsi="Times New Roman"/>
          <w:sz w:val="22"/>
          <w:szCs w:val="22"/>
        </w:rPr>
      </w:pPr>
      <w:r w:rsidRPr="005967E0">
        <w:rPr>
          <w:rFonts w:ascii="Times New Roman" w:hAnsi="Times New Roman"/>
          <w:sz w:val="22"/>
          <w:szCs w:val="22"/>
        </w:rPr>
        <w:t>Counsel:</w:t>
      </w:r>
    </w:p>
    <w:p w:rsidR="004935A0" w:rsidRPr="003349AB" w:rsidP="004935A0" w14:paraId="12E0D361" w14:textId="77777777">
      <w:pPr>
        <w:spacing w:after="120"/>
        <w:rPr>
          <w:rFonts w:ascii="Times New Roman" w:hAnsi="Times New Roman"/>
          <w:sz w:val="22"/>
          <w:szCs w:val="22"/>
        </w:rPr>
      </w:pPr>
      <w:r w:rsidRPr="005967E0">
        <w:rPr>
          <w:rFonts w:ascii="Times New Roman" w:hAnsi="Times New Roman"/>
          <w:sz w:val="22"/>
          <w:szCs w:val="22"/>
        </w:rPr>
        <w:tab/>
        <w:t>On May 7, 2020, Spanish Broadcasting System, Inc. (SBS), filed a voluntary dismissal</w:t>
      </w:r>
      <w:r>
        <w:rPr>
          <w:rFonts w:ascii="Times New Roman" w:hAnsi="Times New Roman"/>
          <w:sz w:val="22"/>
          <w:szCs w:val="22"/>
        </w:rPr>
        <w:t xml:space="preserve"> (Notice or Notice of Withdrawal)</w:t>
      </w:r>
      <w:r w:rsidRPr="005967E0">
        <w:rPr>
          <w:rFonts w:ascii="Times New Roman" w:hAnsi="Times New Roman"/>
          <w:sz w:val="22"/>
          <w:szCs w:val="22"/>
        </w:rPr>
        <w:t xml:space="preserve"> of its December 4, 2017 Petition for Declaratory Ruling (PDR) regarding the foreign ownership limits prescribed by </w:t>
      </w:r>
      <w:r>
        <w:rPr>
          <w:rFonts w:ascii="Times New Roman" w:hAnsi="Times New Roman"/>
          <w:sz w:val="22"/>
          <w:szCs w:val="22"/>
        </w:rPr>
        <w:t>s</w:t>
      </w:r>
      <w:r w:rsidRPr="005967E0">
        <w:rPr>
          <w:rFonts w:ascii="Times New Roman" w:hAnsi="Times New Roman"/>
          <w:sz w:val="22"/>
          <w:szCs w:val="22"/>
        </w:rPr>
        <w:t>ection 310(b)(4) of the Communications Act</w:t>
      </w:r>
      <w:r>
        <w:rPr>
          <w:rFonts w:ascii="Times New Roman" w:hAnsi="Times New Roman"/>
          <w:sz w:val="22"/>
          <w:szCs w:val="22"/>
        </w:rPr>
        <w:t>, as amended (the Act)</w:t>
      </w:r>
      <w:r w:rsidRPr="005967E0">
        <w:rPr>
          <w:rFonts w:ascii="Times New Roman" w:hAnsi="Times New Roman"/>
          <w:sz w:val="22"/>
          <w:szCs w:val="22"/>
        </w:rPr>
        <w:t>, asserting that the PDR is no longer necessary based on its determination that provisions in its corporate charter operated to remedy any possible violation.</w:t>
      </w:r>
      <w:r>
        <w:rPr>
          <w:rStyle w:val="FootnoteReference"/>
          <w:rFonts w:ascii="Times New Roman" w:hAnsi="Times New Roman"/>
          <w:sz w:val="22"/>
          <w:szCs w:val="22"/>
        </w:rPr>
        <w:footnoteReference w:id="2"/>
      </w:r>
      <w:r w:rsidRPr="005967E0">
        <w:rPr>
          <w:rFonts w:ascii="Times New Roman" w:hAnsi="Times New Roman"/>
          <w:sz w:val="22"/>
          <w:szCs w:val="22"/>
        </w:rPr>
        <w:t xml:space="preserve">  Thereafter, </w:t>
      </w:r>
      <w:r w:rsidRPr="005967E0">
        <w:rPr>
          <w:rFonts w:ascii="Times New Roman" w:hAnsi="Times New Roman"/>
          <w:sz w:val="22"/>
          <w:szCs w:val="22"/>
        </w:rPr>
        <w:t>Ravensource</w:t>
      </w:r>
      <w:r w:rsidRPr="005967E0">
        <w:rPr>
          <w:rFonts w:ascii="Times New Roman" w:hAnsi="Times New Roman"/>
          <w:sz w:val="22"/>
          <w:szCs w:val="22"/>
        </w:rPr>
        <w:t xml:space="preserve"> Fund, Stornoway Recovery Fund L.P.</w:t>
      </w:r>
      <w:r>
        <w:rPr>
          <w:rFonts w:ascii="Times New Roman" w:hAnsi="Times New Roman"/>
          <w:sz w:val="22"/>
          <w:szCs w:val="22"/>
        </w:rPr>
        <w:t>,</w:t>
      </w:r>
      <w:r w:rsidRPr="005967E0">
        <w:rPr>
          <w:rFonts w:ascii="Times New Roman" w:hAnsi="Times New Roman"/>
          <w:sz w:val="22"/>
          <w:szCs w:val="22"/>
        </w:rPr>
        <w:t xml:space="preserve"> and West Face Long Term Opportunities Global Master, L.P. (collectively, Preferred Shareholders), filed a response to SBS’s </w:t>
      </w:r>
      <w:r w:rsidR="00037587">
        <w:rPr>
          <w:rFonts w:ascii="Times New Roman" w:hAnsi="Times New Roman"/>
          <w:sz w:val="22"/>
          <w:szCs w:val="22"/>
        </w:rPr>
        <w:t>Notice of Withdrawal</w:t>
      </w:r>
      <w:r w:rsidRPr="005967E0">
        <w:rPr>
          <w:rFonts w:ascii="Times New Roman" w:hAnsi="Times New Roman"/>
          <w:sz w:val="22"/>
          <w:szCs w:val="22"/>
        </w:rPr>
        <w:t>, asserting that SBS has never been in violation of the foreign ownership limits</w:t>
      </w:r>
      <w:r>
        <w:rPr>
          <w:rFonts w:ascii="Times New Roman" w:hAnsi="Times New Roman"/>
          <w:sz w:val="22"/>
          <w:szCs w:val="22"/>
        </w:rPr>
        <w:t>,</w:t>
      </w:r>
      <w:r w:rsidRPr="005967E0">
        <w:rPr>
          <w:rFonts w:ascii="Times New Roman" w:hAnsi="Times New Roman"/>
          <w:sz w:val="22"/>
          <w:szCs w:val="22"/>
        </w:rPr>
        <w:t xml:space="preserve"> but </w:t>
      </w:r>
      <w:r>
        <w:rPr>
          <w:rFonts w:ascii="Times New Roman" w:hAnsi="Times New Roman"/>
          <w:sz w:val="22"/>
          <w:szCs w:val="22"/>
        </w:rPr>
        <w:t xml:space="preserve">nevertheless </w:t>
      </w:r>
      <w:r w:rsidRPr="005967E0">
        <w:rPr>
          <w:rFonts w:ascii="Times New Roman" w:hAnsi="Times New Roman"/>
          <w:sz w:val="22"/>
          <w:szCs w:val="22"/>
        </w:rPr>
        <w:t>asking that we decline to grant the withdrawal, as the Petition relates to ongoing litigation between the parties.</w:t>
      </w:r>
      <w:r>
        <w:rPr>
          <w:rStyle w:val="FootnoteReference"/>
          <w:rFonts w:ascii="Times New Roman" w:hAnsi="Times New Roman"/>
          <w:sz w:val="22"/>
          <w:szCs w:val="22"/>
        </w:rPr>
        <w:footnoteReference w:id="3"/>
      </w:r>
      <w:r w:rsidRPr="005967E0">
        <w:rPr>
          <w:rFonts w:ascii="Times New Roman" w:hAnsi="Times New Roman"/>
          <w:sz w:val="22"/>
          <w:szCs w:val="22"/>
        </w:rPr>
        <w:t xml:space="preserve">  The Preferred Shareholders also later filed a copy of the transcript from the May 15, 2020 oral arguments made before the Court of Chancery of the State of Delaware (</w:t>
      </w:r>
      <w:r>
        <w:rPr>
          <w:rFonts w:ascii="Times New Roman" w:hAnsi="Times New Roman"/>
          <w:sz w:val="22"/>
          <w:szCs w:val="22"/>
        </w:rPr>
        <w:t>Delaware Chancery Court</w:t>
      </w:r>
      <w:r w:rsidRPr="005967E0">
        <w:rPr>
          <w:rFonts w:ascii="Times New Roman" w:hAnsi="Times New Roman"/>
          <w:sz w:val="22"/>
          <w:szCs w:val="22"/>
        </w:rPr>
        <w:t>).</w:t>
      </w:r>
      <w:r>
        <w:rPr>
          <w:rStyle w:val="FootnoteReference"/>
          <w:rFonts w:ascii="Times New Roman" w:hAnsi="Times New Roman"/>
          <w:sz w:val="22"/>
          <w:szCs w:val="22"/>
        </w:rPr>
        <w:footnoteReference w:id="4"/>
      </w:r>
      <w:r w:rsidRPr="005967E0">
        <w:rPr>
          <w:rFonts w:ascii="Times New Roman" w:hAnsi="Times New Roman"/>
          <w:sz w:val="22"/>
          <w:szCs w:val="22"/>
        </w:rPr>
        <w:t xml:space="preserve">  </w:t>
      </w:r>
    </w:p>
    <w:p w:rsidR="004935A0" w:rsidRPr="005967E0" w:rsidP="004935A0" w14:paraId="5619EECD" w14:textId="28701804">
      <w:pPr>
        <w:spacing w:after="120"/>
        <w:ind w:firstLine="720"/>
        <w:rPr>
          <w:rFonts w:ascii="Times New Roman" w:hAnsi="Times New Roman"/>
          <w:sz w:val="22"/>
          <w:szCs w:val="22"/>
        </w:rPr>
      </w:pPr>
      <w:r w:rsidRPr="005967E0">
        <w:rPr>
          <w:rFonts w:ascii="Times New Roman" w:hAnsi="Times New Roman"/>
          <w:sz w:val="22"/>
          <w:szCs w:val="22"/>
        </w:rPr>
        <w:t xml:space="preserve"> Under Commission rules, a licensee that believes it has unintentionally exceeded the 25</w:t>
      </w:r>
      <w:r>
        <w:rPr>
          <w:rFonts w:ascii="Times New Roman" w:hAnsi="Times New Roman"/>
          <w:sz w:val="22"/>
          <w:szCs w:val="22"/>
        </w:rPr>
        <w:t xml:space="preserve"> percent</w:t>
      </w:r>
      <w:r w:rsidRPr="005967E0">
        <w:rPr>
          <w:rFonts w:ascii="Times New Roman" w:hAnsi="Times New Roman"/>
          <w:sz w:val="22"/>
          <w:szCs w:val="22"/>
        </w:rPr>
        <w:t xml:space="preserve"> foreign ownership </w:t>
      </w:r>
      <w:r w:rsidR="00244FB5">
        <w:rPr>
          <w:rFonts w:ascii="Times New Roman" w:hAnsi="Times New Roman"/>
          <w:sz w:val="22"/>
          <w:szCs w:val="22"/>
        </w:rPr>
        <w:t>benchmark</w:t>
      </w:r>
      <w:r w:rsidRPr="005967E0">
        <w:rPr>
          <w:rFonts w:ascii="Times New Roman" w:hAnsi="Times New Roman"/>
          <w:sz w:val="22"/>
          <w:szCs w:val="22"/>
        </w:rPr>
        <w:t xml:space="preserve"> or its permitted level of foreign ownership under an existing declaratory ruling can pursue one of two avenues, either of which must be completed within 30 days of the date the licensee learns of the non-compliant foreign interest:</w:t>
      </w:r>
      <w:r>
        <w:rPr>
          <w:rFonts w:ascii="Times New Roman" w:hAnsi="Times New Roman"/>
          <w:sz w:val="22"/>
          <w:szCs w:val="22"/>
        </w:rPr>
        <w:t xml:space="preserve"> </w:t>
      </w:r>
      <w:r w:rsidRPr="005967E0">
        <w:rPr>
          <w:rFonts w:ascii="Times New Roman" w:hAnsi="Times New Roman"/>
          <w:sz w:val="22"/>
          <w:szCs w:val="22"/>
        </w:rPr>
        <w:t xml:space="preserve"> (1) the licensee can file a petition for declaratory ruling seeking approval of the overage, or (2)</w:t>
      </w:r>
      <w:r>
        <w:rPr>
          <w:rFonts w:ascii="Times New Roman" w:hAnsi="Times New Roman"/>
          <w:sz w:val="22"/>
          <w:szCs w:val="22"/>
        </w:rPr>
        <w:t xml:space="preserve"> </w:t>
      </w:r>
      <w:r w:rsidRPr="005967E0">
        <w:rPr>
          <w:rFonts w:ascii="Times New Roman" w:hAnsi="Times New Roman"/>
          <w:sz w:val="22"/>
          <w:szCs w:val="22"/>
        </w:rPr>
        <w:t xml:space="preserve">the licensee can remedy the overage </w:t>
      </w:r>
      <w:r>
        <w:rPr>
          <w:rFonts w:ascii="Times New Roman" w:hAnsi="Times New Roman"/>
          <w:sz w:val="22"/>
          <w:szCs w:val="22"/>
        </w:rPr>
        <w:t xml:space="preserve">on its own accord </w:t>
      </w:r>
      <w:r w:rsidRPr="005967E0">
        <w:rPr>
          <w:rFonts w:ascii="Times New Roman" w:hAnsi="Times New Roman"/>
          <w:sz w:val="22"/>
          <w:szCs w:val="22"/>
        </w:rPr>
        <w:t>without filing a new petition for declaratory ruling.</w:t>
      </w:r>
      <w:r>
        <w:rPr>
          <w:rStyle w:val="FootnoteReference"/>
          <w:rFonts w:ascii="Times New Roman" w:hAnsi="Times New Roman"/>
          <w:sz w:val="22"/>
          <w:szCs w:val="22"/>
        </w:rPr>
        <w:footnoteReference w:id="5"/>
      </w:r>
      <w:r w:rsidRPr="005967E0">
        <w:rPr>
          <w:rFonts w:ascii="Times New Roman" w:hAnsi="Times New Roman"/>
          <w:sz w:val="22"/>
          <w:szCs w:val="22"/>
        </w:rPr>
        <w:t xml:space="preserve">  In either case, “the Commission does not expect to take enforcement action related to the non-compliance if the licensee complies with additional requirements set forth in the rules.</w:t>
      </w:r>
      <w:r w:rsidR="00037587">
        <w:rPr>
          <w:rFonts w:ascii="Times New Roman" w:hAnsi="Times New Roman"/>
          <w:sz w:val="22"/>
          <w:szCs w:val="22"/>
        </w:rPr>
        <w:t>”</w:t>
      </w:r>
      <w:r>
        <w:rPr>
          <w:rStyle w:val="FootnoteReference"/>
          <w:rFonts w:ascii="Times New Roman" w:hAnsi="Times New Roman"/>
          <w:sz w:val="22"/>
          <w:szCs w:val="22"/>
        </w:rPr>
        <w:footnoteReference w:id="6"/>
      </w:r>
      <w:r>
        <w:rPr>
          <w:rFonts w:ascii="Times New Roman" w:hAnsi="Times New Roman"/>
          <w:sz w:val="22"/>
          <w:szCs w:val="22"/>
        </w:rPr>
        <w:t xml:space="preserve"> </w:t>
      </w:r>
      <w:r w:rsidRPr="005967E0">
        <w:rPr>
          <w:rFonts w:ascii="Times New Roman" w:hAnsi="Times New Roman"/>
          <w:sz w:val="22"/>
          <w:szCs w:val="22"/>
        </w:rPr>
        <w:t xml:space="preserve"> Specifically, the licensee must demonstrate that its noncompliance was due solely to circumstances beyond its control that were not reasonably foreseeable to or known by the licensee acting with due diligence.</w:t>
      </w:r>
      <w:r>
        <w:rPr>
          <w:rStyle w:val="FootnoteReference"/>
          <w:rFonts w:ascii="Times New Roman" w:hAnsi="Times New Roman"/>
          <w:sz w:val="22"/>
          <w:szCs w:val="22"/>
        </w:rPr>
        <w:footnoteReference w:id="7"/>
      </w:r>
      <w:r w:rsidRPr="005967E0">
        <w:rPr>
          <w:rFonts w:ascii="Times New Roman" w:hAnsi="Times New Roman"/>
          <w:sz w:val="22"/>
          <w:szCs w:val="22"/>
        </w:rPr>
        <w:t xml:space="preserve">  If the licensee files a petition for declaratory ruling, the Commission will not require that the licensee’s U.S. parent redeem the non-compliant foreign interests or take other action to remedy the non-compliance during the pendency of the petition; if the Commission declines to approve the petition, the licensee must have a mechanism available to come into compliance with the statutory </w:t>
      </w:r>
      <w:r w:rsidR="00244FB5">
        <w:rPr>
          <w:rFonts w:ascii="Times New Roman" w:hAnsi="Times New Roman"/>
          <w:sz w:val="22"/>
          <w:szCs w:val="22"/>
        </w:rPr>
        <w:t>benchmark</w:t>
      </w:r>
      <w:r w:rsidRPr="005967E0">
        <w:rPr>
          <w:rFonts w:ascii="Times New Roman" w:hAnsi="Times New Roman"/>
          <w:sz w:val="22"/>
          <w:szCs w:val="22"/>
        </w:rPr>
        <w:t xml:space="preserve"> or the terms of an existing declaratory ruling within 30 days following the Commission’s decision.</w:t>
      </w:r>
      <w:r>
        <w:rPr>
          <w:rStyle w:val="FootnoteReference"/>
          <w:rFonts w:ascii="Times New Roman" w:hAnsi="Times New Roman"/>
          <w:sz w:val="22"/>
          <w:szCs w:val="22"/>
        </w:rPr>
        <w:footnoteReference w:id="8"/>
      </w:r>
      <w:r w:rsidRPr="005967E0">
        <w:rPr>
          <w:rFonts w:ascii="Times New Roman" w:hAnsi="Times New Roman"/>
          <w:sz w:val="22"/>
          <w:szCs w:val="22"/>
        </w:rPr>
        <w:t xml:space="preserve"> </w:t>
      </w:r>
    </w:p>
    <w:p w:rsidR="004935A0" w:rsidRPr="005967E0" w:rsidP="004935A0" w14:paraId="3BEB2203" w14:textId="609CFB40">
      <w:pPr>
        <w:spacing w:after="120"/>
        <w:ind w:firstLine="720"/>
        <w:rPr>
          <w:rFonts w:ascii="Times New Roman" w:hAnsi="Times New Roman"/>
          <w:sz w:val="22"/>
          <w:szCs w:val="22"/>
        </w:rPr>
      </w:pPr>
      <w:r w:rsidRPr="004935A0">
        <w:rPr>
          <w:rFonts w:ascii="Times New Roman" w:hAnsi="Times New Roman"/>
          <w:sz w:val="22"/>
          <w:szCs w:val="22"/>
        </w:rPr>
        <w:t xml:space="preserve">The </w:t>
      </w:r>
      <w:r w:rsidR="00244FB5">
        <w:rPr>
          <w:rFonts w:ascii="Times New Roman" w:hAnsi="Times New Roman"/>
          <w:sz w:val="22"/>
          <w:szCs w:val="22"/>
        </w:rPr>
        <w:t xml:space="preserve">avenue chosen by </w:t>
      </w:r>
      <w:r w:rsidRPr="004935A0">
        <w:rPr>
          <w:rFonts w:ascii="Times New Roman" w:hAnsi="Times New Roman"/>
          <w:sz w:val="22"/>
          <w:szCs w:val="22"/>
        </w:rPr>
        <w:t>SBS did not fit neatly into either category</w:t>
      </w:r>
      <w:r>
        <w:rPr>
          <w:rFonts w:ascii="Times New Roman" w:hAnsi="Times New Roman"/>
          <w:sz w:val="22"/>
          <w:szCs w:val="22"/>
        </w:rPr>
        <w:t xml:space="preserve">. </w:t>
      </w:r>
      <w:r w:rsidRPr="00240A0F">
        <w:rPr>
          <w:rFonts w:ascii="Times New Roman" w:hAnsi="Times New Roman"/>
          <w:sz w:val="22"/>
          <w:szCs w:val="22"/>
        </w:rPr>
        <w:t xml:space="preserve"> </w:t>
      </w:r>
      <w:r>
        <w:rPr>
          <w:rFonts w:ascii="Times New Roman" w:hAnsi="Times New Roman"/>
          <w:sz w:val="22"/>
          <w:szCs w:val="22"/>
        </w:rPr>
        <w:t>Rather, i</w:t>
      </w:r>
      <w:r w:rsidRPr="005967E0">
        <w:rPr>
          <w:rFonts w:ascii="Times New Roman" w:hAnsi="Times New Roman"/>
          <w:sz w:val="22"/>
          <w:szCs w:val="22"/>
        </w:rPr>
        <w:t>n its PDR, SBS seeks a ruling that (1) remedial steps it took prior to filing the PDR were sufficient to prevent non-compliance with the 25</w:t>
      </w:r>
      <w:r>
        <w:rPr>
          <w:rFonts w:ascii="Times New Roman" w:hAnsi="Times New Roman"/>
          <w:sz w:val="22"/>
          <w:szCs w:val="22"/>
        </w:rPr>
        <w:t xml:space="preserve"> percent</w:t>
      </w:r>
      <w:r w:rsidRPr="005967E0">
        <w:rPr>
          <w:rFonts w:ascii="Times New Roman" w:hAnsi="Times New Roman"/>
          <w:sz w:val="22"/>
          <w:szCs w:val="22"/>
        </w:rPr>
        <w:t xml:space="preserve"> foreign ownership </w:t>
      </w:r>
      <w:r w:rsidR="00244FB5">
        <w:rPr>
          <w:rFonts w:ascii="Times New Roman" w:hAnsi="Times New Roman"/>
          <w:sz w:val="22"/>
          <w:szCs w:val="22"/>
        </w:rPr>
        <w:t>benchmark</w:t>
      </w:r>
      <w:r w:rsidRPr="005967E0">
        <w:rPr>
          <w:rFonts w:ascii="Times New Roman" w:hAnsi="Times New Roman"/>
          <w:sz w:val="22"/>
          <w:szCs w:val="22"/>
        </w:rPr>
        <w:t xml:space="preserve"> or (2) that </w:t>
      </w:r>
      <w:r>
        <w:rPr>
          <w:rFonts w:ascii="Times New Roman" w:hAnsi="Times New Roman"/>
          <w:sz w:val="22"/>
          <w:szCs w:val="22"/>
        </w:rPr>
        <w:t xml:space="preserve">permitting </w:t>
      </w:r>
      <w:r w:rsidRPr="005967E0">
        <w:rPr>
          <w:rFonts w:ascii="Times New Roman" w:hAnsi="Times New Roman"/>
          <w:sz w:val="22"/>
          <w:szCs w:val="22"/>
        </w:rPr>
        <w:t>temporary noncompliance, pending further steps to perfect the remediation, is in the public interest, should the Bureau determine that its remedial measures were not adequate.</w:t>
      </w:r>
      <w:r>
        <w:rPr>
          <w:rStyle w:val="FootnoteReference"/>
          <w:rFonts w:ascii="Times New Roman" w:hAnsi="Times New Roman"/>
          <w:sz w:val="22"/>
          <w:szCs w:val="22"/>
        </w:rPr>
        <w:footnoteReference w:id="9"/>
      </w:r>
      <w:r w:rsidRPr="005967E0">
        <w:rPr>
          <w:rFonts w:ascii="Times New Roman" w:hAnsi="Times New Roman"/>
          <w:sz w:val="22"/>
          <w:szCs w:val="22"/>
        </w:rPr>
        <w:t xml:space="preserve">  In its </w:t>
      </w:r>
      <w:r>
        <w:rPr>
          <w:rFonts w:ascii="Times New Roman" w:hAnsi="Times New Roman"/>
          <w:sz w:val="22"/>
          <w:szCs w:val="22"/>
        </w:rPr>
        <w:t>N</w:t>
      </w:r>
      <w:r w:rsidRPr="005967E0">
        <w:rPr>
          <w:rFonts w:ascii="Times New Roman" w:hAnsi="Times New Roman"/>
          <w:sz w:val="22"/>
          <w:szCs w:val="22"/>
        </w:rPr>
        <w:t xml:space="preserve">otice of </w:t>
      </w:r>
      <w:r>
        <w:rPr>
          <w:rFonts w:ascii="Times New Roman" w:hAnsi="Times New Roman"/>
          <w:sz w:val="22"/>
          <w:szCs w:val="22"/>
        </w:rPr>
        <w:t>W</w:t>
      </w:r>
      <w:r w:rsidRPr="005967E0">
        <w:rPr>
          <w:rFonts w:ascii="Times New Roman" w:hAnsi="Times New Roman"/>
          <w:sz w:val="22"/>
          <w:szCs w:val="22"/>
        </w:rPr>
        <w:t xml:space="preserve">ithdrawal, SBS states that, by the terms of its corporate charter, the Preferred Shareholders’ stock acquisition was void </w:t>
      </w:r>
      <w:r w:rsidRPr="005967E0">
        <w:rPr>
          <w:rFonts w:ascii="Times New Roman" w:hAnsi="Times New Roman"/>
          <w:i/>
          <w:iCs/>
          <w:sz w:val="22"/>
          <w:szCs w:val="22"/>
        </w:rPr>
        <w:t>ab initio</w:t>
      </w:r>
      <w:r w:rsidRPr="005967E0">
        <w:rPr>
          <w:rFonts w:ascii="Times New Roman" w:hAnsi="Times New Roman"/>
          <w:sz w:val="22"/>
          <w:szCs w:val="22"/>
        </w:rPr>
        <w:t>.</w:t>
      </w:r>
      <w:r>
        <w:rPr>
          <w:rStyle w:val="FootnoteReference"/>
          <w:rFonts w:ascii="Times New Roman" w:hAnsi="Times New Roman"/>
          <w:sz w:val="22"/>
          <w:szCs w:val="22"/>
        </w:rPr>
        <w:footnoteReference w:id="10"/>
      </w:r>
      <w:r w:rsidRPr="005967E0">
        <w:rPr>
          <w:rFonts w:ascii="Times New Roman" w:hAnsi="Times New Roman"/>
          <w:sz w:val="22"/>
          <w:szCs w:val="22"/>
        </w:rPr>
        <w:t xml:space="preserve">  SBS states that the only relevant issue regarding its foreign ownership is </w:t>
      </w:r>
      <w:r w:rsidRPr="009E7000">
        <w:rPr>
          <w:rFonts w:ascii="Times New Roman" w:hAnsi="Times New Roman"/>
          <w:sz w:val="22"/>
          <w:szCs w:val="22"/>
        </w:rPr>
        <w:t>“whether or not the SBS Charter operated to invalidate the [Preferred Shareholders’] purported stock purchase – which question has only been presented to, and can only be answered by, the Delaware court.”</w:t>
      </w:r>
      <w:r>
        <w:rPr>
          <w:rStyle w:val="FootnoteReference"/>
          <w:rFonts w:ascii="Times New Roman" w:hAnsi="Times New Roman"/>
          <w:sz w:val="22"/>
          <w:szCs w:val="22"/>
        </w:rPr>
        <w:footnoteReference w:id="11"/>
      </w:r>
      <w:r>
        <w:rPr>
          <w:rFonts w:ascii="Times New Roman" w:hAnsi="Times New Roman"/>
          <w:sz w:val="22"/>
          <w:szCs w:val="22"/>
        </w:rPr>
        <w:t xml:space="preserve">  Although SBS seeks now to withdraw its PDR, t</w:t>
      </w:r>
      <w:r w:rsidRPr="005967E0">
        <w:rPr>
          <w:rFonts w:ascii="Times New Roman" w:hAnsi="Times New Roman"/>
          <w:sz w:val="22"/>
          <w:szCs w:val="22"/>
        </w:rPr>
        <w:t xml:space="preserve">he Preferred Shareholders urge us not to dismiss the PDR because, in their view, it presents a “predicate question” solely within the </w:t>
      </w:r>
      <w:r>
        <w:rPr>
          <w:rFonts w:ascii="Times New Roman" w:hAnsi="Times New Roman"/>
          <w:sz w:val="22"/>
          <w:szCs w:val="22"/>
        </w:rPr>
        <w:t>Commission</w:t>
      </w:r>
      <w:r w:rsidRPr="005967E0">
        <w:rPr>
          <w:rFonts w:ascii="Times New Roman" w:hAnsi="Times New Roman"/>
          <w:sz w:val="22"/>
          <w:szCs w:val="22"/>
        </w:rPr>
        <w:t>’s jurisdiction that is central to the issues before the Delaware Chancery Court, i.e., whether their investment caused SBS to exceed 25</w:t>
      </w:r>
      <w:r>
        <w:rPr>
          <w:rFonts w:ascii="Times New Roman" w:hAnsi="Times New Roman"/>
          <w:sz w:val="22"/>
          <w:szCs w:val="22"/>
        </w:rPr>
        <w:t xml:space="preserve"> percent</w:t>
      </w:r>
      <w:r w:rsidRPr="005967E0">
        <w:rPr>
          <w:rFonts w:ascii="Times New Roman" w:hAnsi="Times New Roman"/>
          <w:sz w:val="22"/>
          <w:szCs w:val="22"/>
        </w:rPr>
        <w:t xml:space="preserve"> foreign ownership.</w:t>
      </w:r>
      <w:r>
        <w:rPr>
          <w:rStyle w:val="FootnoteReference"/>
          <w:rFonts w:ascii="Times New Roman" w:hAnsi="Times New Roman"/>
          <w:sz w:val="22"/>
          <w:szCs w:val="22"/>
        </w:rPr>
        <w:footnoteReference w:id="12"/>
      </w:r>
      <w:r w:rsidRPr="005967E0">
        <w:rPr>
          <w:rFonts w:ascii="Times New Roman" w:hAnsi="Times New Roman"/>
          <w:sz w:val="22"/>
          <w:szCs w:val="22"/>
        </w:rPr>
        <w:t xml:space="preserve">  Preferred Shareholders maintain that their ownership interests </w:t>
      </w:r>
      <w:r>
        <w:rPr>
          <w:rFonts w:ascii="Times New Roman" w:hAnsi="Times New Roman"/>
          <w:sz w:val="22"/>
          <w:szCs w:val="22"/>
        </w:rPr>
        <w:t>did</w:t>
      </w:r>
      <w:r w:rsidRPr="005967E0">
        <w:rPr>
          <w:rFonts w:ascii="Times New Roman" w:hAnsi="Times New Roman"/>
          <w:sz w:val="22"/>
          <w:szCs w:val="22"/>
        </w:rPr>
        <w:t xml:space="preserve"> not cause SBS to exceed that </w:t>
      </w:r>
      <w:r w:rsidR="00244FB5">
        <w:rPr>
          <w:rFonts w:ascii="Times New Roman" w:hAnsi="Times New Roman"/>
          <w:sz w:val="22"/>
          <w:szCs w:val="22"/>
        </w:rPr>
        <w:t>benchmark</w:t>
      </w:r>
      <w:r w:rsidRPr="005967E0">
        <w:rPr>
          <w:rFonts w:ascii="Times New Roman" w:hAnsi="Times New Roman"/>
          <w:sz w:val="22"/>
          <w:szCs w:val="22"/>
        </w:rPr>
        <w:t>, and they “agree with SBS that the Petition was not originally necessary — because there was no violation of the Commission’s foreign ownership rules.”</w:t>
      </w:r>
      <w:r>
        <w:rPr>
          <w:rStyle w:val="FootnoteReference"/>
          <w:rFonts w:ascii="Times New Roman" w:hAnsi="Times New Roman"/>
          <w:sz w:val="22"/>
          <w:szCs w:val="22"/>
        </w:rPr>
        <w:footnoteReference w:id="13"/>
      </w:r>
    </w:p>
    <w:p w:rsidR="004935A0" w:rsidP="004935A0" w14:paraId="4684AA60" w14:textId="77777777">
      <w:pPr>
        <w:spacing w:after="120"/>
        <w:ind w:firstLine="720"/>
        <w:rPr>
          <w:rFonts w:ascii="Times New Roman" w:hAnsi="Times New Roman"/>
          <w:sz w:val="22"/>
          <w:szCs w:val="22"/>
        </w:rPr>
      </w:pPr>
      <w:bookmarkStart w:id="1" w:name="_Hlk46471103"/>
      <w:r w:rsidRPr="005967E0">
        <w:rPr>
          <w:rFonts w:ascii="Times New Roman" w:hAnsi="Times New Roman"/>
          <w:sz w:val="22"/>
          <w:szCs w:val="22"/>
        </w:rPr>
        <w:t xml:space="preserve">Upon consideration of the record and issues presented therein, we conclude that dismissal of the PDR, as requested by SBS, serves the public interest </w:t>
      </w:r>
      <w:r w:rsidRPr="005967E0">
        <w:rPr>
          <w:rFonts w:ascii="Times New Roman" w:hAnsi="Times New Roman"/>
          <w:sz w:val="22"/>
          <w:szCs w:val="22"/>
        </w:rPr>
        <w:t>in light of</w:t>
      </w:r>
      <w:r w:rsidRPr="005967E0">
        <w:rPr>
          <w:rFonts w:ascii="Times New Roman" w:hAnsi="Times New Roman"/>
          <w:sz w:val="22"/>
          <w:szCs w:val="22"/>
        </w:rPr>
        <w:t xml:space="preserve"> the circumstances.  </w:t>
      </w:r>
      <w:r w:rsidRPr="004935A0">
        <w:rPr>
          <w:rFonts w:ascii="Times New Roman" w:hAnsi="Times New Roman"/>
          <w:sz w:val="22"/>
          <w:szCs w:val="22"/>
        </w:rPr>
        <w:t xml:space="preserve">Further, we note that the SBS PDR, as supplemented, does not provide a basis to determine </w:t>
      </w:r>
      <w:r>
        <w:rPr>
          <w:rFonts w:ascii="Times New Roman" w:hAnsi="Times New Roman"/>
          <w:sz w:val="22"/>
          <w:szCs w:val="22"/>
        </w:rPr>
        <w:t>whether</w:t>
      </w:r>
      <w:r w:rsidRPr="004935A0">
        <w:rPr>
          <w:rFonts w:ascii="Times New Roman" w:hAnsi="Times New Roman"/>
          <w:sz w:val="22"/>
          <w:szCs w:val="22"/>
        </w:rPr>
        <w:t xml:space="preserve"> the Preferred Shareholders’ investment caused SBS to exceed the section 310(b)(4) benchmarks</w:t>
      </w:r>
      <w:r>
        <w:rPr>
          <w:rFonts w:ascii="Times New Roman" w:hAnsi="Times New Roman"/>
          <w:sz w:val="22"/>
          <w:szCs w:val="22"/>
        </w:rPr>
        <w:t>.</w:t>
      </w:r>
      <w:bookmarkEnd w:id="1"/>
      <w:r w:rsidRPr="005967E0">
        <w:rPr>
          <w:rFonts w:ascii="Times New Roman" w:hAnsi="Times New Roman"/>
          <w:sz w:val="22"/>
          <w:szCs w:val="22"/>
        </w:rPr>
        <w:t xml:space="preserve">  </w:t>
      </w:r>
      <w:bookmarkStart w:id="2" w:name="_Hlk46401647"/>
      <w:r w:rsidRPr="005967E0">
        <w:rPr>
          <w:rFonts w:ascii="Times New Roman" w:hAnsi="Times New Roman"/>
          <w:sz w:val="22"/>
          <w:szCs w:val="22"/>
        </w:rPr>
        <w:t xml:space="preserve">The pending litigation in the Delaware Chancery Court raises issues that involve the alleged rights of the Preferred </w:t>
      </w:r>
      <w:r w:rsidRPr="005967E0">
        <w:rPr>
          <w:rFonts w:ascii="Times New Roman" w:hAnsi="Times New Roman"/>
          <w:sz w:val="22"/>
          <w:szCs w:val="22"/>
        </w:rPr>
        <w:t xml:space="preserve">Shareholders and alleged breaches of those rights by SBS. </w:t>
      </w:r>
      <w:r>
        <w:rPr>
          <w:rFonts w:ascii="Times New Roman" w:hAnsi="Times New Roman"/>
          <w:sz w:val="22"/>
          <w:szCs w:val="22"/>
        </w:rPr>
        <w:t xml:space="preserve"> </w:t>
      </w:r>
      <w:r w:rsidRPr="005967E0">
        <w:rPr>
          <w:rFonts w:ascii="Times New Roman" w:hAnsi="Times New Roman"/>
          <w:sz w:val="22"/>
          <w:szCs w:val="22"/>
        </w:rPr>
        <w:t>We take no position on the outcome of that litigation</w:t>
      </w:r>
      <w:r w:rsidRPr="009E7000">
        <w:rPr>
          <w:rFonts w:ascii="Times New Roman" w:hAnsi="Times New Roman"/>
          <w:sz w:val="22"/>
          <w:szCs w:val="22"/>
        </w:rPr>
        <w:t>.</w:t>
      </w:r>
      <w:r>
        <w:rPr>
          <w:rStyle w:val="FootnoteReference"/>
          <w:rFonts w:ascii="Times New Roman" w:hAnsi="Times New Roman"/>
          <w:sz w:val="22"/>
          <w:szCs w:val="22"/>
        </w:rPr>
        <w:footnoteReference w:id="14"/>
      </w:r>
      <w:r w:rsidRPr="005967E0">
        <w:rPr>
          <w:rFonts w:ascii="Times New Roman" w:hAnsi="Times New Roman"/>
          <w:sz w:val="22"/>
          <w:szCs w:val="22"/>
        </w:rPr>
        <w:t xml:space="preserve"> </w:t>
      </w:r>
      <w:bookmarkEnd w:id="2"/>
      <w:r w:rsidRPr="005967E0">
        <w:rPr>
          <w:rFonts w:ascii="Times New Roman" w:hAnsi="Times New Roman"/>
          <w:sz w:val="22"/>
          <w:szCs w:val="22"/>
        </w:rPr>
        <w:t xml:space="preserve"> </w:t>
      </w:r>
    </w:p>
    <w:p w:rsidR="004935A0" w:rsidRPr="009E7000" w:rsidP="004935A0" w14:paraId="6A89042E" w14:textId="697F686E">
      <w:pPr>
        <w:spacing w:after="120"/>
        <w:ind w:firstLine="720"/>
        <w:rPr>
          <w:rFonts w:ascii="Times New Roman" w:hAnsi="Times New Roman"/>
          <w:sz w:val="22"/>
          <w:szCs w:val="22"/>
        </w:rPr>
      </w:pPr>
      <w:r>
        <w:rPr>
          <w:rFonts w:ascii="Times New Roman" w:hAnsi="Times New Roman"/>
          <w:sz w:val="22"/>
          <w:szCs w:val="22"/>
        </w:rPr>
        <w:t>Furthermore</w:t>
      </w:r>
      <w:r w:rsidRPr="005967E0">
        <w:rPr>
          <w:rFonts w:ascii="Times New Roman" w:hAnsi="Times New Roman"/>
          <w:sz w:val="22"/>
          <w:szCs w:val="22"/>
        </w:rPr>
        <w:t xml:space="preserve">, because SBS’s belief that it remediated any foreign ownership violation appears to be premised on the validity of measures it believes are authorized by its corporate charter, and there is ongoing litigation regarding that question, we direct SBS, within 30 days after issuance of a determination by the </w:t>
      </w:r>
      <w:r>
        <w:rPr>
          <w:rFonts w:ascii="Times New Roman" w:hAnsi="Times New Roman"/>
          <w:sz w:val="22"/>
          <w:szCs w:val="22"/>
        </w:rPr>
        <w:t xml:space="preserve">Delaware </w:t>
      </w:r>
      <w:r w:rsidRPr="005967E0">
        <w:rPr>
          <w:rFonts w:ascii="Times New Roman" w:hAnsi="Times New Roman"/>
          <w:sz w:val="22"/>
          <w:szCs w:val="22"/>
        </w:rPr>
        <w:t xml:space="preserve">Chancery Court, to notify the Media Bureau whether its foreign ownership exceeds the permissible </w:t>
      </w:r>
      <w:r w:rsidR="00244FB5">
        <w:rPr>
          <w:rFonts w:ascii="Times New Roman" w:hAnsi="Times New Roman"/>
          <w:sz w:val="22"/>
          <w:szCs w:val="22"/>
        </w:rPr>
        <w:t>benchmark</w:t>
      </w:r>
      <w:r w:rsidRPr="005967E0">
        <w:rPr>
          <w:rFonts w:ascii="Times New Roman" w:hAnsi="Times New Roman"/>
          <w:sz w:val="22"/>
          <w:szCs w:val="22"/>
        </w:rPr>
        <w:t xml:space="preserve"> and either demonstrate that it is in compliance or file a new petition for declaratory ruling seeking permission to exceed the </w:t>
      </w:r>
      <w:r w:rsidR="00244FB5">
        <w:rPr>
          <w:rFonts w:ascii="Times New Roman" w:hAnsi="Times New Roman"/>
          <w:sz w:val="22"/>
          <w:szCs w:val="22"/>
        </w:rPr>
        <w:t>benchmark</w:t>
      </w:r>
      <w:r w:rsidRPr="005967E0">
        <w:rPr>
          <w:rFonts w:ascii="Times New Roman" w:hAnsi="Times New Roman"/>
          <w:sz w:val="22"/>
          <w:szCs w:val="22"/>
        </w:rPr>
        <w:t>.</w:t>
      </w:r>
      <w:r>
        <w:rPr>
          <w:rStyle w:val="FootnoteReference"/>
          <w:rFonts w:ascii="Times New Roman" w:hAnsi="Times New Roman"/>
          <w:sz w:val="22"/>
          <w:szCs w:val="22"/>
        </w:rPr>
        <w:footnoteReference w:id="15"/>
      </w:r>
    </w:p>
    <w:p w:rsidR="004935A0" w:rsidRPr="005967E0" w:rsidP="004935A0" w14:paraId="25725AB7" w14:textId="77777777">
      <w:pPr>
        <w:spacing w:after="120"/>
        <w:ind w:firstLine="720"/>
        <w:rPr>
          <w:rFonts w:ascii="Times New Roman" w:hAnsi="Times New Roman"/>
          <w:sz w:val="22"/>
          <w:szCs w:val="22"/>
        </w:rPr>
      </w:pPr>
      <w:r w:rsidRPr="005967E0">
        <w:rPr>
          <w:rFonts w:ascii="Times New Roman" w:hAnsi="Times New Roman"/>
          <w:b/>
          <w:bCs/>
          <w:sz w:val="22"/>
          <w:szCs w:val="22"/>
        </w:rPr>
        <w:t>ACCORDINGLY, IT IS ORDERED</w:t>
      </w:r>
      <w:r w:rsidRPr="005967E0">
        <w:rPr>
          <w:rFonts w:ascii="Times New Roman" w:hAnsi="Times New Roman"/>
          <w:sz w:val="22"/>
          <w:szCs w:val="22"/>
        </w:rPr>
        <w:t xml:space="preserve"> that Spanish Broadcasting System, Inc.’s Petition for Declaratory Ruling is </w:t>
      </w:r>
      <w:r w:rsidRPr="005967E0">
        <w:rPr>
          <w:rFonts w:ascii="Times New Roman" w:hAnsi="Times New Roman"/>
          <w:b/>
          <w:bCs/>
          <w:sz w:val="22"/>
          <w:szCs w:val="22"/>
        </w:rPr>
        <w:t>DISMISSED</w:t>
      </w:r>
      <w:r w:rsidRPr="005967E0">
        <w:rPr>
          <w:rFonts w:ascii="Times New Roman" w:hAnsi="Times New Roman"/>
          <w:sz w:val="22"/>
          <w:szCs w:val="22"/>
        </w:rPr>
        <w:t xml:space="preserve">.  </w:t>
      </w:r>
    </w:p>
    <w:p w:rsidR="004935A0" w:rsidRPr="009E7000" w:rsidP="004935A0" w14:paraId="2F0ED794" w14:textId="473A4FE9">
      <w:pPr>
        <w:spacing w:after="120"/>
        <w:ind w:firstLine="720"/>
        <w:rPr>
          <w:rFonts w:ascii="Times New Roman" w:hAnsi="Times New Roman"/>
          <w:sz w:val="22"/>
          <w:szCs w:val="22"/>
        </w:rPr>
      </w:pPr>
      <w:r w:rsidRPr="005967E0">
        <w:rPr>
          <w:rFonts w:ascii="Times New Roman" w:hAnsi="Times New Roman"/>
          <w:b/>
          <w:bCs/>
          <w:sz w:val="22"/>
          <w:szCs w:val="22"/>
        </w:rPr>
        <w:t xml:space="preserve">IT </w:t>
      </w:r>
      <w:r>
        <w:rPr>
          <w:rFonts w:ascii="Times New Roman" w:hAnsi="Times New Roman"/>
          <w:b/>
          <w:bCs/>
          <w:sz w:val="22"/>
          <w:szCs w:val="22"/>
        </w:rPr>
        <w:t>I</w:t>
      </w:r>
      <w:r w:rsidRPr="005967E0">
        <w:rPr>
          <w:rFonts w:ascii="Times New Roman" w:hAnsi="Times New Roman"/>
          <w:b/>
          <w:bCs/>
          <w:sz w:val="22"/>
          <w:szCs w:val="22"/>
        </w:rPr>
        <w:t>S FURTHER ORDERED</w:t>
      </w:r>
      <w:r w:rsidRPr="005967E0">
        <w:rPr>
          <w:rFonts w:ascii="Times New Roman" w:hAnsi="Times New Roman"/>
          <w:sz w:val="22"/>
          <w:szCs w:val="22"/>
        </w:rPr>
        <w:t xml:space="preserve"> that within 30 days after issuance of a determination by the Delaware Court of Chancery in </w:t>
      </w:r>
      <w:r w:rsidRPr="009E7000">
        <w:rPr>
          <w:rFonts w:ascii="Times New Roman" w:hAnsi="Times New Roman"/>
          <w:i/>
          <w:iCs/>
          <w:sz w:val="22"/>
          <w:szCs w:val="22"/>
        </w:rPr>
        <w:t>Cedarview</w:t>
      </w:r>
      <w:r w:rsidRPr="009E7000">
        <w:rPr>
          <w:rFonts w:ascii="Times New Roman" w:hAnsi="Times New Roman"/>
          <w:i/>
          <w:iCs/>
          <w:sz w:val="22"/>
          <w:szCs w:val="22"/>
        </w:rPr>
        <w:t xml:space="preserve"> Opportunities Master Fund, L.P. v. Spanish Broadcasting System, Inc</w:t>
      </w:r>
      <w:r w:rsidRPr="009E7000">
        <w:rPr>
          <w:rFonts w:ascii="Times New Roman" w:hAnsi="Times New Roman"/>
          <w:sz w:val="22"/>
          <w:szCs w:val="22"/>
        </w:rPr>
        <w:t xml:space="preserve">., Case No. </w:t>
      </w:r>
      <w:r w:rsidR="000B5E56">
        <w:rPr>
          <w:rFonts w:ascii="Times New Roman" w:hAnsi="Times New Roman"/>
          <w:sz w:val="22"/>
          <w:szCs w:val="22"/>
        </w:rPr>
        <w:t xml:space="preserve">C.A. </w:t>
      </w:r>
      <w:r w:rsidRPr="009E7000">
        <w:rPr>
          <w:rFonts w:ascii="Times New Roman" w:hAnsi="Times New Roman"/>
          <w:sz w:val="22"/>
          <w:szCs w:val="22"/>
        </w:rPr>
        <w:t>2017-0785-AGB</w:t>
      </w:r>
      <w:r w:rsidR="000B5E56">
        <w:rPr>
          <w:rFonts w:ascii="Times New Roman" w:hAnsi="Times New Roman"/>
          <w:sz w:val="22"/>
          <w:szCs w:val="22"/>
        </w:rPr>
        <w:t xml:space="preserve"> (Del. Ch.)</w:t>
      </w:r>
      <w:r w:rsidRPr="009E7000">
        <w:rPr>
          <w:rFonts w:ascii="Times New Roman" w:hAnsi="Times New Roman"/>
          <w:sz w:val="22"/>
          <w:szCs w:val="22"/>
        </w:rPr>
        <w:t xml:space="preserve">, </w:t>
      </w:r>
      <w:r w:rsidRPr="005967E0">
        <w:rPr>
          <w:rFonts w:ascii="Times New Roman" w:hAnsi="Times New Roman"/>
          <w:sz w:val="22"/>
          <w:szCs w:val="22"/>
        </w:rPr>
        <w:t>as to the question of whether the Preferred Shareholders’ investment in Spanish Broadcasting System, Inc.</w:t>
      </w:r>
      <w:r w:rsidR="00CF247E">
        <w:rPr>
          <w:rFonts w:ascii="Times New Roman" w:hAnsi="Times New Roman"/>
          <w:sz w:val="22"/>
          <w:szCs w:val="22"/>
        </w:rPr>
        <w:t>,</w:t>
      </w:r>
      <w:r w:rsidRPr="005967E0">
        <w:rPr>
          <w:rFonts w:ascii="Times New Roman" w:hAnsi="Times New Roman"/>
          <w:sz w:val="22"/>
          <w:szCs w:val="22"/>
        </w:rPr>
        <w:t xml:space="preserve"> was void </w:t>
      </w:r>
      <w:r w:rsidRPr="005967E0">
        <w:rPr>
          <w:rFonts w:ascii="Times New Roman" w:hAnsi="Times New Roman"/>
          <w:i/>
          <w:iCs/>
          <w:sz w:val="22"/>
          <w:szCs w:val="22"/>
        </w:rPr>
        <w:t>ab initio</w:t>
      </w:r>
      <w:r w:rsidRPr="005967E0">
        <w:rPr>
          <w:rFonts w:ascii="Times New Roman" w:hAnsi="Times New Roman"/>
          <w:sz w:val="22"/>
          <w:szCs w:val="22"/>
        </w:rPr>
        <w:t>, Spanish Broadcasting System, Inc.</w:t>
      </w:r>
      <w:r>
        <w:rPr>
          <w:rFonts w:ascii="Times New Roman" w:hAnsi="Times New Roman"/>
          <w:sz w:val="22"/>
          <w:szCs w:val="22"/>
        </w:rPr>
        <w:t>,</w:t>
      </w:r>
      <w:r w:rsidRPr="005967E0">
        <w:rPr>
          <w:rFonts w:ascii="Times New Roman" w:hAnsi="Times New Roman"/>
          <w:sz w:val="22"/>
          <w:szCs w:val="22"/>
        </w:rPr>
        <w:t xml:space="preserve"> shall notify the Media Bureau whether its foreign ownership exceeds the </w:t>
      </w:r>
      <w:r w:rsidR="00244FB5">
        <w:rPr>
          <w:rFonts w:ascii="Times New Roman" w:hAnsi="Times New Roman"/>
          <w:sz w:val="22"/>
          <w:szCs w:val="22"/>
        </w:rPr>
        <w:t>benchmark</w:t>
      </w:r>
      <w:r w:rsidRPr="005967E0">
        <w:rPr>
          <w:rFonts w:ascii="Times New Roman" w:hAnsi="Times New Roman"/>
          <w:sz w:val="22"/>
          <w:szCs w:val="22"/>
        </w:rPr>
        <w:t xml:space="preserve"> established by </w:t>
      </w:r>
      <w:r w:rsidR="00037587">
        <w:rPr>
          <w:rFonts w:ascii="Times New Roman" w:hAnsi="Times New Roman"/>
          <w:sz w:val="22"/>
          <w:szCs w:val="22"/>
        </w:rPr>
        <w:t>s</w:t>
      </w:r>
      <w:r w:rsidRPr="005967E0">
        <w:rPr>
          <w:rFonts w:ascii="Times New Roman" w:hAnsi="Times New Roman"/>
          <w:sz w:val="22"/>
          <w:szCs w:val="22"/>
        </w:rPr>
        <w:t xml:space="preserve">ection 310(b)(4) of the Communications Act of 1934, as amended, and either demonstrate that it is in compliance or file a new petition for declaratory ruling seeking permission to exceed the </w:t>
      </w:r>
      <w:r w:rsidR="00244FB5">
        <w:rPr>
          <w:rFonts w:ascii="Times New Roman" w:hAnsi="Times New Roman"/>
          <w:sz w:val="22"/>
          <w:szCs w:val="22"/>
        </w:rPr>
        <w:t>benchmark</w:t>
      </w:r>
      <w:r w:rsidRPr="005967E0">
        <w:rPr>
          <w:rFonts w:ascii="Times New Roman" w:hAnsi="Times New Roman"/>
          <w:sz w:val="22"/>
          <w:szCs w:val="22"/>
        </w:rPr>
        <w:t>.</w:t>
      </w:r>
    </w:p>
    <w:p w:rsidR="004935A0" w:rsidRPr="005967E0" w:rsidP="004935A0" w14:paraId="67710BF9" w14:textId="77777777">
      <w:pPr>
        <w:spacing w:after="120"/>
        <w:ind w:firstLine="720"/>
        <w:rPr>
          <w:rFonts w:ascii="Times New Roman" w:hAnsi="Times New Roman"/>
          <w:sz w:val="22"/>
          <w:szCs w:val="22"/>
        </w:rPr>
      </w:pPr>
      <w:r w:rsidRPr="005967E0">
        <w:rPr>
          <w:rFonts w:ascii="Times New Roman" w:hAnsi="Times New Roman"/>
          <w:sz w:val="22"/>
          <w:szCs w:val="22"/>
        </w:rPr>
        <w:t xml:space="preserve">This action is taken pursuant to </w:t>
      </w:r>
      <w:r w:rsidR="00037587">
        <w:rPr>
          <w:rFonts w:ascii="Times New Roman" w:hAnsi="Times New Roman"/>
          <w:sz w:val="22"/>
          <w:szCs w:val="22"/>
        </w:rPr>
        <w:t>s</w:t>
      </w:r>
      <w:r w:rsidRPr="005967E0">
        <w:rPr>
          <w:rFonts w:ascii="Times New Roman" w:hAnsi="Times New Roman"/>
          <w:sz w:val="22"/>
          <w:szCs w:val="22"/>
        </w:rPr>
        <w:t>ection 310(b)(4) of the Communications Act of 1934, as amended, the Commission’s implementing rules, and authority delegated by section 0.283 of the Commission’s rules.</w:t>
      </w:r>
      <w:r>
        <w:rPr>
          <w:rStyle w:val="FootnoteReference"/>
          <w:rFonts w:ascii="Times New Roman" w:hAnsi="Times New Roman"/>
          <w:sz w:val="22"/>
          <w:szCs w:val="22"/>
        </w:rPr>
        <w:footnoteReference w:id="16"/>
      </w:r>
    </w:p>
    <w:p w:rsidR="004935A0" w:rsidRPr="005967E0" w:rsidP="004935A0" w14:paraId="76E54D09" w14:textId="77777777">
      <w:pPr>
        <w:spacing w:after="120"/>
        <w:rPr>
          <w:rFonts w:ascii="Times New Roman" w:hAnsi="Times New Roman"/>
          <w:sz w:val="22"/>
          <w:szCs w:val="22"/>
        </w:rPr>
      </w:pPr>
    </w:p>
    <w:p w:rsidR="004935A0" w:rsidRPr="005967E0" w:rsidP="004935A0" w14:paraId="55C93C97" w14:textId="77777777">
      <w:pPr>
        <w:spacing w:after="120"/>
        <w:ind w:left="5040"/>
        <w:rPr>
          <w:rFonts w:ascii="Times New Roman" w:hAnsi="Times New Roman"/>
          <w:sz w:val="22"/>
          <w:szCs w:val="22"/>
        </w:rPr>
      </w:pPr>
      <w:r w:rsidRPr="005967E0">
        <w:rPr>
          <w:rFonts w:ascii="Times New Roman" w:hAnsi="Times New Roman"/>
          <w:sz w:val="22"/>
          <w:szCs w:val="22"/>
        </w:rPr>
        <w:t>Sincerely,</w:t>
      </w:r>
    </w:p>
    <w:p w:rsidR="00537500" w:rsidRPr="00537500" w:rsidP="00537500" w14:paraId="4871E67B" w14:textId="77777777">
      <w:pPr>
        <w:widowControl w:val="0"/>
        <w:ind w:left="720"/>
        <w:rPr>
          <w:rFonts w:ascii="Times New Roman" w:hAnsi="Times New Roman"/>
          <w:sz w:val="22"/>
          <w:szCs w:val="22"/>
        </w:rPr>
      </w:pPr>
    </w:p>
    <w:p w:rsidR="004935A0" w:rsidRPr="005967E0" w:rsidP="00537500" w14:paraId="24266378" w14:textId="63B1DF9B">
      <w:pPr>
        <w:spacing w:after="120"/>
        <w:rPr>
          <w:rFonts w:ascii="Times New Roman" w:hAnsi="Times New Roman"/>
          <w:sz w:val="22"/>
          <w:szCs w:val="22"/>
        </w:rPr>
      </w:pPr>
      <w:r>
        <w:rPr>
          <w:sz w:val="22"/>
          <w:szCs w:val="22"/>
        </w:rPr>
        <w:tab/>
      </w:r>
      <w:r>
        <w:rPr>
          <w:sz w:val="22"/>
          <w:szCs w:val="22"/>
        </w:rPr>
        <w:tab/>
      </w:r>
      <w:bookmarkStart w:id="4" w:name="_GoBack"/>
      <w:bookmarkEnd w:id="4"/>
      <w:r>
        <w:rPr>
          <w:sz w:val="22"/>
          <w:szCs w:val="22"/>
        </w:rPr>
        <w:tab/>
      </w:r>
      <w:r>
        <w:rPr>
          <w:sz w:val="22"/>
          <w:szCs w:val="22"/>
        </w:rPr>
        <w:tab/>
      </w:r>
      <w:r>
        <w:rPr>
          <w:sz w:val="22"/>
          <w:szCs w:val="22"/>
        </w:rPr>
        <w:tab/>
      </w:r>
      <w:r>
        <w:rPr>
          <w:sz w:val="22"/>
          <w:szCs w:val="22"/>
        </w:rPr>
        <w:tab/>
      </w:r>
      <w:r>
        <w:rPr>
          <w:sz w:val="22"/>
          <w:szCs w:val="22"/>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79.5pt;height:32.5pt;mso-wrap-style:square;visibility:visible">
            <v:imagedata r:id="rId5" o:title=""/>
          </v:shape>
        </w:pict>
      </w:r>
    </w:p>
    <w:p w:rsidR="004935A0" w:rsidRPr="005967E0" w:rsidP="004935A0" w14:paraId="6FC2BAAC" w14:textId="77777777">
      <w:pPr>
        <w:spacing w:after="120"/>
        <w:ind w:left="5040"/>
        <w:rPr>
          <w:rFonts w:ascii="Times New Roman" w:hAnsi="Times New Roman"/>
          <w:sz w:val="22"/>
          <w:szCs w:val="22"/>
        </w:rPr>
      </w:pPr>
      <w:r w:rsidRPr="005967E0">
        <w:rPr>
          <w:rFonts w:ascii="Times New Roman" w:hAnsi="Times New Roman"/>
          <w:sz w:val="22"/>
          <w:szCs w:val="22"/>
        </w:rPr>
        <w:t>Michelle M. Carey</w:t>
      </w:r>
      <w:r w:rsidRPr="005967E0">
        <w:rPr>
          <w:rFonts w:ascii="Times New Roman" w:hAnsi="Times New Roman"/>
          <w:sz w:val="22"/>
          <w:szCs w:val="22"/>
        </w:rPr>
        <w:br/>
        <w:t>Chief, Media Bureau</w:t>
      </w:r>
    </w:p>
    <w:p w:rsidR="004935A0" w:rsidRPr="009E7000" w:rsidP="004935A0" w14:paraId="1C804EA6" w14:textId="77777777">
      <w:pPr>
        <w:spacing w:after="120"/>
        <w:rPr>
          <w:rFonts w:ascii="Times New Roman" w:hAnsi="Times New Roman"/>
          <w:sz w:val="22"/>
          <w:szCs w:val="22"/>
        </w:rPr>
      </w:pPr>
    </w:p>
    <w:p w:rsidR="004935A0" w:rsidRPr="00204CE3" w:rsidP="004935A0" w14:paraId="0155FB05" w14:textId="77777777">
      <w:pPr>
        <w:spacing w:after="120"/>
        <w:rPr>
          <w:sz w:val="22"/>
          <w:szCs w:val="22"/>
        </w:rPr>
      </w:pPr>
    </w:p>
    <w:p w:rsidR="004935A0" w:rsidRPr="00204CE3" w14:paraId="5A8B9195" w14:textId="77777777">
      <w:pPr>
        <w:rPr>
          <w:sz w:val="22"/>
          <w:szCs w:val="22"/>
        </w:rPr>
      </w:pPr>
    </w:p>
    <w:sectPr>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5A0" w:rsidRPr="00CF247E" w14:paraId="20787095" w14:textId="77777777">
    <w:pPr>
      <w:pStyle w:val="Footer"/>
      <w:jc w:val="center"/>
      <w:rPr>
        <w:rFonts w:ascii="Times New Roman" w:hAnsi="Times New Roman"/>
        <w:sz w:val="22"/>
        <w:szCs w:val="22"/>
      </w:rPr>
    </w:pPr>
    <w:r w:rsidRPr="00CF247E">
      <w:rPr>
        <w:rFonts w:ascii="Times New Roman" w:hAnsi="Times New Roman"/>
        <w:sz w:val="22"/>
        <w:szCs w:val="22"/>
      </w:rPr>
      <w:fldChar w:fldCharType="begin"/>
    </w:r>
    <w:r w:rsidRPr="00CF247E">
      <w:rPr>
        <w:rFonts w:ascii="Times New Roman" w:hAnsi="Times New Roman"/>
        <w:sz w:val="22"/>
        <w:szCs w:val="22"/>
      </w:rPr>
      <w:instrText xml:space="preserve"> PAGE   \* MERGEFORMAT </w:instrText>
    </w:r>
    <w:r w:rsidRPr="00CF247E">
      <w:rPr>
        <w:rFonts w:ascii="Times New Roman" w:hAnsi="Times New Roman"/>
        <w:sz w:val="22"/>
        <w:szCs w:val="22"/>
      </w:rPr>
      <w:fldChar w:fldCharType="separate"/>
    </w:r>
    <w:r w:rsidRPr="00CF247E">
      <w:rPr>
        <w:rFonts w:ascii="Times New Roman" w:hAnsi="Times New Roman"/>
        <w:noProof/>
        <w:sz w:val="22"/>
        <w:szCs w:val="22"/>
      </w:rPr>
      <w:t>2</w:t>
    </w:r>
    <w:r w:rsidRPr="00CF247E">
      <w:rPr>
        <w:rFonts w:ascii="Times New Roman" w:hAnsi="Times New Roman"/>
        <w:noProof/>
        <w:sz w:val="22"/>
        <w:szCs w:val="22"/>
      </w:rPr>
      <w:fldChar w:fldCharType="end"/>
    </w:r>
  </w:p>
  <w:p w:rsidR="004935A0" w14:paraId="4783B8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35A0" w14:paraId="375CE5C2" w14:textId="77777777">
      <w:r>
        <w:separator/>
      </w:r>
    </w:p>
  </w:footnote>
  <w:footnote w:type="continuationSeparator" w:id="1">
    <w:p w:rsidR="004935A0" w14:paraId="1BC0EE10" w14:textId="77777777">
      <w:r>
        <w:continuationSeparator/>
      </w:r>
    </w:p>
  </w:footnote>
  <w:footnote w:id="2">
    <w:p w:rsidR="004935A0" w:rsidRPr="009E7000" w:rsidP="004935A0" w14:paraId="51BAA43A" w14:textId="77777777">
      <w:pPr>
        <w:pStyle w:val="FootnoteText"/>
        <w:spacing w:after="120"/>
      </w:pPr>
      <w:r w:rsidRPr="009E7000">
        <w:rPr>
          <w:rStyle w:val="FootnoteReference"/>
        </w:rPr>
        <w:footnoteRef/>
      </w:r>
      <w:r w:rsidRPr="009E7000">
        <w:t xml:space="preserve"> Notice of Withdrawal of Petition for Declaratory Ruling filed by Spanish Broadcasting System, Inc., (filed May 7, 2020), </w:t>
      </w:r>
      <w:hyperlink r:id="rId1" w:history="1">
        <w:r w:rsidRPr="00CD118C">
          <w:rPr>
            <w:rStyle w:val="Hyperlink"/>
          </w:rPr>
          <w:t>https://ecfsapi.fcc.gov/file/10507090386853/Notice%20of%20Withdrawal%20of%20Petition%20(5-07-2020).pdf</w:t>
        </w:r>
      </w:hyperlink>
      <w:r>
        <w:t>; 4</w:t>
      </w:r>
      <w:r w:rsidRPr="009E7000">
        <w:t xml:space="preserve">7 U.S.C. § 310(b)(4).  </w:t>
      </w:r>
    </w:p>
  </w:footnote>
  <w:footnote w:id="3">
    <w:p w:rsidR="004935A0" w:rsidRPr="009E7000" w:rsidP="004935A0" w14:paraId="003B3611" w14:textId="77777777">
      <w:pPr>
        <w:pStyle w:val="FootnoteText"/>
        <w:spacing w:after="120"/>
      </w:pPr>
      <w:r w:rsidRPr="009E7000">
        <w:rPr>
          <w:rStyle w:val="FootnoteReference"/>
        </w:rPr>
        <w:footnoteRef/>
      </w:r>
      <w:r w:rsidRPr="009E7000">
        <w:t xml:space="preserve"> Letter from Preferred Shareholders (filed May 12, 2020) (asserting that “embedded within the Delaware law questions the Chancery Court needs to address is a predicate question of whether there has been a Section 310 violation, a question uniquely and legally a matter within the FCC’s jurisdiction, and not a specific provision of SBS’s Charter.”).  </w:t>
      </w:r>
    </w:p>
  </w:footnote>
  <w:footnote w:id="4">
    <w:p w:rsidR="004935A0" w:rsidRPr="009E7000" w:rsidP="004935A0" w14:paraId="7A95DA5A" w14:textId="77777777">
      <w:pPr>
        <w:pStyle w:val="FootnoteText"/>
        <w:spacing w:after="120"/>
      </w:pPr>
      <w:r w:rsidRPr="009E7000">
        <w:rPr>
          <w:rStyle w:val="FootnoteReference"/>
        </w:rPr>
        <w:footnoteRef/>
      </w:r>
      <w:r w:rsidRPr="009E7000">
        <w:t xml:space="preserve"> Letter from Preferred Shareholders (filed June 11, 2020).</w:t>
      </w:r>
    </w:p>
  </w:footnote>
  <w:footnote w:id="5">
    <w:p w:rsidR="004935A0" w:rsidRPr="009E7000" w:rsidP="004935A0" w14:paraId="61E6A708" w14:textId="77777777">
      <w:pPr>
        <w:pStyle w:val="FootnoteText"/>
        <w:spacing w:after="120"/>
        <w:rPr>
          <w:i/>
          <w:iCs/>
        </w:rPr>
      </w:pPr>
      <w:r w:rsidRPr="009E7000">
        <w:rPr>
          <w:rStyle w:val="FootnoteReference"/>
        </w:rPr>
        <w:footnoteRef/>
      </w:r>
      <w:r w:rsidRPr="009E7000">
        <w:t xml:space="preserve"> 47 CFR §</w:t>
      </w:r>
      <w:r>
        <w:t xml:space="preserve"> </w:t>
      </w:r>
      <w:r w:rsidRPr="009E7000">
        <w:t>1.5004(</w:t>
      </w:r>
      <w:r>
        <w:t>f</w:t>
      </w:r>
      <w:r w:rsidRPr="009E7000">
        <w:t xml:space="preserve">)(3).  </w:t>
      </w:r>
    </w:p>
  </w:footnote>
  <w:footnote w:id="6">
    <w:p w:rsidR="004935A0" w:rsidRPr="009E7000" w:rsidP="004935A0" w14:paraId="68A2BB31" w14:textId="77777777">
      <w:pPr>
        <w:pStyle w:val="FootnoteText"/>
        <w:spacing w:after="120"/>
        <w:rPr>
          <w:i/>
          <w:iCs/>
        </w:rPr>
      </w:pPr>
      <w:r w:rsidRPr="009E7000">
        <w:rPr>
          <w:rStyle w:val="FootnoteReference"/>
        </w:rPr>
        <w:footnoteRef/>
      </w:r>
      <w:r w:rsidRPr="009E7000">
        <w:t xml:space="preserve"> </w:t>
      </w:r>
      <w:r w:rsidRPr="009E7000">
        <w:rPr>
          <w:i/>
          <w:iCs/>
        </w:rPr>
        <w:t>Id.</w:t>
      </w:r>
    </w:p>
  </w:footnote>
  <w:footnote w:id="7">
    <w:p w:rsidR="004935A0" w:rsidRPr="009E7000" w:rsidP="004935A0" w14:paraId="45F4261C" w14:textId="77777777">
      <w:pPr>
        <w:pStyle w:val="FootnoteText"/>
        <w:spacing w:after="120"/>
      </w:pPr>
      <w:r w:rsidRPr="009E7000">
        <w:rPr>
          <w:rStyle w:val="FootnoteReference"/>
        </w:rPr>
        <w:footnoteRef/>
      </w:r>
      <w:r w:rsidRPr="009E7000">
        <w:t xml:space="preserve"> </w:t>
      </w:r>
      <w:r w:rsidRPr="009E7000">
        <w:rPr>
          <w:i/>
          <w:iCs/>
        </w:rPr>
        <w:t>Id.</w:t>
      </w:r>
      <w:r w:rsidRPr="009E7000">
        <w:t xml:space="preserve"> §</w:t>
      </w:r>
      <w:r>
        <w:t xml:space="preserve"> </w:t>
      </w:r>
      <w:r w:rsidRPr="009E7000">
        <w:t>1.5000(</w:t>
      </w:r>
      <w:r>
        <w:t>f</w:t>
      </w:r>
      <w:r w:rsidRPr="009E7000">
        <w:t>)(3)(ii).</w:t>
      </w:r>
    </w:p>
  </w:footnote>
  <w:footnote w:id="8">
    <w:p w:rsidR="004935A0" w:rsidRPr="009E7000" w:rsidP="004935A0" w14:paraId="4266DBCF" w14:textId="77777777">
      <w:pPr>
        <w:pStyle w:val="FootnoteText"/>
        <w:spacing w:after="120"/>
        <w:rPr>
          <w:i/>
          <w:iCs/>
        </w:rPr>
      </w:pPr>
      <w:r w:rsidRPr="009E7000">
        <w:rPr>
          <w:rStyle w:val="FootnoteReference"/>
        </w:rPr>
        <w:footnoteRef/>
      </w:r>
      <w:r w:rsidRPr="009E7000">
        <w:t xml:space="preserve"> </w:t>
      </w:r>
      <w:r w:rsidRPr="009E7000">
        <w:rPr>
          <w:i/>
          <w:iCs/>
        </w:rPr>
        <w:t>Id.</w:t>
      </w:r>
      <w:r w:rsidRPr="009E7000">
        <w:t xml:space="preserve"> §</w:t>
      </w:r>
      <w:r>
        <w:t xml:space="preserve"> </w:t>
      </w:r>
      <w:r w:rsidRPr="009E7000">
        <w:t>1.5000(</w:t>
      </w:r>
      <w:r>
        <w:t>f</w:t>
      </w:r>
      <w:r w:rsidRPr="009E7000">
        <w:t>)(3)(iii).</w:t>
      </w:r>
    </w:p>
  </w:footnote>
  <w:footnote w:id="9">
    <w:p w:rsidR="004935A0" w:rsidRPr="009E7000" w:rsidP="004935A0" w14:paraId="7F0B73A8" w14:textId="77777777">
      <w:pPr>
        <w:pStyle w:val="FootnoteText"/>
        <w:spacing w:after="120"/>
      </w:pPr>
      <w:r w:rsidRPr="009E7000">
        <w:rPr>
          <w:rStyle w:val="FootnoteReference"/>
        </w:rPr>
        <w:footnoteRef/>
      </w:r>
      <w:r w:rsidRPr="009E7000">
        <w:t xml:space="preserve"> PDR at 1.</w:t>
      </w:r>
    </w:p>
  </w:footnote>
  <w:footnote w:id="10">
    <w:p w:rsidR="004935A0" w:rsidRPr="009E7000" w:rsidP="004935A0" w14:paraId="7560DD9A" w14:textId="77777777">
      <w:pPr>
        <w:pStyle w:val="FootnoteText"/>
        <w:spacing w:after="120"/>
      </w:pPr>
      <w:r w:rsidRPr="009E7000">
        <w:rPr>
          <w:rStyle w:val="FootnoteReference"/>
        </w:rPr>
        <w:footnoteRef/>
      </w:r>
      <w:r w:rsidRPr="009E7000">
        <w:t xml:space="preserve"> Notice at 2.</w:t>
      </w:r>
    </w:p>
  </w:footnote>
  <w:footnote w:id="11">
    <w:p w:rsidR="004935A0" w:rsidRPr="009E7000" w:rsidP="004935A0" w14:paraId="20225A9A" w14:textId="77777777">
      <w:pPr>
        <w:pStyle w:val="FootnoteText"/>
        <w:spacing w:after="120"/>
        <w:rPr>
          <w:i/>
          <w:iCs/>
        </w:rPr>
      </w:pPr>
      <w:r w:rsidRPr="009E7000">
        <w:rPr>
          <w:rStyle w:val="FootnoteReference"/>
        </w:rPr>
        <w:footnoteRef/>
      </w:r>
      <w:r w:rsidRPr="009E7000">
        <w:t xml:space="preserve"> </w:t>
      </w:r>
      <w:r w:rsidRPr="009E7000">
        <w:rPr>
          <w:i/>
          <w:iCs/>
        </w:rPr>
        <w:t xml:space="preserve">Id. </w:t>
      </w:r>
    </w:p>
  </w:footnote>
  <w:footnote w:id="12">
    <w:p w:rsidR="004935A0" w:rsidRPr="009E7000" w:rsidP="004935A0" w14:paraId="60FA90F2" w14:textId="77777777">
      <w:pPr>
        <w:pStyle w:val="FootnoteText"/>
        <w:spacing w:after="120"/>
      </w:pPr>
      <w:r w:rsidRPr="009E7000">
        <w:rPr>
          <w:rStyle w:val="FootnoteReference"/>
        </w:rPr>
        <w:footnoteRef/>
      </w:r>
      <w:r w:rsidRPr="009E7000">
        <w:t xml:space="preserve"> Letter from Preferred Shareholders (filed May 12, 2020) at 3.</w:t>
      </w:r>
    </w:p>
  </w:footnote>
  <w:footnote w:id="13">
    <w:p w:rsidR="004935A0" w:rsidRPr="009E7000" w:rsidP="004935A0" w14:paraId="07978D4D" w14:textId="77777777">
      <w:pPr>
        <w:pStyle w:val="FootnoteText"/>
        <w:spacing w:after="120"/>
      </w:pPr>
      <w:r w:rsidRPr="009E7000">
        <w:rPr>
          <w:rStyle w:val="FootnoteReference"/>
        </w:rPr>
        <w:footnoteRef/>
      </w:r>
      <w:r w:rsidRPr="009E7000">
        <w:t xml:space="preserve"> </w:t>
      </w:r>
      <w:r w:rsidRPr="009E7000">
        <w:rPr>
          <w:i/>
          <w:iCs/>
        </w:rPr>
        <w:t>Id.</w:t>
      </w:r>
      <w:r w:rsidRPr="009E7000">
        <w:t xml:space="preserve"> at 2.</w:t>
      </w:r>
    </w:p>
  </w:footnote>
  <w:footnote w:id="14">
    <w:p w:rsidR="004935A0" w:rsidRPr="009E7000" w:rsidP="004935A0" w14:paraId="5C148056" w14:textId="77777777">
      <w:pPr>
        <w:shd w:val="clear" w:color="auto" w:fill="FFFFFF"/>
        <w:textAlignment w:val="baseline"/>
      </w:pPr>
      <w:bookmarkStart w:id="3" w:name="_Hlk46401987"/>
      <w:r w:rsidRPr="009E7000">
        <w:rPr>
          <w:rStyle w:val="FootnoteReference"/>
          <w:rFonts w:ascii="Times New Roman" w:hAnsi="Times New Roman"/>
          <w:sz w:val="20"/>
        </w:rPr>
        <w:footnoteRef/>
      </w:r>
      <w:r w:rsidRPr="009E7000">
        <w:rPr>
          <w:rFonts w:ascii="Times New Roman" w:hAnsi="Times New Roman"/>
          <w:sz w:val="20"/>
        </w:rPr>
        <w:t xml:space="preserve"> </w:t>
      </w:r>
      <w:r w:rsidRPr="009E7000">
        <w:rPr>
          <w:rFonts w:ascii="Times New Roman" w:hAnsi="Times New Roman"/>
          <w:i/>
          <w:iCs/>
          <w:sz w:val="20"/>
        </w:rPr>
        <w:t xml:space="preserve">See, e.g., </w:t>
      </w:r>
      <w:r w:rsidRPr="009E7000">
        <w:rPr>
          <w:rFonts w:ascii="Times New Roman" w:hAnsi="Times New Roman"/>
          <w:i/>
          <w:iCs/>
          <w:color w:val="000000"/>
          <w:sz w:val="20"/>
          <w:bdr w:val="none" w:sz="0" w:space="0" w:color="auto" w:frame="1"/>
        </w:rPr>
        <w:t>Applications of Kirk Merkley</w:t>
      </w:r>
      <w:r w:rsidRPr="009E7000">
        <w:rPr>
          <w:rFonts w:ascii="Times New Roman" w:hAnsi="Times New Roman"/>
          <w:color w:val="000000"/>
          <w:sz w:val="20"/>
        </w:rPr>
        <w:t>, 94 FCC</w:t>
      </w:r>
      <w:r>
        <w:rPr>
          <w:rFonts w:ascii="Times New Roman" w:hAnsi="Times New Roman"/>
          <w:color w:val="000000"/>
          <w:sz w:val="20"/>
        </w:rPr>
        <w:t xml:space="preserve"> </w:t>
      </w:r>
      <w:r w:rsidRPr="009E7000">
        <w:rPr>
          <w:rFonts w:ascii="Times New Roman" w:hAnsi="Times New Roman"/>
          <w:color w:val="000000"/>
          <w:sz w:val="20"/>
        </w:rPr>
        <w:t>2d 829, 838 (1983) (“</w:t>
      </w:r>
      <w:r w:rsidRPr="009E7000">
        <w:rPr>
          <w:rFonts w:ascii="Times New Roman" w:hAnsi="Times New Roman"/>
          <w:color w:val="000000"/>
          <w:sz w:val="20"/>
          <w:shd w:val="clear" w:color="auto" w:fill="FFFFFF"/>
        </w:rPr>
        <w:t>For example, where a licensee is accused of breaching a contract to assign its license, the determination of whether a breach occurred is left to a local state court.”).</w:t>
      </w:r>
      <w:bookmarkEnd w:id="3"/>
    </w:p>
  </w:footnote>
  <w:footnote w:id="15">
    <w:p w:rsidR="004935A0" w:rsidRPr="009E7000" w:rsidP="004935A0" w14:paraId="198C5A61" w14:textId="77777777">
      <w:pPr>
        <w:pStyle w:val="FootnoteText"/>
        <w:spacing w:after="120"/>
      </w:pPr>
      <w:r w:rsidRPr="009E7000">
        <w:rPr>
          <w:rStyle w:val="FootnoteReference"/>
        </w:rPr>
        <w:footnoteRef/>
      </w:r>
      <w:r w:rsidRPr="009E7000">
        <w:t xml:space="preserve"> </w:t>
      </w:r>
      <w:r w:rsidRPr="009E7000">
        <w:rPr>
          <w:i/>
          <w:iCs/>
        </w:rPr>
        <w:t xml:space="preserve">See </w:t>
      </w:r>
      <w:r w:rsidRPr="009E7000">
        <w:t>47 CFR §</w:t>
      </w:r>
      <w:r>
        <w:t xml:space="preserve"> </w:t>
      </w:r>
      <w:r w:rsidRPr="009E7000">
        <w:t>1.5000(</w:t>
      </w:r>
      <w:r>
        <w:t>f</w:t>
      </w:r>
      <w:r w:rsidRPr="009E7000">
        <w:t>)(3)(iii).</w:t>
      </w:r>
    </w:p>
  </w:footnote>
  <w:footnote w:id="16">
    <w:p w:rsidR="004935A0" w:rsidRPr="009E7000" w:rsidP="004935A0" w14:paraId="38740DBC" w14:textId="77777777">
      <w:pPr>
        <w:pStyle w:val="FootnoteText"/>
        <w:spacing w:after="120"/>
      </w:pPr>
      <w:r w:rsidRPr="009E7000">
        <w:rPr>
          <w:rStyle w:val="FootnoteReference"/>
        </w:rPr>
        <w:footnoteRef/>
      </w:r>
      <w:r w:rsidRPr="009E7000">
        <w:t xml:space="preserve"> 47 U.S.C. §</w:t>
      </w:r>
      <w:r>
        <w:t xml:space="preserve"> </w:t>
      </w:r>
      <w:r w:rsidRPr="009E7000">
        <w:t>310(b)(4); 47 CFR §§</w:t>
      </w:r>
      <w:r>
        <w:t xml:space="preserve"> </w:t>
      </w:r>
      <w:r w:rsidRPr="009E7000">
        <w:t xml:space="preserve">1.5000-1.5004; </w:t>
      </w:r>
      <w:r w:rsidRPr="009E7000">
        <w:rPr>
          <w:color w:val="010101"/>
        </w:rPr>
        <w:t>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4189FEB"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57448459" r:id="rId2"/>
      </w:pict>
    </w:r>
    <w:r>
      <w:rPr>
        <w:rFonts w:ascii="CG Times (W1)" w:hAnsi="CG Times (W1)"/>
        <w:sz w:val="28"/>
      </w:rPr>
      <w:t>Federal Communications Commission</w:t>
    </w:r>
  </w:p>
  <w:p w:rsidR="002B54DB" w14:paraId="4FBBCAD8" w14:textId="77777777">
    <w:pPr>
      <w:jc w:val="center"/>
    </w:pPr>
    <w:r>
      <w:rPr>
        <w:rFonts w:ascii="CG Times (W1)" w:hAnsi="CG Times (W1)"/>
        <w:sz w:val="28"/>
      </w:rPr>
      <w:t>Washington, D.C. 20554</w:t>
    </w:r>
  </w:p>
  <w:p w:rsidR="002B54DB" w14:paraId="72619D74" w14:textId="77777777">
    <w:pPr>
      <w:pStyle w:val="Header"/>
      <w:tabs>
        <w:tab w:val="clear" w:pos="4320"/>
      </w:tabs>
      <w:jc w:val="center"/>
      <w:rPr>
        <w:sz w:val="22"/>
      </w:rPr>
    </w:pPr>
  </w:p>
  <w:p w:rsidR="002B54DB" w14:paraId="25E254F1" w14:textId="77777777">
    <w:pPr>
      <w:pStyle w:val="Header"/>
      <w:tabs>
        <w:tab w:val="clear" w:pos="4320"/>
      </w:tabs>
      <w:jc w:val="center"/>
      <w:rPr>
        <w:sz w:val="22"/>
      </w:rPr>
    </w:pPr>
  </w:p>
  <w:p w:rsidR="002B54DB" w:rsidRPr="00311E5C" w14:paraId="76E1674E" w14:textId="77777777">
    <w:pPr>
      <w:pStyle w:val="Header"/>
      <w:tabs>
        <w:tab w:val="clear" w:pos="4320"/>
      </w:tabs>
      <w:jc w:val="center"/>
      <w:rPr>
        <w:rFonts w:ascii="Times New Roman" w:hAnsi="Times New Roman"/>
      </w:rPr>
    </w:pPr>
    <w:r w:rsidRPr="00311E5C">
      <w:rPr>
        <w:rFonts w:ascii="Times New Roman" w:hAnsi="Times New Roman"/>
      </w:rPr>
      <w:t>July 28,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A0"/>
    <w:rsid w:val="00037587"/>
    <w:rsid w:val="000B5E56"/>
    <w:rsid w:val="00204CE3"/>
    <w:rsid w:val="00240A0F"/>
    <w:rsid w:val="00244FB5"/>
    <w:rsid w:val="002B54DB"/>
    <w:rsid w:val="00311E5C"/>
    <w:rsid w:val="003349AB"/>
    <w:rsid w:val="004935A0"/>
    <w:rsid w:val="004D3B53"/>
    <w:rsid w:val="00537500"/>
    <w:rsid w:val="005967E0"/>
    <w:rsid w:val="009E7000"/>
    <w:rsid w:val="00BE545F"/>
    <w:rsid w:val="00CD118C"/>
    <w:rsid w:val="00CF24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8C4A33-B1B7-4243-9597-493E3EC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rsid w:val="004935A0"/>
    <w:rPr>
      <w:rFonts w:ascii="Times New Roman" w:hAnsi="Times New Roman"/>
      <w:sz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semiHidden/>
    <w:rsid w:val="004935A0"/>
  </w:style>
  <w:style w:type="character" w:styleId="FootnoteReference">
    <w:name w:val="footnote reference"/>
    <w:aliases w:val="(NECG) Footnote Reference,Appel note de bas de p,FR,Style 12,Style 124,Style 17,Style 3,fr,o"/>
    <w:semiHidden/>
    <w:rsid w:val="004935A0"/>
    <w:rPr>
      <w:vertAlign w:val="superscript"/>
    </w:rPr>
  </w:style>
  <w:style w:type="character" w:styleId="Hyperlink">
    <w:name w:val="Hyperlink"/>
    <w:uiPriority w:val="99"/>
    <w:unhideWhenUsed/>
    <w:rsid w:val="004935A0"/>
    <w:rPr>
      <w:color w:val="0000FF"/>
      <w:u w:val="single"/>
    </w:rPr>
  </w:style>
  <w:style w:type="character" w:styleId="CommentReference">
    <w:name w:val="annotation reference"/>
    <w:uiPriority w:val="99"/>
    <w:semiHidden/>
    <w:unhideWhenUsed/>
    <w:rsid w:val="004935A0"/>
    <w:rPr>
      <w:sz w:val="16"/>
      <w:szCs w:val="16"/>
    </w:rPr>
  </w:style>
  <w:style w:type="paragraph" w:styleId="CommentText">
    <w:name w:val="annotation text"/>
    <w:basedOn w:val="Normal"/>
    <w:link w:val="CommentTextChar"/>
    <w:uiPriority w:val="99"/>
    <w:semiHidden/>
    <w:unhideWhenUsed/>
    <w:rsid w:val="004935A0"/>
    <w:rPr>
      <w:sz w:val="20"/>
    </w:rPr>
  </w:style>
  <w:style w:type="character" w:customStyle="1" w:styleId="CommentTextChar">
    <w:name w:val="Comment Text Char"/>
    <w:link w:val="CommentText"/>
    <w:uiPriority w:val="99"/>
    <w:semiHidden/>
    <w:rsid w:val="004935A0"/>
    <w:rPr>
      <w:rFonts w:ascii="Arial" w:hAnsi="Arial"/>
    </w:rPr>
  </w:style>
  <w:style w:type="paragraph" w:styleId="BalloonText">
    <w:name w:val="Balloon Text"/>
    <w:basedOn w:val="Normal"/>
    <w:link w:val="BalloonTextChar"/>
    <w:uiPriority w:val="99"/>
    <w:semiHidden/>
    <w:unhideWhenUsed/>
    <w:rsid w:val="004935A0"/>
    <w:rPr>
      <w:rFonts w:ascii="Segoe UI" w:hAnsi="Segoe UI" w:cs="Segoe UI"/>
      <w:sz w:val="18"/>
      <w:szCs w:val="18"/>
    </w:rPr>
  </w:style>
  <w:style w:type="character" w:customStyle="1" w:styleId="BalloonTextChar">
    <w:name w:val="Balloon Text Char"/>
    <w:link w:val="BalloonText"/>
    <w:uiPriority w:val="99"/>
    <w:semiHidden/>
    <w:rsid w:val="004935A0"/>
    <w:rPr>
      <w:rFonts w:ascii="Segoe UI" w:hAnsi="Segoe UI" w:cs="Segoe UI"/>
      <w:sz w:val="18"/>
      <w:szCs w:val="18"/>
    </w:rPr>
  </w:style>
  <w:style w:type="character" w:customStyle="1" w:styleId="FooterChar">
    <w:name w:val="Footer Char"/>
    <w:link w:val="Footer"/>
    <w:uiPriority w:val="99"/>
    <w:rsid w:val="004935A0"/>
  </w:style>
  <w:style w:type="character" w:customStyle="1" w:styleId="UnresolvedMention">
    <w:name w:val="Unresolved Mention"/>
    <w:uiPriority w:val="99"/>
    <w:semiHidden/>
    <w:unhideWhenUsed/>
    <w:rsid w:val="0049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07090386853/Notice%20of%20Withdrawal%20of%20Petition%20(5-07-2020).pdf4"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