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B21FE2" w:rsidRPr="00ED1F87" w14:paraId="277B1A2D" w14:textId="77777777">
      <w:pPr>
        <w:jc w:val="center"/>
        <w:rPr>
          <w:b/>
          <w:color w:val="000000" w:themeColor="text1"/>
          <w:szCs w:val="22"/>
        </w:rPr>
      </w:pPr>
      <w:r w:rsidRPr="00ED1F87">
        <w:rPr>
          <w:b/>
          <w:color w:val="000000" w:themeColor="text1"/>
          <w:szCs w:val="22"/>
        </w:rPr>
        <w:t>Before the</w:t>
      </w:r>
    </w:p>
    <w:p w:rsidR="00B21FE2" w:rsidRPr="00ED1F87" w14:paraId="38A7FB20" w14:textId="77777777">
      <w:pPr>
        <w:jc w:val="center"/>
        <w:rPr>
          <w:b/>
          <w:color w:val="000000" w:themeColor="text1"/>
          <w:szCs w:val="22"/>
        </w:rPr>
      </w:pPr>
      <w:r w:rsidRPr="00ED1F87">
        <w:rPr>
          <w:b/>
          <w:color w:val="000000" w:themeColor="text1"/>
          <w:szCs w:val="22"/>
        </w:rPr>
        <w:t>Federal Communications Commission</w:t>
      </w:r>
    </w:p>
    <w:p w:rsidR="00B21FE2" w:rsidRPr="00ED1F87" w14:paraId="1F59DF1B" w14:textId="77777777">
      <w:pPr>
        <w:jc w:val="center"/>
        <w:rPr>
          <w:b/>
          <w:color w:val="000000" w:themeColor="text1"/>
          <w:szCs w:val="22"/>
        </w:rPr>
      </w:pPr>
      <w:r w:rsidRPr="00ED1F87">
        <w:rPr>
          <w:b/>
          <w:color w:val="000000" w:themeColor="text1"/>
          <w:szCs w:val="22"/>
        </w:rPr>
        <w:t>Washington, D.C. 20554</w:t>
      </w:r>
    </w:p>
    <w:p w:rsidR="00B21FE2" w:rsidRPr="00ED1F87" w14:paraId="55D0D889" w14:textId="77777777">
      <w:pPr>
        <w:rPr>
          <w:color w:val="000000" w:themeColor="text1"/>
          <w:szCs w:val="22"/>
        </w:rPr>
      </w:pPr>
    </w:p>
    <w:p w:rsidR="00B21FE2" w:rsidRPr="00ED1F87" w14:paraId="480FF5C8" w14:textId="77777777">
      <w:pPr>
        <w:rPr>
          <w:color w:val="000000" w:themeColor="text1"/>
          <w:szCs w:val="22"/>
        </w:rPr>
      </w:pPr>
    </w:p>
    <w:tbl>
      <w:tblPr>
        <w:tblW w:w="0" w:type="auto"/>
        <w:tblLayout w:type="fixed"/>
        <w:tblLook w:val="0000"/>
      </w:tblPr>
      <w:tblGrid>
        <w:gridCol w:w="4698"/>
        <w:gridCol w:w="720"/>
        <w:gridCol w:w="4230"/>
      </w:tblGrid>
      <w:tr w14:paraId="753D49EE" w14:textId="77777777">
        <w:tblPrEx>
          <w:tblW w:w="0" w:type="auto"/>
          <w:tblLayout w:type="fixed"/>
          <w:tblLook w:val="0000"/>
        </w:tblPrEx>
        <w:tc>
          <w:tcPr>
            <w:tcW w:w="4698" w:type="dxa"/>
          </w:tcPr>
          <w:p w:rsidR="00B21FE2" w:rsidRPr="00ED1F87" w14:paraId="2754D6B8" w14:textId="77777777">
            <w:pPr>
              <w:ind w:right="-18"/>
              <w:rPr>
                <w:color w:val="000000" w:themeColor="text1"/>
                <w:szCs w:val="22"/>
              </w:rPr>
            </w:pPr>
            <w:r w:rsidRPr="00ED1F87">
              <w:rPr>
                <w:color w:val="000000" w:themeColor="text1"/>
                <w:szCs w:val="22"/>
              </w:rPr>
              <w:t xml:space="preserve">In the </w:t>
            </w:r>
            <w:r w:rsidRPr="00ED1F87" w:rsidR="00695158">
              <w:rPr>
                <w:color w:val="000000" w:themeColor="text1"/>
                <w:szCs w:val="22"/>
              </w:rPr>
              <w:t>M</w:t>
            </w:r>
            <w:r w:rsidRPr="00ED1F87">
              <w:rPr>
                <w:color w:val="000000" w:themeColor="text1"/>
                <w:szCs w:val="22"/>
              </w:rPr>
              <w:t>atter of</w:t>
            </w:r>
            <w:r w:rsidRPr="00ED1F87" w:rsidR="00491269">
              <w:rPr>
                <w:color w:val="000000" w:themeColor="text1"/>
                <w:szCs w:val="22"/>
              </w:rPr>
              <w:t xml:space="preserve"> </w:t>
            </w:r>
            <w:r w:rsidRPr="00ED1F87" w:rsidR="00ED1F87">
              <w:rPr>
                <w:szCs w:val="22"/>
              </w:rPr>
              <w:t>Leica Geosystems AG</w:t>
            </w:r>
          </w:p>
          <w:p w:rsidR="00491269" w:rsidRPr="00ED1F87" w:rsidP="00491269" w14:paraId="7CBE1B3F" w14:textId="77777777">
            <w:pPr>
              <w:rPr>
                <w:b/>
                <w:color w:val="000000" w:themeColor="text1"/>
                <w:szCs w:val="22"/>
              </w:rPr>
            </w:pPr>
            <w:r w:rsidRPr="00ED1F87">
              <w:rPr>
                <w:color w:val="000000" w:themeColor="text1"/>
                <w:szCs w:val="22"/>
              </w:rPr>
              <w:t xml:space="preserve">Request for Waiver of </w:t>
            </w:r>
            <w:r w:rsidRPr="00ED1F87" w:rsidR="00E141F1">
              <w:rPr>
                <w:color w:val="000000" w:themeColor="text1"/>
                <w:szCs w:val="22"/>
              </w:rPr>
              <w:t>Section 15.255</w:t>
            </w:r>
            <w:r w:rsidRPr="00ED1F87" w:rsidR="009F590F">
              <w:rPr>
                <w:color w:val="000000" w:themeColor="text1"/>
                <w:szCs w:val="22"/>
              </w:rPr>
              <w:t xml:space="preserve"> </w:t>
            </w:r>
            <w:r w:rsidRPr="00ED1F87">
              <w:rPr>
                <w:color w:val="000000" w:themeColor="text1"/>
                <w:szCs w:val="22"/>
              </w:rPr>
              <w:t xml:space="preserve">of the Commission’s Rules Applicable to Radars used </w:t>
            </w:r>
            <w:r w:rsidR="00707DE2">
              <w:rPr>
                <w:color w:val="000000" w:themeColor="text1"/>
                <w:szCs w:val="22"/>
              </w:rPr>
              <w:t xml:space="preserve">on Unmanned Aerial Vehicles </w:t>
            </w:r>
            <w:r w:rsidRPr="00ED1F87">
              <w:rPr>
                <w:color w:val="000000" w:themeColor="text1"/>
                <w:szCs w:val="22"/>
              </w:rPr>
              <w:t xml:space="preserve">in the </w:t>
            </w:r>
            <w:r w:rsidR="00BE4731">
              <w:rPr>
                <w:color w:val="000000" w:themeColor="text1"/>
                <w:szCs w:val="22"/>
              </w:rPr>
              <w:t>60</w:t>
            </w:r>
            <w:r w:rsidRPr="00ED1F87">
              <w:rPr>
                <w:color w:val="000000" w:themeColor="text1"/>
                <w:szCs w:val="22"/>
              </w:rPr>
              <w:noBreakHyphen/>
              <w:t>64 GHz Frequency Band</w:t>
            </w:r>
          </w:p>
          <w:p w:rsidR="00491269" w:rsidRPr="00ED1F87" w14:paraId="242827E4" w14:textId="77777777">
            <w:pPr>
              <w:ind w:right="-18"/>
              <w:rPr>
                <w:color w:val="000000" w:themeColor="text1"/>
                <w:szCs w:val="22"/>
              </w:rPr>
            </w:pPr>
          </w:p>
        </w:tc>
        <w:tc>
          <w:tcPr>
            <w:tcW w:w="720" w:type="dxa"/>
          </w:tcPr>
          <w:p w:rsidR="00B21FE2" w:rsidRPr="00ED1F87" w14:paraId="338F0DCD" w14:textId="77777777">
            <w:pPr>
              <w:rPr>
                <w:b/>
                <w:color w:val="000000" w:themeColor="text1"/>
                <w:szCs w:val="22"/>
              </w:rPr>
            </w:pPr>
            <w:r w:rsidRPr="00ED1F87">
              <w:rPr>
                <w:b/>
                <w:color w:val="000000" w:themeColor="text1"/>
                <w:szCs w:val="22"/>
              </w:rPr>
              <w:t>)</w:t>
            </w:r>
          </w:p>
          <w:p w:rsidR="00126816" w:rsidRPr="00ED1F87" w14:paraId="12113F40" w14:textId="77777777">
            <w:pPr>
              <w:rPr>
                <w:b/>
                <w:color w:val="000000" w:themeColor="text1"/>
                <w:szCs w:val="22"/>
              </w:rPr>
            </w:pPr>
            <w:r w:rsidRPr="00ED1F87">
              <w:rPr>
                <w:b/>
                <w:color w:val="000000" w:themeColor="text1"/>
                <w:szCs w:val="22"/>
              </w:rPr>
              <w:t>)</w:t>
            </w:r>
          </w:p>
          <w:p w:rsidR="00126816" w:rsidRPr="00ED1F87" w14:paraId="3AB4428E" w14:textId="77777777">
            <w:pPr>
              <w:rPr>
                <w:b/>
                <w:color w:val="000000" w:themeColor="text1"/>
                <w:szCs w:val="22"/>
              </w:rPr>
            </w:pPr>
            <w:r w:rsidRPr="00ED1F87">
              <w:rPr>
                <w:b/>
                <w:color w:val="000000" w:themeColor="text1"/>
                <w:szCs w:val="22"/>
              </w:rPr>
              <w:t>)</w:t>
            </w:r>
          </w:p>
          <w:p w:rsidR="00126816" w:rsidRPr="00ED1F87" w14:paraId="306A264A" w14:textId="77777777">
            <w:pPr>
              <w:rPr>
                <w:b/>
                <w:color w:val="000000" w:themeColor="text1"/>
                <w:szCs w:val="22"/>
              </w:rPr>
            </w:pPr>
            <w:r w:rsidRPr="00ED1F87">
              <w:rPr>
                <w:b/>
                <w:color w:val="000000" w:themeColor="text1"/>
                <w:szCs w:val="22"/>
              </w:rPr>
              <w:t>)</w:t>
            </w:r>
          </w:p>
          <w:p w:rsidR="00126816" w:rsidRPr="00ED1F87" w:rsidP="00491269" w14:paraId="734BC384" w14:textId="77777777">
            <w:pPr>
              <w:rPr>
                <w:b/>
                <w:color w:val="000000" w:themeColor="text1"/>
                <w:szCs w:val="22"/>
              </w:rPr>
            </w:pPr>
            <w:r w:rsidRPr="00ED1F87">
              <w:rPr>
                <w:b/>
                <w:color w:val="000000" w:themeColor="text1"/>
                <w:szCs w:val="22"/>
              </w:rPr>
              <w:t>)</w:t>
            </w:r>
          </w:p>
        </w:tc>
        <w:tc>
          <w:tcPr>
            <w:tcW w:w="4230" w:type="dxa"/>
          </w:tcPr>
          <w:p w:rsidR="003034B1" w:rsidRPr="00ED1F87" w:rsidP="003034B1" w14:paraId="3C98889A" w14:textId="77777777">
            <w:pPr>
              <w:rPr>
                <w:color w:val="000000" w:themeColor="text1"/>
                <w:szCs w:val="22"/>
              </w:rPr>
            </w:pPr>
            <w:r w:rsidRPr="00ED1F87">
              <w:rPr>
                <w:color w:val="000000" w:themeColor="text1"/>
                <w:szCs w:val="22"/>
              </w:rPr>
              <w:t xml:space="preserve">ET Docket No. </w:t>
            </w:r>
            <w:r w:rsidRPr="00ED1F87" w:rsidR="00ED1F87">
              <w:rPr>
                <w:color w:val="000000" w:themeColor="text1"/>
                <w:szCs w:val="22"/>
              </w:rPr>
              <w:t>19-350</w:t>
            </w:r>
          </w:p>
          <w:p w:rsidR="00B21FE2" w:rsidRPr="00ED1F87" w:rsidP="009C1206" w14:paraId="42BD5A48" w14:textId="77777777">
            <w:pPr>
              <w:rPr>
                <w:color w:val="000000" w:themeColor="text1"/>
                <w:szCs w:val="22"/>
              </w:rPr>
            </w:pPr>
          </w:p>
        </w:tc>
        <w:bookmarkStart w:id="0" w:name="_GoBack"/>
        <w:bookmarkEnd w:id="0"/>
      </w:tr>
    </w:tbl>
    <w:p w:rsidR="004D510A" w:rsidP="004D510A" w14:paraId="5DD4312D" w14:textId="6D8E6B62">
      <w:pPr>
        <w:spacing w:before="120"/>
        <w:rPr>
          <w:b/>
          <w:color w:val="000000" w:themeColor="text1"/>
          <w:spacing w:val="-2"/>
          <w:szCs w:val="22"/>
        </w:rPr>
      </w:pPr>
    </w:p>
    <w:p w:rsidR="00131D24" w14:paraId="137194CF" w14:textId="0BAB22D2">
      <w:pPr>
        <w:spacing w:before="120"/>
        <w:jc w:val="center"/>
        <w:rPr>
          <w:b/>
          <w:color w:val="000000" w:themeColor="text1"/>
          <w:spacing w:val="-2"/>
          <w:szCs w:val="22"/>
        </w:rPr>
      </w:pPr>
      <w:r w:rsidRPr="00ED1F87">
        <w:rPr>
          <w:b/>
          <w:color w:val="000000" w:themeColor="text1"/>
          <w:spacing w:val="-2"/>
          <w:szCs w:val="22"/>
        </w:rPr>
        <w:t>ORDER</w:t>
      </w:r>
    </w:p>
    <w:p w:rsidR="000F3699" w:rsidRPr="00501A0B" w:rsidP="0092097B" w14:paraId="3F639BB8" w14:textId="77777777">
      <w:pPr>
        <w:spacing w:before="120"/>
        <w:jc w:val="center"/>
        <w:rPr>
          <w:b/>
          <w:color w:val="000000" w:themeColor="text1"/>
          <w:szCs w:val="22"/>
        </w:rPr>
      </w:pPr>
    </w:p>
    <w:p w:rsidR="00B21FE2" w:rsidRPr="00501A0B" w14:paraId="7572BCC4" w14:textId="77777777">
      <w:pPr>
        <w:rPr>
          <w:b/>
          <w:color w:val="000000" w:themeColor="text1"/>
          <w:szCs w:val="22"/>
        </w:rPr>
      </w:pPr>
    </w:p>
    <w:p w:rsidR="00B21FE2" w:rsidRPr="00ED1F87" w14:paraId="4DC090CE" w14:textId="026BBA8F">
      <w:pPr>
        <w:tabs>
          <w:tab w:val="left" w:pos="5760"/>
        </w:tabs>
        <w:rPr>
          <w:b/>
          <w:color w:val="000000" w:themeColor="text1"/>
          <w:szCs w:val="22"/>
        </w:rPr>
      </w:pPr>
      <w:r w:rsidRPr="00ED1F87">
        <w:rPr>
          <w:b/>
          <w:color w:val="000000" w:themeColor="text1"/>
          <w:szCs w:val="22"/>
        </w:rPr>
        <w:t xml:space="preserve">Adopted: </w:t>
      </w:r>
      <w:r w:rsidR="004531BB">
        <w:rPr>
          <w:b/>
          <w:color w:val="000000" w:themeColor="text1"/>
          <w:szCs w:val="22"/>
        </w:rPr>
        <w:t>July 28</w:t>
      </w:r>
      <w:r w:rsidR="00707DE2">
        <w:rPr>
          <w:b/>
          <w:color w:val="000000" w:themeColor="text1"/>
          <w:szCs w:val="22"/>
        </w:rPr>
        <w:t>, 2020</w:t>
      </w:r>
      <w:r w:rsidRPr="00ED1F87" w:rsidR="00D360CF">
        <w:rPr>
          <w:b/>
          <w:color w:val="000000" w:themeColor="text1"/>
          <w:szCs w:val="22"/>
        </w:rPr>
        <w:tab/>
        <w:t xml:space="preserve">              Released: </w:t>
      </w:r>
      <w:r w:rsidR="004531BB">
        <w:rPr>
          <w:b/>
          <w:color w:val="000000" w:themeColor="text1"/>
          <w:szCs w:val="22"/>
        </w:rPr>
        <w:t>July 28</w:t>
      </w:r>
      <w:r w:rsidR="00707DE2">
        <w:rPr>
          <w:b/>
          <w:color w:val="000000" w:themeColor="text1"/>
          <w:szCs w:val="22"/>
        </w:rPr>
        <w:t>, 2020</w:t>
      </w:r>
    </w:p>
    <w:p w:rsidR="00126816" w:rsidRPr="00ED1F87" w14:paraId="6F80145C" w14:textId="77777777">
      <w:pPr>
        <w:tabs>
          <w:tab w:val="left" w:pos="5760"/>
        </w:tabs>
        <w:rPr>
          <w:color w:val="000000" w:themeColor="text1"/>
          <w:szCs w:val="22"/>
        </w:rPr>
      </w:pPr>
    </w:p>
    <w:p w:rsidR="00B21FE2" w:rsidRPr="00ED1F87" w14:paraId="1F9A1259" w14:textId="77777777">
      <w:pPr>
        <w:tabs>
          <w:tab w:val="left" w:pos="5760"/>
        </w:tabs>
        <w:rPr>
          <w:color w:val="000000" w:themeColor="text1"/>
          <w:spacing w:val="-2"/>
          <w:szCs w:val="22"/>
        </w:rPr>
      </w:pPr>
      <w:r w:rsidRPr="00ED1F87">
        <w:rPr>
          <w:color w:val="000000" w:themeColor="text1"/>
          <w:szCs w:val="22"/>
        </w:rPr>
        <w:t xml:space="preserve">By the </w:t>
      </w:r>
      <w:r w:rsidR="00BE4731">
        <w:rPr>
          <w:color w:val="000000" w:themeColor="text1"/>
          <w:szCs w:val="22"/>
        </w:rPr>
        <w:t xml:space="preserve">Acting </w:t>
      </w:r>
      <w:r w:rsidRPr="00ED1F87">
        <w:rPr>
          <w:color w:val="000000" w:themeColor="text1"/>
          <w:spacing w:val="-2"/>
          <w:szCs w:val="22"/>
        </w:rPr>
        <w:t>Chief, Office of Engineering and Technology:</w:t>
      </w:r>
    </w:p>
    <w:p w:rsidR="00126816" w:rsidRPr="00ED1F87" w14:paraId="74BE9CCC" w14:textId="77777777">
      <w:pPr>
        <w:tabs>
          <w:tab w:val="left" w:pos="5760"/>
        </w:tabs>
        <w:rPr>
          <w:color w:val="000000" w:themeColor="text1"/>
          <w:spacing w:val="-2"/>
          <w:szCs w:val="22"/>
        </w:rPr>
      </w:pPr>
    </w:p>
    <w:p w:rsidR="00E322D5" w:rsidRPr="00ED1F87" w14:paraId="4F922E5A" w14:textId="77777777">
      <w:pPr>
        <w:tabs>
          <w:tab w:val="left" w:pos="5760"/>
        </w:tabs>
        <w:rPr>
          <w:color w:val="000000" w:themeColor="text1"/>
          <w:spacing w:val="-2"/>
          <w:szCs w:val="22"/>
        </w:rPr>
      </w:pPr>
    </w:p>
    <w:p w:rsidR="00E322D5" w:rsidRPr="00ED1F87" w:rsidP="00000940" w14:paraId="3609106E" w14:textId="77777777">
      <w:pPr>
        <w:pStyle w:val="Heading1"/>
        <w:widowControl/>
        <w:tabs>
          <w:tab w:val="num" w:pos="720"/>
        </w:tabs>
        <w:rPr>
          <w:rFonts w:ascii="Times New Roman" w:hAnsi="Times New Roman"/>
          <w:color w:val="000000" w:themeColor="text1"/>
          <w:szCs w:val="22"/>
        </w:rPr>
      </w:pPr>
      <w:r w:rsidRPr="00ED1F87">
        <w:rPr>
          <w:rFonts w:ascii="Times New Roman" w:hAnsi="Times New Roman"/>
          <w:color w:val="000000" w:themeColor="text1"/>
          <w:szCs w:val="22"/>
        </w:rPr>
        <w:t>INTRODUCTION</w:t>
      </w:r>
    </w:p>
    <w:p w:rsidR="00502423" w:rsidP="00000940" w14:paraId="14C82EB8" w14:textId="57F0786A">
      <w:pPr>
        <w:pStyle w:val="ParaNum"/>
        <w:widowControl/>
        <w:rPr>
          <w:color w:val="000000" w:themeColor="text1"/>
          <w:szCs w:val="22"/>
        </w:rPr>
      </w:pPr>
      <w:r w:rsidRPr="00ED1F87">
        <w:rPr>
          <w:color w:val="000000" w:themeColor="text1"/>
          <w:szCs w:val="22"/>
        </w:rPr>
        <w:t xml:space="preserve">By this Order, we grant a request by </w:t>
      </w:r>
      <w:r w:rsidRPr="00864F9C" w:rsidR="00ED1F87">
        <w:rPr>
          <w:szCs w:val="22"/>
        </w:rPr>
        <w:t>Leica Geosystems AG</w:t>
      </w:r>
      <w:r w:rsidRPr="00ED1F87" w:rsidR="001501B5">
        <w:rPr>
          <w:color w:val="000000" w:themeColor="text1"/>
          <w:szCs w:val="22"/>
        </w:rPr>
        <w:t xml:space="preserve"> </w:t>
      </w:r>
      <w:r w:rsidR="00C22C08">
        <w:rPr>
          <w:color w:val="000000" w:themeColor="text1"/>
          <w:szCs w:val="22"/>
        </w:rPr>
        <w:t>(</w:t>
      </w:r>
      <w:r w:rsidRPr="00ED1F87" w:rsidR="00ED1F87">
        <w:rPr>
          <w:color w:val="000000" w:themeColor="text1"/>
          <w:szCs w:val="22"/>
        </w:rPr>
        <w:t>Leica</w:t>
      </w:r>
      <w:r w:rsidR="00C22C08">
        <w:rPr>
          <w:color w:val="000000" w:themeColor="text1"/>
          <w:szCs w:val="22"/>
        </w:rPr>
        <w:t>)</w:t>
      </w:r>
      <w:bookmarkStart w:id="1" w:name="_Ref527707598"/>
      <w:r>
        <w:rPr>
          <w:rStyle w:val="FootnoteReference"/>
          <w:color w:val="000000" w:themeColor="text1"/>
          <w:sz w:val="22"/>
          <w:szCs w:val="22"/>
        </w:rPr>
        <w:footnoteReference w:id="3"/>
      </w:r>
      <w:bookmarkEnd w:id="1"/>
      <w:r w:rsidRPr="00ED1F87" w:rsidR="001501B5">
        <w:rPr>
          <w:color w:val="000000" w:themeColor="text1"/>
          <w:szCs w:val="22"/>
        </w:rPr>
        <w:t xml:space="preserve"> </w:t>
      </w:r>
      <w:r w:rsidRPr="00ED1F87" w:rsidR="003C611B">
        <w:rPr>
          <w:color w:val="000000" w:themeColor="text1"/>
          <w:szCs w:val="22"/>
        </w:rPr>
        <w:t xml:space="preserve">for </w:t>
      </w:r>
      <w:r w:rsidRPr="00ED1F87" w:rsidR="001501B5">
        <w:rPr>
          <w:color w:val="000000" w:themeColor="text1"/>
          <w:szCs w:val="22"/>
        </w:rPr>
        <w:t>waive</w:t>
      </w:r>
      <w:r w:rsidRPr="00ED1F87" w:rsidR="003C611B">
        <w:rPr>
          <w:color w:val="000000" w:themeColor="text1"/>
          <w:szCs w:val="22"/>
        </w:rPr>
        <w:t>r of</w:t>
      </w:r>
      <w:r w:rsidRPr="00ED1F87" w:rsidR="001501B5">
        <w:rPr>
          <w:color w:val="000000" w:themeColor="text1"/>
          <w:szCs w:val="22"/>
        </w:rPr>
        <w:t xml:space="preserve"> </w:t>
      </w:r>
      <w:r w:rsidRPr="00ED1F87" w:rsidR="006617E1">
        <w:rPr>
          <w:color w:val="000000" w:themeColor="text1"/>
          <w:szCs w:val="22"/>
        </w:rPr>
        <w:t>section</w:t>
      </w:r>
      <w:r w:rsidR="00A546EF">
        <w:rPr>
          <w:color w:val="000000" w:themeColor="text1"/>
          <w:szCs w:val="22"/>
        </w:rPr>
        <w:t>s</w:t>
      </w:r>
      <w:r w:rsidRPr="00ED1F87" w:rsidR="006617E1">
        <w:rPr>
          <w:color w:val="000000" w:themeColor="text1"/>
          <w:szCs w:val="22"/>
        </w:rPr>
        <w:t xml:space="preserve"> </w:t>
      </w:r>
      <w:r w:rsidR="00ED1F87">
        <w:rPr>
          <w:color w:val="000000" w:themeColor="text1"/>
          <w:szCs w:val="22"/>
        </w:rPr>
        <w:t>15.255</w:t>
      </w:r>
      <w:r w:rsidR="00A85657">
        <w:rPr>
          <w:color w:val="000000" w:themeColor="text1"/>
          <w:szCs w:val="22"/>
        </w:rPr>
        <w:t>(a)(</w:t>
      </w:r>
      <w:r w:rsidR="008A4C86">
        <w:rPr>
          <w:color w:val="000000" w:themeColor="text1"/>
          <w:szCs w:val="22"/>
        </w:rPr>
        <w:t>2),</w:t>
      </w:r>
      <w:r w:rsidR="00BE4731">
        <w:rPr>
          <w:color w:val="000000" w:themeColor="text1"/>
          <w:szCs w:val="22"/>
        </w:rPr>
        <w:t xml:space="preserve"> </w:t>
      </w:r>
      <w:r w:rsidR="00ED1F87">
        <w:rPr>
          <w:color w:val="000000" w:themeColor="text1"/>
          <w:szCs w:val="22"/>
        </w:rPr>
        <w:t>(b)(2)</w:t>
      </w:r>
      <w:r w:rsidR="008A4C86">
        <w:rPr>
          <w:color w:val="000000" w:themeColor="text1"/>
          <w:szCs w:val="22"/>
        </w:rPr>
        <w:t>,</w:t>
      </w:r>
      <w:r w:rsidR="00ED1F87">
        <w:rPr>
          <w:color w:val="000000" w:themeColor="text1"/>
          <w:szCs w:val="22"/>
        </w:rPr>
        <w:t xml:space="preserve"> and </w:t>
      </w:r>
      <w:r w:rsidRPr="00ED1F87" w:rsidR="00027887">
        <w:rPr>
          <w:color w:val="000000" w:themeColor="text1"/>
          <w:szCs w:val="22"/>
        </w:rPr>
        <w:t>(</w:t>
      </w:r>
      <w:r w:rsidRPr="00ED1F87" w:rsidR="0020763B">
        <w:rPr>
          <w:color w:val="000000" w:themeColor="text1"/>
          <w:szCs w:val="22"/>
        </w:rPr>
        <w:t>c</w:t>
      </w:r>
      <w:r w:rsidRPr="00ED1F87" w:rsidR="00027887">
        <w:rPr>
          <w:color w:val="000000" w:themeColor="text1"/>
          <w:szCs w:val="22"/>
        </w:rPr>
        <w:t>)(</w:t>
      </w:r>
      <w:r w:rsidRPr="00ED1F87" w:rsidR="0020763B">
        <w:rPr>
          <w:color w:val="000000" w:themeColor="text1"/>
          <w:szCs w:val="22"/>
        </w:rPr>
        <w:t>3</w:t>
      </w:r>
      <w:r w:rsidRPr="00ED1F87" w:rsidR="00027887">
        <w:rPr>
          <w:color w:val="000000" w:themeColor="text1"/>
          <w:szCs w:val="22"/>
        </w:rPr>
        <w:t xml:space="preserve">) of </w:t>
      </w:r>
      <w:r w:rsidRPr="00ED1F87" w:rsidR="00811498">
        <w:rPr>
          <w:color w:val="000000" w:themeColor="text1"/>
          <w:szCs w:val="22"/>
        </w:rPr>
        <w:t>the</w:t>
      </w:r>
      <w:r w:rsidRPr="00ED1F87" w:rsidR="001501B5">
        <w:rPr>
          <w:color w:val="000000" w:themeColor="text1"/>
          <w:szCs w:val="22"/>
        </w:rPr>
        <w:t xml:space="preserve"> </w:t>
      </w:r>
      <w:r w:rsidRPr="00ED1F87" w:rsidR="002E1B7B">
        <w:rPr>
          <w:color w:val="000000" w:themeColor="text1"/>
          <w:szCs w:val="22"/>
        </w:rPr>
        <w:t xml:space="preserve">rules </w:t>
      </w:r>
      <w:r w:rsidRPr="00ED1F87" w:rsidR="009C1206">
        <w:rPr>
          <w:color w:val="000000" w:themeColor="text1"/>
          <w:szCs w:val="22"/>
        </w:rPr>
        <w:t xml:space="preserve">governing </w:t>
      </w:r>
      <w:r w:rsidR="00BE4731">
        <w:rPr>
          <w:color w:val="000000" w:themeColor="text1"/>
          <w:szCs w:val="22"/>
        </w:rPr>
        <w:t xml:space="preserve">mobile </w:t>
      </w:r>
      <w:r w:rsidR="00EC666C">
        <w:rPr>
          <w:color w:val="000000" w:themeColor="text1"/>
          <w:szCs w:val="22"/>
        </w:rPr>
        <w:t xml:space="preserve">field disturbance </w:t>
      </w:r>
      <w:r w:rsidR="0023064F">
        <w:rPr>
          <w:color w:val="000000" w:themeColor="text1"/>
          <w:szCs w:val="22"/>
        </w:rPr>
        <w:t>sensors</w:t>
      </w:r>
      <w:r w:rsidR="00EC666C">
        <w:rPr>
          <w:color w:val="000000" w:themeColor="text1"/>
          <w:szCs w:val="22"/>
        </w:rPr>
        <w:t xml:space="preserve"> </w:t>
      </w:r>
      <w:r w:rsidRPr="00ED1F87" w:rsidR="00E74FAE">
        <w:rPr>
          <w:color w:val="000000" w:themeColor="text1"/>
          <w:szCs w:val="22"/>
        </w:rPr>
        <w:t>to</w:t>
      </w:r>
      <w:r w:rsidRPr="00ED1F87" w:rsidR="00311489">
        <w:rPr>
          <w:color w:val="000000" w:themeColor="text1"/>
          <w:szCs w:val="22"/>
        </w:rPr>
        <w:t xml:space="preserve"> permit the certification and marketing of </w:t>
      </w:r>
      <w:r w:rsidRPr="00ED1F87">
        <w:rPr>
          <w:color w:val="000000" w:themeColor="text1"/>
          <w:szCs w:val="22"/>
        </w:rPr>
        <w:t xml:space="preserve">its </w:t>
      </w:r>
      <w:r w:rsidR="00EC666C">
        <w:rPr>
          <w:color w:val="000000" w:themeColor="text1"/>
          <w:szCs w:val="22"/>
        </w:rPr>
        <w:t>Ictos system</w:t>
      </w:r>
      <w:r w:rsidRPr="00ED1F87" w:rsidR="008F45A7">
        <w:rPr>
          <w:color w:val="000000" w:themeColor="text1"/>
          <w:szCs w:val="22"/>
        </w:rPr>
        <w:t xml:space="preserve"> </w:t>
      </w:r>
      <w:r w:rsidRPr="00ED1F87" w:rsidR="00646C6D">
        <w:rPr>
          <w:color w:val="000000" w:themeColor="text1"/>
          <w:szCs w:val="22"/>
        </w:rPr>
        <w:t>(</w:t>
      </w:r>
      <w:r w:rsidR="00822DA4">
        <w:rPr>
          <w:color w:val="000000" w:themeColor="text1"/>
          <w:szCs w:val="22"/>
        </w:rPr>
        <w:t>Ictos</w:t>
      </w:r>
      <w:r w:rsidRPr="00ED1F87" w:rsidR="00646C6D">
        <w:rPr>
          <w:color w:val="000000" w:themeColor="text1"/>
          <w:szCs w:val="22"/>
        </w:rPr>
        <w:t>)</w:t>
      </w:r>
      <w:r w:rsidRPr="00ED1F87" w:rsidR="00F82DAE">
        <w:rPr>
          <w:color w:val="000000" w:themeColor="text1"/>
          <w:szCs w:val="22"/>
        </w:rPr>
        <w:t xml:space="preserve"> </w:t>
      </w:r>
      <w:r w:rsidRPr="00ED1F87" w:rsidR="00DA0715">
        <w:rPr>
          <w:color w:val="000000" w:themeColor="text1"/>
          <w:szCs w:val="22"/>
        </w:rPr>
        <w:t xml:space="preserve">to operate </w:t>
      </w:r>
      <w:r w:rsidR="00F75C4F">
        <w:rPr>
          <w:color w:val="000000" w:themeColor="text1"/>
          <w:szCs w:val="22"/>
        </w:rPr>
        <w:t>in the 60</w:t>
      </w:r>
      <w:r w:rsidR="00F75C4F">
        <w:rPr>
          <w:color w:val="000000" w:themeColor="text1"/>
          <w:szCs w:val="22"/>
        </w:rPr>
        <w:noBreakHyphen/>
        <w:t xml:space="preserve">64 GHz band </w:t>
      </w:r>
      <w:r w:rsidR="00D52037">
        <w:rPr>
          <w:color w:val="000000" w:themeColor="text1"/>
          <w:szCs w:val="22"/>
        </w:rPr>
        <w:t xml:space="preserve">aboard </w:t>
      </w:r>
      <w:r w:rsidR="00DA256D">
        <w:rPr>
          <w:color w:val="000000" w:themeColor="text1"/>
          <w:szCs w:val="22"/>
        </w:rPr>
        <w:t xml:space="preserve">unmanned </w:t>
      </w:r>
      <w:r w:rsidR="00D9170A">
        <w:rPr>
          <w:color w:val="000000" w:themeColor="text1"/>
          <w:szCs w:val="22"/>
        </w:rPr>
        <w:t xml:space="preserve">aircraft </w:t>
      </w:r>
      <w:r w:rsidR="00DA256D">
        <w:rPr>
          <w:color w:val="000000" w:themeColor="text1"/>
          <w:szCs w:val="22"/>
        </w:rPr>
        <w:t xml:space="preserve"> (UA) </w:t>
      </w:r>
      <w:r w:rsidRPr="00ED1F87" w:rsidR="00DA0715">
        <w:rPr>
          <w:color w:val="000000" w:themeColor="text1"/>
          <w:szCs w:val="22"/>
        </w:rPr>
        <w:t>a</w:t>
      </w:r>
      <w:r w:rsidR="00E13D68">
        <w:rPr>
          <w:color w:val="000000" w:themeColor="text1"/>
          <w:szCs w:val="22"/>
        </w:rPr>
        <w:t>nd at</w:t>
      </w:r>
      <w:r w:rsidRPr="00ED1F87" w:rsidR="00DA0715">
        <w:rPr>
          <w:color w:val="000000" w:themeColor="text1"/>
          <w:szCs w:val="22"/>
        </w:rPr>
        <w:t xml:space="preserve"> </w:t>
      </w:r>
      <w:r w:rsidR="00EA3ABA">
        <w:rPr>
          <w:color w:val="000000" w:themeColor="text1"/>
          <w:szCs w:val="22"/>
        </w:rPr>
        <w:t xml:space="preserve">a </w:t>
      </w:r>
      <w:r w:rsidRPr="00ED1F87" w:rsidR="00DA0715">
        <w:rPr>
          <w:color w:val="000000" w:themeColor="text1"/>
          <w:szCs w:val="22"/>
        </w:rPr>
        <w:t xml:space="preserve">higher power level than </w:t>
      </w:r>
      <w:r w:rsidR="00EA3ABA">
        <w:rPr>
          <w:color w:val="000000" w:themeColor="text1"/>
          <w:szCs w:val="22"/>
        </w:rPr>
        <w:t>the rule permits</w:t>
      </w:r>
      <w:r w:rsidRPr="00ED1F87" w:rsidR="007660D4">
        <w:rPr>
          <w:color w:val="000000" w:themeColor="text1"/>
          <w:szCs w:val="22"/>
        </w:rPr>
        <w:t>.</w:t>
      </w:r>
      <w:r>
        <w:rPr>
          <w:rStyle w:val="FootnoteReference"/>
          <w:sz w:val="22"/>
          <w:szCs w:val="22"/>
        </w:rPr>
        <w:footnoteReference w:id="4"/>
      </w:r>
      <w:r w:rsidR="00FA3912">
        <w:rPr>
          <w:color w:val="000000" w:themeColor="text1"/>
          <w:szCs w:val="22"/>
        </w:rPr>
        <w:t xml:space="preserve">  The Ictos is a specialized </w:t>
      </w:r>
      <w:r w:rsidR="006A0272">
        <w:rPr>
          <w:color w:val="000000" w:themeColor="text1"/>
          <w:szCs w:val="22"/>
        </w:rPr>
        <w:t xml:space="preserve">system that will be deployed </w:t>
      </w:r>
      <w:r w:rsidR="00D17514">
        <w:rPr>
          <w:color w:val="000000" w:themeColor="text1"/>
          <w:szCs w:val="22"/>
        </w:rPr>
        <w:t>in a limited number of commercial UA</w:t>
      </w:r>
      <w:r w:rsidR="00130E9C">
        <w:rPr>
          <w:color w:val="000000" w:themeColor="text1"/>
          <w:szCs w:val="22"/>
        </w:rPr>
        <w:t xml:space="preserve"> used for </w:t>
      </w:r>
      <w:r w:rsidR="00533EBC">
        <w:rPr>
          <w:color w:val="000000" w:themeColor="text1"/>
          <w:szCs w:val="22"/>
        </w:rPr>
        <w:t>visual inspection of structure</w:t>
      </w:r>
      <w:r w:rsidR="00B742E3">
        <w:rPr>
          <w:color w:val="000000" w:themeColor="text1"/>
          <w:szCs w:val="22"/>
        </w:rPr>
        <w:t xml:space="preserve">s.  </w:t>
      </w:r>
      <w:r w:rsidR="003C3D03">
        <w:rPr>
          <w:color w:val="000000" w:themeColor="text1"/>
          <w:szCs w:val="22"/>
        </w:rPr>
        <w:t xml:space="preserve">It is designed to prevent the UA from colliding with the structure or other </w:t>
      </w:r>
      <w:r w:rsidR="00D9170A">
        <w:rPr>
          <w:color w:val="000000" w:themeColor="text1"/>
          <w:szCs w:val="22"/>
        </w:rPr>
        <w:t xml:space="preserve">fixed </w:t>
      </w:r>
      <w:r w:rsidR="003C3D03">
        <w:rPr>
          <w:color w:val="000000" w:themeColor="text1"/>
          <w:szCs w:val="22"/>
        </w:rPr>
        <w:t>object</w:t>
      </w:r>
      <w:r w:rsidR="002C69D6">
        <w:rPr>
          <w:color w:val="000000" w:themeColor="text1"/>
          <w:szCs w:val="22"/>
        </w:rPr>
        <w:t>s.</w:t>
      </w:r>
    </w:p>
    <w:p w:rsidR="005C0028" w:rsidRPr="007A3D66" w:rsidP="00000940" w14:paraId="4C96BBBE" w14:textId="3C50EC39">
      <w:pPr>
        <w:pStyle w:val="Heading1"/>
        <w:widowControl/>
        <w:tabs>
          <w:tab w:val="num" w:pos="720"/>
        </w:tabs>
        <w:rPr>
          <w:color w:val="000000" w:themeColor="text1"/>
          <w:szCs w:val="22"/>
        </w:rPr>
      </w:pPr>
      <w:r w:rsidRPr="00ED1F87">
        <w:rPr>
          <w:rFonts w:ascii="Times New Roman" w:hAnsi="Times New Roman"/>
          <w:color w:val="000000" w:themeColor="text1"/>
          <w:szCs w:val="22"/>
        </w:rPr>
        <w:t>BACKGROUND</w:t>
      </w:r>
    </w:p>
    <w:p w:rsidR="00555FE2" w:rsidRPr="00987D32" w:rsidP="00000940" w14:paraId="70A51D3D" w14:textId="47563D44">
      <w:pPr>
        <w:pStyle w:val="ParaNum"/>
        <w:widowControl/>
        <w:rPr>
          <w:szCs w:val="22"/>
        </w:rPr>
      </w:pPr>
      <w:r>
        <w:t xml:space="preserve">The </w:t>
      </w:r>
      <w:r w:rsidR="00F75C4F">
        <w:t>60</w:t>
      </w:r>
      <w:r w:rsidR="00F75C4F">
        <w:noBreakHyphen/>
        <w:t>64</w:t>
      </w:r>
      <w:r>
        <w:t> GHz band is allocated on a co-primary basis to the Federal Mobile, Fixed, Inter-Satellite and Radiolocation services; and to non</w:t>
      </w:r>
      <w:r>
        <w:noBreakHyphen/>
        <w:t>Federal Fixed, Mobile and Radiolocation services.</w:t>
      </w:r>
      <w:r>
        <w:rPr>
          <w:rStyle w:val="FootnoteReference"/>
        </w:rPr>
        <w:footnoteReference w:id="5"/>
      </w:r>
      <w:r w:rsidR="00740CEA">
        <w:t xml:space="preserve">  </w:t>
      </w:r>
      <w:r w:rsidR="008C0D15">
        <w:t>Cur</w:t>
      </w:r>
      <w:r w:rsidR="007D2455">
        <w:t xml:space="preserve">rently, </w:t>
      </w:r>
      <w:r w:rsidR="006329A0">
        <w:t>in the 60-64 GHz band</w:t>
      </w:r>
      <w:r w:rsidR="0040387A">
        <w:t>,</w:t>
      </w:r>
      <w:r w:rsidR="006329A0">
        <w:t xml:space="preserve"> </w:t>
      </w:r>
      <w:r w:rsidR="007D2455">
        <w:t xml:space="preserve">there are </w:t>
      </w:r>
      <w:r w:rsidR="006329A0">
        <w:t>21</w:t>
      </w:r>
      <w:r>
        <w:t xml:space="preserve"> Federal </w:t>
      </w:r>
      <w:r w:rsidR="00A876AB">
        <w:t>authorizations</w:t>
      </w:r>
      <w:r w:rsidR="00072AB0">
        <w:t xml:space="preserve"> </w:t>
      </w:r>
      <w:r>
        <w:t xml:space="preserve">and </w:t>
      </w:r>
      <w:r w:rsidR="00A876AB">
        <w:t xml:space="preserve">20 </w:t>
      </w:r>
      <w:r w:rsidR="002C69D6">
        <w:t>FCC-issued licenses</w:t>
      </w:r>
      <w:r w:rsidR="007D2455">
        <w:t xml:space="preserve"> in</w:t>
      </w:r>
      <w:r w:rsidR="00DF55EF">
        <w:t xml:space="preserve"> </w:t>
      </w:r>
      <w:r w:rsidR="007D2455">
        <w:t>the</w:t>
      </w:r>
      <w:r w:rsidR="00DF55EF">
        <w:t xml:space="preserve"> </w:t>
      </w:r>
      <w:r w:rsidR="007D2455">
        <w:t>band</w:t>
      </w:r>
      <w:r>
        <w:t>.</w:t>
      </w:r>
      <w:r w:rsidR="007E5A6D">
        <w:t xml:space="preserve">  Industrial, scientific and medical (ISM) equipment may also operate in the band at 61.00</w:t>
      </w:r>
      <w:r w:rsidR="007E5A6D">
        <w:noBreakHyphen/>
        <w:t>61.50 GHz</w:t>
      </w:r>
      <w:r w:rsidR="00F26348">
        <w:t>, pursuant to Part 18 of the Commission’s rules</w:t>
      </w:r>
      <w:r w:rsidR="007E5A6D">
        <w:t>.</w:t>
      </w:r>
      <w:r>
        <w:rPr>
          <w:rStyle w:val="FootnoteReference"/>
        </w:rPr>
        <w:footnoteReference w:id="6"/>
      </w:r>
      <w:r w:rsidR="00F26348">
        <w:t xml:space="preserve">  In addition, the lower-adjacent bands are allocated</w:t>
      </w:r>
      <w:r w:rsidR="00F608AA">
        <w:t xml:space="preserve"> on a </w:t>
      </w:r>
      <w:r w:rsidR="00BE7C80">
        <w:t xml:space="preserve">primary </w:t>
      </w:r>
      <w:r w:rsidR="00F608AA">
        <w:t xml:space="preserve"> basis</w:t>
      </w:r>
      <w:r w:rsidR="00F26348">
        <w:t xml:space="preserve"> to the Earth-Exploration-Satellite </w:t>
      </w:r>
      <w:r w:rsidR="003514E4">
        <w:t>S</w:t>
      </w:r>
      <w:r w:rsidR="00F26348">
        <w:t>ervice (</w:t>
      </w:r>
      <w:r w:rsidR="00AE04FE">
        <w:t>EESS</w:t>
      </w:r>
      <w:r w:rsidR="00F26348">
        <w:t>)</w:t>
      </w:r>
      <w:r w:rsidR="00AE04FE">
        <w:t xml:space="preserve"> </w:t>
      </w:r>
      <w:r w:rsidR="00BE7C80">
        <w:t xml:space="preserve">(passive) </w:t>
      </w:r>
      <w:r w:rsidR="00F26348">
        <w:t>and</w:t>
      </w:r>
      <w:r w:rsidR="00CE67D0">
        <w:t xml:space="preserve"> are</w:t>
      </w:r>
      <w:r w:rsidR="00F26348">
        <w:t xml:space="preserve"> used by satellite-based remote sensing instruments to </w:t>
      </w:r>
      <w:r w:rsidR="00AE04FE">
        <w:t>make</w:t>
      </w:r>
      <w:r w:rsidR="00F26348">
        <w:t xml:space="preserve"> important atmospheric, oceanic and land measurements of the Earth.</w:t>
      </w:r>
      <w:r>
        <w:rPr>
          <w:rStyle w:val="FootnoteReference"/>
        </w:rPr>
        <w:footnoteReference w:id="7"/>
      </w:r>
      <w:r w:rsidR="00F26348">
        <w:t xml:space="preserve">   </w:t>
      </w:r>
    </w:p>
    <w:p w:rsidR="0021112B" w:rsidRPr="00C551A6" w:rsidP="00000940" w14:paraId="680E68BB" w14:textId="6D0CB250">
      <w:pPr>
        <w:pStyle w:val="ParaNum"/>
        <w:widowControl/>
        <w:numPr>
          <w:ilvl w:val="0"/>
          <w:numId w:val="35"/>
        </w:numPr>
        <w:rPr>
          <w:szCs w:val="22"/>
        </w:rPr>
      </w:pPr>
      <w:r>
        <w:t>T</w:t>
      </w:r>
      <w:r w:rsidR="000114E0">
        <w:t>he</w:t>
      </w:r>
      <w:r>
        <w:t xml:space="preserve"> </w:t>
      </w:r>
      <w:r w:rsidR="00F26348">
        <w:t xml:space="preserve">60-64 GHz </w:t>
      </w:r>
      <w:r>
        <w:t xml:space="preserve">band is a </w:t>
      </w:r>
      <w:r w:rsidR="007C2F16">
        <w:t>subset</w:t>
      </w:r>
      <w:r>
        <w:t xml:space="preserve"> of the </w:t>
      </w:r>
      <w:r w:rsidR="00767ABA">
        <w:t xml:space="preserve">unlicensed </w:t>
      </w:r>
      <w:r>
        <w:t>57</w:t>
      </w:r>
      <w:r>
        <w:noBreakHyphen/>
        <w:t xml:space="preserve">71 GHz band </w:t>
      </w:r>
      <w:r w:rsidR="00D910E0">
        <w:t xml:space="preserve">that is governed by </w:t>
      </w:r>
      <w:r>
        <w:t>section 15.255</w:t>
      </w:r>
      <w:r w:rsidR="00D910E0">
        <w:t xml:space="preserve"> of</w:t>
      </w:r>
      <w:r w:rsidR="007C2F16">
        <w:t xml:space="preserve"> </w:t>
      </w:r>
      <w:r w:rsidR="00D910E0">
        <w:t>the</w:t>
      </w:r>
      <w:r w:rsidR="007C2F16">
        <w:t xml:space="preserve"> </w:t>
      </w:r>
      <w:r w:rsidR="00D910E0">
        <w:t>rules</w:t>
      </w:r>
      <w:r>
        <w:t>.</w:t>
      </w:r>
      <w:r>
        <w:rPr>
          <w:rStyle w:val="FootnoteReference"/>
        </w:rPr>
        <w:footnoteReference w:id="8"/>
      </w:r>
      <w:r>
        <w:t xml:space="preserve">  </w:t>
      </w:r>
      <w:r w:rsidR="00CE14ED">
        <w:t xml:space="preserve">The </w:t>
      </w:r>
      <w:r w:rsidRPr="00C551A6" w:rsidR="00240F2A">
        <w:rPr>
          <w:szCs w:val="22"/>
        </w:rPr>
        <w:t>P</w:t>
      </w:r>
      <w:r w:rsidRPr="00C551A6" w:rsidR="0069339A">
        <w:rPr>
          <w:szCs w:val="22"/>
        </w:rPr>
        <w:t>art</w:t>
      </w:r>
      <w:r w:rsidRPr="00C551A6" w:rsidR="00DC7511">
        <w:rPr>
          <w:szCs w:val="22"/>
        </w:rPr>
        <w:t xml:space="preserve"> 15 </w:t>
      </w:r>
      <w:r w:rsidRPr="00C551A6" w:rsidR="00136466">
        <w:rPr>
          <w:szCs w:val="22"/>
        </w:rPr>
        <w:t xml:space="preserve">rules are </w:t>
      </w:r>
      <w:r w:rsidRPr="00C551A6" w:rsidR="00DC7511">
        <w:rPr>
          <w:szCs w:val="22"/>
        </w:rPr>
        <w:t xml:space="preserve">designed to </w:t>
      </w:r>
      <w:r w:rsidR="00C16957">
        <w:rPr>
          <w:szCs w:val="22"/>
        </w:rPr>
        <w:t xml:space="preserve">permit </w:t>
      </w:r>
      <w:r w:rsidR="00D501AD">
        <w:rPr>
          <w:szCs w:val="22"/>
        </w:rPr>
        <w:t xml:space="preserve">the </w:t>
      </w:r>
      <w:r w:rsidR="00C16957">
        <w:rPr>
          <w:szCs w:val="22"/>
        </w:rPr>
        <w:t xml:space="preserve">low-power operation </w:t>
      </w:r>
      <w:r w:rsidR="00D501AD">
        <w:rPr>
          <w:szCs w:val="22"/>
        </w:rPr>
        <w:t xml:space="preserve">of devices </w:t>
      </w:r>
      <w:r w:rsidR="00D42F49">
        <w:rPr>
          <w:szCs w:val="22"/>
        </w:rPr>
        <w:t>witho</w:t>
      </w:r>
      <w:r w:rsidR="00E45071">
        <w:rPr>
          <w:szCs w:val="22"/>
        </w:rPr>
        <w:t xml:space="preserve">ut an individual </w:t>
      </w:r>
      <w:r w:rsidRPr="00C551A6" w:rsidR="00136466">
        <w:rPr>
          <w:szCs w:val="22"/>
        </w:rPr>
        <w:t>license</w:t>
      </w:r>
      <w:r w:rsidR="00D501AD">
        <w:rPr>
          <w:szCs w:val="22"/>
        </w:rPr>
        <w:t xml:space="preserve"> where </w:t>
      </w:r>
      <w:r w:rsidR="00D53830">
        <w:rPr>
          <w:szCs w:val="22"/>
        </w:rPr>
        <w:t>such use is not anticipate</w:t>
      </w:r>
      <w:r w:rsidR="009D13B3">
        <w:rPr>
          <w:szCs w:val="22"/>
        </w:rPr>
        <w:t xml:space="preserve">d to </w:t>
      </w:r>
      <w:r w:rsidRPr="00C551A6" w:rsidR="00DC7511">
        <w:rPr>
          <w:szCs w:val="22"/>
        </w:rPr>
        <w:t>caus</w:t>
      </w:r>
      <w:r w:rsidR="00D53830">
        <w:rPr>
          <w:szCs w:val="22"/>
        </w:rPr>
        <w:t>e</w:t>
      </w:r>
      <w:r w:rsidRPr="00C551A6" w:rsidR="00DC7511">
        <w:rPr>
          <w:szCs w:val="22"/>
        </w:rPr>
        <w:t xml:space="preserve"> harmful interference to other </w:t>
      </w:r>
      <w:r w:rsidRPr="00C551A6" w:rsidR="00DC7511">
        <w:rPr>
          <w:szCs w:val="22"/>
        </w:rPr>
        <w:t>users of the radio spectrum.</w:t>
      </w:r>
      <w:r>
        <w:rPr>
          <w:rStyle w:val="FootnoteReference"/>
          <w:color w:val="000000" w:themeColor="text1"/>
          <w:spacing w:val="-2"/>
          <w:sz w:val="22"/>
          <w:szCs w:val="22"/>
        </w:rPr>
        <w:footnoteReference w:id="9"/>
      </w:r>
      <w:r w:rsidRPr="00C551A6" w:rsidR="00DC7511">
        <w:rPr>
          <w:szCs w:val="22"/>
        </w:rPr>
        <w:t xml:space="preserve">  Section 15.255 of the rules </w:t>
      </w:r>
      <w:r w:rsidRPr="00C551A6" w:rsidR="00485AD5">
        <w:rPr>
          <w:szCs w:val="22"/>
        </w:rPr>
        <w:t xml:space="preserve">stipulates </w:t>
      </w:r>
      <w:r w:rsidRPr="00C551A6" w:rsidR="002C0F7D">
        <w:rPr>
          <w:szCs w:val="22"/>
        </w:rPr>
        <w:t>operation</w:t>
      </w:r>
      <w:r w:rsidRPr="00C551A6" w:rsidR="00485AD5">
        <w:rPr>
          <w:szCs w:val="22"/>
        </w:rPr>
        <w:t>al policies and technical parameter</w:t>
      </w:r>
      <w:r w:rsidRPr="00C551A6" w:rsidR="002C0F7D">
        <w:rPr>
          <w:szCs w:val="22"/>
        </w:rPr>
        <w:t xml:space="preserve">s </w:t>
      </w:r>
      <w:r w:rsidRPr="00C551A6" w:rsidR="00485AD5">
        <w:rPr>
          <w:szCs w:val="22"/>
        </w:rPr>
        <w:t xml:space="preserve">for </w:t>
      </w:r>
      <w:r w:rsidRPr="00C551A6" w:rsidR="002C0F7D">
        <w:rPr>
          <w:szCs w:val="22"/>
        </w:rPr>
        <w:t>the 57</w:t>
      </w:r>
      <w:r w:rsidRPr="00C551A6" w:rsidR="006C348A">
        <w:rPr>
          <w:szCs w:val="22"/>
        </w:rPr>
        <w:noBreakHyphen/>
      </w:r>
      <w:r w:rsidRPr="00C551A6" w:rsidR="002C0F7D">
        <w:rPr>
          <w:szCs w:val="22"/>
        </w:rPr>
        <w:t>71</w:t>
      </w:r>
      <w:r w:rsidRPr="00C551A6" w:rsidR="006C348A">
        <w:rPr>
          <w:szCs w:val="22"/>
        </w:rPr>
        <w:t> </w:t>
      </w:r>
      <w:r w:rsidRPr="00C551A6" w:rsidR="002C0F7D">
        <w:rPr>
          <w:szCs w:val="22"/>
        </w:rPr>
        <w:t>GHz band</w:t>
      </w:r>
      <w:r w:rsidRPr="00C551A6" w:rsidR="00082E0D">
        <w:rPr>
          <w:szCs w:val="22"/>
        </w:rPr>
        <w:t>.</w:t>
      </w:r>
      <w:r>
        <w:rPr>
          <w:rStyle w:val="FootnoteReference"/>
          <w:color w:val="000000" w:themeColor="text1"/>
          <w:sz w:val="22"/>
          <w:szCs w:val="22"/>
        </w:rPr>
        <w:footnoteReference w:id="10"/>
      </w:r>
      <w:r w:rsidRPr="00C551A6" w:rsidR="00082E0D">
        <w:rPr>
          <w:szCs w:val="22"/>
        </w:rPr>
        <w:t xml:space="preserve">  </w:t>
      </w:r>
      <w:r w:rsidRPr="00C551A6" w:rsidR="00BB46FC">
        <w:rPr>
          <w:szCs w:val="22"/>
        </w:rPr>
        <w:t xml:space="preserve">Unlicensed devices in this band </w:t>
      </w:r>
      <w:r w:rsidRPr="00C551A6" w:rsidR="00DB2AB9">
        <w:rPr>
          <w:szCs w:val="22"/>
        </w:rPr>
        <w:t xml:space="preserve">generally </w:t>
      </w:r>
      <w:r w:rsidRPr="00C551A6" w:rsidR="00BB46FC">
        <w:rPr>
          <w:szCs w:val="22"/>
        </w:rPr>
        <w:t xml:space="preserve">include indoor communication </w:t>
      </w:r>
      <w:r w:rsidRPr="00C551A6" w:rsidR="00395F5D">
        <w:rPr>
          <w:szCs w:val="22"/>
        </w:rPr>
        <w:t xml:space="preserve">networking </w:t>
      </w:r>
      <w:r w:rsidRPr="00C551A6" w:rsidR="00BB46FC">
        <w:rPr>
          <w:szCs w:val="22"/>
        </w:rPr>
        <w:t>devices such as WiGig,</w:t>
      </w:r>
      <w:r>
        <w:rPr>
          <w:rStyle w:val="FootnoteReference"/>
          <w:szCs w:val="22"/>
        </w:rPr>
        <w:footnoteReference w:id="11"/>
      </w:r>
      <w:r w:rsidRPr="00C551A6" w:rsidR="00BB46FC">
        <w:rPr>
          <w:szCs w:val="22"/>
        </w:rPr>
        <w:t xml:space="preserve"> outdoor fixed point</w:t>
      </w:r>
      <w:r w:rsidRPr="00C551A6" w:rsidR="00BB46FC">
        <w:rPr>
          <w:szCs w:val="22"/>
        </w:rPr>
        <w:noBreakHyphen/>
        <w:t>to</w:t>
      </w:r>
      <w:r w:rsidRPr="00C551A6" w:rsidR="00BB46FC">
        <w:rPr>
          <w:szCs w:val="22"/>
        </w:rPr>
        <w:noBreakHyphen/>
        <w:t>point communication links</w:t>
      </w:r>
      <w:r w:rsidRPr="00C551A6" w:rsidR="00DB2AB9">
        <w:rPr>
          <w:szCs w:val="22"/>
        </w:rPr>
        <w:t>,</w:t>
      </w:r>
      <w:r>
        <w:rPr>
          <w:rStyle w:val="FootnoteReference"/>
          <w:szCs w:val="22"/>
        </w:rPr>
        <w:footnoteReference w:id="12"/>
      </w:r>
      <w:r w:rsidRPr="00C551A6" w:rsidR="00BB46FC">
        <w:rPr>
          <w:szCs w:val="22"/>
        </w:rPr>
        <w:t xml:space="preserve"> </w:t>
      </w:r>
      <w:r w:rsidRPr="00C551A6" w:rsidR="00DB2AB9">
        <w:rPr>
          <w:szCs w:val="22"/>
        </w:rPr>
        <w:t xml:space="preserve">and </w:t>
      </w:r>
      <w:r w:rsidRPr="00C551A6" w:rsidR="00DC7511">
        <w:rPr>
          <w:szCs w:val="22"/>
        </w:rPr>
        <w:t xml:space="preserve">field disturbance </w:t>
      </w:r>
      <w:r w:rsidRPr="00C551A6" w:rsidR="00C45CD5">
        <w:rPr>
          <w:szCs w:val="22"/>
        </w:rPr>
        <w:t>sensors</w:t>
      </w:r>
      <w:r w:rsidRPr="00C551A6" w:rsidR="00DC7511">
        <w:rPr>
          <w:szCs w:val="22"/>
        </w:rPr>
        <w:t xml:space="preserve"> that </w:t>
      </w:r>
      <w:r w:rsidRPr="00C551A6" w:rsidR="002C0F7D">
        <w:rPr>
          <w:szCs w:val="22"/>
        </w:rPr>
        <w:t xml:space="preserve">are either fixed or used as </w:t>
      </w:r>
      <w:r w:rsidRPr="00C551A6" w:rsidR="00F952A8">
        <w:rPr>
          <w:szCs w:val="22"/>
        </w:rPr>
        <w:t xml:space="preserve">special </w:t>
      </w:r>
      <w:r w:rsidRPr="00C551A6" w:rsidR="002C0F7D">
        <w:rPr>
          <w:szCs w:val="22"/>
        </w:rPr>
        <w:t>short-range devices for interactive motion sensing</w:t>
      </w:r>
      <w:r w:rsidRPr="00C551A6" w:rsidR="00DB2AB9">
        <w:rPr>
          <w:szCs w:val="22"/>
        </w:rPr>
        <w:t>.</w:t>
      </w:r>
      <w:r>
        <w:rPr>
          <w:rStyle w:val="FootnoteReference"/>
          <w:szCs w:val="22"/>
        </w:rPr>
        <w:footnoteReference w:id="13"/>
      </w:r>
      <w:r w:rsidRPr="00C551A6" w:rsidR="00F952A8">
        <w:rPr>
          <w:szCs w:val="22"/>
        </w:rPr>
        <w:t xml:space="preserve"> </w:t>
      </w:r>
      <w:r w:rsidRPr="00C551A6" w:rsidR="00DB2AB9">
        <w:rPr>
          <w:szCs w:val="22"/>
        </w:rPr>
        <w:t xml:space="preserve"> The rules </w:t>
      </w:r>
      <w:r w:rsidRPr="00C551A6" w:rsidR="00F952A8">
        <w:rPr>
          <w:szCs w:val="22"/>
        </w:rPr>
        <w:t>prohibit general mobile radar operation</w:t>
      </w:r>
      <w:r w:rsidRPr="00C551A6" w:rsidR="00DC7511">
        <w:rPr>
          <w:szCs w:val="22"/>
        </w:rPr>
        <w:t xml:space="preserve">. </w:t>
      </w:r>
      <w:r w:rsidRPr="00C551A6" w:rsidR="002C0F7D">
        <w:rPr>
          <w:szCs w:val="22"/>
        </w:rPr>
        <w:t xml:space="preserve"> </w:t>
      </w:r>
      <w:r w:rsidRPr="00C551A6" w:rsidR="00C17350">
        <w:rPr>
          <w:szCs w:val="22"/>
        </w:rPr>
        <w:t xml:space="preserve">Specifically, </w:t>
      </w:r>
      <w:r w:rsidRPr="00C551A6" w:rsidR="008B2EF2">
        <w:rPr>
          <w:szCs w:val="22"/>
        </w:rPr>
        <w:t>section 15.255(a)(2) prohibits vehicle radars from operating in this band.</w:t>
      </w:r>
      <w:r>
        <w:rPr>
          <w:rStyle w:val="FootnoteReference"/>
          <w:szCs w:val="22"/>
        </w:rPr>
        <w:footnoteReference w:id="14"/>
      </w:r>
      <w:r w:rsidRPr="00C551A6" w:rsidR="008B2EF2">
        <w:rPr>
          <w:szCs w:val="22"/>
        </w:rPr>
        <w:t xml:space="preserve">  </w:t>
      </w:r>
      <w:r w:rsidRPr="00C551A6" w:rsidR="00F952A8">
        <w:rPr>
          <w:szCs w:val="22"/>
        </w:rPr>
        <w:t>Section 15.255(b)(2) further prohibit</w:t>
      </w:r>
      <w:r w:rsidR="00FF174F">
        <w:rPr>
          <w:szCs w:val="22"/>
        </w:rPr>
        <w:t>s</w:t>
      </w:r>
      <w:r w:rsidRPr="00C551A6" w:rsidR="00F952A8">
        <w:rPr>
          <w:szCs w:val="22"/>
        </w:rPr>
        <w:t xml:space="preserve"> operation on-board aircraft, </w:t>
      </w:r>
      <w:r w:rsidRPr="00C551A6" w:rsidR="0069499F">
        <w:rPr>
          <w:szCs w:val="22"/>
        </w:rPr>
        <w:t>except</w:t>
      </w:r>
      <w:r w:rsidRPr="00C551A6" w:rsidR="00F952A8">
        <w:rPr>
          <w:szCs w:val="22"/>
        </w:rPr>
        <w:t xml:space="preserve"> under specific conditions</w:t>
      </w:r>
      <w:r w:rsidRPr="00C551A6" w:rsidR="0079162D">
        <w:rPr>
          <w:szCs w:val="22"/>
        </w:rPr>
        <w:t xml:space="preserve">, e.g., “only in closed </w:t>
      </w:r>
      <w:r w:rsidRPr="00C551A6" w:rsidR="0079162D">
        <w:rPr>
          <w:snapToGrid/>
          <w:color w:val="000000"/>
          <w:kern w:val="0"/>
          <w:szCs w:val="22"/>
        </w:rPr>
        <w:t>exclusive on-board communication networks within the aircraft</w:t>
      </w:r>
      <w:r w:rsidRPr="00C551A6" w:rsidR="00200C93">
        <w:rPr>
          <w:snapToGrid/>
          <w:color w:val="000000"/>
          <w:kern w:val="0"/>
          <w:szCs w:val="22"/>
        </w:rPr>
        <w:t>;</w:t>
      </w:r>
      <w:r w:rsidRPr="00C551A6" w:rsidR="0079162D">
        <w:rPr>
          <w:snapToGrid/>
          <w:color w:val="000000"/>
          <w:kern w:val="0"/>
          <w:szCs w:val="22"/>
        </w:rPr>
        <w:t>”</w:t>
      </w:r>
      <w:r w:rsidRPr="00C551A6" w:rsidR="00200C93">
        <w:rPr>
          <w:snapToGrid/>
          <w:color w:val="000000"/>
          <w:kern w:val="0"/>
          <w:szCs w:val="22"/>
        </w:rPr>
        <w:t xml:space="preserve"> this section also specifically prohibits operation on-board UA.</w:t>
      </w:r>
      <w:r>
        <w:rPr>
          <w:rStyle w:val="FootnoteReference"/>
          <w:szCs w:val="22"/>
        </w:rPr>
        <w:footnoteReference w:id="15"/>
      </w:r>
      <w:r w:rsidRPr="00C551A6" w:rsidR="00F952A8">
        <w:rPr>
          <w:szCs w:val="22"/>
        </w:rPr>
        <w:t xml:space="preserve">  </w:t>
      </w:r>
      <w:r w:rsidRPr="00C551A6" w:rsidR="008B2EF2">
        <w:rPr>
          <w:szCs w:val="22"/>
        </w:rPr>
        <w:t>S</w:t>
      </w:r>
      <w:r w:rsidRPr="00C551A6" w:rsidR="00C17350">
        <w:rPr>
          <w:szCs w:val="22"/>
        </w:rPr>
        <w:t>ection 15.255(c)(3) specifies tha</w:t>
      </w:r>
      <w:r w:rsidRPr="00C551A6" w:rsidR="005B4441">
        <w:rPr>
          <w:szCs w:val="22"/>
        </w:rPr>
        <w:t>t</w:t>
      </w:r>
      <w:r w:rsidRPr="00C551A6" w:rsidR="00C17350">
        <w:rPr>
          <w:szCs w:val="22"/>
        </w:rPr>
        <w:t xml:space="preserve"> the </w:t>
      </w:r>
      <w:r w:rsidRPr="00C551A6" w:rsidR="005B4441">
        <w:rPr>
          <w:szCs w:val="22"/>
        </w:rPr>
        <w:t xml:space="preserve">peak transmitter </w:t>
      </w:r>
      <w:r w:rsidRPr="00C551A6" w:rsidR="00C17350">
        <w:rPr>
          <w:szCs w:val="22"/>
        </w:rPr>
        <w:t xml:space="preserve">conducted </w:t>
      </w:r>
      <w:r w:rsidRPr="00C551A6" w:rsidR="005B4441">
        <w:rPr>
          <w:szCs w:val="22"/>
        </w:rPr>
        <w:t>output power shall not exceed -10</w:t>
      </w:r>
      <w:r w:rsidRPr="00C551A6" w:rsidR="00082E0D">
        <w:rPr>
          <w:szCs w:val="22"/>
        </w:rPr>
        <w:t xml:space="preserve"> </w:t>
      </w:r>
      <w:r w:rsidRPr="00C551A6" w:rsidR="005B4441">
        <w:rPr>
          <w:szCs w:val="22"/>
        </w:rPr>
        <w:t>dBm and the peak EIRP level shall not exceed 10 dBm</w:t>
      </w:r>
      <w:r w:rsidR="0074120F">
        <w:rPr>
          <w:szCs w:val="22"/>
        </w:rPr>
        <w:t>.</w:t>
      </w:r>
      <w:r>
        <w:rPr>
          <w:rStyle w:val="FootnoteReference"/>
          <w:sz w:val="22"/>
          <w:szCs w:val="22"/>
        </w:rPr>
        <w:footnoteReference w:id="16"/>
      </w:r>
      <w:r w:rsidRPr="00C551A6" w:rsidR="00C17350">
        <w:rPr>
          <w:szCs w:val="22"/>
        </w:rPr>
        <w:t xml:space="preserve"> </w:t>
      </w:r>
      <w:r w:rsidRPr="00C551A6" w:rsidR="00F70BEB">
        <w:rPr>
          <w:szCs w:val="22"/>
        </w:rPr>
        <w:t xml:space="preserve"> </w:t>
      </w:r>
    </w:p>
    <w:p w:rsidR="00050C74" w:rsidP="00000940" w14:paraId="0BD4C2FA" w14:textId="421FF385">
      <w:pPr>
        <w:pStyle w:val="ParaNum"/>
        <w:widowControl/>
        <w:rPr>
          <w:szCs w:val="22"/>
        </w:rPr>
      </w:pPr>
      <w:r>
        <w:rPr>
          <w:szCs w:val="22"/>
        </w:rPr>
        <w:t>The</w:t>
      </w:r>
      <w:r w:rsidR="00491F0B">
        <w:rPr>
          <w:szCs w:val="22"/>
        </w:rPr>
        <w:t xml:space="preserve"> </w:t>
      </w:r>
      <w:r>
        <w:rPr>
          <w:szCs w:val="22"/>
        </w:rPr>
        <w:t>Icto</w:t>
      </w:r>
      <w:r>
        <w:rPr>
          <w:szCs w:val="22"/>
        </w:rPr>
        <w:t>s</w:t>
      </w:r>
      <w:r w:rsidRPr="00ED1F87">
        <w:rPr>
          <w:szCs w:val="22"/>
        </w:rPr>
        <w:t xml:space="preserve"> </w:t>
      </w:r>
      <w:r w:rsidR="00491F0B">
        <w:rPr>
          <w:szCs w:val="22"/>
        </w:rPr>
        <w:t xml:space="preserve">is designed </w:t>
      </w:r>
      <w:r w:rsidRPr="00ED1F87">
        <w:rPr>
          <w:color w:val="000000" w:themeColor="text1"/>
          <w:szCs w:val="22"/>
        </w:rPr>
        <w:t xml:space="preserve">to </w:t>
      </w:r>
      <w:r w:rsidR="00491F0B">
        <w:rPr>
          <w:color w:val="000000" w:themeColor="text1"/>
          <w:szCs w:val="22"/>
        </w:rPr>
        <w:t xml:space="preserve">operate as a Part 15 device that will </w:t>
      </w:r>
      <w:r>
        <w:rPr>
          <w:color w:val="000000" w:themeColor="text1"/>
          <w:szCs w:val="22"/>
        </w:rPr>
        <w:t>be installed on UA</w:t>
      </w:r>
      <w:r w:rsidR="00491F0B">
        <w:rPr>
          <w:color w:val="000000" w:themeColor="text1"/>
          <w:szCs w:val="22"/>
        </w:rPr>
        <w:t xml:space="preserve"> used for</w:t>
      </w:r>
      <w:r>
        <w:rPr>
          <w:color w:val="000000" w:themeColor="text1"/>
          <w:szCs w:val="22"/>
        </w:rPr>
        <w:t xml:space="preserve"> close-up flights around building structures</w:t>
      </w:r>
      <w:r w:rsidR="00491F0B">
        <w:rPr>
          <w:color w:val="000000" w:themeColor="text1"/>
          <w:szCs w:val="22"/>
        </w:rPr>
        <w:t>.</w:t>
      </w:r>
      <w:r>
        <w:rPr>
          <w:rStyle w:val="FootnoteReference"/>
          <w:szCs w:val="22"/>
        </w:rPr>
        <w:footnoteReference w:id="17"/>
      </w:r>
      <w:r w:rsidR="00491F0B">
        <w:rPr>
          <w:color w:val="000000" w:themeColor="text1"/>
          <w:szCs w:val="22"/>
        </w:rPr>
        <w:t xml:space="preserve"> </w:t>
      </w:r>
      <w:r>
        <w:rPr>
          <w:snapToGrid/>
          <w:kern w:val="0"/>
          <w:szCs w:val="22"/>
        </w:rPr>
        <w:t xml:space="preserve"> Leica explains that the</w:t>
      </w:r>
      <w:r w:rsidRPr="002D7EC2">
        <w:rPr>
          <w:snapToGrid/>
          <w:kern w:val="0"/>
          <w:szCs w:val="22"/>
        </w:rPr>
        <w:t xml:space="preserve"> Icto</w:t>
      </w:r>
      <w:r w:rsidR="00B23181">
        <w:rPr>
          <w:snapToGrid/>
          <w:kern w:val="0"/>
          <w:szCs w:val="22"/>
        </w:rPr>
        <w:t>s</w:t>
      </w:r>
      <w:r w:rsidR="00491F0B">
        <w:rPr>
          <w:snapToGrid/>
          <w:kern w:val="0"/>
          <w:szCs w:val="22"/>
        </w:rPr>
        <w:t xml:space="preserve"> will be used to</w:t>
      </w:r>
      <w:r w:rsidRPr="002D7EC2">
        <w:rPr>
          <w:snapToGrid/>
          <w:kern w:val="0"/>
          <w:szCs w:val="22"/>
        </w:rPr>
        <w:t xml:space="preserve"> prevent the UA from colliding with the structure</w:t>
      </w:r>
      <w:r w:rsidR="00491F0B">
        <w:rPr>
          <w:snapToGrid/>
          <w:kern w:val="0"/>
          <w:szCs w:val="22"/>
        </w:rPr>
        <w:t xml:space="preserve"> the UA is inspecting</w:t>
      </w:r>
      <w:r w:rsidRPr="002D7EC2">
        <w:rPr>
          <w:snapToGrid/>
          <w:kern w:val="0"/>
          <w:szCs w:val="22"/>
        </w:rPr>
        <w:t xml:space="preserve"> or </w:t>
      </w:r>
      <w:r w:rsidR="00491F0B">
        <w:rPr>
          <w:snapToGrid/>
          <w:kern w:val="0"/>
          <w:szCs w:val="22"/>
        </w:rPr>
        <w:t xml:space="preserve">with </w:t>
      </w:r>
      <w:r w:rsidRPr="002D7EC2">
        <w:rPr>
          <w:snapToGrid/>
          <w:kern w:val="0"/>
          <w:szCs w:val="22"/>
        </w:rPr>
        <w:t>other objects</w:t>
      </w:r>
      <w:r w:rsidR="00441AC0">
        <w:rPr>
          <w:snapToGrid/>
          <w:kern w:val="0"/>
          <w:szCs w:val="22"/>
        </w:rPr>
        <w:t>.</w:t>
      </w:r>
      <w:r>
        <w:rPr>
          <w:rStyle w:val="FootnoteReference"/>
          <w:snapToGrid/>
          <w:kern w:val="0"/>
          <w:szCs w:val="22"/>
        </w:rPr>
        <w:footnoteReference w:id="18"/>
      </w:r>
      <w:r w:rsidRPr="002D7EC2">
        <w:rPr>
          <w:snapToGrid/>
          <w:kern w:val="0"/>
          <w:szCs w:val="22"/>
        </w:rPr>
        <w:t xml:space="preserve"> </w:t>
      </w:r>
      <w:r>
        <w:rPr>
          <w:snapToGrid/>
          <w:kern w:val="0"/>
          <w:szCs w:val="22"/>
        </w:rPr>
        <w:t xml:space="preserve"> Leica further states that </w:t>
      </w:r>
      <w:r w:rsidR="00441AC0">
        <w:rPr>
          <w:snapToGrid/>
          <w:kern w:val="0"/>
          <w:szCs w:val="22"/>
        </w:rPr>
        <w:t>using the 60-64 GHz</w:t>
      </w:r>
      <w:r w:rsidR="009A4E64">
        <w:rPr>
          <w:snapToGrid/>
          <w:kern w:val="0"/>
          <w:szCs w:val="22"/>
        </w:rPr>
        <w:t xml:space="preserve"> </w:t>
      </w:r>
      <w:r w:rsidRPr="002D7EC2">
        <w:rPr>
          <w:snapToGrid/>
          <w:kern w:val="0"/>
          <w:szCs w:val="22"/>
        </w:rPr>
        <w:t xml:space="preserve">frequency range </w:t>
      </w:r>
      <w:r w:rsidR="00441AC0">
        <w:rPr>
          <w:snapToGrid/>
          <w:kern w:val="0"/>
          <w:szCs w:val="22"/>
        </w:rPr>
        <w:t>will permit</w:t>
      </w:r>
      <w:r w:rsidRPr="002D7EC2">
        <w:rPr>
          <w:snapToGrid/>
          <w:kern w:val="0"/>
          <w:szCs w:val="22"/>
        </w:rPr>
        <w:t xml:space="preserve"> the detection and avoidance of thin objects, such as cables, down to 2.5 mm in width. </w:t>
      </w:r>
      <w:r w:rsidR="00441AC0">
        <w:rPr>
          <w:snapToGrid/>
          <w:kern w:val="0"/>
          <w:szCs w:val="22"/>
        </w:rPr>
        <w:t xml:space="preserve"> It</w:t>
      </w:r>
      <w:r>
        <w:rPr>
          <w:snapToGrid/>
          <w:kern w:val="0"/>
          <w:szCs w:val="22"/>
        </w:rPr>
        <w:t xml:space="preserve"> also asserts that th</w:t>
      </w:r>
      <w:r w:rsidRPr="002D7EC2">
        <w:rPr>
          <w:snapToGrid/>
          <w:kern w:val="0"/>
          <w:szCs w:val="22"/>
        </w:rPr>
        <w:t>is choice of frequencies, together with specified power and out-of-band emissions</w:t>
      </w:r>
      <w:r w:rsidR="00195833">
        <w:rPr>
          <w:snapToGrid/>
          <w:kern w:val="0"/>
          <w:szCs w:val="22"/>
        </w:rPr>
        <w:t xml:space="preserve"> and conditions on sales and use</w:t>
      </w:r>
      <w:r w:rsidRPr="002D7EC2">
        <w:rPr>
          <w:snapToGrid/>
          <w:kern w:val="0"/>
          <w:szCs w:val="22"/>
        </w:rPr>
        <w:t>, will avoid interference to other spectrum users</w:t>
      </w:r>
      <w:r w:rsidR="00842A66">
        <w:rPr>
          <w:snapToGrid/>
          <w:kern w:val="0"/>
          <w:szCs w:val="22"/>
        </w:rPr>
        <w:t xml:space="preserve"> in the band</w:t>
      </w:r>
      <w:r w:rsidRPr="002D7EC2">
        <w:rPr>
          <w:snapToGrid/>
          <w:kern w:val="0"/>
          <w:szCs w:val="22"/>
        </w:rPr>
        <w:t>, including</w:t>
      </w:r>
      <w:r w:rsidR="003514E4">
        <w:rPr>
          <w:snapToGrid/>
          <w:kern w:val="0"/>
          <w:szCs w:val="22"/>
        </w:rPr>
        <w:t xml:space="preserve"> the passive </w:t>
      </w:r>
      <w:r w:rsidR="003514E4">
        <w:t>E</w:t>
      </w:r>
      <w:r w:rsidR="00AE04FE">
        <w:t>ESS</w:t>
      </w:r>
      <w:r w:rsidR="003514E4">
        <w:t xml:space="preserve"> operations</w:t>
      </w:r>
      <w:r w:rsidRPr="002D7EC2">
        <w:rPr>
          <w:snapToGrid/>
          <w:kern w:val="0"/>
          <w:szCs w:val="22"/>
        </w:rPr>
        <w:t>.</w:t>
      </w:r>
      <w:r>
        <w:rPr>
          <w:rStyle w:val="FootnoteReference"/>
          <w:snapToGrid/>
          <w:kern w:val="0"/>
          <w:szCs w:val="22"/>
        </w:rPr>
        <w:footnoteReference w:id="19"/>
      </w:r>
      <w:r w:rsidRPr="00ED1F87">
        <w:rPr>
          <w:szCs w:val="22"/>
        </w:rPr>
        <w:t xml:space="preserve">  </w:t>
      </w:r>
    </w:p>
    <w:p w:rsidR="000C16A4" w:rsidRPr="00987D32" w:rsidP="00000940" w14:paraId="7C4899A7" w14:textId="5BA8CF2C">
      <w:pPr>
        <w:pStyle w:val="ParaNum"/>
        <w:widowControl/>
        <w:rPr>
          <w:szCs w:val="22"/>
        </w:rPr>
      </w:pPr>
      <w:bookmarkStart w:id="3" w:name="_Ref517093832"/>
      <w:r w:rsidRPr="00ED1F87">
        <w:rPr>
          <w:szCs w:val="22"/>
        </w:rPr>
        <w:t xml:space="preserve">The Office of Engineering and Technology </w:t>
      </w:r>
      <w:r w:rsidR="00C22C08">
        <w:rPr>
          <w:szCs w:val="22"/>
        </w:rPr>
        <w:t>(</w:t>
      </w:r>
      <w:r w:rsidRPr="00ED1F87">
        <w:rPr>
          <w:szCs w:val="22"/>
        </w:rPr>
        <w:t>OET</w:t>
      </w:r>
      <w:r w:rsidR="00C22C08">
        <w:rPr>
          <w:szCs w:val="22"/>
        </w:rPr>
        <w:t>)</w:t>
      </w:r>
      <w:r w:rsidRPr="00ED1F87">
        <w:rPr>
          <w:szCs w:val="22"/>
        </w:rPr>
        <w:t xml:space="preserve"> issued a Public Notice </w:t>
      </w:r>
      <w:r w:rsidR="00796111">
        <w:rPr>
          <w:szCs w:val="22"/>
        </w:rPr>
        <w:t>solic</w:t>
      </w:r>
      <w:r w:rsidRPr="00ED1F87">
        <w:rPr>
          <w:szCs w:val="22"/>
        </w:rPr>
        <w:t xml:space="preserve">iting comments on </w:t>
      </w:r>
      <w:r w:rsidRPr="007A3D66" w:rsidR="00ED1F87">
        <w:rPr>
          <w:szCs w:val="22"/>
        </w:rPr>
        <w:t>Leica</w:t>
      </w:r>
      <w:r w:rsidRPr="007A3D66" w:rsidR="003514E4">
        <w:rPr>
          <w:szCs w:val="22"/>
        </w:rPr>
        <w:t>’s</w:t>
      </w:r>
      <w:r w:rsidRPr="007A3D66">
        <w:rPr>
          <w:szCs w:val="22"/>
        </w:rPr>
        <w:t xml:space="preserve"> </w:t>
      </w:r>
      <w:r w:rsidR="003514E4">
        <w:rPr>
          <w:szCs w:val="22"/>
        </w:rPr>
        <w:t>w</w:t>
      </w:r>
      <w:r w:rsidRPr="007A3D66">
        <w:rPr>
          <w:szCs w:val="22"/>
        </w:rPr>
        <w:t xml:space="preserve">aiver </w:t>
      </w:r>
      <w:r w:rsidR="003514E4">
        <w:rPr>
          <w:szCs w:val="22"/>
        </w:rPr>
        <w:t>r</w:t>
      </w:r>
      <w:r w:rsidRPr="007A3D66">
        <w:rPr>
          <w:szCs w:val="22"/>
        </w:rPr>
        <w:t>equest</w:t>
      </w:r>
      <w:r w:rsidRPr="00ED1F87">
        <w:rPr>
          <w:szCs w:val="22"/>
        </w:rPr>
        <w:t xml:space="preserve"> on </w:t>
      </w:r>
      <w:r w:rsidR="00796111">
        <w:rPr>
          <w:szCs w:val="22"/>
        </w:rPr>
        <w:t>November 21, 2019</w:t>
      </w:r>
      <w:r w:rsidRPr="00ED1F87" w:rsidR="009B02AC">
        <w:rPr>
          <w:szCs w:val="22"/>
        </w:rPr>
        <w:t>.</w:t>
      </w:r>
      <w:r>
        <w:rPr>
          <w:rStyle w:val="FootnoteReference"/>
          <w:color w:val="000000" w:themeColor="text1"/>
          <w:sz w:val="22"/>
          <w:szCs w:val="22"/>
        </w:rPr>
        <w:footnoteReference w:id="20"/>
      </w:r>
      <w:r w:rsidRPr="00ED1F87">
        <w:rPr>
          <w:szCs w:val="22"/>
        </w:rPr>
        <w:t xml:space="preserve"> </w:t>
      </w:r>
      <w:r w:rsidRPr="00ED1F87" w:rsidR="00530D4A">
        <w:rPr>
          <w:szCs w:val="22"/>
        </w:rPr>
        <w:t xml:space="preserve"> </w:t>
      </w:r>
      <w:r w:rsidR="00A5740A">
        <w:rPr>
          <w:color w:val="000000" w:themeColor="text1"/>
          <w:szCs w:val="22"/>
        </w:rPr>
        <w:t xml:space="preserve">The National Academy of Sciences Committee on Radio Frequencies (CORF) and Facebook, Inc. </w:t>
      </w:r>
      <w:r w:rsidR="00C22C08">
        <w:rPr>
          <w:color w:val="000000" w:themeColor="text1"/>
          <w:szCs w:val="22"/>
        </w:rPr>
        <w:t>(</w:t>
      </w:r>
      <w:r w:rsidR="00A5740A">
        <w:rPr>
          <w:color w:val="000000" w:themeColor="text1"/>
          <w:szCs w:val="22"/>
        </w:rPr>
        <w:t>Facebook</w:t>
      </w:r>
      <w:r w:rsidR="00C22C08">
        <w:rPr>
          <w:color w:val="000000" w:themeColor="text1"/>
          <w:szCs w:val="22"/>
        </w:rPr>
        <w:t>)</w:t>
      </w:r>
      <w:r w:rsidRPr="00ED1F87" w:rsidR="009B02AC">
        <w:rPr>
          <w:szCs w:val="22"/>
        </w:rPr>
        <w:t xml:space="preserve"> filed </w:t>
      </w:r>
      <w:r w:rsidRPr="00ED1F87">
        <w:rPr>
          <w:szCs w:val="22"/>
        </w:rPr>
        <w:t xml:space="preserve">comments and </w:t>
      </w:r>
      <w:r w:rsidR="00E673D2">
        <w:rPr>
          <w:szCs w:val="22"/>
        </w:rPr>
        <w:t>Leica</w:t>
      </w:r>
      <w:r w:rsidRPr="00ED1F87">
        <w:rPr>
          <w:szCs w:val="22"/>
        </w:rPr>
        <w:t xml:space="preserve"> </w:t>
      </w:r>
      <w:r w:rsidRPr="00ED1F87" w:rsidR="009B02AC">
        <w:rPr>
          <w:szCs w:val="22"/>
        </w:rPr>
        <w:t xml:space="preserve">filed </w:t>
      </w:r>
      <w:r w:rsidRPr="00ED1F87">
        <w:rPr>
          <w:szCs w:val="22"/>
        </w:rPr>
        <w:t>repl</w:t>
      </w:r>
      <w:r w:rsidR="00E673D2">
        <w:rPr>
          <w:szCs w:val="22"/>
        </w:rPr>
        <w:t>y comments</w:t>
      </w:r>
      <w:r w:rsidRPr="00ED1F87">
        <w:rPr>
          <w:szCs w:val="22"/>
        </w:rPr>
        <w:t>.</w:t>
      </w:r>
      <w:r>
        <w:rPr>
          <w:rStyle w:val="FootnoteReference"/>
          <w:szCs w:val="22"/>
        </w:rPr>
        <w:footnoteReference w:id="21"/>
      </w:r>
      <w:r w:rsidRPr="00ED1F87">
        <w:rPr>
          <w:szCs w:val="22"/>
        </w:rPr>
        <w:t xml:space="preserve">  </w:t>
      </w:r>
      <w:r w:rsidR="00A97E9A">
        <w:rPr>
          <w:color w:val="000000" w:themeColor="text1"/>
          <w:szCs w:val="22"/>
        </w:rPr>
        <w:t xml:space="preserve">CORF states that it can support </w:t>
      </w:r>
      <w:r w:rsidR="00854BDA">
        <w:rPr>
          <w:color w:val="000000" w:themeColor="text1"/>
          <w:szCs w:val="22"/>
        </w:rPr>
        <w:t>Leica’s</w:t>
      </w:r>
      <w:r w:rsidR="00A97E9A">
        <w:rPr>
          <w:color w:val="000000" w:themeColor="text1"/>
          <w:szCs w:val="22"/>
        </w:rPr>
        <w:t xml:space="preserve"> </w:t>
      </w:r>
      <w:r w:rsidR="00854BDA">
        <w:rPr>
          <w:color w:val="000000" w:themeColor="text1"/>
          <w:szCs w:val="22"/>
        </w:rPr>
        <w:t>r</w:t>
      </w:r>
      <w:r w:rsidRPr="007A3D66" w:rsidR="00A97E9A">
        <w:rPr>
          <w:color w:val="000000" w:themeColor="text1"/>
          <w:szCs w:val="22"/>
        </w:rPr>
        <w:t>equest</w:t>
      </w:r>
      <w:r w:rsidR="00A97E9A">
        <w:rPr>
          <w:color w:val="000000" w:themeColor="text1"/>
          <w:szCs w:val="22"/>
        </w:rPr>
        <w:t xml:space="preserve">, as long as the Ictos </w:t>
      </w:r>
      <w:r w:rsidR="00854BDA">
        <w:rPr>
          <w:color w:val="000000" w:themeColor="text1"/>
          <w:szCs w:val="22"/>
        </w:rPr>
        <w:t>device</w:t>
      </w:r>
      <w:r w:rsidR="00A97E9A">
        <w:rPr>
          <w:color w:val="000000" w:themeColor="text1"/>
          <w:szCs w:val="22"/>
        </w:rPr>
        <w:t xml:space="preserve"> </w:t>
      </w:r>
      <w:r w:rsidR="00A97E9A">
        <w:rPr>
          <w:szCs w:val="22"/>
        </w:rPr>
        <w:t xml:space="preserve">complies with the </w:t>
      </w:r>
      <w:r w:rsidRPr="005200DA" w:rsidR="00A97E9A">
        <w:rPr>
          <w:szCs w:val="22"/>
        </w:rPr>
        <w:t xml:space="preserve">proposed specific parameters designed to limit </w:t>
      </w:r>
      <w:r w:rsidR="00854BDA">
        <w:rPr>
          <w:szCs w:val="22"/>
        </w:rPr>
        <w:t>the potential that</w:t>
      </w:r>
      <w:r w:rsidRPr="005200DA" w:rsidR="00A97E9A">
        <w:rPr>
          <w:szCs w:val="22"/>
        </w:rPr>
        <w:t xml:space="preserve"> EESS observations</w:t>
      </w:r>
      <w:r w:rsidR="00854BDA">
        <w:rPr>
          <w:szCs w:val="22"/>
        </w:rPr>
        <w:t xml:space="preserve"> would be negatively affected</w:t>
      </w:r>
      <w:r w:rsidRPr="005200DA" w:rsidR="00A97E9A">
        <w:rPr>
          <w:szCs w:val="22"/>
        </w:rPr>
        <w:t xml:space="preserve">: a guard band to separate the intentional emissions from neighboring EESS allocations, the small number </w:t>
      </w:r>
      <w:r w:rsidR="00854BDA">
        <w:rPr>
          <w:szCs w:val="22"/>
        </w:rPr>
        <w:t>Ictos</w:t>
      </w:r>
      <w:r w:rsidRPr="005200DA" w:rsidR="00A97E9A">
        <w:rPr>
          <w:szCs w:val="22"/>
        </w:rPr>
        <w:t xml:space="preserve"> deploy</w:t>
      </w:r>
      <w:r w:rsidR="00854BDA">
        <w:rPr>
          <w:szCs w:val="22"/>
        </w:rPr>
        <w:t>ments</w:t>
      </w:r>
      <w:r w:rsidRPr="005200DA" w:rsidR="00A97E9A">
        <w:rPr>
          <w:szCs w:val="22"/>
        </w:rPr>
        <w:t xml:space="preserve"> within the United States, and the specified low intensity of out-of-band, spurious, and unwanted emissions into the EESS bands.</w:t>
      </w:r>
      <w:r>
        <w:rPr>
          <w:rStyle w:val="FootnoteReference"/>
          <w:sz w:val="22"/>
          <w:szCs w:val="22"/>
        </w:rPr>
        <w:footnoteReference w:id="22"/>
      </w:r>
      <w:r w:rsidRPr="00ED1F87" w:rsidR="00A97E9A">
        <w:rPr>
          <w:color w:val="000000" w:themeColor="text1"/>
          <w:szCs w:val="22"/>
        </w:rPr>
        <w:t xml:space="preserve">  </w:t>
      </w:r>
      <w:r w:rsidR="00854BDA">
        <w:rPr>
          <w:color w:val="000000" w:themeColor="text1"/>
          <w:szCs w:val="22"/>
        </w:rPr>
        <w:t xml:space="preserve">While </w:t>
      </w:r>
      <w:r w:rsidR="00A97E9A">
        <w:rPr>
          <w:color w:val="000000" w:themeColor="text1"/>
          <w:szCs w:val="22"/>
        </w:rPr>
        <w:t>Facebook urges the Commission to initiate a rulemaking proceeding to provide clearer guidance on radar uses in the 60 GHz band, “given the magnitude of interest in the…band</w:t>
      </w:r>
      <w:r w:rsidR="00854BDA">
        <w:rPr>
          <w:color w:val="000000" w:themeColor="text1"/>
          <w:szCs w:val="22"/>
        </w:rPr>
        <w:t>,</w:t>
      </w:r>
      <w:r w:rsidR="00A97E9A">
        <w:rPr>
          <w:color w:val="000000" w:themeColor="text1"/>
          <w:szCs w:val="22"/>
        </w:rPr>
        <w:t>”</w:t>
      </w:r>
      <w:r>
        <w:rPr>
          <w:rStyle w:val="FootnoteReference"/>
          <w:szCs w:val="22"/>
        </w:rPr>
        <w:footnoteReference w:id="23"/>
      </w:r>
      <w:r w:rsidR="00A97E9A">
        <w:rPr>
          <w:color w:val="000000" w:themeColor="text1"/>
          <w:szCs w:val="22"/>
        </w:rPr>
        <w:t xml:space="preserve"> </w:t>
      </w:r>
      <w:r w:rsidR="00854BDA">
        <w:rPr>
          <w:color w:val="000000" w:themeColor="text1"/>
          <w:szCs w:val="22"/>
        </w:rPr>
        <w:t>it also</w:t>
      </w:r>
      <w:r w:rsidR="00A97E9A">
        <w:rPr>
          <w:color w:val="000000" w:themeColor="text1"/>
          <w:szCs w:val="22"/>
        </w:rPr>
        <w:t xml:space="preserve"> states that, i</w:t>
      </w:r>
      <w:r w:rsidRPr="005200DA" w:rsidR="00A97E9A">
        <w:rPr>
          <w:snapToGrid/>
          <w:kern w:val="0"/>
          <w:szCs w:val="22"/>
        </w:rPr>
        <w:t>f the Commission instead determines to address Leica’s</w:t>
      </w:r>
      <w:r w:rsidR="00854BDA">
        <w:rPr>
          <w:snapToGrid/>
          <w:kern w:val="0"/>
          <w:szCs w:val="22"/>
        </w:rPr>
        <w:t xml:space="preserve"> request </w:t>
      </w:r>
      <w:r w:rsidRPr="005200DA" w:rsidR="00A97E9A">
        <w:rPr>
          <w:snapToGrid/>
          <w:kern w:val="0"/>
          <w:szCs w:val="22"/>
        </w:rPr>
        <w:t xml:space="preserve">on an </w:t>
      </w:r>
      <w:r w:rsidRPr="00CF4754" w:rsidR="00A97E9A">
        <w:rPr>
          <w:i/>
          <w:iCs/>
          <w:snapToGrid/>
          <w:kern w:val="0"/>
          <w:szCs w:val="22"/>
        </w:rPr>
        <w:t>ad hoc</w:t>
      </w:r>
      <w:r w:rsidRPr="005200DA" w:rsidR="00A97E9A">
        <w:rPr>
          <w:snapToGrid/>
          <w:kern w:val="0"/>
          <w:szCs w:val="22"/>
        </w:rPr>
        <w:t xml:space="preserve"> basis, </w:t>
      </w:r>
      <w:r w:rsidR="00A97E9A">
        <w:rPr>
          <w:snapToGrid/>
          <w:kern w:val="0"/>
          <w:szCs w:val="22"/>
        </w:rPr>
        <w:t xml:space="preserve">it </w:t>
      </w:r>
      <w:r w:rsidRPr="005200DA" w:rsidR="00A97E9A">
        <w:rPr>
          <w:snapToGrid/>
          <w:kern w:val="0"/>
          <w:szCs w:val="22"/>
        </w:rPr>
        <w:t>requests that the Commission consider the potential harmful interference that could result on existing users in the band and establish Leica’s proposed limitation of the waiver to 800 devices per year as a condition to any waiver granted.</w:t>
      </w:r>
      <w:r>
        <w:rPr>
          <w:rStyle w:val="FootnoteReference"/>
          <w:snapToGrid/>
          <w:kern w:val="0"/>
          <w:szCs w:val="22"/>
        </w:rPr>
        <w:footnoteReference w:id="24"/>
      </w:r>
    </w:p>
    <w:bookmarkEnd w:id="3"/>
    <w:p w:rsidR="00CD2EE7" w:rsidRPr="00ED1F87" w:rsidP="00000940" w14:paraId="083B9BA6" w14:textId="77777777">
      <w:pPr>
        <w:pStyle w:val="Heading1"/>
        <w:widowControl/>
        <w:tabs>
          <w:tab w:val="num" w:pos="720"/>
        </w:tabs>
        <w:rPr>
          <w:rFonts w:ascii="Times New Roman" w:hAnsi="Times New Roman"/>
          <w:color w:val="000000" w:themeColor="text1"/>
          <w:szCs w:val="22"/>
        </w:rPr>
      </w:pPr>
      <w:r w:rsidRPr="00ED1F87">
        <w:rPr>
          <w:rFonts w:ascii="Times New Roman" w:hAnsi="Times New Roman"/>
          <w:color w:val="000000" w:themeColor="text1"/>
          <w:szCs w:val="22"/>
        </w:rPr>
        <w:t>discussion</w:t>
      </w:r>
    </w:p>
    <w:p w:rsidR="0031068F" w:rsidRPr="00ED1F87" w:rsidP="00000940" w14:paraId="71CEEC12" w14:textId="1B219A14">
      <w:pPr>
        <w:pStyle w:val="ParaNum"/>
        <w:widowControl/>
        <w:autoSpaceDE w:val="0"/>
        <w:autoSpaceDN w:val="0"/>
        <w:adjustRightInd w:val="0"/>
        <w:rPr>
          <w:rStyle w:val="documentbody1"/>
          <w:rFonts w:ascii="Times New Roman" w:hAnsi="Times New Roman"/>
          <w:color w:val="000000" w:themeColor="text1"/>
          <w:sz w:val="22"/>
          <w:szCs w:val="22"/>
        </w:rPr>
      </w:pPr>
      <w:r w:rsidRPr="00ED1F87">
        <w:rPr>
          <w:color w:val="000000" w:themeColor="text1"/>
          <w:szCs w:val="22"/>
        </w:rPr>
        <w:t xml:space="preserve">We are authorized to grant a waiver under </w:t>
      </w:r>
      <w:r w:rsidRPr="00ED1F87" w:rsidR="006617E1">
        <w:rPr>
          <w:color w:val="000000" w:themeColor="text1"/>
          <w:szCs w:val="22"/>
        </w:rPr>
        <w:t xml:space="preserve">section </w:t>
      </w:r>
      <w:r w:rsidRPr="00ED1F87">
        <w:rPr>
          <w:color w:val="000000" w:themeColor="text1"/>
          <w:szCs w:val="22"/>
        </w:rPr>
        <w:t>1.3 of the Commission</w:t>
      </w:r>
      <w:r w:rsidRPr="00ED1F87" w:rsidR="00C74F4C">
        <w:rPr>
          <w:color w:val="000000" w:themeColor="text1"/>
          <w:szCs w:val="22"/>
        </w:rPr>
        <w:t>’</w:t>
      </w:r>
      <w:r w:rsidRPr="00ED1F87">
        <w:rPr>
          <w:color w:val="000000" w:themeColor="text1"/>
          <w:szCs w:val="22"/>
        </w:rPr>
        <w:t>s rules if the petitioner demonstrates good cause for such action.</w:t>
      </w:r>
      <w:r>
        <w:rPr>
          <w:rStyle w:val="FootnoteReference"/>
          <w:color w:val="000000" w:themeColor="text1"/>
          <w:sz w:val="22"/>
          <w:szCs w:val="22"/>
        </w:rPr>
        <w:footnoteReference w:id="25"/>
      </w:r>
      <w:r w:rsidRPr="00ED1F87">
        <w:rPr>
          <w:color w:val="000000" w:themeColor="text1"/>
          <w:szCs w:val="22"/>
        </w:rPr>
        <w:t xml:space="preserve">  Good cause, in turn, may be found and a waiver granted “where particular facts would make strict compliance inconsistent with the public interest.”</w:t>
      </w:r>
      <w:r>
        <w:rPr>
          <w:rStyle w:val="FootnoteReference"/>
          <w:color w:val="000000" w:themeColor="text1"/>
          <w:sz w:val="22"/>
          <w:szCs w:val="22"/>
        </w:rPr>
        <w:footnoteReference w:id="26"/>
      </w:r>
      <w:r w:rsidRPr="00ED1F87">
        <w:rPr>
          <w:color w:val="000000" w:themeColor="text1"/>
          <w:szCs w:val="22"/>
        </w:rPr>
        <w:t xml:space="preserve">  To satisfy this public interest requirement, the waiver cannot undermine the purposes of the rule, and there must be a stronger public interest benefit in granting the waiver than in applying the rule.</w:t>
      </w:r>
      <w:r>
        <w:rPr>
          <w:rStyle w:val="FootnoteReference"/>
          <w:color w:val="000000" w:themeColor="text1"/>
          <w:sz w:val="22"/>
          <w:szCs w:val="22"/>
        </w:rPr>
        <w:footnoteReference w:id="27"/>
      </w:r>
      <w:r w:rsidRPr="00ED1F87">
        <w:rPr>
          <w:color w:val="000000" w:themeColor="text1"/>
          <w:szCs w:val="22"/>
        </w:rPr>
        <w:t xml:space="preserve">  </w:t>
      </w:r>
      <w:r w:rsidR="00545304">
        <w:rPr>
          <w:color w:val="000000" w:themeColor="text1"/>
          <w:szCs w:val="22"/>
        </w:rPr>
        <w:t>We find that</w:t>
      </w:r>
      <w:r w:rsidR="008E0AFB">
        <w:rPr>
          <w:color w:val="000000" w:themeColor="text1"/>
          <w:szCs w:val="22"/>
        </w:rPr>
        <w:t xml:space="preserve"> </w:t>
      </w:r>
      <w:r w:rsidR="009E26B3">
        <w:rPr>
          <w:color w:val="000000" w:themeColor="text1"/>
          <w:szCs w:val="22"/>
        </w:rPr>
        <w:t xml:space="preserve">the grant of </w:t>
      </w:r>
      <w:r w:rsidR="00595604">
        <w:rPr>
          <w:color w:val="000000" w:themeColor="text1"/>
          <w:szCs w:val="22"/>
        </w:rPr>
        <w:t>a limited waiver</w:t>
      </w:r>
      <w:r w:rsidRPr="00ED1F87" w:rsidR="002B7F3A">
        <w:rPr>
          <w:color w:val="000000" w:themeColor="text1"/>
          <w:szCs w:val="22"/>
        </w:rPr>
        <w:t xml:space="preserve"> allowing </w:t>
      </w:r>
      <w:r w:rsidR="00BD70D0">
        <w:rPr>
          <w:color w:val="000000" w:themeColor="text1"/>
          <w:szCs w:val="22"/>
        </w:rPr>
        <w:t xml:space="preserve">a small number of </w:t>
      </w:r>
      <w:r w:rsidR="00822DA4">
        <w:rPr>
          <w:color w:val="000000" w:themeColor="text1"/>
          <w:szCs w:val="22"/>
        </w:rPr>
        <w:t>Ictos</w:t>
      </w:r>
      <w:r w:rsidRPr="00ED1F87" w:rsidR="002B7F3A">
        <w:rPr>
          <w:color w:val="000000" w:themeColor="text1"/>
          <w:szCs w:val="22"/>
        </w:rPr>
        <w:t xml:space="preserve"> </w:t>
      </w:r>
      <w:r w:rsidR="00545304">
        <w:rPr>
          <w:color w:val="000000" w:themeColor="text1"/>
          <w:szCs w:val="22"/>
        </w:rPr>
        <w:t>devices</w:t>
      </w:r>
      <w:r w:rsidRPr="00ED1F87" w:rsidR="002B7F3A">
        <w:rPr>
          <w:color w:val="000000" w:themeColor="text1"/>
          <w:szCs w:val="22"/>
        </w:rPr>
        <w:t xml:space="preserve"> to operate at the requested power levels </w:t>
      </w:r>
      <w:r w:rsidR="00203643">
        <w:rPr>
          <w:color w:val="000000" w:themeColor="text1"/>
          <w:szCs w:val="22"/>
        </w:rPr>
        <w:t>on</w:t>
      </w:r>
      <w:r w:rsidR="009E26B3">
        <w:rPr>
          <w:color w:val="000000" w:themeColor="text1"/>
          <w:szCs w:val="22"/>
        </w:rPr>
        <w:t xml:space="preserve"> </w:t>
      </w:r>
      <w:r w:rsidR="00203643">
        <w:rPr>
          <w:color w:val="000000" w:themeColor="text1"/>
          <w:szCs w:val="22"/>
        </w:rPr>
        <w:t>board UA</w:t>
      </w:r>
      <w:r w:rsidR="00CF1C50">
        <w:rPr>
          <w:color w:val="000000" w:themeColor="text1"/>
          <w:szCs w:val="22"/>
        </w:rPr>
        <w:t xml:space="preserve"> in the 60-64 GHz band</w:t>
      </w:r>
      <w:r w:rsidR="00545304">
        <w:rPr>
          <w:color w:val="000000" w:themeColor="text1"/>
          <w:szCs w:val="22"/>
        </w:rPr>
        <w:t>,</w:t>
      </w:r>
      <w:r w:rsidR="009E26B3">
        <w:rPr>
          <w:color w:val="000000" w:themeColor="text1"/>
          <w:szCs w:val="22"/>
        </w:rPr>
        <w:t xml:space="preserve"> with appropriate conditions</w:t>
      </w:r>
      <w:r w:rsidR="00545304">
        <w:rPr>
          <w:color w:val="000000" w:themeColor="text1"/>
          <w:szCs w:val="22"/>
        </w:rPr>
        <w:t>,</w:t>
      </w:r>
      <w:r w:rsidR="00203643">
        <w:rPr>
          <w:color w:val="000000" w:themeColor="text1"/>
          <w:szCs w:val="22"/>
        </w:rPr>
        <w:t xml:space="preserve"> </w:t>
      </w:r>
      <w:r w:rsidRPr="00ED1F87" w:rsidR="002B7F3A">
        <w:rPr>
          <w:color w:val="000000" w:themeColor="text1"/>
          <w:szCs w:val="22"/>
        </w:rPr>
        <w:t xml:space="preserve">will not materially change the operating environment </w:t>
      </w:r>
      <w:r w:rsidR="00545304">
        <w:rPr>
          <w:color w:val="000000" w:themeColor="text1"/>
          <w:szCs w:val="22"/>
        </w:rPr>
        <w:t>and thus will not</w:t>
      </w:r>
      <w:r w:rsidRPr="00ED1F87" w:rsidR="002B7F3A">
        <w:rPr>
          <w:color w:val="000000" w:themeColor="text1"/>
          <w:szCs w:val="22"/>
        </w:rPr>
        <w:t xml:space="preserve"> increase potential harmful interference to other users in the </w:t>
      </w:r>
      <w:r w:rsidR="00CF1C50">
        <w:rPr>
          <w:color w:val="000000" w:themeColor="text1"/>
          <w:szCs w:val="22"/>
        </w:rPr>
        <w:t xml:space="preserve">57-71 GHz </w:t>
      </w:r>
      <w:r w:rsidRPr="00ED1F87" w:rsidR="002B7F3A">
        <w:rPr>
          <w:color w:val="000000" w:themeColor="text1"/>
          <w:szCs w:val="22"/>
        </w:rPr>
        <w:t>band</w:t>
      </w:r>
      <w:r w:rsidR="00545304">
        <w:rPr>
          <w:color w:val="000000" w:themeColor="text1"/>
          <w:szCs w:val="22"/>
        </w:rPr>
        <w:t>.  Grant of the waiver will, however,</w:t>
      </w:r>
      <w:r w:rsidR="00BD70D0">
        <w:rPr>
          <w:color w:val="000000" w:themeColor="text1"/>
          <w:szCs w:val="22"/>
        </w:rPr>
        <w:t xml:space="preserve"> </w:t>
      </w:r>
      <w:r w:rsidR="00545304">
        <w:rPr>
          <w:color w:val="000000" w:themeColor="text1"/>
          <w:szCs w:val="22"/>
        </w:rPr>
        <w:t xml:space="preserve">provide </w:t>
      </w:r>
      <w:r w:rsidR="00BD70D0">
        <w:rPr>
          <w:color w:val="000000" w:themeColor="text1"/>
          <w:szCs w:val="22"/>
        </w:rPr>
        <w:t>substantial public benefit in improving safety and enhancing opportunities for scientific</w:t>
      </w:r>
      <w:r w:rsidR="00E44AF2">
        <w:rPr>
          <w:color w:val="000000" w:themeColor="text1"/>
          <w:szCs w:val="22"/>
        </w:rPr>
        <w:t>, commercial,</w:t>
      </w:r>
      <w:r w:rsidR="00BD70D0">
        <w:rPr>
          <w:color w:val="000000" w:themeColor="text1"/>
          <w:szCs w:val="22"/>
        </w:rPr>
        <w:t xml:space="preserve"> and engineering applications</w:t>
      </w:r>
      <w:r w:rsidRPr="00ED1F87" w:rsidR="002B7F3A">
        <w:rPr>
          <w:color w:val="000000" w:themeColor="text1"/>
          <w:szCs w:val="22"/>
        </w:rPr>
        <w:t>.</w:t>
      </w:r>
    </w:p>
    <w:p w:rsidR="00545304" w:rsidP="00000940" w14:paraId="7C676F99" w14:textId="18EE5DFA">
      <w:pPr>
        <w:pStyle w:val="ParaNum"/>
        <w:widowControl/>
        <w:rPr>
          <w:szCs w:val="22"/>
        </w:rPr>
      </w:pPr>
      <w:r>
        <w:rPr>
          <w:szCs w:val="22"/>
        </w:rPr>
        <w:t>As an initial matter,</w:t>
      </w:r>
      <w:r w:rsidR="00811228">
        <w:rPr>
          <w:szCs w:val="22"/>
        </w:rPr>
        <w:t xml:space="preserve"> we are treating the Ictos as a field disturbance sensor and acting on </w:t>
      </w:r>
      <w:r w:rsidR="003514E4">
        <w:rPr>
          <w:szCs w:val="22"/>
        </w:rPr>
        <w:t xml:space="preserve">the portion of </w:t>
      </w:r>
      <w:r w:rsidR="00811228">
        <w:rPr>
          <w:szCs w:val="22"/>
        </w:rPr>
        <w:t xml:space="preserve">Leica’s request </w:t>
      </w:r>
      <w:r w:rsidR="003514E4">
        <w:rPr>
          <w:szCs w:val="22"/>
        </w:rPr>
        <w:t xml:space="preserve">that pertains </w:t>
      </w:r>
      <w:r w:rsidR="00811228">
        <w:rPr>
          <w:szCs w:val="22"/>
        </w:rPr>
        <w:t xml:space="preserve">to </w:t>
      </w:r>
      <w:r w:rsidRPr="00726318" w:rsidR="00B52259">
        <w:rPr>
          <w:szCs w:val="22"/>
        </w:rPr>
        <w:t>waive</w:t>
      </w:r>
      <w:r w:rsidR="003514E4">
        <w:rPr>
          <w:szCs w:val="22"/>
        </w:rPr>
        <w:t>r of</w:t>
      </w:r>
      <w:r w:rsidRPr="00726318" w:rsidR="00B52259">
        <w:rPr>
          <w:szCs w:val="22"/>
        </w:rPr>
        <w:t xml:space="preserve"> </w:t>
      </w:r>
      <w:r w:rsidR="00B52259">
        <w:rPr>
          <w:szCs w:val="22"/>
        </w:rPr>
        <w:t>s</w:t>
      </w:r>
      <w:r w:rsidRPr="00726318" w:rsidR="00B52259">
        <w:rPr>
          <w:szCs w:val="22"/>
        </w:rPr>
        <w:t>ections 15.255(a)(2)</w:t>
      </w:r>
      <w:r w:rsidR="003514E4">
        <w:rPr>
          <w:szCs w:val="22"/>
        </w:rPr>
        <w:t>, (b)(2)</w:t>
      </w:r>
      <w:r w:rsidRPr="00726318" w:rsidR="00B52259">
        <w:rPr>
          <w:szCs w:val="22"/>
        </w:rPr>
        <w:t xml:space="preserve"> and (c)(3) of the rules.</w:t>
      </w:r>
      <w:r>
        <w:rPr>
          <w:rStyle w:val="FootnoteReference"/>
          <w:szCs w:val="22"/>
        </w:rPr>
        <w:footnoteReference w:id="28"/>
      </w:r>
      <w:r w:rsidR="00811228">
        <w:rPr>
          <w:szCs w:val="22"/>
        </w:rPr>
        <w:t xml:space="preserve">  While </w:t>
      </w:r>
      <w:r w:rsidRPr="00726318" w:rsidR="00811228">
        <w:rPr>
          <w:szCs w:val="22"/>
        </w:rPr>
        <w:t xml:space="preserve">Leica </w:t>
      </w:r>
      <w:r w:rsidR="00811228">
        <w:rPr>
          <w:szCs w:val="22"/>
        </w:rPr>
        <w:t>asserts</w:t>
      </w:r>
      <w:r w:rsidRPr="00726318" w:rsidR="00811228">
        <w:rPr>
          <w:szCs w:val="22"/>
        </w:rPr>
        <w:t xml:space="preserve"> that </w:t>
      </w:r>
      <w:r w:rsidR="00811228">
        <w:rPr>
          <w:szCs w:val="22"/>
        </w:rPr>
        <w:t>its</w:t>
      </w:r>
      <w:r w:rsidRPr="00726318" w:rsidR="00811228">
        <w:rPr>
          <w:szCs w:val="22"/>
        </w:rPr>
        <w:t xml:space="preserve"> Ictos is not a field disturbance sensor as defined in the rules</w:t>
      </w:r>
      <w:r w:rsidR="00811228">
        <w:rPr>
          <w:szCs w:val="22"/>
        </w:rPr>
        <w:t xml:space="preserve"> and should be treated as a radar (which </w:t>
      </w:r>
      <w:r w:rsidR="002C1B31">
        <w:rPr>
          <w:szCs w:val="22"/>
        </w:rPr>
        <w:t xml:space="preserve">it asserts </w:t>
      </w:r>
      <w:r w:rsidR="00811228">
        <w:rPr>
          <w:szCs w:val="22"/>
        </w:rPr>
        <w:t xml:space="preserve">would </w:t>
      </w:r>
      <w:r w:rsidR="002C1B31">
        <w:rPr>
          <w:szCs w:val="22"/>
        </w:rPr>
        <w:t xml:space="preserve">then </w:t>
      </w:r>
      <w:r w:rsidR="00811228">
        <w:rPr>
          <w:szCs w:val="22"/>
        </w:rPr>
        <w:t xml:space="preserve">only require a waiver of </w:t>
      </w:r>
      <w:r w:rsidR="00C34079">
        <w:rPr>
          <w:szCs w:val="22"/>
        </w:rPr>
        <w:t>section 15.255(b)(2)</w:t>
      </w:r>
      <w:r w:rsidR="003514E4">
        <w:rPr>
          <w:szCs w:val="22"/>
        </w:rPr>
        <w:t>)</w:t>
      </w:r>
      <w:r w:rsidR="00C34079">
        <w:rPr>
          <w:szCs w:val="22"/>
        </w:rPr>
        <w:t>,</w:t>
      </w:r>
      <w:r>
        <w:rPr>
          <w:rStyle w:val="FootnoteReference"/>
          <w:szCs w:val="22"/>
        </w:rPr>
        <w:footnoteReference w:id="29"/>
      </w:r>
      <w:r w:rsidR="00C34079">
        <w:rPr>
          <w:szCs w:val="22"/>
        </w:rPr>
        <w:t xml:space="preserve"> </w:t>
      </w:r>
      <w:r w:rsidR="00C34079">
        <w:rPr>
          <w:szCs w:val="22"/>
        </w:rPr>
        <w:t xml:space="preserve">we recognize that the Commission has a long history of considering </w:t>
      </w:r>
      <w:r w:rsidR="00CE67D0">
        <w:rPr>
          <w:szCs w:val="22"/>
        </w:rPr>
        <w:t xml:space="preserve">radar </w:t>
      </w:r>
      <w:r w:rsidR="00F24615">
        <w:rPr>
          <w:szCs w:val="22"/>
        </w:rPr>
        <w:t xml:space="preserve">devices </w:t>
      </w:r>
      <w:r w:rsidR="00C34079">
        <w:rPr>
          <w:szCs w:val="22"/>
        </w:rPr>
        <w:t xml:space="preserve">in part 15 of the rules </w:t>
      </w:r>
      <w:r w:rsidR="00CE67D0">
        <w:rPr>
          <w:szCs w:val="22"/>
        </w:rPr>
        <w:t xml:space="preserve">to constitute </w:t>
      </w:r>
      <w:r w:rsidR="00C34079">
        <w:rPr>
          <w:szCs w:val="22"/>
        </w:rPr>
        <w:t>a subset of field disturbance sensors.</w:t>
      </w:r>
      <w:r>
        <w:rPr>
          <w:rStyle w:val="FootnoteReference"/>
          <w:szCs w:val="22"/>
        </w:rPr>
        <w:footnoteReference w:id="30"/>
      </w:r>
      <w:r w:rsidR="00DD3DBB">
        <w:rPr>
          <w:szCs w:val="22"/>
        </w:rPr>
        <w:t xml:space="preserve">  Evaluating the Ictos as a field disturbance sensor </w:t>
      </w:r>
      <w:r w:rsidR="00A177E9">
        <w:rPr>
          <w:szCs w:val="22"/>
        </w:rPr>
        <w:t xml:space="preserve">allows us to grant the requested relief under our delegated authority in a manner that is </w:t>
      </w:r>
      <w:r w:rsidR="00DD3DBB">
        <w:rPr>
          <w:szCs w:val="22"/>
        </w:rPr>
        <w:t>consistent with established precedent</w:t>
      </w:r>
      <w:r w:rsidR="00A177E9">
        <w:rPr>
          <w:szCs w:val="22"/>
        </w:rPr>
        <w:t>.</w:t>
      </w:r>
    </w:p>
    <w:p w:rsidR="00F4212C" w:rsidP="00000940" w14:paraId="1B0D4374" w14:textId="0DED9FA8">
      <w:pPr>
        <w:pStyle w:val="ParaNum"/>
        <w:widowControl/>
        <w:autoSpaceDE w:val="0"/>
        <w:autoSpaceDN w:val="0"/>
        <w:adjustRightInd w:val="0"/>
        <w:rPr>
          <w:szCs w:val="22"/>
        </w:rPr>
      </w:pPr>
      <w:bookmarkStart w:id="4" w:name="_Ref527707967"/>
      <w:bookmarkStart w:id="5" w:name="_Ref518547224"/>
      <w:r>
        <w:rPr>
          <w:szCs w:val="22"/>
        </w:rPr>
        <w:t>S</w:t>
      </w:r>
      <w:r w:rsidRPr="001C5E71">
        <w:rPr>
          <w:szCs w:val="22"/>
        </w:rPr>
        <w:t>ection 15.255</w:t>
      </w:r>
      <w:r>
        <w:rPr>
          <w:szCs w:val="22"/>
        </w:rPr>
        <w:t xml:space="preserve">(a)(2) explicitly prohibits the operation of field disturbance sensors, with limited exceptions that do not apply to </w:t>
      </w:r>
      <w:r w:rsidR="007B6BCF">
        <w:rPr>
          <w:szCs w:val="22"/>
        </w:rPr>
        <w:t>Leica</w:t>
      </w:r>
      <w:r>
        <w:rPr>
          <w:szCs w:val="22"/>
        </w:rPr>
        <w:t>’s proposed operations.  The rule is</w:t>
      </w:r>
      <w:r w:rsidR="00EF6193">
        <w:rPr>
          <w:szCs w:val="22"/>
        </w:rPr>
        <w:t xml:space="preserve"> designed to mitigate against the risk of harmful interference by limiting unlicensed use to a limited set of applications.</w:t>
      </w:r>
      <w:r>
        <w:rPr>
          <w:rStyle w:val="FootnoteReference"/>
          <w:szCs w:val="22"/>
        </w:rPr>
        <w:footnoteReference w:id="31"/>
      </w:r>
      <w:r>
        <w:rPr>
          <w:szCs w:val="22"/>
        </w:rPr>
        <w:t xml:space="preserve">  </w:t>
      </w:r>
      <w:r w:rsidR="00AE04FE">
        <w:rPr>
          <w:szCs w:val="22"/>
        </w:rPr>
        <w:t xml:space="preserve">We find that the specialized use model of the Ictos and the limitation on the number of units </w:t>
      </w:r>
      <w:r w:rsidR="007B6BCF">
        <w:rPr>
          <w:szCs w:val="22"/>
        </w:rPr>
        <w:t>Leica</w:t>
      </w:r>
      <w:r w:rsidR="00AE04FE">
        <w:rPr>
          <w:szCs w:val="22"/>
        </w:rPr>
        <w:t xml:space="preserve"> has </w:t>
      </w:r>
      <w:r w:rsidR="002665DD">
        <w:rPr>
          <w:szCs w:val="22"/>
        </w:rPr>
        <w:t>agreed to will</w:t>
      </w:r>
      <w:r w:rsidR="00AE04FE">
        <w:rPr>
          <w:szCs w:val="22"/>
        </w:rPr>
        <w:t xml:space="preserve"> not undermine this intent.  Because t</w:t>
      </w:r>
      <w:r w:rsidR="006536C3">
        <w:rPr>
          <w:szCs w:val="22"/>
        </w:rPr>
        <w:t>he Ictos</w:t>
      </w:r>
      <w:r w:rsidR="00C953ED">
        <w:rPr>
          <w:szCs w:val="22"/>
        </w:rPr>
        <w:t xml:space="preserve"> </w:t>
      </w:r>
      <w:r w:rsidR="009A118F">
        <w:rPr>
          <w:szCs w:val="22"/>
        </w:rPr>
        <w:t xml:space="preserve">is </w:t>
      </w:r>
      <w:r w:rsidR="00AE04FE">
        <w:rPr>
          <w:szCs w:val="22"/>
        </w:rPr>
        <w:t xml:space="preserve">not an off-the-shelf </w:t>
      </w:r>
      <w:r w:rsidRPr="00AA33C8" w:rsidR="009F699B">
        <w:rPr>
          <w:szCs w:val="22"/>
        </w:rPr>
        <w:t>consumer</w:t>
      </w:r>
      <w:r w:rsidR="00AE04FE">
        <w:rPr>
          <w:szCs w:val="22"/>
        </w:rPr>
        <w:t xml:space="preserve"> product</w:t>
      </w:r>
      <w:r w:rsidR="00C953ED">
        <w:rPr>
          <w:szCs w:val="22"/>
        </w:rPr>
        <w:t xml:space="preserve"> but is</w:t>
      </w:r>
      <w:r w:rsidR="00AE04FE">
        <w:rPr>
          <w:szCs w:val="22"/>
        </w:rPr>
        <w:t xml:space="preserve"> instead</w:t>
      </w:r>
      <w:r w:rsidR="00C953ED">
        <w:rPr>
          <w:szCs w:val="22"/>
        </w:rPr>
        <w:t xml:space="preserve"> limited to scientific</w:t>
      </w:r>
      <w:r w:rsidR="00ED3279">
        <w:rPr>
          <w:szCs w:val="22"/>
        </w:rPr>
        <w:t>,</w:t>
      </w:r>
      <w:r w:rsidR="00C953ED">
        <w:rPr>
          <w:szCs w:val="22"/>
        </w:rPr>
        <w:t xml:space="preserve"> </w:t>
      </w:r>
      <w:r w:rsidR="00ED3279">
        <w:rPr>
          <w:szCs w:val="22"/>
        </w:rPr>
        <w:t xml:space="preserve">commercial </w:t>
      </w:r>
      <w:r w:rsidR="00C953ED">
        <w:rPr>
          <w:szCs w:val="22"/>
        </w:rPr>
        <w:t>and engineering applications,</w:t>
      </w:r>
      <w:r>
        <w:rPr>
          <w:rStyle w:val="FootnoteReference"/>
          <w:szCs w:val="22"/>
        </w:rPr>
        <w:footnoteReference w:id="32"/>
      </w:r>
      <w:r w:rsidR="00C953ED">
        <w:rPr>
          <w:szCs w:val="22"/>
        </w:rPr>
        <w:t xml:space="preserve"> we find that allowing a small number of these units to operate will not cause harmful interference to other services in this band</w:t>
      </w:r>
      <w:r w:rsidR="00760701">
        <w:rPr>
          <w:szCs w:val="22"/>
        </w:rPr>
        <w:t xml:space="preserve"> for several reasons</w:t>
      </w:r>
      <w:r w:rsidR="00C953ED">
        <w:rPr>
          <w:szCs w:val="22"/>
        </w:rPr>
        <w:t xml:space="preserve">.  </w:t>
      </w:r>
      <w:r w:rsidR="00760701">
        <w:rPr>
          <w:szCs w:val="22"/>
        </w:rPr>
        <w:t xml:space="preserve">First, </w:t>
      </w:r>
      <w:r w:rsidR="00C953ED">
        <w:rPr>
          <w:szCs w:val="22"/>
        </w:rPr>
        <w:t xml:space="preserve">the Ictos </w:t>
      </w:r>
      <w:r w:rsidR="00D9170A">
        <w:rPr>
          <w:szCs w:val="22"/>
        </w:rPr>
        <w:t xml:space="preserve">device </w:t>
      </w:r>
      <w:r w:rsidR="00C953ED">
        <w:rPr>
          <w:szCs w:val="22"/>
        </w:rPr>
        <w:t>operates in the 60</w:t>
      </w:r>
      <w:r w:rsidR="00C953ED">
        <w:rPr>
          <w:szCs w:val="22"/>
        </w:rPr>
        <w:noBreakHyphen/>
        <w:t xml:space="preserve">64 GHz </w:t>
      </w:r>
      <w:r w:rsidR="002C76AD">
        <w:rPr>
          <w:szCs w:val="22"/>
        </w:rPr>
        <w:t xml:space="preserve">subset </w:t>
      </w:r>
      <w:r w:rsidR="00C953ED">
        <w:rPr>
          <w:szCs w:val="22"/>
        </w:rPr>
        <w:t xml:space="preserve">band of the larger 57-71 GHz band covered </w:t>
      </w:r>
      <w:r w:rsidR="002C76AD">
        <w:rPr>
          <w:szCs w:val="22"/>
        </w:rPr>
        <w:t>under</w:t>
      </w:r>
      <w:r w:rsidR="00C953ED">
        <w:rPr>
          <w:szCs w:val="22"/>
        </w:rPr>
        <w:t xml:space="preserve"> section 15.255</w:t>
      </w:r>
      <w:r w:rsidR="00DD648D">
        <w:rPr>
          <w:szCs w:val="22"/>
        </w:rPr>
        <w:t>;</w:t>
      </w:r>
      <w:r w:rsidR="002C76AD">
        <w:rPr>
          <w:szCs w:val="22"/>
        </w:rPr>
        <w:t xml:space="preserve"> </w:t>
      </w:r>
      <w:r w:rsidR="00DD648D">
        <w:rPr>
          <w:szCs w:val="22"/>
        </w:rPr>
        <w:t xml:space="preserve">the Ictos thus </w:t>
      </w:r>
      <w:r w:rsidR="00C953ED">
        <w:rPr>
          <w:szCs w:val="22"/>
        </w:rPr>
        <w:t xml:space="preserve">avoids the EESS </w:t>
      </w:r>
      <w:r w:rsidR="005C1B69">
        <w:rPr>
          <w:szCs w:val="22"/>
        </w:rPr>
        <w:t xml:space="preserve">passive </w:t>
      </w:r>
      <w:r w:rsidR="00C953ED">
        <w:rPr>
          <w:szCs w:val="22"/>
        </w:rPr>
        <w:t>service at 5</w:t>
      </w:r>
      <w:r w:rsidR="00C33A64">
        <w:rPr>
          <w:szCs w:val="22"/>
        </w:rPr>
        <w:t>7</w:t>
      </w:r>
      <w:r w:rsidR="00C953ED">
        <w:rPr>
          <w:szCs w:val="22"/>
        </w:rPr>
        <w:t>-59.</w:t>
      </w:r>
      <w:r w:rsidR="00296771">
        <w:rPr>
          <w:szCs w:val="22"/>
        </w:rPr>
        <w:t>3</w:t>
      </w:r>
      <w:r w:rsidR="00C953ED">
        <w:rPr>
          <w:szCs w:val="22"/>
        </w:rPr>
        <w:t> GHz band</w:t>
      </w:r>
      <w:r w:rsidR="00296771">
        <w:rPr>
          <w:szCs w:val="22"/>
        </w:rPr>
        <w:t xml:space="preserve">, </w:t>
      </w:r>
      <w:r w:rsidR="00DD648D">
        <w:rPr>
          <w:szCs w:val="22"/>
        </w:rPr>
        <w:t xml:space="preserve">resulting in </w:t>
      </w:r>
      <w:r w:rsidR="00296771">
        <w:rPr>
          <w:szCs w:val="22"/>
        </w:rPr>
        <w:t xml:space="preserve">a natural guard band from 59.3 GHz to 60 GHz that will protect EESS </w:t>
      </w:r>
      <w:r w:rsidR="002665DD">
        <w:rPr>
          <w:szCs w:val="22"/>
        </w:rPr>
        <w:t>operations</w:t>
      </w:r>
      <w:r w:rsidR="00C953ED">
        <w:rPr>
          <w:szCs w:val="22"/>
        </w:rPr>
        <w:t xml:space="preserve">.  </w:t>
      </w:r>
      <w:r w:rsidR="00760701">
        <w:rPr>
          <w:szCs w:val="22"/>
        </w:rPr>
        <w:t xml:space="preserve">Second, the Ictos only operates while the UA is in motion (and </w:t>
      </w:r>
      <w:r w:rsidR="00EB7A1B">
        <w:rPr>
          <w:szCs w:val="22"/>
        </w:rPr>
        <w:t>is turned off</w:t>
      </w:r>
      <w:r w:rsidR="00760701">
        <w:rPr>
          <w:szCs w:val="22"/>
        </w:rPr>
        <w:t xml:space="preserve"> when the UA is hovering)</w:t>
      </w:r>
      <w:r w:rsidR="00EB7A1B">
        <w:rPr>
          <w:szCs w:val="22"/>
        </w:rPr>
        <w:t>;</w:t>
      </w:r>
      <w:r>
        <w:rPr>
          <w:rStyle w:val="FootnoteReference"/>
          <w:szCs w:val="22"/>
        </w:rPr>
        <w:footnoteReference w:id="33"/>
      </w:r>
      <w:r w:rsidR="00760701">
        <w:rPr>
          <w:szCs w:val="22"/>
        </w:rPr>
        <w:t xml:space="preserve"> and because </w:t>
      </w:r>
      <w:r w:rsidR="00D74693">
        <w:rPr>
          <w:szCs w:val="22"/>
        </w:rPr>
        <w:t>60 GHz</w:t>
      </w:r>
      <w:r w:rsidR="00760701">
        <w:rPr>
          <w:szCs w:val="22"/>
        </w:rPr>
        <w:t xml:space="preserve"> communication systems tend to use narrow antenna beams, especially in fixed point</w:t>
      </w:r>
      <w:r w:rsidR="00760701">
        <w:rPr>
          <w:szCs w:val="22"/>
        </w:rPr>
        <w:noBreakHyphen/>
        <w:t>to</w:t>
      </w:r>
      <w:r w:rsidR="00760701">
        <w:rPr>
          <w:szCs w:val="22"/>
        </w:rPr>
        <w:noBreakHyphen/>
        <w:t>point outdoor communication links,</w:t>
      </w:r>
      <w:r>
        <w:rPr>
          <w:rStyle w:val="FootnoteReference"/>
          <w:szCs w:val="22"/>
        </w:rPr>
        <w:footnoteReference w:id="34"/>
      </w:r>
      <w:r w:rsidR="00760701">
        <w:rPr>
          <w:szCs w:val="22"/>
        </w:rPr>
        <w:t xml:space="preserve"> any harmful interference potential would be </w:t>
      </w:r>
      <w:r w:rsidR="00B335F8">
        <w:rPr>
          <w:szCs w:val="22"/>
        </w:rPr>
        <w:t>very short-lived.</w:t>
      </w:r>
      <w:r w:rsidR="00760701">
        <w:rPr>
          <w:szCs w:val="22"/>
        </w:rPr>
        <w:t xml:space="preserve">  Finally, as we will limit the number of </w:t>
      </w:r>
      <w:r w:rsidR="00D9170A">
        <w:rPr>
          <w:szCs w:val="22"/>
        </w:rPr>
        <w:t xml:space="preserve">Ictos devices </w:t>
      </w:r>
      <w:r w:rsidR="00760701">
        <w:rPr>
          <w:szCs w:val="22"/>
        </w:rPr>
        <w:t xml:space="preserve">per year, the use of </w:t>
      </w:r>
      <w:r w:rsidR="00EB7A1B">
        <w:rPr>
          <w:szCs w:val="22"/>
        </w:rPr>
        <w:t>the Ictos</w:t>
      </w:r>
      <w:r w:rsidR="00760701">
        <w:rPr>
          <w:szCs w:val="22"/>
        </w:rPr>
        <w:t xml:space="preserve"> </w:t>
      </w:r>
      <w:r w:rsidR="002665DD">
        <w:rPr>
          <w:szCs w:val="22"/>
        </w:rPr>
        <w:t xml:space="preserve">device </w:t>
      </w:r>
      <w:r w:rsidR="00760701">
        <w:rPr>
          <w:szCs w:val="22"/>
        </w:rPr>
        <w:t xml:space="preserve">will be restricted and contained.  Accordingly, we find that the Ictos </w:t>
      </w:r>
      <w:r w:rsidR="00D9170A">
        <w:rPr>
          <w:szCs w:val="22"/>
        </w:rPr>
        <w:t xml:space="preserve">device </w:t>
      </w:r>
      <w:r w:rsidR="00760701">
        <w:rPr>
          <w:szCs w:val="22"/>
        </w:rPr>
        <w:t xml:space="preserve">will not increase the potential for harmful interference to other services in the </w:t>
      </w:r>
      <w:r w:rsidR="00F05754">
        <w:rPr>
          <w:szCs w:val="22"/>
        </w:rPr>
        <w:t>60</w:t>
      </w:r>
      <w:r w:rsidR="00F05754">
        <w:rPr>
          <w:szCs w:val="22"/>
        </w:rPr>
        <w:noBreakHyphen/>
        <w:t>64</w:t>
      </w:r>
      <w:r w:rsidR="00760701">
        <w:rPr>
          <w:szCs w:val="22"/>
        </w:rPr>
        <w:t xml:space="preserve"> GHz band, thus </w:t>
      </w:r>
      <w:r w:rsidR="006527A7">
        <w:rPr>
          <w:szCs w:val="22"/>
        </w:rPr>
        <w:t>a waiver of section 15.255(a)(2)</w:t>
      </w:r>
      <w:r w:rsidR="00760701">
        <w:rPr>
          <w:szCs w:val="22"/>
        </w:rPr>
        <w:t xml:space="preserve"> would not undermine the purpose of </w:t>
      </w:r>
      <w:r w:rsidR="00EB7A1B">
        <w:rPr>
          <w:szCs w:val="22"/>
        </w:rPr>
        <w:t>our</w:t>
      </w:r>
      <w:r w:rsidR="00760701">
        <w:rPr>
          <w:szCs w:val="22"/>
        </w:rPr>
        <w:t xml:space="preserve"> rules. </w:t>
      </w:r>
    </w:p>
    <w:p w:rsidR="00870799" w:rsidP="00000940" w14:paraId="66E1687E" w14:textId="68EB5381">
      <w:pPr>
        <w:pStyle w:val="ParaNum"/>
        <w:widowControl/>
        <w:autoSpaceDE w:val="0"/>
        <w:autoSpaceDN w:val="0"/>
        <w:adjustRightInd w:val="0"/>
        <w:rPr>
          <w:szCs w:val="22"/>
        </w:rPr>
      </w:pPr>
      <w:r>
        <w:rPr>
          <w:szCs w:val="22"/>
        </w:rPr>
        <w:t xml:space="preserve">We </w:t>
      </w:r>
      <w:r w:rsidR="00A95812">
        <w:rPr>
          <w:szCs w:val="22"/>
        </w:rPr>
        <w:t>next</w:t>
      </w:r>
      <w:r>
        <w:rPr>
          <w:szCs w:val="22"/>
        </w:rPr>
        <w:t xml:space="preserve"> </w:t>
      </w:r>
      <w:r w:rsidR="00CF32F9">
        <w:rPr>
          <w:szCs w:val="22"/>
        </w:rPr>
        <w:t>address the waiver of the on</w:t>
      </w:r>
      <w:r w:rsidR="00CF32F9">
        <w:rPr>
          <w:szCs w:val="22"/>
        </w:rPr>
        <w:noBreakHyphen/>
        <w:t>board aircraft requirements of section 15.255(b)(2).</w:t>
      </w:r>
      <w:r w:rsidR="009C2389">
        <w:rPr>
          <w:szCs w:val="22"/>
        </w:rPr>
        <w:t xml:space="preserve">  </w:t>
      </w:r>
      <w:r w:rsidR="00D612BB">
        <w:rPr>
          <w:szCs w:val="22"/>
        </w:rPr>
        <w:t xml:space="preserve">This section allows </w:t>
      </w:r>
      <w:r w:rsidR="00D74693">
        <w:rPr>
          <w:szCs w:val="22"/>
        </w:rPr>
        <w:t>60 GHz</w:t>
      </w:r>
      <w:r w:rsidR="00D612BB">
        <w:rPr>
          <w:szCs w:val="22"/>
        </w:rPr>
        <w:t xml:space="preserve"> transmitters to operate on-board aircraft </w:t>
      </w:r>
      <w:r w:rsidR="00FF174F">
        <w:rPr>
          <w:szCs w:val="22"/>
        </w:rPr>
        <w:t xml:space="preserve">that are </w:t>
      </w:r>
      <w:r w:rsidR="0050110D">
        <w:rPr>
          <w:szCs w:val="22"/>
        </w:rPr>
        <w:t xml:space="preserve">equipped </w:t>
      </w:r>
      <w:r w:rsidR="00D612BB">
        <w:rPr>
          <w:szCs w:val="22"/>
        </w:rPr>
        <w:t xml:space="preserve">with </w:t>
      </w:r>
      <w:r w:rsidR="00FF174F">
        <w:rPr>
          <w:szCs w:val="22"/>
        </w:rPr>
        <w:t xml:space="preserve">a </w:t>
      </w:r>
      <w:r w:rsidR="00D612BB">
        <w:rPr>
          <w:szCs w:val="22"/>
        </w:rPr>
        <w:t xml:space="preserve">high radio frequency (RF) attenuation </w:t>
      </w:r>
      <w:r w:rsidR="0050110D">
        <w:rPr>
          <w:szCs w:val="22"/>
        </w:rPr>
        <w:t xml:space="preserve">body </w:t>
      </w:r>
      <w:r w:rsidR="00D612BB">
        <w:rPr>
          <w:szCs w:val="22"/>
        </w:rPr>
        <w:t xml:space="preserve">(e.g., commercial airliners) while forming a </w:t>
      </w:r>
      <w:r w:rsidRPr="00CC183F" w:rsidR="00CC183F">
        <w:rPr>
          <w:szCs w:val="22"/>
        </w:rPr>
        <w:t>“</w:t>
      </w:r>
      <w:r w:rsidRPr="00CC183F" w:rsidR="00CC183F">
        <w:rPr>
          <w:snapToGrid/>
          <w:color w:val="000000"/>
          <w:kern w:val="0"/>
          <w:szCs w:val="22"/>
        </w:rPr>
        <w:t>closed exclusive on-board communication networks within the aircraft</w:t>
      </w:r>
      <w:r w:rsidR="000B1851">
        <w:rPr>
          <w:snapToGrid/>
          <w:color w:val="000000"/>
          <w:kern w:val="0"/>
          <w:szCs w:val="22"/>
        </w:rPr>
        <w:t>.</w:t>
      </w:r>
      <w:r w:rsidR="00CC183F">
        <w:rPr>
          <w:snapToGrid/>
          <w:color w:val="000000"/>
          <w:kern w:val="0"/>
          <w:szCs w:val="22"/>
        </w:rPr>
        <w:t>”</w:t>
      </w:r>
      <w:r>
        <w:rPr>
          <w:rStyle w:val="FootnoteReference"/>
          <w:snapToGrid/>
          <w:kern w:val="0"/>
          <w:szCs w:val="22"/>
        </w:rPr>
        <w:footnoteReference w:id="35"/>
      </w:r>
      <w:r w:rsidR="00CC183F">
        <w:rPr>
          <w:snapToGrid/>
          <w:color w:val="000000"/>
          <w:kern w:val="0"/>
          <w:szCs w:val="22"/>
        </w:rPr>
        <w:t xml:space="preserve">  The rule specifically prohibits operation of </w:t>
      </w:r>
      <w:r w:rsidR="00D74693">
        <w:rPr>
          <w:szCs w:val="22"/>
        </w:rPr>
        <w:t>60</w:t>
      </w:r>
      <w:r w:rsidR="00A95812">
        <w:rPr>
          <w:szCs w:val="22"/>
        </w:rPr>
        <w:t> </w:t>
      </w:r>
      <w:r w:rsidR="00D74693">
        <w:rPr>
          <w:szCs w:val="22"/>
        </w:rPr>
        <w:t>GHz</w:t>
      </w:r>
      <w:r w:rsidR="00CC183F">
        <w:rPr>
          <w:snapToGrid/>
          <w:color w:val="000000"/>
          <w:kern w:val="0"/>
          <w:szCs w:val="22"/>
        </w:rPr>
        <w:t xml:space="preserve"> transmitters on-board U</w:t>
      </w:r>
      <w:r w:rsidR="0050110D">
        <w:rPr>
          <w:snapToGrid/>
          <w:color w:val="000000"/>
          <w:kern w:val="0"/>
          <w:szCs w:val="22"/>
        </w:rPr>
        <w:t>A</w:t>
      </w:r>
      <w:r w:rsidR="000B1851">
        <w:rPr>
          <w:snapToGrid/>
          <w:color w:val="000000"/>
          <w:kern w:val="0"/>
          <w:szCs w:val="22"/>
        </w:rPr>
        <w:t xml:space="preserve">; </w:t>
      </w:r>
      <w:r w:rsidR="00CC183F">
        <w:rPr>
          <w:snapToGrid/>
          <w:color w:val="000000"/>
          <w:kern w:val="0"/>
          <w:szCs w:val="22"/>
        </w:rPr>
        <w:t xml:space="preserve">these </w:t>
      </w:r>
      <w:r w:rsidR="000B1851">
        <w:rPr>
          <w:snapToGrid/>
          <w:color w:val="000000"/>
          <w:kern w:val="0"/>
          <w:szCs w:val="22"/>
        </w:rPr>
        <w:t xml:space="preserve">type of </w:t>
      </w:r>
      <w:r w:rsidR="00CC183F">
        <w:rPr>
          <w:snapToGrid/>
          <w:color w:val="000000"/>
          <w:kern w:val="0"/>
          <w:szCs w:val="22"/>
        </w:rPr>
        <w:t>aircraft do not provide substanti</w:t>
      </w:r>
      <w:r w:rsidR="001F1C9F">
        <w:rPr>
          <w:snapToGrid/>
          <w:color w:val="000000"/>
          <w:kern w:val="0"/>
          <w:szCs w:val="22"/>
        </w:rPr>
        <w:t>al</w:t>
      </w:r>
      <w:r w:rsidR="00CC183F">
        <w:rPr>
          <w:snapToGrid/>
          <w:color w:val="000000"/>
          <w:kern w:val="0"/>
          <w:szCs w:val="22"/>
        </w:rPr>
        <w:t xml:space="preserve"> RF shielding.  Th</w:t>
      </w:r>
      <w:r w:rsidR="008B435C">
        <w:rPr>
          <w:snapToGrid/>
          <w:color w:val="000000"/>
          <w:kern w:val="0"/>
          <w:szCs w:val="22"/>
        </w:rPr>
        <w:t>e rule serves to</w:t>
      </w:r>
      <w:r w:rsidR="00CC183F">
        <w:rPr>
          <w:snapToGrid/>
          <w:color w:val="000000"/>
          <w:kern w:val="0"/>
          <w:szCs w:val="22"/>
        </w:rPr>
        <w:t xml:space="preserve"> protect EESS</w:t>
      </w:r>
      <w:r w:rsidR="00F05754">
        <w:rPr>
          <w:snapToGrid/>
          <w:color w:val="000000"/>
          <w:kern w:val="0"/>
          <w:szCs w:val="22"/>
        </w:rPr>
        <w:t xml:space="preserve"> observations</w:t>
      </w:r>
      <w:r w:rsidR="00210640">
        <w:rPr>
          <w:snapToGrid/>
          <w:color w:val="000000"/>
          <w:kern w:val="0"/>
          <w:szCs w:val="22"/>
        </w:rPr>
        <w:t xml:space="preserve"> as well as Radio Astronomy Service (RAS) operations</w:t>
      </w:r>
      <w:r w:rsidR="00CC183F">
        <w:rPr>
          <w:snapToGrid/>
          <w:color w:val="000000"/>
          <w:kern w:val="0"/>
          <w:szCs w:val="22"/>
        </w:rPr>
        <w:t>.</w:t>
      </w:r>
      <w:r>
        <w:rPr>
          <w:rStyle w:val="FootnoteReference"/>
          <w:snapToGrid/>
          <w:kern w:val="0"/>
          <w:szCs w:val="22"/>
        </w:rPr>
        <w:footnoteReference w:id="36"/>
      </w:r>
      <w:r w:rsidR="00CC183F">
        <w:rPr>
          <w:snapToGrid/>
          <w:color w:val="000000"/>
          <w:kern w:val="0"/>
          <w:szCs w:val="22"/>
        </w:rPr>
        <w:t xml:space="preserve">  Although the Ictos </w:t>
      </w:r>
      <w:r w:rsidR="00AC0A3F">
        <w:rPr>
          <w:snapToGrid/>
          <w:color w:val="000000"/>
          <w:kern w:val="0"/>
          <w:szCs w:val="22"/>
        </w:rPr>
        <w:t>device</w:t>
      </w:r>
      <w:r w:rsidR="00CC183F">
        <w:rPr>
          <w:snapToGrid/>
          <w:color w:val="000000"/>
          <w:kern w:val="0"/>
          <w:szCs w:val="22"/>
        </w:rPr>
        <w:t xml:space="preserve"> will be installed on a UA, we find that</w:t>
      </w:r>
      <w:r w:rsidR="001F1C9F">
        <w:rPr>
          <w:snapToGrid/>
          <w:color w:val="000000"/>
          <w:kern w:val="0"/>
          <w:szCs w:val="22"/>
        </w:rPr>
        <w:t>,</w:t>
      </w:r>
      <w:r w:rsidR="00CC183F">
        <w:rPr>
          <w:snapToGrid/>
          <w:color w:val="000000"/>
          <w:kern w:val="0"/>
          <w:szCs w:val="22"/>
        </w:rPr>
        <w:t xml:space="preserve"> given </w:t>
      </w:r>
      <w:r w:rsidR="00AC0A3F">
        <w:rPr>
          <w:snapToGrid/>
          <w:color w:val="000000"/>
          <w:kern w:val="0"/>
          <w:szCs w:val="22"/>
        </w:rPr>
        <w:t xml:space="preserve">its </w:t>
      </w:r>
      <w:r w:rsidR="00FD363F">
        <w:rPr>
          <w:snapToGrid/>
          <w:color w:val="000000"/>
          <w:kern w:val="0"/>
          <w:szCs w:val="22"/>
        </w:rPr>
        <w:t>on-the-</w:t>
      </w:r>
      <w:r w:rsidR="00AC0A3F">
        <w:rPr>
          <w:snapToGrid/>
          <w:color w:val="000000"/>
          <w:kern w:val="0"/>
          <w:szCs w:val="22"/>
        </w:rPr>
        <w:t xml:space="preserve">air </w:t>
      </w:r>
      <w:r w:rsidR="00FD363F">
        <w:rPr>
          <w:snapToGrid/>
          <w:color w:val="000000"/>
          <w:kern w:val="0"/>
          <w:szCs w:val="22"/>
        </w:rPr>
        <w:t xml:space="preserve">limited </w:t>
      </w:r>
      <w:r w:rsidR="00AC0A3F">
        <w:rPr>
          <w:snapToGrid/>
          <w:color w:val="000000"/>
          <w:kern w:val="0"/>
          <w:szCs w:val="22"/>
        </w:rPr>
        <w:t>operation (</w:t>
      </w:r>
      <w:r w:rsidR="00CC183F">
        <w:rPr>
          <w:snapToGrid/>
          <w:color w:val="000000"/>
          <w:kern w:val="0"/>
          <w:szCs w:val="22"/>
        </w:rPr>
        <w:t>operation while the UA is in motion only</w:t>
      </w:r>
      <w:r w:rsidR="001F1C9F">
        <w:rPr>
          <w:snapToGrid/>
          <w:color w:val="000000"/>
          <w:kern w:val="0"/>
          <w:szCs w:val="22"/>
        </w:rPr>
        <w:t xml:space="preserve"> and not when the UA is hovering</w:t>
      </w:r>
      <w:r w:rsidR="00AC0A3F">
        <w:rPr>
          <w:snapToGrid/>
          <w:color w:val="000000"/>
          <w:kern w:val="0"/>
          <w:szCs w:val="22"/>
        </w:rPr>
        <w:t>)</w:t>
      </w:r>
      <w:r w:rsidR="00AD36BC">
        <w:rPr>
          <w:snapToGrid/>
          <w:color w:val="000000"/>
          <w:kern w:val="0"/>
          <w:szCs w:val="22"/>
        </w:rPr>
        <w:t>;</w:t>
      </w:r>
      <w:r w:rsidR="001F1C9F">
        <w:rPr>
          <w:snapToGrid/>
          <w:color w:val="000000"/>
          <w:kern w:val="0"/>
          <w:szCs w:val="22"/>
        </w:rPr>
        <w:t xml:space="preserve"> the choice of operating frequency band</w:t>
      </w:r>
      <w:r w:rsidR="00643E12">
        <w:rPr>
          <w:snapToGrid/>
          <w:color w:val="000000"/>
          <w:kern w:val="0"/>
          <w:szCs w:val="22"/>
        </w:rPr>
        <w:t xml:space="preserve"> that avoids the </w:t>
      </w:r>
      <w:r w:rsidR="00F05754">
        <w:rPr>
          <w:snapToGrid/>
          <w:color w:val="000000"/>
          <w:kern w:val="0"/>
          <w:szCs w:val="22"/>
        </w:rPr>
        <w:t xml:space="preserve">passive </w:t>
      </w:r>
      <w:r w:rsidR="00643E12">
        <w:rPr>
          <w:snapToGrid/>
          <w:color w:val="000000"/>
          <w:kern w:val="0"/>
          <w:szCs w:val="22"/>
        </w:rPr>
        <w:t>EESS band</w:t>
      </w:r>
      <w:r w:rsidR="00AD36BC">
        <w:rPr>
          <w:snapToGrid/>
          <w:color w:val="000000"/>
          <w:kern w:val="0"/>
          <w:szCs w:val="22"/>
        </w:rPr>
        <w:t>;</w:t>
      </w:r>
      <w:r w:rsidR="00CC183F">
        <w:rPr>
          <w:snapToGrid/>
          <w:color w:val="000000"/>
          <w:kern w:val="0"/>
          <w:szCs w:val="22"/>
        </w:rPr>
        <w:t xml:space="preserve"> and the limited number of installations</w:t>
      </w:r>
      <w:r w:rsidR="00AC0A3F">
        <w:rPr>
          <w:snapToGrid/>
          <w:color w:val="000000"/>
          <w:kern w:val="0"/>
          <w:szCs w:val="22"/>
        </w:rPr>
        <w:t xml:space="preserve"> and specialized use</w:t>
      </w:r>
      <w:r w:rsidR="00CC183F">
        <w:rPr>
          <w:snapToGrid/>
          <w:color w:val="000000"/>
          <w:kern w:val="0"/>
          <w:szCs w:val="22"/>
        </w:rPr>
        <w:t xml:space="preserve">, the Ictos would not cause harmful interference to EESS users.  </w:t>
      </w:r>
      <w:r w:rsidR="001F1C9F">
        <w:rPr>
          <w:snapToGrid/>
          <w:color w:val="000000"/>
          <w:kern w:val="0"/>
          <w:szCs w:val="22"/>
        </w:rPr>
        <w:t xml:space="preserve">The natural guard band between the EESS </w:t>
      </w:r>
      <w:r w:rsidR="005C1B69">
        <w:rPr>
          <w:snapToGrid/>
          <w:color w:val="000000"/>
          <w:kern w:val="0"/>
          <w:szCs w:val="22"/>
        </w:rPr>
        <w:t xml:space="preserve">passive </w:t>
      </w:r>
      <w:r w:rsidR="001F1C9F">
        <w:rPr>
          <w:snapToGrid/>
          <w:color w:val="000000"/>
          <w:kern w:val="0"/>
          <w:szCs w:val="22"/>
        </w:rPr>
        <w:t xml:space="preserve">service </w:t>
      </w:r>
      <w:r w:rsidR="005C1B69">
        <w:rPr>
          <w:snapToGrid/>
          <w:color w:val="000000"/>
          <w:kern w:val="0"/>
          <w:szCs w:val="22"/>
        </w:rPr>
        <w:t>at</w:t>
      </w:r>
      <w:r w:rsidR="001F1C9F">
        <w:rPr>
          <w:snapToGrid/>
          <w:color w:val="000000"/>
          <w:kern w:val="0"/>
          <w:szCs w:val="22"/>
        </w:rPr>
        <w:t xml:space="preserve"> 57</w:t>
      </w:r>
      <w:r w:rsidR="001F1C9F">
        <w:rPr>
          <w:snapToGrid/>
          <w:color w:val="000000"/>
          <w:kern w:val="0"/>
          <w:szCs w:val="22"/>
        </w:rPr>
        <w:noBreakHyphen/>
        <w:t xml:space="preserve">59.3 GHz and the Ictos operating band </w:t>
      </w:r>
      <w:r w:rsidR="005C1B69">
        <w:rPr>
          <w:snapToGrid/>
          <w:color w:val="000000"/>
          <w:kern w:val="0"/>
          <w:szCs w:val="22"/>
        </w:rPr>
        <w:t>at</w:t>
      </w:r>
      <w:r w:rsidR="001F1C9F">
        <w:rPr>
          <w:snapToGrid/>
          <w:color w:val="000000"/>
          <w:kern w:val="0"/>
          <w:szCs w:val="22"/>
        </w:rPr>
        <w:t xml:space="preserve"> 60-64 GHz protects EESS users.  </w:t>
      </w:r>
      <w:r w:rsidRPr="00A86A74" w:rsidR="001F1C9F">
        <w:t xml:space="preserve">Regarding RAS, for which there is no allocation in the </w:t>
      </w:r>
      <w:r w:rsidRPr="00ED1F87" w:rsidR="006C348A">
        <w:rPr>
          <w:szCs w:val="22"/>
        </w:rPr>
        <w:t>57</w:t>
      </w:r>
      <w:r w:rsidR="006C348A">
        <w:rPr>
          <w:szCs w:val="22"/>
        </w:rPr>
        <w:noBreakHyphen/>
      </w:r>
      <w:r w:rsidRPr="00ED1F87" w:rsidR="006C348A">
        <w:rPr>
          <w:szCs w:val="22"/>
        </w:rPr>
        <w:t>71</w:t>
      </w:r>
      <w:r w:rsidR="006C348A">
        <w:rPr>
          <w:szCs w:val="22"/>
        </w:rPr>
        <w:t> </w:t>
      </w:r>
      <w:r w:rsidRPr="00ED1F87" w:rsidR="006C348A">
        <w:rPr>
          <w:szCs w:val="22"/>
        </w:rPr>
        <w:t>GHz</w:t>
      </w:r>
      <w:r w:rsidRPr="00A86A74" w:rsidR="001F1C9F">
        <w:t xml:space="preserve"> band,</w:t>
      </w:r>
      <w:r w:rsidR="001F1C9F">
        <w:t xml:space="preserve"> our strict out</w:t>
      </w:r>
      <w:r w:rsidR="001F1C9F">
        <w:noBreakHyphen/>
        <w:t>o</w:t>
      </w:r>
      <w:r w:rsidR="00F367EA">
        <w:t>f</w:t>
      </w:r>
      <w:r w:rsidR="001F1C9F">
        <w:noBreakHyphen/>
        <w:t xml:space="preserve">band limits in the rules </w:t>
      </w:r>
      <w:r w:rsidR="00B335F8">
        <w:t xml:space="preserve">already </w:t>
      </w:r>
      <w:r w:rsidR="001F1C9F">
        <w:t>prevent any increase in potential harmful interference caused by the Ictos’ operation</w:t>
      </w:r>
      <w:r w:rsidR="00F367EA">
        <w:t xml:space="preserve">.  Furthermore, the Ictos </w:t>
      </w:r>
      <w:r w:rsidR="000B1851">
        <w:t>would operate with</w:t>
      </w:r>
      <w:r w:rsidR="00F367EA">
        <w:t xml:space="preserve"> out-of-band emissions </w:t>
      </w:r>
      <w:r w:rsidR="000B1851">
        <w:t xml:space="preserve">that </w:t>
      </w:r>
      <w:r w:rsidR="00F367EA">
        <w:t>are 10 dB lower than our limit</w:t>
      </w:r>
      <w:r w:rsidR="00BE547C">
        <w:t xml:space="preserve"> </w:t>
      </w:r>
      <w:r w:rsidR="006131D7">
        <w:t xml:space="preserve">for frequencies </w:t>
      </w:r>
      <w:r w:rsidR="00BE547C">
        <w:t>below 40 GHz</w:t>
      </w:r>
      <w:r w:rsidR="006131D7">
        <w:t>,</w:t>
      </w:r>
      <w:r w:rsidR="00BE547C">
        <w:t xml:space="preserve"> and 41.3 dB lower than our limit in the 40</w:t>
      </w:r>
      <w:r w:rsidR="00BE547C">
        <w:noBreakHyphen/>
        <w:t>200 GHz band</w:t>
      </w:r>
      <w:r w:rsidR="001F1C9F">
        <w:t>.</w:t>
      </w:r>
      <w:r>
        <w:rPr>
          <w:rStyle w:val="FootnoteReference"/>
        </w:rPr>
        <w:footnoteReference w:id="37"/>
      </w:r>
      <w:r w:rsidR="001F1C9F">
        <w:t xml:space="preserve"> </w:t>
      </w:r>
      <w:r>
        <w:t xml:space="preserve"> </w:t>
      </w:r>
      <w:r w:rsidR="00536913">
        <w:t>W</w:t>
      </w:r>
      <w:r>
        <w:t xml:space="preserve">e </w:t>
      </w:r>
      <w:r w:rsidR="00536913">
        <w:t xml:space="preserve">therefore </w:t>
      </w:r>
      <w:r>
        <w:t xml:space="preserve">find that with the restrictions as discussed above, </w:t>
      </w:r>
      <w:r>
        <w:rPr>
          <w:szCs w:val="22"/>
        </w:rPr>
        <w:t xml:space="preserve">the Ictos </w:t>
      </w:r>
      <w:r w:rsidR="00315265">
        <w:rPr>
          <w:szCs w:val="22"/>
        </w:rPr>
        <w:t xml:space="preserve">device </w:t>
      </w:r>
      <w:r>
        <w:rPr>
          <w:szCs w:val="22"/>
        </w:rPr>
        <w:t xml:space="preserve">will not increase the potential for harmful interference to other services in the </w:t>
      </w:r>
      <w:r w:rsidRPr="00ED1F87" w:rsidR="006C348A">
        <w:rPr>
          <w:szCs w:val="22"/>
        </w:rPr>
        <w:t>57</w:t>
      </w:r>
      <w:r w:rsidR="006C348A">
        <w:rPr>
          <w:szCs w:val="22"/>
        </w:rPr>
        <w:noBreakHyphen/>
      </w:r>
      <w:r w:rsidRPr="00ED1F87" w:rsidR="006C348A">
        <w:rPr>
          <w:szCs w:val="22"/>
        </w:rPr>
        <w:t>71</w:t>
      </w:r>
      <w:r w:rsidR="006C348A">
        <w:rPr>
          <w:szCs w:val="22"/>
        </w:rPr>
        <w:t> </w:t>
      </w:r>
      <w:r w:rsidRPr="00ED1F87" w:rsidR="006C348A">
        <w:rPr>
          <w:szCs w:val="22"/>
        </w:rPr>
        <w:t>GHz</w:t>
      </w:r>
      <w:r>
        <w:rPr>
          <w:szCs w:val="22"/>
        </w:rPr>
        <w:t xml:space="preserve"> band</w:t>
      </w:r>
      <w:r w:rsidR="00AD36BC">
        <w:rPr>
          <w:szCs w:val="22"/>
        </w:rPr>
        <w:t>.</w:t>
      </w:r>
      <w:r>
        <w:rPr>
          <w:szCs w:val="22"/>
        </w:rPr>
        <w:t xml:space="preserve"> </w:t>
      </w:r>
      <w:r w:rsidR="00AD36BC">
        <w:rPr>
          <w:szCs w:val="22"/>
        </w:rPr>
        <w:t xml:space="preserve"> Accordingly,</w:t>
      </w:r>
      <w:r>
        <w:rPr>
          <w:szCs w:val="22"/>
        </w:rPr>
        <w:t xml:space="preserve"> </w:t>
      </w:r>
      <w:r w:rsidR="006527A7">
        <w:rPr>
          <w:szCs w:val="22"/>
        </w:rPr>
        <w:t>a waiver of section 15.255(b)(2)</w:t>
      </w:r>
      <w:r>
        <w:rPr>
          <w:szCs w:val="22"/>
        </w:rPr>
        <w:t xml:space="preserve"> would not undermine the purpose of our rules. </w:t>
      </w:r>
    </w:p>
    <w:p w:rsidR="00916B3B" w:rsidRPr="00D55AE7" w:rsidP="00000940" w14:paraId="7072A22E" w14:textId="7320C435">
      <w:pPr>
        <w:pStyle w:val="ParaNum"/>
        <w:widowControl/>
        <w:rPr>
          <w:szCs w:val="22"/>
        </w:rPr>
      </w:pPr>
      <w:r w:rsidRPr="00987D32">
        <w:rPr>
          <w:szCs w:val="22"/>
        </w:rPr>
        <w:t>Finally, we address the waiver of the FDS transmit power limits in section 15.255(c)(3).  This section limits</w:t>
      </w:r>
      <w:r w:rsidRPr="00987D32" w:rsidR="00D31F83">
        <w:rPr>
          <w:szCs w:val="22"/>
        </w:rPr>
        <w:t xml:space="preserve"> </w:t>
      </w:r>
      <w:r w:rsidRPr="00D55AE7" w:rsidR="009F148E">
        <w:rPr>
          <w:snapToGrid/>
          <w:color w:val="000000"/>
          <w:kern w:val="0"/>
          <w:szCs w:val="22"/>
        </w:rPr>
        <w:t>the peak EIRP level to less than +10 dBm</w:t>
      </w:r>
      <w:r w:rsidR="000B1851">
        <w:rPr>
          <w:snapToGrid/>
          <w:color w:val="000000"/>
          <w:kern w:val="0"/>
          <w:szCs w:val="22"/>
        </w:rPr>
        <w:t xml:space="preserve"> to protect communication devices that operate in the band</w:t>
      </w:r>
      <w:r w:rsidRPr="00987D32" w:rsidR="009F148E">
        <w:rPr>
          <w:snapToGrid/>
          <w:color w:val="000000"/>
          <w:kern w:val="0"/>
          <w:szCs w:val="22"/>
        </w:rPr>
        <w:t>.</w:t>
      </w:r>
      <w:r>
        <w:rPr>
          <w:rStyle w:val="FootnoteReference"/>
          <w:szCs w:val="22"/>
        </w:rPr>
        <w:footnoteReference w:id="38"/>
      </w:r>
      <w:r w:rsidR="000B1851">
        <w:rPr>
          <w:snapToGrid/>
          <w:color w:val="000000"/>
          <w:kern w:val="0"/>
          <w:szCs w:val="22"/>
        </w:rPr>
        <w:t xml:space="preserve">  </w:t>
      </w:r>
      <w:r w:rsidRPr="00B1334E" w:rsidR="000B1851">
        <w:rPr>
          <w:szCs w:val="22"/>
        </w:rPr>
        <w:t>The Ictos</w:t>
      </w:r>
      <w:r w:rsidR="000B1851">
        <w:rPr>
          <w:szCs w:val="22"/>
        </w:rPr>
        <w:t xml:space="preserve"> device</w:t>
      </w:r>
      <w:r w:rsidRPr="00B1334E" w:rsidR="000B1851">
        <w:rPr>
          <w:szCs w:val="22"/>
        </w:rPr>
        <w:t xml:space="preserve"> transmits at 0 dBm average EIRP</w:t>
      </w:r>
      <w:r>
        <w:rPr>
          <w:rStyle w:val="FootnoteReference"/>
          <w:szCs w:val="22"/>
        </w:rPr>
        <w:footnoteReference w:id="39"/>
      </w:r>
      <w:r w:rsidRPr="00B1334E" w:rsidR="000B1851">
        <w:rPr>
          <w:szCs w:val="22"/>
        </w:rPr>
        <w:t xml:space="preserve"> and +19 dBm peak EIRP.</w:t>
      </w:r>
      <w:r w:rsidRPr="00987D32">
        <w:rPr>
          <w:szCs w:val="22"/>
        </w:rPr>
        <w:t xml:space="preserve"> </w:t>
      </w:r>
      <w:r w:rsidRPr="00987D32" w:rsidR="009F148E">
        <w:rPr>
          <w:szCs w:val="22"/>
        </w:rPr>
        <w:t xml:space="preserve"> </w:t>
      </w:r>
      <w:r w:rsidRPr="00D55AE7" w:rsidR="009F148E">
        <w:rPr>
          <w:szCs w:val="22"/>
        </w:rPr>
        <w:t>We find that</w:t>
      </w:r>
      <w:r w:rsidR="008B435C">
        <w:rPr>
          <w:szCs w:val="22"/>
        </w:rPr>
        <w:t>,</w:t>
      </w:r>
      <w:r w:rsidR="00787315">
        <w:rPr>
          <w:szCs w:val="22"/>
        </w:rPr>
        <w:t xml:space="preserve"> based on how </w:t>
      </w:r>
      <w:r w:rsidR="008B435C">
        <w:rPr>
          <w:szCs w:val="22"/>
        </w:rPr>
        <w:t>the I</w:t>
      </w:r>
      <w:r w:rsidR="00787315">
        <w:rPr>
          <w:szCs w:val="22"/>
        </w:rPr>
        <w:t>ctos will operate, a</w:t>
      </w:r>
      <w:r w:rsidRPr="00987D32" w:rsidR="009F148E">
        <w:rPr>
          <w:szCs w:val="22"/>
        </w:rPr>
        <w:t xml:space="preserve"> 9 dB increase in peak </w:t>
      </w:r>
      <w:r w:rsidRPr="00D55AE7" w:rsidR="00FF1661">
        <w:rPr>
          <w:szCs w:val="22"/>
        </w:rPr>
        <w:t xml:space="preserve">EIRP will not cause harmful interference to other users in the </w:t>
      </w:r>
      <w:r w:rsidRPr="00D55AE7" w:rsidR="005F5CA9">
        <w:rPr>
          <w:szCs w:val="22"/>
        </w:rPr>
        <w:t>60</w:t>
      </w:r>
      <w:r w:rsidRPr="00D55AE7" w:rsidR="005F5CA9">
        <w:rPr>
          <w:szCs w:val="22"/>
        </w:rPr>
        <w:noBreakHyphen/>
        <w:t>64</w:t>
      </w:r>
      <w:r w:rsidRPr="00D55AE7" w:rsidR="00FF1661">
        <w:rPr>
          <w:szCs w:val="22"/>
        </w:rPr>
        <w:t> GHz ban</w:t>
      </w:r>
      <w:r w:rsidR="008B435C">
        <w:rPr>
          <w:szCs w:val="22"/>
        </w:rPr>
        <w:t>d</w:t>
      </w:r>
      <w:r w:rsidR="000B1851">
        <w:rPr>
          <w:szCs w:val="22"/>
        </w:rPr>
        <w:t>.  T</w:t>
      </w:r>
      <w:r w:rsidRPr="00D55AE7" w:rsidR="002B7CB4">
        <w:rPr>
          <w:szCs w:val="22"/>
        </w:rPr>
        <w:t xml:space="preserve">he high oxygen attenuation at frequencies around 60 GHz, added to the fact that the UA is mostly </w:t>
      </w:r>
      <w:r w:rsidRPr="00D55AE7" w:rsidR="004C14D8">
        <w:rPr>
          <w:szCs w:val="22"/>
        </w:rPr>
        <w:t xml:space="preserve">in </w:t>
      </w:r>
      <w:r w:rsidRPr="00D55AE7" w:rsidR="002B7CB4">
        <w:rPr>
          <w:szCs w:val="22"/>
        </w:rPr>
        <w:t xml:space="preserve">motion, </w:t>
      </w:r>
      <w:r w:rsidR="000B1851">
        <w:rPr>
          <w:szCs w:val="22"/>
        </w:rPr>
        <w:t xml:space="preserve">will serve to mitigate any </w:t>
      </w:r>
      <w:r w:rsidRPr="00D55AE7" w:rsidR="002B7CB4">
        <w:rPr>
          <w:szCs w:val="22"/>
        </w:rPr>
        <w:t xml:space="preserve">potential </w:t>
      </w:r>
      <w:r w:rsidR="000B1851">
        <w:rPr>
          <w:szCs w:val="22"/>
        </w:rPr>
        <w:t xml:space="preserve">for </w:t>
      </w:r>
      <w:r w:rsidRPr="00987D32" w:rsidR="002B7CB4">
        <w:rPr>
          <w:szCs w:val="22"/>
        </w:rPr>
        <w:t>harmful interference</w:t>
      </w:r>
      <w:r w:rsidRPr="00987D32" w:rsidR="00CB4920">
        <w:rPr>
          <w:szCs w:val="22"/>
        </w:rPr>
        <w:t xml:space="preserve"> to other users</w:t>
      </w:r>
      <w:r w:rsidRPr="00D55AE7" w:rsidR="002B7CB4">
        <w:rPr>
          <w:szCs w:val="22"/>
        </w:rPr>
        <w:t xml:space="preserve">.  In addition, as discussed above, fixed </w:t>
      </w:r>
      <w:r w:rsidRPr="00D55AE7" w:rsidR="000C11F2">
        <w:rPr>
          <w:szCs w:val="22"/>
        </w:rPr>
        <w:t>outdoor point</w:t>
      </w:r>
      <w:r w:rsidRPr="00D55AE7" w:rsidR="000C11F2">
        <w:rPr>
          <w:szCs w:val="22"/>
        </w:rPr>
        <w:noBreakHyphen/>
        <w:t>to</w:t>
      </w:r>
      <w:r w:rsidRPr="00D55AE7" w:rsidR="000C11F2">
        <w:rPr>
          <w:szCs w:val="22"/>
        </w:rPr>
        <w:noBreakHyphen/>
        <w:t xml:space="preserve">point </w:t>
      </w:r>
      <w:r w:rsidRPr="00D55AE7" w:rsidR="00D74693">
        <w:rPr>
          <w:szCs w:val="22"/>
        </w:rPr>
        <w:t>60 GHz</w:t>
      </w:r>
      <w:r w:rsidRPr="00D55AE7" w:rsidR="000C11F2">
        <w:rPr>
          <w:szCs w:val="22"/>
        </w:rPr>
        <w:t xml:space="preserve"> transmitters use</w:t>
      </w:r>
      <w:r w:rsidR="000B1851">
        <w:rPr>
          <w:szCs w:val="22"/>
        </w:rPr>
        <w:t xml:space="preserve"> </w:t>
      </w:r>
      <w:r w:rsidRPr="00987D32" w:rsidR="000C11F2">
        <w:rPr>
          <w:szCs w:val="22"/>
        </w:rPr>
        <w:t xml:space="preserve">narrow antenna beams, </w:t>
      </w:r>
      <w:r w:rsidRPr="00D55AE7" w:rsidR="00D34199">
        <w:rPr>
          <w:szCs w:val="22"/>
        </w:rPr>
        <w:t xml:space="preserve">thus </w:t>
      </w:r>
      <w:r w:rsidR="00D34199">
        <w:t xml:space="preserve">the likelihood </w:t>
      </w:r>
      <w:r w:rsidR="00FF174F">
        <w:t xml:space="preserve">that </w:t>
      </w:r>
      <w:r w:rsidR="00D34199">
        <w:t>a UA</w:t>
      </w:r>
      <w:r w:rsidR="006527A7">
        <w:t xml:space="preserve"> </w:t>
      </w:r>
      <w:r w:rsidR="00D34199">
        <w:t xml:space="preserve">equipped with the Ictos </w:t>
      </w:r>
      <w:r w:rsidR="000B1851">
        <w:t>device</w:t>
      </w:r>
      <w:r w:rsidR="00D34199">
        <w:t xml:space="preserve"> </w:t>
      </w:r>
      <w:r w:rsidRPr="00222536" w:rsidR="00D34199">
        <w:t xml:space="preserve">would be located within </w:t>
      </w:r>
      <w:r w:rsidR="004C14D8">
        <w:t xml:space="preserve">the </w:t>
      </w:r>
      <w:r w:rsidR="008B6B61">
        <w:t xml:space="preserve">antenna </w:t>
      </w:r>
      <w:r w:rsidRPr="00222536" w:rsidR="00D34199">
        <w:t>beamwidth</w:t>
      </w:r>
      <w:r w:rsidR="00D34199">
        <w:t xml:space="preserve"> </w:t>
      </w:r>
      <w:r w:rsidR="004C14D8">
        <w:t xml:space="preserve">of these transmitters </w:t>
      </w:r>
      <w:r w:rsidR="00D34199">
        <w:t xml:space="preserve">is </w:t>
      </w:r>
      <w:r w:rsidR="008B6B61">
        <w:t>very small</w:t>
      </w:r>
      <w:r w:rsidR="00D34199">
        <w:t>.</w:t>
      </w:r>
      <w:r w:rsidR="008B6B61">
        <w:t xml:space="preserve">  Accordingly, we find that with the restrictions as discussed above,</w:t>
      </w:r>
      <w:r w:rsidR="000B1851">
        <w:t xml:space="preserve"> </w:t>
      </w:r>
      <w:r w:rsidR="000B1851">
        <w:rPr>
          <w:szCs w:val="22"/>
        </w:rPr>
        <w:t>Leica’s</w:t>
      </w:r>
      <w:r w:rsidRPr="00987D32" w:rsidR="008B6B61">
        <w:rPr>
          <w:szCs w:val="22"/>
        </w:rPr>
        <w:t xml:space="preserve"> </w:t>
      </w:r>
      <w:r w:rsidRPr="00D55AE7" w:rsidR="008B6B61">
        <w:rPr>
          <w:szCs w:val="22"/>
        </w:rPr>
        <w:t xml:space="preserve">Ictos </w:t>
      </w:r>
      <w:r w:rsidR="00315265">
        <w:rPr>
          <w:szCs w:val="22"/>
        </w:rPr>
        <w:t xml:space="preserve">device </w:t>
      </w:r>
      <w:r w:rsidRPr="00D55AE7" w:rsidR="008B6B61">
        <w:rPr>
          <w:szCs w:val="22"/>
        </w:rPr>
        <w:t>will not increase the potential for harmful interference to other services in the 57</w:t>
      </w:r>
      <w:r w:rsidRPr="00D55AE7" w:rsidR="008B6B61">
        <w:rPr>
          <w:szCs w:val="22"/>
        </w:rPr>
        <w:noBreakHyphen/>
        <w:t>71 GHz band, th</w:t>
      </w:r>
      <w:r w:rsidRPr="00D55AE7" w:rsidR="00AD36BC">
        <w:rPr>
          <w:szCs w:val="22"/>
        </w:rPr>
        <w:t>us</w:t>
      </w:r>
      <w:r w:rsidRPr="00D55AE7" w:rsidR="008B6B61">
        <w:rPr>
          <w:szCs w:val="22"/>
        </w:rPr>
        <w:t xml:space="preserve"> </w:t>
      </w:r>
      <w:r w:rsidRPr="00D55AE7" w:rsidR="006527A7">
        <w:rPr>
          <w:szCs w:val="22"/>
        </w:rPr>
        <w:t xml:space="preserve">a waiver of section 15.255(c)(3) </w:t>
      </w:r>
      <w:r w:rsidRPr="00D55AE7" w:rsidR="008B6B61">
        <w:rPr>
          <w:szCs w:val="22"/>
        </w:rPr>
        <w:t>would not undermine the purpose of our rules.</w:t>
      </w:r>
    </w:p>
    <w:bookmarkEnd w:id="4"/>
    <w:bookmarkEnd w:id="5"/>
    <w:p w:rsidR="0068669E" w:rsidRPr="00315265" w:rsidP="00000940" w14:paraId="78C4BAF0" w14:textId="2293F23C">
      <w:pPr>
        <w:pStyle w:val="ParaNum"/>
        <w:widowControl/>
        <w:rPr>
          <w:szCs w:val="22"/>
        </w:rPr>
      </w:pPr>
      <w:r w:rsidRPr="00ED1F87">
        <w:rPr>
          <w:szCs w:val="22"/>
        </w:rPr>
        <w:t xml:space="preserve">In addition, </w:t>
      </w:r>
      <w:r w:rsidRPr="00ED1F87" w:rsidR="000C062C">
        <w:rPr>
          <w:szCs w:val="22"/>
        </w:rPr>
        <w:t xml:space="preserve">we find that </w:t>
      </w:r>
      <w:r w:rsidRPr="00ED1F87">
        <w:rPr>
          <w:szCs w:val="22"/>
        </w:rPr>
        <w:t xml:space="preserve">there is a stronger public interest benefit in granting this waiver than in strictly applying the rule.  </w:t>
      </w:r>
      <w:r w:rsidRPr="00B052C3" w:rsidR="00AA13F3">
        <w:rPr>
          <w:snapToGrid/>
          <w:kern w:val="0"/>
          <w:szCs w:val="22"/>
        </w:rPr>
        <w:t>The ability to safely operate a UA close to a structure opens a number of engineering and scientific applications that are not otherwise practicable.</w:t>
      </w:r>
      <w:r>
        <w:rPr>
          <w:rStyle w:val="FootnoteReference"/>
          <w:snapToGrid/>
          <w:kern w:val="0"/>
          <w:szCs w:val="22"/>
        </w:rPr>
        <w:footnoteReference w:id="40"/>
      </w:r>
      <w:r w:rsidRPr="00ED1F87" w:rsidR="00C864A2">
        <w:rPr>
          <w:szCs w:val="22"/>
        </w:rPr>
        <w:t xml:space="preserve">  </w:t>
      </w:r>
      <w:r w:rsidRPr="00ED1F87" w:rsidR="000C062C">
        <w:rPr>
          <w:szCs w:val="22"/>
        </w:rPr>
        <w:t>Such benefits can be achieved</w:t>
      </w:r>
      <w:r w:rsidR="00576FF5">
        <w:rPr>
          <w:szCs w:val="22"/>
        </w:rPr>
        <w:t>, as Leica asserts,</w:t>
      </w:r>
      <w:r w:rsidRPr="00ED1F87" w:rsidR="000C062C">
        <w:rPr>
          <w:szCs w:val="22"/>
        </w:rPr>
        <w:t xml:space="preserve"> by </w:t>
      </w:r>
      <w:r w:rsidR="00E63649">
        <w:rPr>
          <w:szCs w:val="22"/>
        </w:rPr>
        <w:t>operating in the 60</w:t>
      </w:r>
      <w:r w:rsidR="00E63649">
        <w:rPr>
          <w:szCs w:val="22"/>
        </w:rPr>
        <w:noBreakHyphen/>
        <w:t xml:space="preserve">64 GHz band to </w:t>
      </w:r>
      <w:r w:rsidRPr="00ED1F87" w:rsidR="000C062C">
        <w:rPr>
          <w:szCs w:val="22"/>
        </w:rPr>
        <w:t>maximiz</w:t>
      </w:r>
      <w:r w:rsidR="00E63649">
        <w:rPr>
          <w:szCs w:val="22"/>
        </w:rPr>
        <w:t>e</w:t>
      </w:r>
      <w:r w:rsidRPr="00ED1F87" w:rsidR="000C062C">
        <w:rPr>
          <w:szCs w:val="22"/>
        </w:rPr>
        <w:t xml:space="preserve"> the </w:t>
      </w:r>
      <w:r w:rsidR="00822DA4">
        <w:rPr>
          <w:szCs w:val="22"/>
        </w:rPr>
        <w:t>Ictos</w:t>
      </w:r>
      <w:r w:rsidRPr="00ED1F87" w:rsidR="000C062C">
        <w:rPr>
          <w:szCs w:val="22"/>
        </w:rPr>
        <w:t xml:space="preserve"> devices</w:t>
      </w:r>
      <w:r w:rsidR="00E63649">
        <w:rPr>
          <w:szCs w:val="22"/>
        </w:rPr>
        <w:t xml:space="preserve">’ detection </w:t>
      </w:r>
      <w:r w:rsidR="00E63649">
        <w:rPr>
          <w:szCs w:val="22"/>
        </w:rPr>
        <w:t xml:space="preserve">of </w:t>
      </w:r>
      <w:r w:rsidRPr="00B052C3" w:rsidR="00163E8A">
        <w:rPr>
          <w:snapToGrid/>
          <w:kern w:val="0"/>
          <w:szCs w:val="22"/>
        </w:rPr>
        <w:t>thin objects, such as cables, down to 2.5 mm in width</w:t>
      </w:r>
      <w:r w:rsidR="00163E8A">
        <w:rPr>
          <w:snapToGrid/>
          <w:kern w:val="0"/>
          <w:szCs w:val="22"/>
        </w:rPr>
        <w:t xml:space="preserve">, thus avoiding </w:t>
      </w:r>
      <w:r w:rsidR="00E63649">
        <w:rPr>
          <w:snapToGrid/>
          <w:kern w:val="0"/>
          <w:szCs w:val="22"/>
        </w:rPr>
        <w:t>collision with building structures and falling debris from the collision.</w:t>
      </w:r>
      <w:r>
        <w:rPr>
          <w:rStyle w:val="FootnoteReference"/>
          <w:snapToGrid/>
          <w:kern w:val="0"/>
          <w:szCs w:val="22"/>
        </w:rPr>
        <w:footnoteReference w:id="41"/>
      </w:r>
      <w:r w:rsidR="00E63649">
        <w:rPr>
          <w:snapToGrid/>
          <w:kern w:val="0"/>
          <w:szCs w:val="22"/>
        </w:rPr>
        <w:t xml:space="preserve">  </w:t>
      </w:r>
      <w:r w:rsidR="002D4FC2">
        <w:rPr>
          <w:snapToGrid/>
          <w:kern w:val="0"/>
          <w:szCs w:val="22"/>
        </w:rPr>
        <w:t>This ability w</w:t>
      </w:r>
      <w:r w:rsidR="00576FF5">
        <w:rPr>
          <w:snapToGrid/>
          <w:kern w:val="0"/>
          <w:szCs w:val="22"/>
        </w:rPr>
        <w:t>ould</w:t>
      </w:r>
      <w:r w:rsidR="002D4FC2">
        <w:rPr>
          <w:snapToGrid/>
          <w:kern w:val="0"/>
          <w:szCs w:val="22"/>
        </w:rPr>
        <w:t xml:space="preserve"> improve safety considerations for property and people</w:t>
      </w:r>
      <w:r w:rsidR="00CC61EA">
        <w:rPr>
          <w:snapToGrid/>
          <w:kern w:val="0"/>
          <w:szCs w:val="22"/>
        </w:rPr>
        <w:t xml:space="preserve">, and could facilitate applications such as </w:t>
      </w:r>
      <w:r w:rsidRPr="000171DC" w:rsidR="00CC61EA">
        <w:rPr>
          <w:snapToGrid/>
          <w:kern w:val="0"/>
          <w:szCs w:val="22"/>
        </w:rPr>
        <w:t>assessing structural integrity of buildings in danger of collapse</w:t>
      </w:r>
      <w:r w:rsidR="00CC61EA">
        <w:rPr>
          <w:snapToGrid/>
          <w:kern w:val="0"/>
          <w:szCs w:val="22"/>
        </w:rPr>
        <w:t xml:space="preserve"> after</w:t>
      </w:r>
      <w:r w:rsidRPr="000171DC" w:rsidR="00CC61EA">
        <w:rPr>
          <w:snapToGrid/>
          <w:kern w:val="0"/>
          <w:szCs w:val="22"/>
        </w:rPr>
        <w:t xml:space="preserve"> natural disasters.</w:t>
      </w:r>
      <w:r>
        <w:rPr>
          <w:rStyle w:val="FootnoteReference"/>
          <w:snapToGrid/>
          <w:kern w:val="0"/>
          <w:szCs w:val="22"/>
        </w:rPr>
        <w:footnoteReference w:id="42"/>
      </w:r>
      <w:r w:rsidR="002D4FC2">
        <w:rPr>
          <w:snapToGrid/>
          <w:kern w:val="0"/>
          <w:szCs w:val="22"/>
        </w:rPr>
        <w:t xml:space="preserve">  </w:t>
      </w:r>
      <w:r w:rsidRPr="00ED1F87">
        <w:rPr>
          <w:szCs w:val="22"/>
        </w:rPr>
        <w:t xml:space="preserve">We thus find good cause exists for granting </w:t>
      </w:r>
      <w:r w:rsidRPr="00ED1F87" w:rsidR="00ED1F87">
        <w:rPr>
          <w:szCs w:val="22"/>
        </w:rPr>
        <w:t>Leica</w:t>
      </w:r>
      <w:r w:rsidRPr="00ED1F87" w:rsidR="00401B42">
        <w:rPr>
          <w:szCs w:val="22"/>
        </w:rPr>
        <w:t xml:space="preserve"> </w:t>
      </w:r>
      <w:r w:rsidRPr="00ED1F87">
        <w:rPr>
          <w:szCs w:val="22"/>
        </w:rPr>
        <w:t xml:space="preserve">a waiver of </w:t>
      </w:r>
      <w:r w:rsidRPr="00ED1F87" w:rsidR="006617E1">
        <w:rPr>
          <w:szCs w:val="22"/>
        </w:rPr>
        <w:t>section</w:t>
      </w:r>
      <w:r w:rsidR="006D0D15">
        <w:rPr>
          <w:szCs w:val="22"/>
        </w:rPr>
        <w:t>s</w:t>
      </w:r>
      <w:r w:rsidRPr="00ED1F87" w:rsidR="006617E1">
        <w:rPr>
          <w:szCs w:val="22"/>
        </w:rPr>
        <w:t xml:space="preserve"> </w:t>
      </w:r>
      <w:r w:rsidRPr="00ED1F87">
        <w:rPr>
          <w:szCs w:val="22"/>
        </w:rPr>
        <w:t>15.</w:t>
      </w:r>
      <w:r w:rsidRPr="00ED1F87" w:rsidR="00401B42">
        <w:rPr>
          <w:szCs w:val="22"/>
        </w:rPr>
        <w:t>255</w:t>
      </w:r>
      <w:r w:rsidRPr="00ED1F87">
        <w:rPr>
          <w:szCs w:val="22"/>
        </w:rPr>
        <w:t>(</w:t>
      </w:r>
      <w:r w:rsidR="006D0D15">
        <w:rPr>
          <w:szCs w:val="22"/>
        </w:rPr>
        <w:t>a</w:t>
      </w:r>
      <w:r w:rsidRPr="00ED1F87">
        <w:rPr>
          <w:szCs w:val="22"/>
        </w:rPr>
        <w:t>)</w:t>
      </w:r>
      <w:r w:rsidRPr="00ED1F87" w:rsidR="00401B42">
        <w:rPr>
          <w:szCs w:val="22"/>
        </w:rPr>
        <w:t>(</w:t>
      </w:r>
      <w:r w:rsidR="006D0D15">
        <w:rPr>
          <w:szCs w:val="22"/>
        </w:rPr>
        <w:t>2</w:t>
      </w:r>
      <w:r w:rsidRPr="00ED1F87" w:rsidR="00401B42">
        <w:rPr>
          <w:szCs w:val="22"/>
        </w:rPr>
        <w:t>)</w:t>
      </w:r>
      <w:r w:rsidR="006D0D15">
        <w:rPr>
          <w:szCs w:val="22"/>
        </w:rPr>
        <w:t>, (b)(2) and (c)(3) of the Commission’s rules</w:t>
      </w:r>
      <w:r w:rsidR="0080727C">
        <w:rPr>
          <w:szCs w:val="22"/>
        </w:rPr>
        <w:t>.  While a waiver is an appropriate means to address this narrow and specialized application, we also acknowledge Facebook’s comments.  While this waiver is based on Leica’s unique and compelling circumstances, nothing precludes the issuance of a rulemaking proceeding in which the Commission can undertake a more comp</w:t>
      </w:r>
      <w:r w:rsidR="00247508">
        <w:rPr>
          <w:szCs w:val="22"/>
        </w:rPr>
        <w:t xml:space="preserve">rehensive </w:t>
      </w:r>
      <w:r w:rsidR="0080727C">
        <w:rPr>
          <w:szCs w:val="22"/>
        </w:rPr>
        <w:t>examination of section 15.255 of the rules</w:t>
      </w:r>
      <w:r w:rsidR="00247508">
        <w:rPr>
          <w:szCs w:val="22"/>
        </w:rPr>
        <w:t xml:space="preserve">.  </w:t>
      </w:r>
      <w:bookmarkStart w:id="6" w:name="_Hlk46742289"/>
      <w:r w:rsidRPr="00ED1F87" w:rsidR="00722DC8">
        <w:rPr>
          <w:szCs w:val="22"/>
        </w:rPr>
        <w:t xml:space="preserve">Finally, we note that </w:t>
      </w:r>
      <w:r w:rsidRPr="00ED1F87" w:rsidR="00722DC8">
        <w:rPr>
          <w:color w:val="000000" w:themeColor="text1"/>
          <w:szCs w:val="22"/>
        </w:rPr>
        <w:t xml:space="preserve">the </w:t>
      </w:r>
      <w:r w:rsidR="00B00C96">
        <w:rPr>
          <w:color w:val="000000" w:themeColor="text1"/>
          <w:szCs w:val="22"/>
        </w:rPr>
        <w:t>operation</w:t>
      </w:r>
      <w:r w:rsidRPr="00ED1F87" w:rsidR="00722DC8">
        <w:rPr>
          <w:color w:val="000000" w:themeColor="text1"/>
          <w:szCs w:val="22"/>
        </w:rPr>
        <w:t xml:space="preserve"> of </w:t>
      </w:r>
      <w:r w:rsidR="006D0D15">
        <w:rPr>
          <w:color w:val="000000" w:themeColor="text1"/>
          <w:szCs w:val="22"/>
        </w:rPr>
        <w:t xml:space="preserve">UA </w:t>
      </w:r>
      <w:r w:rsidR="001A502D">
        <w:rPr>
          <w:color w:val="000000" w:themeColor="text1"/>
          <w:szCs w:val="22"/>
        </w:rPr>
        <w:t>is</w:t>
      </w:r>
      <w:r w:rsidRPr="00ED1F87" w:rsidR="00722DC8">
        <w:rPr>
          <w:color w:val="000000" w:themeColor="text1"/>
          <w:szCs w:val="22"/>
        </w:rPr>
        <w:t xml:space="preserve"> subject to </w:t>
      </w:r>
      <w:r w:rsidR="000F3699">
        <w:rPr>
          <w:color w:val="000000" w:themeColor="text1"/>
          <w:szCs w:val="22"/>
        </w:rPr>
        <w:t xml:space="preserve">the </w:t>
      </w:r>
      <w:r w:rsidRPr="006A2A73" w:rsidR="000F3699">
        <w:t>Federal Aviation Administration (</w:t>
      </w:r>
      <w:r w:rsidRPr="0092097B" w:rsidR="000F3699">
        <w:t>FAA</w:t>
      </w:r>
      <w:r w:rsidRPr="006A2A73" w:rsidR="000F3699">
        <w:t>)</w:t>
      </w:r>
      <w:r w:rsidRPr="00ED1F87" w:rsidR="00722DC8">
        <w:rPr>
          <w:color w:val="000000" w:themeColor="text1"/>
          <w:szCs w:val="22"/>
        </w:rPr>
        <w:t xml:space="preserve"> regulations</w:t>
      </w:r>
      <w:r w:rsidR="006D0D15">
        <w:rPr>
          <w:color w:val="000000" w:themeColor="text1"/>
          <w:szCs w:val="22"/>
        </w:rPr>
        <w:t>, and t</w:t>
      </w:r>
      <w:r w:rsidRPr="00ED1F87" w:rsidR="00722DC8">
        <w:rPr>
          <w:color w:val="000000" w:themeColor="text1"/>
          <w:szCs w:val="22"/>
        </w:rPr>
        <w:t xml:space="preserve">his waiver grant does not affect </w:t>
      </w:r>
      <w:r w:rsidRPr="00ED1F87" w:rsidR="00DA5D83">
        <w:rPr>
          <w:color w:val="000000" w:themeColor="text1"/>
          <w:szCs w:val="22"/>
        </w:rPr>
        <w:t xml:space="preserve">obligations under </w:t>
      </w:r>
      <w:r w:rsidRPr="00ED1F87" w:rsidR="00722DC8">
        <w:rPr>
          <w:color w:val="000000" w:themeColor="text1"/>
          <w:szCs w:val="22"/>
        </w:rPr>
        <w:t>applicable FAA regulations.</w:t>
      </w:r>
      <w:r w:rsidR="00315265">
        <w:rPr>
          <w:color w:val="000000" w:themeColor="text1"/>
          <w:szCs w:val="22"/>
        </w:rPr>
        <w:t xml:space="preserve"> </w:t>
      </w:r>
      <w:r w:rsidR="0040387A">
        <w:rPr>
          <w:color w:val="000000" w:themeColor="text1"/>
          <w:szCs w:val="22"/>
        </w:rPr>
        <w:t xml:space="preserve"> </w:t>
      </w:r>
      <w:r w:rsidRPr="006A2A73" w:rsidR="000F3699">
        <w:t>Users should check with</w:t>
      </w:r>
      <w:r w:rsidRPr="0092097B" w:rsidR="000F3699">
        <w:t xml:space="preserve"> the </w:t>
      </w:r>
      <w:r w:rsidRPr="006A2A73" w:rsidR="000F3699">
        <w:t>Federal Aviation Administration (FAA)</w:t>
      </w:r>
      <w:r w:rsidRPr="0092097B" w:rsidR="000F3699">
        <w:t xml:space="preserve"> for </w:t>
      </w:r>
      <w:r w:rsidRPr="006A2A73" w:rsidR="000F3699">
        <w:t>guidance</w:t>
      </w:r>
      <w:r w:rsidRPr="0092097B" w:rsidR="000F3699">
        <w:t xml:space="preserve"> and </w:t>
      </w:r>
      <w:r w:rsidRPr="006A2A73" w:rsidR="000F3699">
        <w:t>authorization as necessary prior to</w:t>
      </w:r>
      <w:r w:rsidR="000F3699">
        <w:t xml:space="preserve"> use</w:t>
      </w:r>
      <w:r w:rsidRPr="0092097B" w:rsidR="000F3699">
        <w:t>.</w:t>
      </w:r>
      <w:bookmarkEnd w:id="6"/>
    </w:p>
    <w:p w:rsidR="00FB1A81" w:rsidRPr="00ED1F87" w:rsidP="00000940" w14:paraId="2E448FAF" w14:textId="77F3FE9F">
      <w:pPr>
        <w:pStyle w:val="ParaNum"/>
        <w:widowControl/>
        <w:rPr>
          <w:color w:val="000000" w:themeColor="text1"/>
          <w:szCs w:val="22"/>
        </w:rPr>
      </w:pPr>
      <w:r w:rsidRPr="00ED1F87">
        <w:rPr>
          <w:color w:val="000000" w:themeColor="text1"/>
          <w:szCs w:val="22"/>
        </w:rPr>
        <w:t xml:space="preserve">To ensure that harmful interference to authorized operations </w:t>
      </w:r>
      <w:r w:rsidRPr="00ED1F87" w:rsidR="002C204F">
        <w:rPr>
          <w:color w:val="000000" w:themeColor="text1"/>
          <w:szCs w:val="22"/>
        </w:rPr>
        <w:t xml:space="preserve">and other spectrum users </w:t>
      </w:r>
      <w:r w:rsidRPr="00ED1F87">
        <w:rPr>
          <w:color w:val="000000" w:themeColor="text1"/>
          <w:szCs w:val="22"/>
        </w:rPr>
        <w:t xml:space="preserve">will not occur, we impose explicit conditions on the </w:t>
      </w:r>
      <w:r w:rsidRPr="00ED1F87" w:rsidR="00401B42">
        <w:rPr>
          <w:color w:val="000000" w:themeColor="text1"/>
          <w:szCs w:val="22"/>
        </w:rPr>
        <w:t>installation,</w:t>
      </w:r>
      <w:r w:rsidRPr="00ED1F87">
        <w:rPr>
          <w:color w:val="000000" w:themeColor="text1"/>
          <w:szCs w:val="22"/>
        </w:rPr>
        <w:t xml:space="preserve"> operation </w:t>
      </w:r>
      <w:r w:rsidRPr="00ED1F87" w:rsidR="00401B42">
        <w:rPr>
          <w:color w:val="000000" w:themeColor="text1"/>
          <w:szCs w:val="22"/>
        </w:rPr>
        <w:t xml:space="preserve">and certification </w:t>
      </w:r>
      <w:r w:rsidRPr="00ED1F87">
        <w:rPr>
          <w:color w:val="000000" w:themeColor="text1"/>
          <w:szCs w:val="22"/>
        </w:rPr>
        <w:t xml:space="preserve">of the </w:t>
      </w:r>
      <w:r w:rsidRPr="00ED1F87" w:rsidR="00ED1F87">
        <w:rPr>
          <w:color w:val="000000" w:themeColor="text1"/>
          <w:szCs w:val="22"/>
        </w:rPr>
        <w:t>Leica</w:t>
      </w:r>
      <w:r w:rsidRPr="00ED1F87" w:rsidR="00401B42">
        <w:rPr>
          <w:color w:val="000000" w:themeColor="text1"/>
          <w:szCs w:val="22"/>
        </w:rPr>
        <w:t xml:space="preserve"> </w:t>
      </w:r>
      <w:r w:rsidR="00822DA4">
        <w:rPr>
          <w:color w:val="000000" w:themeColor="text1"/>
          <w:szCs w:val="22"/>
        </w:rPr>
        <w:t>Ictos</w:t>
      </w:r>
      <w:r w:rsidRPr="00ED1F87" w:rsidR="00401B42">
        <w:rPr>
          <w:color w:val="000000" w:themeColor="text1"/>
          <w:szCs w:val="22"/>
        </w:rPr>
        <w:t xml:space="preserve"> </w:t>
      </w:r>
      <w:r w:rsidR="00247508">
        <w:rPr>
          <w:color w:val="000000" w:themeColor="text1"/>
          <w:szCs w:val="22"/>
        </w:rPr>
        <w:t>device</w:t>
      </w:r>
      <w:r w:rsidRPr="00ED1F87">
        <w:rPr>
          <w:color w:val="000000" w:themeColor="text1"/>
          <w:szCs w:val="22"/>
        </w:rPr>
        <w:t xml:space="preserve"> under this waiver, as follows:</w:t>
      </w:r>
    </w:p>
    <w:p w:rsidR="00DE03D2" w:rsidP="00000940" w14:paraId="31CF2AD9" w14:textId="77777777">
      <w:pPr>
        <w:widowControl/>
        <w:numPr>
          <w:ilvl w:val="0"/>
          <w:numId w:val="39"/>
        </w:numPr>
        <w:spacing w:after="160"/>
        <w:rPr>
          <w:color w:val="000000" w:themeColor="text1"/>
          <w:szCs w:val="22"/>
        </w:rPr>
      </w:pPr>
      <w:r w:rsidRPr="000F3699">
        <w:rPr>
          <w:color w:val="000000" w:themeColor="text1"/>
          <w:szCs w:val="22"/>
        </w:rPr>
        <w:t>T</w:t>
      </w:r>
      <w:r w:rsidRPr="000F3699" w:rsidR="000F3699">
        <w:rPr>
          <w:color w:val="000000" w:themeColor="text1"/>
          <w:szCs w:val="22"/>
        </w:rPr>
        <w:t xml:space="preserve">he </w:t>
      </w:r>
      <w:r w:rsidRPr="000F3699" w:rsidR="00ED1F87">
        <w:rPr>
          <w:color w:val="000000" w:themeColor="text1"/>
          <w:szCs w:val="22"/>
        </w:rPr>
        <w:t>Leica</w:t>
      </w:r>
      <w:r w:rsidRPr="000F3699">
        <w:rPr>
          <w:color w:val="000000" w:themeColor="text1"/>
          <w:szCs w:val="22"/>
        </w:rPr>
        <w:t xml:space="preserve"> </w:t>
      </w:r>
      <w:r w:rsidRPr="000F3699" w:rsidR="00822DA4">
        <w:rPr>
          <w:color w:val="000000" w:themeColor="text1"/>
          <w:szCs w:val="22"/>
        </w:rPr>
        <w:t>Ictos</w:t>
      </w:r>
      <w:r w:rsidRPr="000F3699">
        <w:rPr>
          <w:color w:val="000000" w:themeColor="text1"/>
          <w:szCs w:val="22"/>
        </w:rPr>
        <w:t xml:space="preserve"> </w:t>
      </w:r>
      <w:r w:rsidRPr="000F3699" w:rsidR="00247508">
        <w:rPr>
          <w:color w:val="000000" w:themeColor="text1"/>
          <w:szCs w:val="22"/>
        </w:rPr>
        <w:t>device</w:t>
      </w:r>
      <w:r w:rsidRPr="000F3699">
        <w:rPr>
          <w:color w:val="000000" w:themeColor="text1"/>
          <w:szCs w:val="22"/>
        </w:rPr>
        <w:t xml:space="preserve"> shall be certified for compliance with </w:t>
      </w:r>
      <w:r w:rsidRPr="000F3699" w:rsidR="00D06077">
        <w:rPr>
          <w:color w:val="000000" w:themeColor="text1"/>
          <w:szCs w:val="22"/>
        </w:rPr>
        <w:t xml:space="preserve">all </w:t>
      </w:r>
      <w:r w:rsidRPr="000F3699">
        <w:rPr>
          <w:color w:val="000000" w:themeColor="text1"/>
          <w:szCs w:val="22"/>
        </w:rPr>
        <w:t>the technical specifications applicable to operation under 47 </w:t>
      </w:r>
      <w:r w:rsidRPr="000F3699" w:rsidR="006E0C6C">
        <w:rPr>
          <w:color w:val="000000" w:themeColor="text1"/>
          <w:szCs w:val="22"/>
        </w:rPr>
        <w:t>CFR</w:t>
      </w:r>
      <w:r w:rsidRPr="000F3699">
        <w:rPr>
          <w:color w:val="000000" w:themeColor="text1"/>
          <w:szCs w:val="22"/>
        </w:rPr>
        <w:t xml:space="preserve"> </w:t>
      </w:r>
      <w:r w:rsidRPr="000F3699" w:rsidR="0069339A">
        <w:rPr>
          <w:color w:val="000000" w:themeColor="text1"/>
          <w:szCs w:val="22"/>
        </w:rPr>
        <w:t>part</w:t>
      </w:r>
      <w:r w:rsidRPr="000F3699">
        <w:rPr>
          <w:color w:val="000000" w:themeColor="text1"/>
          <w:szCs w:val="22"/>
        </w:rPr>
        <w:t xml:space="preserve"> 15</w:t>
      </w:r>
      <w:r w:rsidRPr="000F3699" w:rsidR="000D29CA">
        <w:rPr>
          <w:color w:val="000000" w:themeColor="text1"/>
          <w:szCs w:val="22"/>
        </w:rPr>
        <w:t xml:space="preserve">, with the exception </w:t>
      </w:r>
      <w:r w:rsidRPr="000F3699">
        <w:rPr>
          <w:color w:val="000000" w:themeColor="text1"/>
          <w:szCs w:val="22"/>
        </w:rPr>
        <w:t xml:space="preserve">of </w:t>
      </w:r>
      <w:r w:rsidRPr="000F3699" w:rsidR="00125D06">
        <w:rPr>
          <w:color w:val="000000" w:themeColor="text1"/>
          <w:szCs w:val="22"/>
        </w:rPr>
        <w:t xml:space="preserve">the </w:t>
      </w:r>
      <w:r w:rsidRPr="000F3699" w:rsidR="000E6AFE">
        <w:rPr>
          <w:color w:val="000000" w:themeColor="text1"/>
          <w:szCs w:val="22"/>
        </w:rPr>
        <w:t xml:space="preserve">following </w:t>
      </w:r>
      <w:r w:rsidRPr="000F3699" w:rsidR="00125D06">
        <w:rPr>
          <w:color w:val="000000" w:themeColor="text1"/>
          <w:szCs w:val="22"/>
        </w:rPr>
        <w:t>provisions in</w:t>
      </w:r>
      <w:r w:rsidRPr="000F3699" w:rsidR="000E6AFE">
        <w:rPr>
          <w:color w:val="000000" w:themeColor="text1"/>
          <w:szCs w:val="22"/>
        </w:rPr>
        <w:t xml:space="preserve">: </w:t>
      </w:r>
      <w:r w:rsidRPr="000F3699" w:rsidR="00470384">
        <w:rPr>
          <w:color w:val="000000" w:themeColor="text1"/>
          <w:szCs w:val="22"/>
        </w:rPr>
        <w:t xml:space="preserve">1) 47 CFR § 15.255(a)(2), which is waived to allow the device to operate under the provisions of 47 CFR § 15.255 as a mobile field disturbance sensor; </w:t>
      </w:r>
    </w:p>
    <w:p w:rsidR="00A051C5" w:rsidRPr="000F3699" w:rsidP="00000940" w14:paraId="5706A252" w14:textId="3A0C1F95">
      <w:pPr>
        <w:widowControl/>
        <w:numPr>
          <w:ilvl w:val="0"/>
          <w:numId w:val="39"/>
        </w:numPr>
        <w:spacing w:after="160"/>
        <w:rPr>
          <w:color w:val="000000" w:themeColor="text1"/>
          <w:szCs w:val="22"/>
        </w:rPr>
      </w:pPr>
      <w:r w:rsidRPr="000F3699">
        <w:rPr>
          <w:color w:val="000000" w:themeColor="text1"/>
          <w:szCs w:val="22"/>
        </w:rPr>
        <w:t> </w:t>
      </w:r>
      <w:r w:rsidRPr="000F3699" w:rsidR="00470384">
        <w:rPr>
          <w:color w:val="000000" w:themeColor="text1"/>
          <w:szCs w:val="22"/>
        </w:rPr>
        <w:t>47 CFR § 15.255(b)(2), which is waived to allow the device to operate on</w:t>
      </w:r>
      <w:r w:rsidRPr="000F3699" w:rsidR="00470384">
        <w:rPr>
          <w:color w:val="000000" w:themeColor="text1"/>
          <w:szCs w:val="22"/>
        </w:rPr>
        <w:noBreakHyphen/>
        <w:t xml:space="preserve">board </w:t>
      </w:r>
      <w:r w:rsidRPr="000F3699" w:rsidR="00940C89">
        <w:rPr>
          <w:color w:val="000000" w:themeColor="text1"/>
          <w:szCs w:val="22"/>
        </w:rPr>
        <w:t xml:space="preserve">a UA </w:t>
      </w:r>
      <w:r w:rsidRPr="000F3699" w:rsidR="00470384">
        <w:rPr>
          <w:color w:val="000000" w:themeColor="text1"/>
          <w:szCs w:val="22"/>
        </w:rPr>
        <w:t>while not being part of a closed, exclusive on</w:t>
      </w:r>
      <w:r w:rsidRPr="000F3699" w:rsidR="00470384">
        <w:rPr>
          <w:color w:val="000000" w:themeColor="text1"/>
          <w:szCs w:val="22"/>
        </w:rPr>
        <w:noBreakHyphen/>
        <w:t>board communication networks within the aircraft; and</w:t>
      </w:r>
      <w:r w:rsidRPr="000F3699" w:rsidR="000E6AFE">
        <w:rPr>
          <w:color w:val="000000" w:themeColor="text1"/>
          <w:szCs w:val="22"/>
        </w:rPr>
        <w:t xml:space="preserve"> </w:t>
      </w:r>
      <w:r w:rsidRPr="000F3699" w:rsidR="00470384">
        <w:rPr>
          <w:color w:val="000000" w:themeColor="text1"/>
          <w:szCs w:val="22"/>
        </w:rPr>
        <w:t>3</w:t>
      </w:r>
      <w:r w:rsidRPr="000F3699" w:rsidR="000E6AFE">
        <w:rPr>
          <w:color w:val="000000" w:themeColor="text1"/>
          <w:szCs w:val="22"/>
        </w:rPr>
        <w:t xml:space="preserve">) </w:t>
      </w:r>
      <w:r w:rsidRPr="000F3699" w:rsidR="00470384">
        <w:rPr>
          <w:color w:val="000000" w:themeColor="text1"/>
          <w:szCs w:val="22"/>
        </w:rPr>
        <w:t>47 CFR § 15.255(c)(3), which is waived to allow the device to operate in the 60</w:t>
      </w:r>
      <w:r w:rsidRPr="000F3699" w:rsidR="00470384">
        <w:rPr>
          <w:color w:val="000000" w:themeColor="text1"/>
          <w:szCs w:val="22"/>
        </w:rPr>
        <w:noBreakHyphen/>
        <w:t>64 GHz band at a maximum +19 dBm peak EIRP.</w:t>
      </w:r>
      <w:r w:rsidRPr="000F3699">
        <w:rPr>
          <w:color w:val="000000" w:themeColor="text1"/>
          <w:szCs w:val="22"/>
        </w:rPr>
        <w:t xml:space="preserve"> </w:t>
      </w:r>
    </w:p>
    <w:p w:rsidR="00BD2134" w:rsidRPr="0092097B" w:rsidP="00000940" w14:paraId="309B5CFB" w14:textId="3A0DA388">
      <w:pPr>
        <w:pStyle w:val="ListParagraph"/>
        <w:widowControl/>
        <w:numPr>
          <w:ilvl w:val="0"/>
          <w:numId w:val="39"/>
        </w:numPr>
        <w:spacing w:after="160" w:line="259" w:lineRule="auto"/>
        <w:contextualSpacing/>
        <w:rPr>
          <w:sz w:val="22"/>
        </w:rPr>
      </w:pPr>
      <w:r w:rsidRPr="0092097B">
        <w:rPr>
          <w:sz w:val="22"/>
        </w:rPr>
        <w:t xml:space="preserve">The Leica Ictos device shall be installed to transmit on a horizontal plane with respect to the </w:t>
      </w:r>
      <w:r w:rsidRPr="000F3699">
        <w:rPr>
          <w:sz w:val="22"/>
          <w:szCs w:val="22"/>
        </w:rPr>
        <w:t>UA</w:t>
      </w:r>
      <w:r w:rsidRPr="0092097B">
        <w:rPr>
          <w:sz w:val="22"/>
        </w:rPr>
        <w:t xml:space="preserve"> on which it is mounted to limit emissions above the horizon</w:t>
      </w:r>
      <w:r w:rsidRPr="000F3699" w:rsidR="000F3699">
        <w:rPr>
          <w:sz w:val="22"/>
          <w:szCs w:val="22"/>
        </w:rPr>
        <w:t>.</w:t>
      </w:r>
      <w:r w:rsidR="000F3699">
        <w:rPr>
          <w:sz w:val="22"/>
          <w:szCs w:val="22"/>
        </w:rPr>
        <w:t xml:space="preserve">  Operation shall be limited to line-of-sight only.</w:t>
      </w:r>
    </w:p>
    <w:p w:rsidR="000F3699" w:rsidRPr="000F3699" w:rsidP="00000940" w14:paraId="5A0FB73A" w14:textId="54D83AE6">
      <w:pPr>
        <w:widowControl/>
        <w:numPr>
          <w:ilvl w:val="0"/>
          <w:numId w:val="39"/>
        </w:numPr>
        <w:spacing w:after="160"/>
        <w:rPr>
          <w:color w:val="000000" w:themeColor="text1"/>
          <w:szCs w:val="22"/>
        </w:rPr>
      </w:pPr>
      <w:r w:rsidRPr="000F3699">
        <w:rPr>
          <w:color w:val="000000" w:themeColor="text1"/>
          <w:szCs w:val="22"/>
        </w:rPr>
        <w:t xml:space="preserve">The </w:t>
      </w:r>
      <w:r w:rsidRPr="000F3699" w:rsidR="00ED1F87">
        <w:rPr>
          <w:color w:val="000000" w:themeColor="text1"/>
          <w:szCs w:val="22"/>
        </w:rPr>
        <w:t>Leica</w:t>
      </w:r>
      <w:r w:rsidRPr="000F3699">
        <w:rPr>
          <w:color w:val="000000" w:themeColor="text1"/>
          <w:szCs w:val="22"/>
        </w:rPr>
        <w:t xml:space="preserve"> </w:t>
      </w:r>
      <w:r w:rsidRPr="000F3699" w:rsidR="00822DA4">
        <w:rPr>
          <w:color w:val="000000" w:themeColor="text1"/>
          <w:szCs w:val="22"/>
        </w:rPr>
        <w:t>Ictos</w:t>
      </w:r>
      <w:r w:rsidRPr="000F3699">
        <w:rPr>
          <w:color w:val="000000" w:themeColor="text1"/>
          <w:szCs w:val="22"/>
        </w:rPr>
        <w:t xml:space="preserve"> </w:t>
      </w:r>
      <w:r w:rsidRPr="000F3699" w:rsidR="00247508">
        <w:rPr>
          <w:color w:val="000000" w:themeColor="text1"/>
          <w:szCs w:val="22"/>
        </w:rPr>
        <w:t>device</w:t>
      </w:r>
      <w:r w:rsidRPr="000F3699">
        <w:rPr>
          <w:color w:val="000000" w:themeColor="text1"/>
          <w:szCs w:val="22"/>
        </w:rPr>
        <w:t xml:space="preserve"> shall </w:t>
      </w:r>
      <w:r w:rsidRPr="000F3699" w:rsidR="00D27A7E">
        <w:rPr>
          <w:color w:val="000000" w:themeColor="text1"/>
          <w:szCs w:val="22"/>
        </w:rPr>
        <w:t xml:space="preserve">comply with the following technical characteristics:  </w:t>
      </w:r>
      <w:r>
        <w:rPr>
          <w:color w:val="000000" w:themeColor="text1"/>
          <w:szCs w:val="22"/>
        </w:rPr>
        <w:t xml:space="preserve">a) </w:t>
      </w:r>
      <w:r w:rsidRPr="000F3699" w:rsidR="00470384">
        <w:rPr>
          <w:color w:val="000000" w:themeColor="text1"/>
          <w:szCs w:val="22"/>
        </w:rPr>
        <w:t>intention</w:t>
      </w:r>
      <w:r w:rsidRPr="000F3699" w:rsidR="00D27A7E">
        <w:rPr>
          <w:color w:val="000000" w:themeColor="text1"/>
          <w:szCs w:val="22"/>
        </w:rPr>
        <w:t>al emissions shall be contained to the 60</w:t>
      </w:r>
      <w:r w:rsidRPr="000F3699" w:rsidR="00D27A7E">
        <w:rPr>
          <w:color w:val="000000" w:themeColor="text1"/>
          <w:szCs w:val="22"/>
        </w:rPr>
        <w:noBreakHyphen/>
        <w:t xml:space="preserve">64 GHz band; </w:t>
      </w:r>
      <w:r>
        <w:rPr>
          <w:color w:val="000000" w:themeColor="text1"/>
          <w:szCs w:val="22"/>
        </w:rPr>
        <w:t xml:space="preserve">b) </w:t>
      </w:r>
      <w:r w:rsidRPr="000F3699" w:rsidR="00D27A7E">
        <w:rPr>
          <w:color w:val="000000" w:themeColor="text1"/>
          <w:szCs w:val="22"/>
        </w:rPr>
        <w:t>out</w:t>
      </w:r>
      <w:r w:rsidRPr="000F3699" w:rsidR="00D27A7E">
        <w:rPr>
          <w:color w:val="000000" w:themeColor="text1"/>
          <w:szCs w:val="22"/>
        </w:rPr>
        <w:noBreakHyphen/>
        <w:t>of</w:t>
      </w:r>
      <w:r w:rsidRPr="000F3699" w:rsidR="00D27A7E">
        <w:rPr>
          <w:color w:val="000000" w:themeColor="text1"/>
          <w:szCs w:val="22"/>
        </w:rPr>
        <w:noBreakHyphen/>
        <w:t xml:space="preserve">band emissions shall not exceed </w:t>
      </w:r>
      <w:r w:rsidRPr="000F3699" w:rsidR="00D27A7E">
        <w:rPr>
          <w:color w:val="000000" w:themeColor="text1"/>
          <w:szCs w:val="22"/>
        </w:rPr>
        <w:noBreakHyphen/>
        <w:t>51.3 dBm</w:t>
      </w:r>
      <w:r w:rsidRPr="000F3699" w:rsidR="001418C0">
        <w:rPr>
          <w:color w:val="000000" w:themeColor="text1"/>
          <w:szCs w:val="22"/>
        </w:rPr>
        <w:t xml:space="preserve"> EIRP</w:t>
      </w:r>
      <w:r w:rsidRPr="000F3699" w:rsidR="004C1BB8">
        <w:rPr>
          <w:color w:val="000000" w:themeColor="text1"/>
          <w:szCs w:val="22"/>
        </w:rPr>
        <w:t>/MHz</w:t>
      </w:r>
      <w:r>
        <w:rPr>
          <w:color w:val="000000" w:themeColor="text1"/>
          <w:szCs w:val="22"/>
        </w:rPr>
        <w:t>; c) t</w:t>
      </w:r>
      <w:r w:rsidRPr="000F3699" w:rsidR="003B178C">
        <w:rPr>
          <w:color w:val="000000" w:themeColor="text1"/>
          <w:szCs w:val="22"/>
        </w:rPr>
        <w:t xml:space="preserve">ransmit </w:t>
      </w:r>
      <w:r w:rsidRPr="000F3699" w:rsidR="00D27A7E">
        <w:rPr>
          <w:snapToGrid/>
          <w:kern w:val="0"/>
          <w:szCs w:val="22"/>
        </w:rPr>
        <w:t xml:space="preserve">duty cycle </w:t>
      </w:r>
      <w:r w:rsidRPr="000F3699" w:rsidR="007E7EDE">
        <w:rPr>
          <w:snapToGrid/>
          <w:kern w:val="0"/>
          <w:szCs w:val="22"/>
        </w:rPr>
        <w:t xml:space="preserve">shall </w:t>
      </w:r>
      <w:r w:rsidRPr="000F3699" w:rsidR="00D27A7E">
        <w:rPr>
          <w:snapToGrid/>
          <w:kern w:val="0"/>
          <w:szCs w:val="22"/>
        </w:rPr>
        <w:t>not exceed 50%</w:t>
      </w:r>
      <w:r w:rsidR="00D9178D">
        <w:rPr>
          <w:snapToGrid/>
          <w:kern w:val="0"/>
          <w:szCs w:val="22"/>
        </w:rPr>
        <w:t xml:space="preserve"> over any </w:t>
      </w:r>
      <w:r w:rsidRPr="000F3699" w:rsidR="00D27A7E">
        <w:rPr>
          <w:snapToGrid/>
          <w:kern w:val="0"/>
          <w:szCs w:val="22"/>
        </w:rPr>
        <w:t>40 m</w:t>
      </w:r>
      <w:r w:rsidRPr="000F3699" w:rsidR="00884694">
        <w:rPr>
          <w:snapToGrid/>
          <w:kern w:val="0"/>
          <w:szCs w:val="22"/>
        </w:rPr>
        <w:t>illi</w:t>
      </w:r>
      <w:r w:rsidRPr="000F3699" w:rsidR="00D27A7E">
        <w:rPr>
          <w:snapToGrid/>
          <w:kern w:val="0"/>
          <w:szCs w:val="22"/>
        </w:rPr>
        <w:t>s</w:t>
      </w:r>
      <w:r w:rsidRPr="000F3699" w:rsidR="00884694">
        <w:rPr>
          <w:snapToGrid/>
          <w:kern w:val="0"/>
          <w:szCs w:val="22"/>
        </w:rPr>
        <w:t>econds</w:t>
      </w:r>
      <w:r w:rsidR="00D9178D">
        <w:rPr>
          <w:snapToGrid/>
          <w:kern w:val="0"/>
          <w:szCs w:val="22"/>
        </w:rPr>
        <w:t xml:space="preserve"> interval</w:t>
      </w:r>
      <w:r>
        <w:rPr>
          <w:snapToGrid/>
          <w:kern w:val="0"/>
          <w:szCs w:val="22"/>
        </w:rPr>
        <w:t>; and d) transmission shall occur only when the device is in motion.</w:t>
      </w:r>
    </w:p>
    <w:p w:rsidR="000F3699" w:rsidRPr="000F3699" w:rsidP="00000940" w14:paraId="18E890D8" w14:textId="284F9594">
      <w:pPr>
        <w:widowControl/>
        <w:numPr>
          <w:ilvl w:val="0"/>
          <w:numId w:val="39"/>
        </w:numPr>
        <w:spacing w:after="160"/>
        <w:rPr>
          <w:color w:val="000000" w:themeColor="text1"/>
          <w:szCs w:val="22"/>
        </w:rPr>
      </w:pPr>
      <w:r w:rsidRPr="0016426A">
        <w:rPr>
          <w:szCs w:val="22"/>
        </w:rPr>
        <w:t>Leica Ictos devices shall operate below a maximum altitude of 400 feet above ground level</w:t>
      </w:r>
      <w:r>
        <w:rPr>
          <w:szCs w:val="22"/>
        </w:rPr>
        <w:t xml:space="preserve">, </w:t>
      </w:r>
      <w:r w:rsidRPr="0016426A">
        <w:rPr>
          <w:color w:val="201F1E"/>
          <w:szCs w:val="22"/>
        </w:rPr>
        <w:t>unless the small unmanned aircraft: (1) is flown within a 400-foot radius of a structure; and (2) does not fly higher than 400 feet above the structure's immediate uppermost limit.</w:t>
      </w:r>
    </w:p>
    <w:p w:rsidR="000F3699" w:rsidRPr="0092097B" w:rsidP="00000940" w14:paraId="721161CC" w14:textId="21E0EA05">
      <w:pPr>
        <w:widowControl/>
        <w:numPr>
          <w:ilvl w:val="0"/>
          <w:numId w:val="39"/>
        </w:numPr>
        <w:spacing w:after="160"/>
        <w:rPr>
          <w:color w:val="000000" w:themeColor="text1"/>
        </w:rPr>
      </w:pPr>
      <w:r w:rsidRPr="0016426A">
        <w:rPr>
          <w:szCs w:val="22"/>
        </w:rPr>
        <w:t>U.S. sales shall not exceed 400 Leica Ictos devices in the first year and up to 800 per year for subsequent years.</w:t>
      </w:r>
      <w:r>
        <w:rPr>
          <w:szCs w:val="22"/>
        </w:rPr>
        <w:t xml:space="preserve">  </w:t>
      </w:r>
      <w:r w:rsidRPr="0016426A">
        <w:rPr>
          <w:snapToGrid/>
          <w:kern w:val="0"/>
          <w:szCs w:val="22"/>
        </w:rPr>
        <w:t>The Leica Ictos device shall not be marketed for retail consumer markets.</w:t>
      </w:r>
      <w:bookmarkStart w:id="7" w:name="_Hlk45016116"/>
    </w:p>
    <w:p w:rsidR="00134086" w:rsidRPr="00D9178D" w:rsidP="00000940" w14:paraId="15DB6218" w14:textId="7C712680">
      <w:pPr>
        <w:pStyle w:val="ListParagraph"/>
        <w:widowControl/>
        <w:numPr>
          <w:ilvl w:val="0"/>
          <w:numId w:val="39"/>
        </w:numPr>
        <w:spacing w:after="160" w:line="259" w:lineRule="auto"/>
        <w:contextualSpacing/>
        <w:rPr>
          <w:color w:val="000000" w:themeColor="text1"/>
        </w:rPr>
      </w:pPr>
      <w:r w:rsidRPr="0092097B">
        <w:rPr>
          <w:color w:val="000000" w:themeColor="text1"/>
          <w:sz w:val="22"/>
        </w:rPr>
        <w:t>This waiver and its conditions shall apply only to the Leica Ictos device installed on a UA as described herein and are not to be considered to apply generally to other field disturbance sensors or radars.  A copy of this Order shall be provided with the application for certification of the Leica Ictos device.</w:t>
      </w:r>
      <w:bookmarkEnd w:id="7"/>
      <w:r>
        <w:rPr>
          <w:snapToGrid/>
          <w:kern w:val="0"/>
          <w:sz w:val="22"/>
          <w:szCs w:val="22"/>
        </w:rPr>
        <w:t xml:space="preserve">  </w:t>
      </w:r>
    </w:p>
    <w:p w:rsidR="00B21FE2" w:rsidRPr="00ED1F87" w:rsidP="00000940" w14:paraId="1C4F02E5" w14:textId="77777777">
      <w:pPr>
        <w:pStyle w:val="ParaNum"/>
        <w:widowControl/>
        <w:rPr>
          <w:color w:val="000000" w:themeColor="text1"/>
          <w:szCs w:val="22"/>
        </w:rPr>
      </w:pPr>
      <w:r w:rsidRPr="00ED1F87">
        <w:rPr>
          <w:color w:val="000000" w:themeColor="text1"/>
          <w:szCs w:val="22"/>
        </w:rPr>
        <w:t>Accordingly, pursuant to authority in Sections 0.31, 0.241, and 1.3 of the Commission</w:t>
      </w:r>
      <w:r w:rsidRPr="00ED1F87" w:rsidR="000356BE">
        <w:rPr>
          <w:color w:val="000000" w:themeColor="text1"/>
          <w:szCs w:val="22"/>
        </w:rPr>
        <w:t>’</w:t>
      </w:r>
      <w:r w:rsidRPr="00ED1F87">
        <w:rPr>
          <w:color w:val="000000" w:themeColor="text1"/>
          <w:szCs w:val="22"/>
        </w:rPr>
        <w:t>s rules, 47 CFR §§ 0.21, 0.241, and 1.3, and Sections 4(i), 302, 303(e), and 303(r) of the Communications Act of 1934, as amended, 47 U.S.C. §§ 154(i), 302, 303(e), and 303(r), IT IS ORDERED that the Request</w:t>
      </w:r>
      <w:r w:rsidRPr="00ED1F87">
        <w:rPr>
          <w:i/>
          <w:color w:val="000000" w:themeColor="text1"/>
          <w:szCs w:val="22"/>
        </w:rPr>
        <w:t xml:space="preserve"> </w:t>
      </w:r>
      <w:r w:rsidRPr="00ED1F87">
        <w:rPr>
          <w:color w:val="000000" w:themeColor="text1"/>
          <w:szCs w:val="22"/>
        </w:rPr>
        <w:t xml:space="preserve">for Waiver filed by </w:t>
      </w:r>
      <w:r w:rsidR="00A57BC7">
        <w:rPr>
          <w:color w:val="000000" w:themeColor="text1"/>
          <w:szCs w:val="22"/>
        </w:rPr>
        <w:t>Leica Geosystems AG</w:t>
      </w:r>
      <w:r w:rsidR="00B00C96">
        <w:rPr>
          <w:color w:val="000000" w:themeColor="text1"/>
          <w:szCs w:val="22"/>
        </w:rPr>
        <w:t xml:space="preserve"> </w:t>
      </w:r>
      <w:r w:rsidRPr="00ED1F87">
        <w:rPr>
          <w:color w:val="000000" w:themeColor="text1"/>
          <w:szCs w:val="22"/>
        </w:rPr>
        <w:t>IS GRANTED, consistent with the terms of this Order.  This action is effective upon release of this Order</w:t>
      </w:r>
      <w:r w:rsidRPr="00ED1F87">
        <w:rPr>
          <w:b/>
          <w:color w:val="000000" w:themeColor="text1"/>
          <w:szCs w:val="22"/>
        </w:rPr>
        <w:t>.</w:t>
      </w:r>
    </w:p>
    <w:p w:rsidR="00413A83" w:rsidRPr="00ED1F87" w:rsidP="00000940" w14:paraId="1E2ECC4E" w14:textId="77777777">
      <w:pPr>
        <w:pStyle w:val="ParaNum"/>
        <w:widowControl/>
        <w:rPr>
          <w:color w:val="000000" w:themeColor="text1"/>
          <w:szCs w:val="22"/>
        </w:rPr>
      </w:pPr>
      <w:r w:rsidRPr="00ED1F87">
        <w:rPr>
          <w:color w:val="000000" w:themeColor="text1"/>
          <w:szCs w:val="22"/>
        </w:rPr>
        <w:t>IT IS FURTHER ORDERED that, if no petitions for reconsideration or applications for review are timely filed, this proceeding SHALL BE TERMINATED</w:t>
      </w:r>
      <w:r w:rsidRPr="00ED1F87" w:rsidR="00A34F05">
        <w:rPr>
          <w:color w:val="000000" w:themeColor="text1"/>
          <w:szCs w:val="22"/>
        </w:rPr>
        <w:t>,</w:t>
      </w:r>
      <w:r w:rsidRPr="00ED1F87">
        <w:rPr>
          <w:color w:val="000000" w:themeColor="text1"/>
          <w:szCs w:val="22"/>
        </w:rPr>
        <w:t xml:space="preserve"> and the docket CLOSED.</w:t>
      </w:r>
      <w:r w:rsidRPr="00ED1F87" w:rsidR="00F232C5">
        <w:rPr>
          <w:color w:val="000000" w:themeColor="text1"/>
          <w:szCs w:val="22"/>
        </w:rPr>
        <w:t xml:space="preserve"> </w:t>
      </w:r>
    </w:p>
    <w:p w:rsidR="00126816" w:rsidRPr="00ED1F87" w:rsidP="00F126DD" w14:paraId="0460A042" w14:textId="77777777">
      <w:pPr>
        <w:pStyle w:val="ParaNum"/>
        <w:numPr>
          <w:ilvl w:val="0"/>
          <w:numId w:val="0"/>
        </w:numPr>
        <w:ind w:left="720"/>
        <w:rPr>
          <w:color w:val="000000" w:themeColor="text1"/>
          <w:szCs w:val="22"/>
        </w:rPr>
      </w:pPr>
    </w:p>
    <w:p w:rsidR="00B21FE2" w:rsidRPr="00ED1F87" w14:paraId="09F0C83D" w14:textId="77777777">
      <w:pPr>
        <w:pStyle w:val="ParaNum"/>
        <w:numPr>
          <w:ilvl w:val="0"/>
          <w:numId w:val="0"/>
        </w:numPr>
        <w:tabs>
          <w:tab w:val="left" w:pos="720"/>
          <w:tab w:val="left" w:pos="1800"/>
        </w:tabs>
        <w:ind w:left="180"/>
        <w:rPr>
          <w:color w:val="000000" w:themeColor="text1"/>
          <w:szCs w:val="22"/>
        </w:rPr>
      </w:pPr>
      <w:r w:rsidRPr="00ED1F87">
        <w:rPr>
          <w:color w:val="000000" w:themeColor="text1"/>
          <w:szCs w:val="22"/>
        </w:rPr>
        <w:tab/>
      </w:r>
      <w:r w:rsidRPr="00ED1F87">
        <w:rPr>
          <w:color w:val="000000" w:themeColor="text1"/>
          <w:szCs w:val="22"/>
        </w:rPr>
        <w:tab/>
      </w:r>
      <w:r w:rsidRPr="00ED1F87">
        <w:rPr>
          <w:color w:val="000000" w:themeColor="text1"/>
          <w:szCs w:val="22"/>
        </w:rPr>
        <w:tab/>
      </w:r>
      <w:r w:rsidRPr="00ED1F87">
        <w:rPr>
          <w:color w:val="000000" w:themeColor="text1"/>
          <w:szCs w:val="22"/>
        </w:rPr>
        <w:tab/>
      </w:r>
      <w:r w:rsidRPr="00ED1F87">
        <w:rPr>
          <w:color w:val="000000" w:themeColor="text1"/>
          <w:szCs w:val="22"/>
        </w:rPr>
        <w:tab/>
      </w:r>
      <w:r w:rsidRPr="00ED1F87">
        <w:rPr>
          <w:color w:val="000000" w:themeColor="text1"/>
          <w:szCs w:val="22"/>
        </w:rPr>
        <w:tab/>
        <w:t>FEDERAL COMMUNICATIONS COMMISSION</w:t>
      </w:r>
    </w:p>
    <w:p w:rsidR="00B21FE2" w:rsidRPr="00ED1F87" w14:paraId="753E91D7" w14:textId="77777777">
      <w:pPr>
        <w:pStyle w:val="Style30"/>
        <w:ind w:firstLine="0"/>
        <w:rPr>
          <w:color w:val="000000" w:themeColor="text1"/>
          <w:szCs w:val="22"/>
        </w:rPr>
      </w:pPr>
    </w:p>
    <w:p w:rsidR="00EF1D64" w:rsidRPr="00ED1F87" w14:paraId="7C6DE275" w14:textId="77777777">
      <w:pPr>
        <w:pStyle w:val="Style30"/>
        <w:ind w:firstLine="0"/>
        <w:rPr>
          <w:color w:val="000000" w:themeColor="text1"/>
          <w:szCs w:val="22"/>
        </w:rPr>
      </w:pPr>
    </w:p>
    <w:p w:rsidR="00B21FE2" w:rsidRPr="00ED1F87" w14:paraId="1E959E5D" w14:textId="7520F64A">
      <w:pPr>
        <w:pStyle w:val="Style30"/>
        <w:spacing w:after="0"/>
        <w:ind w:firstLine="0"/>
        <w:rPr>
          <w:color w:val="000000" w:themeColor="text1"/>
          <w:szCs w:val="22"/>
        </w:rPr>
      </w:pPr>
      <w:r w:rsidRPr="00ED1F87">
        <w:rPr>
          <w:color w:val="000000" w:themeColor="text1"/>
          <w:szCs w:val="22"/>
        </w:rPr>
        <w:tab/>
      </w:r>
      <w:r w:rsidRPr="00ED1F87">
        <w:rPr>
          <w:color w:val="000000" w:themeColor="text1"/>
          <w:szCs w:val="22"/>
        </w:rPr>
        <w:tab/>
      </w:r>
      <w:r w:rsidRPr="00ED1F87">
        <w:rPr>
          <w:color w:val="000000" w:themeColor="text1"/>
          <w:szCs w:val="22"/>
        </w:rPr>
        <w:tab/>
      </w:r>
      <w:r w:rsidRPr="00ED1F87">
        <w:rPr>
          <w:color w:val="000000" w:themeColor="text1"/>
          <w:szCs w:val="22"/>
        </w:rPr>
        <w:tab/>
      </w:r>
      <w:r w:rsidRPr="00ED1F87">
        <w:rPr>
          <w:color w:val="000000" w:themeColor="text1"/>
          <w:szCs w:val="22"/>
        </w:rPr>
        <w:tab/>
      </w:r>
      <w:r w:rsidRPr="00ED1F87">
        <w:rPr>
          <w:color w:val="000000" w:themeColor="text1"/>
          <w:szCs w:val="22"/>
        </w:rPr>
        <w:tab/>
      </w:r>
      <w:r w:rsidR="00A57BC7">
        <w:rPr>
          <w:color w:val="000000" w:themeColor="text1"/>
          <w:szCs w:val="22"/>
        </w:rPr>
        <w:t xml:space="preserve">Ronald </w:t>
      </w:r>
      <w:r w:rsidR="007E7EDE">
        <w:rPr>
          <w:color w:val="000000" w:themeColor="text1"/>
          <w:szCs w:val="22"/>
        </w:rPr>
        <w:t xml:space="preserve">T. </w:t>
      </w:r>
      <w:r w:rsidR="00A57BC7">
        <w:rPr>
          <w:color w:val="000000" w:themeColor="text1"/>
          <w:szCs w:val="22"/>
        </w:rPr>
        <w:t>Repasi</w:t>
      </w:r>
    </w:p>
    <w:p w:rsidR="00B21FE2" w:rsidRPr="00ED1F87" w14:paraId="6CE91300" w14:textId="77777777">
      <w:pPr>
        <w:pStyle w:val="Style30"/>
        <w:ind w:firstLine="0"/>
        <w:rPr>
          <w:color w:val="000000" w:themeColor="text1"/>
          <w:szCs w:val="22"/>
        </w:rPr>
      </w:pPr>
      <w:r w:rsidRPr="00ED1F87">
        <w:rPr>
          <w:color w:val="000000" w:themeColor="text1"/>
          <w:szCs w:val="22"/>
        </w:rPr>
        <w:tab/>
      </w:r>
      <w:r w:rsidRPr="00ED1F87">
        <w:rPr>
          <w:color w:val="000000" w:themeColor="text1"/>
          <w:szCs w:val="22"/>
        </w:rPr>
        <w:tab/>
      </w:r>
      <w:r w:rsidRPr="00ED1F87">
        <w:rPr>
          <w:color w:val="000000" w:themeColor="text1"/>
          <w:szCs w:val="22"/>
        </w:rPr>
        <w:tab/>
      </w:r>
      <w:r w:rsidRPr="00ED1F87">
        <w:rPr>
          <w:color w:val="000000" w:themeColor="text1"/>
          <w:szCs w:val="22"/>
        </w:rPr>
        <w:tab/>
      </w:r>
      <w:r w:rsidRPr="00ED1F87">
        <w:rPr>
          <w:color w:val="000000" w:themeColor="text1"/>
          <w:szCs w:val="22"/>
        </w:rPr>
        <w:tab/>
      </w:r>
      <w:r w:rsidRPr="00ED1F87">
        <w:rPr>
          <w:color w:val="000000" w:themeColor="text1"/>
          <w:szCs w:val="22"/>
        </w:rPr>
        <w:tab/>
      </w:r>
      <w:r w:rsidR="00A57BC7">
        <w:rPr>
          <w:color w:val="000000" w:themeColor="text1"/>
          <w:szCs w:val="22"/>
        </w:rPr>
        <w:t xml:space="preserve">Acting </w:t>
      </w:r>
      <w:r w:rsidRPr="00ED1F87">
        <w:rPr>
          <w:color w:val="000000" w:themeColor="text1"/>
          <w:szCs w:val="22"/>
        </w:rPr>
        <w:t>Chief, Office of Engineering and Technology</w:t>
      </w:r>
    </w:p>
    <w:sectPr w:rsidSect="00464217">
      <w:headerReference w:type="default" r:id="rId5"/>
      <w:footerReference w:type="default" r:id="rId6"/>
      <w:headerReference w:type="first" r:id="rId7"/>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4EC8" w14:paraId="6F8926E2" w14:textId="519465D8">
    <w:pPr>
      <w:pStyle w:val="Footer"/>
      <w:jc w:val="center"/>
    </w:pPr>
    <w:r>
      <w:rPr>
        <w:rStyle w:val="PageNumber"/>
      </w:rPr>
      <w:fldChar w:fldCharType="begin"/>
    </w:r>
    <w:r>
      <w:rPr>
        <w:rStyle w:val="PageNumber"/>
      </w:rPr>
      <w:instrText xml:space="preserve"> PAGE </w:instrText>
    </w:r>
    <w:r>
      <w:rPr>
        <w:rStyle w:val="PageNumber"/>
      </w:rPr>
      <w:fldChar w:fldCharType="separate"/>
    </w:r>
    <w:r w:rsidR="00EA6D7F">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01EEE" w14:paraId="5A7F2C90" w14:textId="77777777">
      <w:pPr>
        <w:rPr>
          <w:sz w:val="20"/>
        </w:rPr>
      </w:pPr>
      <w:r>
        <w:rPr>
          <w:sz w:val="20"/>
        </w:rPr>
        <w:separator/>
      </w:r>
    </w:p>
  </w:footnote>
  <w:footnote w:type="continuationSeparator" w:id="1">
    <w:p w:rsidR="00901EEE" w14:paraId="5849AB52" w14:textId="77777777">
      <w:pPr>
        <w:rPr>
          <w:sz w:val="20"/>
        </w:rPr>
      </w:pPr>
      <w:r>
        <w:rPr>
          <w:sz w:val="20"/>
        </w:rPr>
        <w:separator/>
      </w:r>
    </w:p>
    <w:p w:rsidR="00901EEE" w14:paraId="1D3E580F" w14:textId="77777777">
      <w:pPr>
        <w:rPr>
          <w:sz w:val="20"/>
        </w:rPr>
      </w:pPr>
      <w:r>
        <w:rPr>
          <w:sz w:val="20"/>
        </w:rPr>
        <w:t>(...continued from previous page)</w:t>
      </w:r>
    </w:p>
  </w:footnote>
  <w:footnote w:type="continuationNotice" w:id="2">
    <w:p w:rsidR="00901EEE" w:rsidRPr="008061CF" w:rsidP="008061CF" w14:paraId="50B10703" w14:textId="77777777">
      <w:pPr>
        <w:pStyle w:val="Footer"/>
      </w:pPr>
    </w:p>
  </w:footnote>
  <w:footnote w:id="3">
    <w:p w:rsidR="006A4EC8" w:rsidRPr="00116970" w:rsidP="00CD38CD" w14:paraId="1E85C091" w14:textId="77777777">
      <w:pPr>
        <w:pStyle w:val="FootnoteText"/>
        <w:rPr>
          <w:color w:val="000000" w:themeColor="text1"/>
        </w:rPr>
      </w:pPr>
      <w:r w:rsidRPr="00116970">
        <w:rPr>
          <w:rStyle w:val="FootnoteReference"/>
          <w:color w:val="000000" w:themeColor="text1"/>
        </w:rPr>
        <w:footnoteRef/>
      </w:r>
      <w:r w:rsidRPr="00116970">
        <w:rPr>
          <w:color w:val="000000" w:themeColor="text1"/>
        </w:rPr>
        <w:t xml:space="preserve"> </w:t>
      </w:r>
      <w:r w:rsidRPr="00AB4A23" w:rsidR="00335191">
        <w:t>Leica Geosystems AG</w:t>
      </w:r>
      <w:r w:rsidR="00335191">
        <w:t>’s</w:t>
      </w:r>
      <w:r w:rsidRPr="00AB4A23" w:rsidR="00335191">
        <w:t xml:space="preserve"> Request for Waiver of </w:t>
      </w:r>
      <w:r w:rsidR="0069339A">
        <w:t>part</w:t>
      </w:r>
      <w:r w:rsidRPr="00AB4A23" w:rsidR="00335191">
        <w:t xml:space="preserve"> 15 of the Commission’s Rules to Market a UAV Collision Avoidance Radar</w:t>
      </w:r>
      <w:r w:rsidRPr="00116970">
        <w:rPr>
          <w:color w:val="000000" w:themeColor="text1"/>
        </w:rPr>
        <w:t xml:space="preserve"> (filed </w:t>
      </w:r>
      <w:r w:rsidR="00335191">
        <w:rPr>
          <w:color w:val="000000" w:themeColor="text1"/>
        </w:rPr>
        <w:t>Sep 5</w:t>
      </w:r>
      <w:r w:rsidRPr="00116970">
        <w:rPr>
          <w:color w:val="000000" w:themeColor="text1"/>
        </w:rPr>
        <w:t>, 201</w:t>
      </w:r>
      <w:r w:rsidR="00335191">
        <w:rPr>
          <w:color w:val="000000" w:themeColor="text1"/>
        </w:rPr>
        <w:t>9</w:t>
      </w:r>
      <w:r w:rsidRPr="00116970">
        <w:rPr>
          <w:color w:val="000000" w:themeColor="text1"/>
        </w:rPr>
        <w:t>) (</w:t>
      </w:r>
      <w:r w:rsidRPr="00116970">
        <w:rPr>
          <w:i/>
          <w:color w:val="000000" w:themeColor="text1"/>
        </w:rPr>
        <w:t>Request</w:t>
      </w:r>
      <w:r w:rsidR="00335191">
        <w:rPr>
          <w:color w:val="000000" w:themeColor="text1"/>
        </w:rPr>
        <w:t>).</w:t>
      </w:r>
      <w:r>
        <w:t xml:space="preserve"> </w:t>
      </w:r>
    </w:p>
  </w:footnote>
  <w:footnote w:id="4">
    <w:p w:rsidR="00A3198F" w:rsidRPr="00A3198F" w14:paraId="0C393A71" w14:textId="77777777">
      <w:pPr>
        <w:pStyle w:val="FootnoteText"/>
      </w:pPr>
      <w:r>
        <w:rPr>
          <w:rStyle w:val="FootnoteReference"/>
        </w:rPr>
        <w:footnoteRef/>
      </w:r>
      <w:r>
        <w:t xml:space="preserve"> </w:t>
      </w:r>
      <w:r w:rsidRPr="00116970" w:rsidR="00BE4731">
        <w:rPr>
          <w:color w:val="000000" w:themeColor="text1"/>
        </w:rPr>
        <w:t>47 CFR §§ 15.255</w:t>
      </w:r>
      <w:r w:rsidR="00BE4731">
        <w:rPr>
          <w:color w:val="000000" w:themeColor="text1"/>
        </w:rPr>
        <w:t>(a)(2</w:t>
      </w:r>
      <w:r w:rsidR="00940C89">
        <w:rPr>
          <w:color w:val="000000" w:themeColor="text1"/>
        </w:rPr>
        <w:t>), (</w:t>
      </w:r>
      <w:r w:rsidR="00BE4731">
        <w:rPr>
          <w:color w:val="000000" w:themeColor="text1"/>
        </w:rPr>
        <w:t xml:space="preserve">b)(2), and </w:t>
      </w:r>
      <w:r w:rsidRPr="00116970" w:rsidR="00BE4731">
        <w:rPr>
          <w:color w:val="000000" w:themeColor="text1"/>
        </w:rPr>
        <w:t>(c)(3).</w:t>
      </w:r>
    </w:p>
  </w:footnote>
  <w:footnote w:id="5">
    <w:p w:rsidR="009F0737" w:rsidRPr="00E76A3D" w:rsidP="009F0737" w14:paraId="0A83CAA2" w14:textId="0AEE6A4D">
      <w:pPr>
        <w:pStyle w:val="FootnoteText"/>
      </w:pPr>
      <w:r>
        <w:rPr>
          <w:rStyle w:val="FootnoteReference"/>
        </w:rPr>
        <w:footnoteRef/>
      </w:r>
      <w:r w:rsidRPr="00E76A3D">
        <w:t xml:space="preserve"> 47 CFR. § 2.106</w:t>
      </w:r>
      <w:r w:rsidR="006C7A84">
        <w:t xml:space="preserve"> </w:t>
      </w:r>
      <w:r w:rsidR="006A4B45">
        <w:t>N</w:t>
      </w:r>
      <w:r w:rsidR="006C7A84">
        <w:t>ote 5.138</w:t>
      </w:r>
      <w:r w:rsidRPr="00E76A3D">
        <w:t>.</w:t>
      </w:r>
    </w:p>
  </w:footnote>
  <w:footnote w:id="6">
    <w:p w:rsidR="007E5A6D" w:rsidRPr="00E76A3D" w:rsidP="007E5A6D" w14:paraId="72D94FDA" w14:textId="3CAC8218">
      <w:pPr>
        <w:pStyle w:val="FootnoteText"/>
      </w:pPr>
      <w:r>
        <w:rPr>
          <w:rStyle w:val="FootnoteReference"/>
        </w:rPr>
        <w:footnoteRef/>
      </w:r>
      <w:r w:rsidRPr="00E76A3D">
        <w:t xml:space="preserve"> 47 CFR. § 18.</w:t>
      </w:r>
      <w:r>
        <w:t>301</w:t>
      </w:r>
      <w:r w:rsidRPr="00E76A3D">
        <w:rPr>
          <w:i/>
        </w:rPr>
        <w:t>.</w:t>
      </w:r>
    </w:p>
  </w:footnote>
  <w:footnote w:id="7">
    <w:p w:rsidR="009071A6" w14:paraId="4BAA55EA" w14:textId="26D9423D">
      <w:pPr>
        <w:pStyle w:val="FootnoteText"/>
      </w:pPr>
      <w:r>
        <w:rPr>
          <w:rStyle w:val="FootnoteReference"/>
        </w:rPr>
        <w:footnoteRef/>
      </w:r>
      <w:r>
        <w:t xml:space="preserve"> </w:t>
      </w:r>
      <w:r w:rsidRPr="007A3D66">
        <w:rPr>
          <w:i/>
          <w:iCs/>
        </w:rPr>
        <w:t>See</w:t>
      </w:r>
      <w:r>
        <w:t xml:space="preserve"> </w:t>
      </w:r>
      <w:r w:rsidRPr="00E76A3D">
        <w:t>47 CFR. § 2.106</w:t>
      </w:r>
      <w:r>
        <w:t>.</w:t>
      </w:r>
    </w:p>
  </w:footnote>
  <w:footnote w:id="8">
    <w:p w:rsidR="006C7A84" w14:paraId="3A61FB9E" w14:textId="77777777">
      <w:pPr>
        <w:pStyle w:val="FootnoteText"/>
      </w:pPr>
      <w:r>
        <w:rPr>
          <w:rStyle w:val="FootnoteReference"/>
        </w:rPr>
        <w:footnoteRef/>
      </w:r>
      <w:r>
        <w:t xml:space="preserve"> </w:t>
      </w:r>
      <w:r w:rsidRPr="00116970">
        <w:rPr>
          <w:color w:val="000000" w:themeColor="text1"/>
        </w:rPr>
        <w:t>47 CFR §§ 15.255</w:t>
      </w:r>
      <w:r>
        <w:rPr>
          <w:color w:val="000000" w:themeColor="text1"/>
        </w:rPr>
        <w:t xml:space="preserve"> </w:t>
      </w:r>
      <w:r w:rsidRPr="00E76A3D">
        <w:rPr>
          <w:i/>
        </w:rPr>
        <w:t>et seq</w:t>
      </w:r>
      <w:r w:rsidRPr="00E76A3D">
        <w:rPr>
          <w:i/>
        </w:rPr>
        <w:t>.</w:t>
      </w:r>
    </w:p>
  </w:footnote>
  <w:footnote w:id="9">
    <w:p w:rsidR="006A4EC8" w:rsidRPr="00116970" w:rsidP="008D00EA" w14:paraId="53352FC4" w14:textId="77777777">
      <w:pPr>
        <w:pStyle w:val="FootnoteText"/>
        <w:rPr>
          <w:color w:val="000000" w:themeColor="text1"/>
        </w:rPr>
      </w:pPr>
      <w:r w:rsidRPr="00116970">
        <w:rPr>
          <w:rStyle w:val="FootnoteReference"/>
          <w:color w:val="000000" w:themeColor="text1"/>
        </w:rPr>
        <w:footnoteRef/>
      </w:r>
      <w:r w:rsidRPr="00116970">
        <w:rPr>
          <w:color w:val="000000" w:themeColor="text1"/>
        </w:rPr>
        <w:t xml:space="preserve"> 47 </w:t>
      </w:r>
      <w:r>
        <w:rPr>
          <w:color w:val="000000" w:themeColor="text1"/>
        </w:rPr>
        <w:t>CFR</w:t>
      </w:r>
      <w:r w:rsidRPr="00116970">
        <w:rPr>
          <w:color w:val="000000" w:themeColor="text1"/>
        </w:rPr>
        <w:t xml:space="preserve"> </w:t>
      </w:r>
      <w:bookmarkStart w:id="2" w:name="_Hlk530470273"/>
      <w:r w:rsidRPr="00116970">
        <w:rPr>
          <w:color w:val="000000" w:themeColor="text1"/>
          <w:spacing w:val="-2"/>
        </w:rPr>
        <w:t>§</w:t>
      </w:r>
      <w:bookmarkEnd w:id="2"/>
      <w:r w:rsidRPr="00116970">
        <w:rPr>
          <w:color w:val="000000" w:themeColor="text1"/>
          <w:spacing w:val="-2"/>
        </w:rPr>
        <w:t xml:space="preserve">§ 15.1 </w:t>
      </w:r>
      <w:r w:rsidRPr="00116970">
        <w:rPr>
          <w:i/>
          <w:color w:val="000000" w:themeColor="text1"/>
          <w:spacing w:val="-2"/>
        </w:rPr>
        <w:t>et seq</w:t>
      </w:r>
      <w:r w:rsidRPr="00116970">
        <w:rPr>
          <w:color w:val="000000" w:themeColor="text1"/>
          <w:spacing w:val="-2"/>
        </w:rPr>
        <w:t>.</w:t>
      </w:r>
      <w:r>
        <w:rPr>
          <w:color w:val="000000" w:themeColor="text1"/>
          <w:spacing w:val="-2"/>
        </w:rPr>
        <w:t xml:space="preserve">  </w:t>
      </w:r>
      <w:r w:rsidRPr="00116970">
        <w:rPr>
          <w:color w:val="000000" w:themeColor="text1"/>
        </w:rPr>
        <w:t xml:space="preserve">The </w:t>
      </w:r>
      <w:r>
        <w:rPr>
          <w:color w:val="000000" w:themeColor="text1"/>
        </w:rPr>
        <w:t xml:space="preserve">fundamental </w:t>
      </w:r>
      <w:r w:rsidRPr="00116970">
        <w:rPr>
          <w:color w:val="000000" w:themeColor="text1"/>
        </w:rPr>
        <w:t xml:space="preserve">operating conditions under </w:t>
      </w:r>
      <w:r w:rsidR="0069339A">
        <w:rPr>
          <w:color w:val="000000" w:themeColor="text1"/>
        </w:rPr>
        <w:t>part</w:t>
      </w:r>
      <w:r w:rsidRPr="00116970">
        <w:rPr>
          <w:color w:val="000000" w:themeColor="text1"/>
        </w:rPr>
        <w:t xml:space="preserve"> 15 are that the operator of a </w:t>
      </w:r>
      <w:r w:rsidR="0069339A">
        <w:rPr>
          <w:color w:val="000000" w:themeColor="text1"/>
        </w:rPr>
        <w:t>part</w:t>
      </w:r>
      <w:r w:rsidRPr="00116970">
        <w:rPr>
          <w:color w:val="000000" w:themeColor="text1"/>
        </w:rPr>
        <w:t xml:space="preserve"> 15 device must accept whatever interference is received and must correct whatever harmful interference i</w:t>
      </w:r>
      <w:r>
        <w:rPr>
          <w:color w:val="000000" w:themeColor="text1"/>
        </w:rPr>
        <w:t>t</w:t>
      </w:r>
      <w:r w:rsidRPr="00116970">
        <w:rPr>
          <w:color w:val="000000" w:themeColor="text1"/>
        </w:rPr>
        <w:t xml:space="preserve"> caused.  Should harmful interference occur, the operator is required to immediately correct the interference problem</w:t>
      </w:r>
      <w:r w:rsidRPr="00164AF5">
        <w:rPr>
          <w:color w:val="000000" w:themeColor="text1"/>
        </w:rPr>
        <w:t xml:space="preserve">, even if correction of the problem requires ceasing operation of the </w:t>
      </w:r>
      <w:r w:rsidR="0069339A">
        <w:rPr>
          <w:color w:val="000000" w:themeColor="text1"/>
        </w:rPr>
        <w:t>part</w:t>
      </w:r>
      <w:r w:rsidRPr="00164AF5">
        <w:rPr>
          <w:color w:val="000000" w:themeColor="text1"/>
        </w:rPr>
        <w:t xml:space="preserve"> 15 equipment causing interference</w:t>
      </w:r>
      <w:r>
        <w:rPr>
          <w:color w:val="000000" w:themeColor="text1"/>
        </w:rPr>
        <w:t>.</w:t>
      </w:r>
      <w:r w:rsidRPr="00116970">
        <w:rPr>
          <w:color w:val="000000" w:themeColor="text1"/>
        </w:rPr>
        <w:t xml:space="preserve">  </w:t>
      </w:r>
      <w:r w:rsidRPr="00116970">
        <w:rPr>
          <w:i/>
          <w:color w:val="000000" w:themeColor="text1"/>
        </w:rPr>
        <w:t>See</w:t>
      </w:r>
      <w:r w:rsidRPr="00116970">
        <w:rPr>
          <w:color w:val="000000" w:themeColor="text1"/>
        </w:rPr>
        <w:t xml:space="preserve"> 47 </w:t>
      </w:r>
      <w:r>
        <w:rPr>
          <w:color w:val="000000" w:themeColor="text1"/>
        </w:rPr>
        <w:t>CFR</w:t>
      </w:r>
      <w:r w:rsidRPr="00116970">
        <w:rPr>
          <w:color w:val="000000" w:themeColor="text1"/>
        </w:rPr>
        <w:t xml:space="preserve"> </w:t>
      </w:r>
      <w:r w:rsidRPr="00116970">
        <w:rPr>
          <w:color w:val="000000" w:themeColor="text1"/>
          <w:spacing w:val="-2"/>
        </w:rPr>
        <w:t>§ 15.5.</w:t>
      </w:r>
    </w:p>
  </w:footnote>
  <w:footnote w:id="10">
    <w:p w:rsidR="00F952A8" w:rsidRPr="00116970" w:rsidP="00F952A8" w14:paraId="3A765363" w14:textId="5ED57739">
      <w:pPr>
        <w:pStyle w:val="FootnoteText"/>
        <w:rPr>
          <w:color w:val="000000" w:themeColor="text1"/>
        </w:rPr>
      </w:pPr>
      <w:r w:rsidRPr="00116970">
        <w:rPr>
          <w:rStyle w:val="FootnoteReference"/>
          <w:color w:val="000000" w:themeColor="text1"/>
        </w:rPr>
        <w:footnoteRef/>
      </w:r>
      <w:r w:rsidRPr="00116970">
        <w:rPr>
          <w:color w:val="000000" w:themeColor="text1"/>
        </w:rPr>
        <w:t xml:space="preserve"> 47 </w:t>
      </w:r>
      <w:r>
        <w:rPr>
          <w:color w:val="000000" w:themeColor="text1"/>
        </w:rPr>
        <w:t>CFR</w:t>
      </w:r>
      <w:r w:rsidRPr="00116970">
        <w:rPr>
          <w:color w:val="000000" w:themeColor="text1"/>
        </w:rPr>
        <w:t xml:space="preserve"> § 15.255.</w:t>
      </w:r>
      <w:r>
        <w:rPr>
          <w:color w:val="000000" w:themeColor="text1"/>
        </w:rPr>
        <w:t xml:space="preserve">  </w:t>
      </w:r>
      <w:r w:rsidRPr="00116970">
        <w:rPr>
          <w:i/>
          <w:color w:val="000000" w:themeColor="text1"/>
        </w:rPr>
        <w:t>See</w:t>
      </w:r>
      <w:r w:rsidRPr="003069CE">
        <w:rPr>
          <w:i/>
          <w:color w:val="000000" w:themeColor="text1"/>
        </w:rPr>
        <w:t xml:space="preserve"> </w:t>
      </w:r>
      <w:r w:rsidRPr="00BB3358">
        <w:rPr>
          <w:i/>
          <w:color w:val="000000" w:themeColor="text1"/>
        </w:rPr>
        <w:t xml:space="preserve">Revision of </w:t>
      </w:r>
      <w:r w:rsidR="009B3E0F">
        <w:rPr>
          <w:i/>
          <w:color w:val="000000" w:themeColor="text1"/>
        </w:rPr>
        <w:t>P</w:t>
      </w:r>
      <w:r w:rsidR="0069339A">
        <w:rPr>
          <w:i/>
          <w:color w:val="000000" w:themeColor="text1"/>
        </w:rPr>
        <w:t>art</w:t>
      </w:r>
      <w:r w:rsidRPr="00BB3358">
        <w:rPr>
          <w:i/>
          <w:color w:val="000000" w:themeColor="text1"/>
        </w:rPr>
        <w:t xml:space="preserve"> 15 of the Commission’s Rules Regarding Operation in the </w:t>
      </w:r>
      <w:r w:rsidR="00527DEA">
        <w:rPr>
          <w:i/>
          <w:color w:val="000000" w:themeColor="text1"/>
        </w:rPr>
        <w:t>57</w:t>
      </w:r>
      <w:r w:rsidR="004272D1">
        <w:rPr>
          <w:i/>
          <w:color w:val="000000" w:themeColor="text1"/>
        </w:rPr>
        <w:t>-64</w:t>
      </w:r>
      <w:r w:rsidRPr="00BB3358">
        <w:rPr>
          <w:i/>
          <w:color w:val="000000" w:themeColor="text1"/>
        </w:rPr>
        <w:t xml:space="preserve"> GHz Band</w:t>
      </w:r>
      <w:r w:rsidRPr="00116970">
        <w:rPr>
          <w:color w:val="000000" w:themeColor="text1"/>
        </w:rPr>
        <w:t xml:space="preserve">, </w:t>
      </w:r>
      <w:r w:rsidR="005C29C7">
        <w:rPr>
          <w:color w:val="000000" w:themeColor="text1"/>
        </w:rPr>
        <w:t>ET Docket No. 07</w:t>
      </w:r>
      <w:r w:rsidR="005C29C7">
        <w:rPr>
          <w:color w:val="000000" w:themeColor="text1"/>
        </w:rPr>
        <w:noBreakHyphen/>
        <w:t>113, FCC 13</w:t>
      </w:r>
      <w:r w:rsidR="005C29C7">
        <w:rPr>
          <w:color w:val="000000" w:themeColor="text1"/>
        </w:rPr>
        <w:noBreakHyphen/>
        <w:t xml:space="preserve">112, </w:t>
      </w:r>
      <w:r w:rsidRPr="00BB3358">
        <w:rPr>
          <w:color w:val="000000" w:themeColor="text1"/>
        </w:rPr>
        <w:t>Report and Order</w:t>
      </w:r>
      <w:r w:rsidRPr="00116970">
        <w:rPr>
          <w:color w:val="000000" w:themeColor="text1"/>
        </w:rPr>
        <w:t xml:space="preserve">, 28 FCC Rcd 12517 (2013).  </w:t>
      </w:r>
      <w:r>
        <w:rPr>
          <w:color w:val="000000" w:themeColor="text1"/>
        </w:rPr>
        <w:t xml:space="preserve">The rules were further amended in 2016 to specifically permit </w:t>
      </w:r>
      <w:r w:rsidR="009B3E0F">
        <w:rPr>
          <w:color w:val="000000" w:themeColor="text1"/>
        </w:rPr>
        <w:t xml:space="preserve">certain </w:t>
      </w:r>
      <w:r w:rsidRPr="00116970">
        <w:rPr>
          <w:color w:val="000000" w:themeColor="text1"/>
        </w:rPr>
        <w:t>type</w:t>
      </w:r>
      <w:r>
        <w:rPr>
          <w:color w:val="000000" w:themeColor="text1"/>
        </w:rPr>
        <w:t>s</w:t>
      </w:r>
      <w:r w:rsidRPr="00116970">
        <w:rPr>
          <w:color w:val="000000" w:themeColor="text1"/>
        </w:rPr>
        <w:t xml:space="preserve"> of </w:t>
      </w:r>
      <w:r>
        <w:rPr>
          <w:color w:val="000000" w:themeColor="text1"/>
        </w:rPr>
        <w:t>field disturbance sensors</w:t>
      </w:r>
      <w:r w:rsidRPr="00116970">
        <w:rPr>
          <w:color w:val="000000" w:themeColor="text1"/>
        </w:rPr>
        <w:t xml:space="preserve">.  </w:t>
      </w:r>
      <w:r w:rsidRPr="00116970">
        <w:rPr>
          <w:i/>
          <w:color w:val="000000" w:themeColor="text1"/>
        </w:rPr>
        <w:t>See Use of Spectrum Bands Above 24 GHz For Mobile Radio Services</w:t>
      </w:r>
      <w:r w:rsidRPr="00116970">
        <w:rPr>
          <w:color w:val="000000" w:themeColor="text1"/>
        </w:rPr>
        <w:t xml:space="preserve">, </w:t>
      </w:r>
      <w:r w:rsidR="005C29C7">
        <w:rPr>
          <w:color w:val="000000" w:themeColor="text1"/>
        </w:rPr>
        <w:t>GN Docket 14</w:t>
      </w:r>
      <w:r w:rsidR="005C29C7">
        <w:rPr>
          <w:color w:val="000000" w:themeColor="text1"/>
        </w:rPr>
        <w:noBreakHyphen/>
        <w:t>117, FCC 16</w:t>
      </w:r>
      <w:r w:rsidR="005C29C7">
        <w:rPr>
          <w:color w:val="000000" w:themeColor="text1"/>
        </w:rPr>
        <w:noBreakHyphen/>
        <w:t xml:space="preserve">89, </w:t>
      </w:r>
      <w:r w:rsidRPr="00116970">
        <w:rPr>
          <w:color w:val="000000" w:themeColor="text1"/>
        </w:rPr>
        <w:t>Report and Order and Further Notice of Proposed Rulemaking, 31 FCC Rcd 8014 (2016).</w:t>
      </w:r>
    </w:p>
  </w:footnote>
  <w:footnote w:id="11">
    <w:p w:rsidR="00395F5D" w14:paraId="6869C6FE" w14:textId="77777777">
      <w:pPr>
        <w:pStyle w:val="FootnoteText"/>
      </w:pPr>
      <w:r>
        <w:rPr>
          <w:rStyle w:val="FootnoteReference"/>
        </w:rPr>
        <w:footnoteRef/>
      </w:r>
      <w:r>
        <w:t xml:space="preserve"> </w:t>
      </w:r>
      <w:r w:rsidRPr="001C414A">
        <w:rPr>
          <w:i/>
          <w:iCs/>
          <w:color w:val="000000"/>
        </w:rPr>
        <w:t xml:space="preserve">See </w:t>
      </w:r>
      <w:r w:rsidRPr="001C414A">
        <w:rPr>
          <w:iCs/>
          <w:color w:val="000000"/>
        </w:rPr>
        <w:t>Wi-Fi Alliance,</w:t>
      </w:r>
      <w:r w:rsidRPr="001C414A">
        <w:rPr>
          <w:i/>
          <w:iCs/>
          <w:color w:val="000000"/>
        </w:rPr>
        <w:t xml:space="preserve"> Wi</w:t>
      </w:r>
      <w:r w:rsidRPr="001C414A">
        <w:rPr>
          <w:iCs/>
          <w:color w:val="000000"/>
        </w:rPr>
        <w:t>-</w:t>
      </w:r>
      <w:r w:rsidRPr="001C414A">
        <w:rPr>
          <w:i/>
          <w:iCs/>
          <w:color w:val="000000"/>
        </w:rPr>
        <w:t>Fi Certified WiGig,</w:t>
      </w:r>
      <w:r w:rsidRPr="00CF2AFD">
        <w:rPr>
          <w:i/>
          <w:color w:val="000000"/>
        </w:rPr>
        <w:t xml:space="preserve"> </w:t>
      </w:r>
      <w:hyperlink r:id="rId1" w:history="1">
        <w:r w:rsidRPr="000D0428">
          <w:rPr>
            <w:rStyle w:val="Hyperlink"/>
          </w:rPr>
          <w:t>http://www.wi-fi.org/discover-wi-fi/wigig-certified</w:t>
        </w:r>
      </w:hyperlink>
      <w:r w:rsidR="00601796">
        <w:rPr>
          <w:rStyle w:val="Hyperlink"/>
        </w:rPr>
        <w:t>.</w:t>
      </w:r>
    </w:p>
  </w:footnote>
  <w:footnote w:id="12">
    <w:p w:rsidR="00395F5D" w14:paraId="3D03E9CC" w14:textId="77777777">
      <w:pPr>
        <w:pStyle w:val="FootnoteText"/>
      </w:pPr>
      <w:r>
        <w:rPr>
          <w:rStyle w:val="FootnoteReference"/>
        </w:rPr>
        <w:footnoteRef/>
      </w:r>
      <w:r>
        <w:t xml:space="preserve"> </w:t>
      </w:r>
      <w:r>
        <w:rPr>
          <w:i/>
        </w:rPr>
        <w:t xml:space="preserve">See </w:t>
      </w:r>
      <w:r w:rsidRPr="00603A5A">
        <w:rPr>
          <w:iCs/>
        </w:rPr>
        <w:t>e.g</w:t>
      </w:r>
      <w:r>
        <w:rPr>
          <w:i/>
        </w:rPr>
        <w:t>.</w:t>
      </w:r>
      <w:r>
        <w:rPr>
          <w:iCs/>
        </w:rPr>
        <w:t>,</w:t>
      </w:r>
      <w:r>
        <w:rPr>
          <w:i/>
        </w:rPr>
        <w:t xml:space="preserve"> </w:t>
      </w:r>
      <w:hyperlink r:id="rId2" w:history="1">
        <w:r w:rsidRPr="0093711B" w:rsidR="00601796">
          <w:rPr>
            <w:rStyle w:val="Hyperlink"/>
          </w:rPr>
          <w:t>http://www.airlinx.com</w:t>
        </w:r>
      </w:hyperlink>
      <w:r w:rsidRPr="00C65B70">
        <w:t xml:space="preserve">; </w:t>
      </w:r>
      <w:hyperlink r:id="rId3" w:history="1">
        <w:r w:rsidRPr="00F63EBC">
          <w:rPr>
            <w:color w:val="0000FF"/>
            <w:u w:val="single"/>
          </w:rPr>
          <w:t>https://www.ignitenet.com/technology/metrolinq/</w:t>
        </w:r>
      </w:hyperlink>
      <w:r w:rsidRPr="00C65B70">
        <w:t xml:space="preserve">. </w:t>
      </w:r>
    </w:p>
  </w:footnote>
  <w:footnote w:id="13">
    <w:p w:rsidR="00DB2AB9" w14:paraId="5A2D03AF" w14:textId="77777777">
      <w:pPr>
        <w:pStyle w:val="FootnoteText"/>
      </w:pPr>
      <w:r>
        <w:rPr>
          <w:rStyle w:val="FootnoteReference"/>
        </w:rPr>
        <w:footnoteRef/>
      </w:r>
      <w:r>
        <w:t xml:space="preserve"> </w:t>
      </w:r>
      <w:r w:rsidRPr="00DB2AB9">
        <w:rPr>
          <w:i/>
          <w:iCs/>
        </w:rPr>
        <w:t>See</w:t>
      </w:r>
      <w:r>
        <w:t xml:space="preserve"> </w:t>
      </w:r>
      <w:hyperlink r:id="rId4" w:history="1">
        <w:r w:rsidRPr="00F63EBC">
          <w:rPr>
            <w:color w:val="0000FF"/>
            <w:u w:val="single"/>
          </w:rPr>
          <w:t>https://atap.google.com/soli/</w:t>
        </w:r>
      </w:hyperlink>
      <w:r>
        <w:t>.</w:t>
      </w:r>
    </w:p>
  </w:footnote>
  <w:footnote w:id="14">
    <w:p w:rsidR="00167DCB" w14:paraId="4171A112" w14:textId="163C6AC8">
      <w:pPr>
        <w:pStyle w:val="FootnoteText"/>
      </w:pPr>
      <w:r>
        <w:rPr>
          <w:rStyle w:val="FootnoteReference"/>
        </w:rPr>
        <w:footnoteRef/>
      </w:r>
      <w:r>
        <w:t xml:space="preserve"> </w:t>
      </w:r>
      <w:r w:rsidRPr="00116970">
        <w:rPr>
          <w:color w:val="000000" w:themeColor="text1"/>
        </w:rPr>
        <w:t>47 CFR § 15.255(</w:t>
      </w:r>
      <w:r>
        <w:rPr>
          <w:color w:val="000000" w:themeColor="text1"/>
        </w:rPr>
        <w:t>a</w:t>
      </w:r>
      <w:r w:rsidRPr="00116970">
        <w:rPr>
          <w:color w:val="000000" w:themeColor="text1"/>
        </w:rPr>
        <w:t>)(</w:t>
      </w:r>
      <w:r>
        <w:rPr>
          <w:color w:val="000000" w:themeColor="text1"/>
        </w:rPr>
        <w:t>2</w:t>
      </w:r>
      <w:r w:rsidRPr="00116970">
        <w:rPr>
          <w:color w:val="000000" w:themeColor="text1"/>
        </w:rPr>
        <w:t>).</w:t>
      </w:r>
      <w:r>
        <w:rPr>
          <w:color w:val="000000" w:themeColor="text1"/>
        </w:rPr>
        <w:t xml:space="preserve">  </w:t>
      </w:r>
    </w:p>
  </w:footnote>
  <w:footnote w:id="15">
    <w:p w:rsidR="0079162D" w14:paraId="0BF342D8" w14:textId="77777777">
      <w:pPr>
        <w:pStyle w:val="FootnoteText"/>
      </w:pPr>
      <w:r>
        <w:rPr>
          <w:rStyle w:val="FootnoteReference"/>
        </w:rPr>
        <w:footnoteRef/>
      </w:r>
      <w:r>
        <w:t xml:space="preserve"> </w:t>
      </w:r>
      <w:r w:rsidRPr="00116970">
        <w:rPr>
          <w:color w:val="000000" w:themeColor="text1"/>
        </w:rPr>
        <w:t>47 CFR § 15.255(</w:t>
      </w:r>
      <w:r>
        <w:rPr>
          <w:color w:val="000000" w:themeColor="text1"/>
        </w:rPr>
        <w:t>b</w:t>
      </w:r>
      <w:r w:rsidRPr="00116970">
        <w:rPr>
          <w:color w:val="000000" w:themeColor="text1"/>
        </w:rPr>
        <w:t>)(</w:t>
      </w:r>
      <w:r>
        <w:rPr>
          <w:color w:val="000000" w:themeColor="text1"/>
        </w:rPr>
        <w:t>2</w:t>
      </w:r>
      <w:r w:rsidRPr="00116970">
        <w:rPr>
          <w:color w:val="000000" w:themeColor="text1"/>
        </w:rPr>
        <w:t>).</w:t>
      </w:r>
      <w:r>
        <w:rPr>
          <w:color w:val="000000" w:themeColor="text1"/>
        </w:rPr>
        <w:t xml:space="preserve">  </w:t>
      </w:r>
    </w:p>
  </w:footnote>
  <w:footnote w:id="16">
    <w:p w:rsidR="006A4EC8" w14:paraId="0E580C06" w14:textId="77777777">
      <w:pPr>
        <w:pStyle w:val="FootnoteText"/>
      </w:pPr>
      <w:r>
        <w:rPr>
          <w:rStyle w:val="FootnoteReference"/>
        </w:rPr>
        <w:footnoteRef/>
      </w:r>
      <w:r>
        <w:t xml:space="preserve"> </w:t>
      </w:r>
      <w:r w:rsidRPr="00116970" w:rsidR="007B7F90">
        <w:rPr>
          <w:color w:val="000000" w:themeColor="text1"/>
        </w:rPr>
        <w:t>47 CFR § 15.255(c)(3).</w:t>
      </w:r>
    </w:p>
  </w:footnote>
  <w:footnote w:id="17">
    <w:p w:rsidR="00491F0B" w14:paraId="275C4A1E" w14:textId="52AB04C3">
      <w:pPr>
        <w:pStyle w:val="FootnoteText"/>
      </w:pPr>
      <w:r>
        <w:rPr>
          <w:rStyle w:val="FootnoteReference"/>
        </w:rPr>
        <w:footnoteRef/>
      </w:r>
      <w:r>
        <w:t xml:space="preserve"> The UA could be used for a variety of specialized activities including, for example, </w:t>
      </w:r>
      <w:r w:rsidRPr="002B4FC8">
        <w:rPr>
          <w:szCs w:val="22"/>
        </w:rPr>
        <w:t>close-up visual surveying of roofs to optimize planning for solar panel installation</w:t>
      </w:r>
      <w:r>
        <w:rPr>
          <w:szCs w:val="22"/>
        </w:rPr>
        <w:t xml:space="preserve"> and </w:t>
      </w:r>
      <w:r w:rsidRPr="002B4FC8">
        <w:rPr>
          <w:szCs w:val="22"/>
        </w:rPr>
        <w:t>visual surveying of archeological sites for computer</w:t>
      </w:r>
      <w:r w:rsidR="00603A5A">
        <w:rPr>
          <w:szCs w:val="22"/>
        </w:rPr>
        <w:t>-</w:t>
      </w:r>
      <w:r w:rsidRPr="002B4FC8">
        <w:rPr>
          <w:szCs w:val="22"/>
        </w:rPr>
        <w:t>aided analysis and documentation</w:t>
      </w:r>
      <w:r>
        <w:rPr>
          <w:szCs w:val="22"/>
        </w:rPr>
        <w:t>.</w:t>
      </w:r>
    </w:p>
  </w:footnote>
  <w:footnote w:id="18">
    <w:p w:rsidR="001A05E6" w14:paraId="62D1F474" w14:textId="77777777">
      <w:pPr>
        <w:pStyle w:val="FootnoteText"/>
      </w:pPr>
      <w:r>
        <w:rPr>
          <w:rStyle w:val="FootnoteReference"/>
        </w:rPr>
        <w:footnoteRef/>
      </w:r>
      <w:r>
        <w:t xml:space="preserve"> </w:t>
      </w:r>
      <w:r w:rsidRPr="001D776E">
        <w:rPr>
          <w:i/>
        </w:rPr>
        <w:t>Request</w:t>
      </w:r>
      <w:r>
        <w:t xml:space="preserve"> at 3.</w:t>
      </w:r>
    </w:p>
  </w:footnote>
  <w:footnote w:id="19">
    <w:p w:rsidR="00050C74" w:rsidP="00050C74" w14:paraId="2B9C01C6" w14:textId="77777777">
      <w:pPr>
        <w:pStyle w:val="FootnoteText"/>
      </w:pPr>
      <w:r>
        <w:rPr>
          <w:rStyle w:val="FootnoteReference"/>
        </w:rPr>
        <w:footnoteRef/>
      </w:r>
      <w:r>
        <w:t xml:space="preserve"> </w:t>
      </w:r>
      <w:r w:rsidRPr="001D776E">
        <w:rPr>
          <w:i/>
        </w:rPr>
        <w:t>Request</w:t>
      </w:r>
      <w:r>
        <w:t xml:space="preserve"> at 1</w:t>
      </w:r>
      <w:r w:rsidR="00EE72C0">
        <w:t>2</w:t>
      </w:r>
      <w:r>
        <w:t>.</w:t>
      </w:r>
    </w:p>
  </w:footnote>
  <w:footnote w:id="20">
    <w:p w:rsidR="006A4EC8" w:rsidRPr="00116970" w:rsidP="000C16A4" w14:paraId="1AFCD788" w14:textId="77777777">
      <w:pPr>
        <w:pStyle w:val="FootnoteText"/>
        <w:rPr>
          <w:color w:val="000000" w:themeColor="text1"/>
        </w:rPr>
      </w:pPr>
      <w:r w:rsidRPr="00116970">
        <w:rPr>
          <w:rStyle w:val="FootnoteReference"/>
          <w:color w:val="000000" w:themeColor="text1"/>
        </w:rPr>
        <w:footnoteRef/>
      </w:r>
      <w:r w:rsidRPr="00116970">
        <w:rPr>
          <w:color w:val="000000" w:themeColor="text1"/>
        </w:rPr>
        <w:t xml:space="preserve"> </w:t>
      </w:r>
      <w:r w:rsidRPr="00804AE6">
        <w:rPr>
          <w:i/>
          <w:color w:val="000000" w:themeColor="text1"/>
        </w:rPr>
        <w:t>See</w:t>
      </w:r>
      <w:r w:rsidRPr="00804AE6">
        <w:rPr>
          <w:color w:val="000000" w:themeColor="text1"/>
        </w:rPr>
        <w:t xml:space="preserve"> </w:t>
      </w:r>
      <w:r w:rsidRPr="00F15FCA" w:rsidR="00F15FCA">
        <w:rPr>
          <w:i/>
          <w:color w:val="1D2B3E"/>
        </w:rPr>
        <w:t>OET Seeks Comment on LEICA Geosystems AG's Request for Waiver of Section 15.255 of the Rules to Operate Radars on a Commercial unmanned Aerial Vehicle (UAV)</w:t>
      </w:r>
      <w:r w:rsidRPr="00804AE6">
        <w:rPr>
          <w:color w:val="000000" w:themeColor="text1"/>
        </w:rPr>
        <w:t>, ET Docket No. 1</w:t>
      </w:r>
      <w:r w:rsidR="00796111">
        <w:rPr>
          <w:color w:val="000000" w:themeColor="text1"/>
        </w:rPr>
        <w:t>9-350</w:t>
      </w:r>
      <w:r w:rsidRPr="00804AE6">
        <w:rPr>
          <w:color w:val="000000" w:themeColor="text1"/>
        </w:rPr>
        <w:t xml:space="preserve">, </w:t>
      </w:r>
      <w:r w:rsidRPr="00804AE6" w:rsidR="00513673">
        <w:rPr>
          <w:color w:val="000000" w:themeColor="text1"/>
        </w:rPr>
        <w:t>Public Notice</w:t>
      </w:r>
      <w:r w:rsidR="00C42F80">
        <w:rPr>
          <w:color w:val="000000" w:themeColor="text1"/>
        </w:rPr>
        <w:t>,</w:t>
      </w:r>
      <w:r w:rsidR="00513673">
        <w:rPr>
          <w:color w:val="000000" w:themeColor="text1"/>
        </w:rPr>
        <w:t xml:space="preserve"> </w:t>
      </w:r>
      <w:r w:rsidRPr="000F7591">
        <w:rPr>
          <w:color w:val="000000" w:themeColor="text1"/>
        </w:rPr>
        <w:t>DA 1</w:t>
      </w:r>
      <w:r w:rsidR="00796111">
        <w:rPr>
          <w:color w:val="000000" w:themeColor="text1"/>
        </w:rPr>
        <w:t>9</w:t>
      </w:r>
      <w:r w:rsidRPr="00804AE6" w:rsidR="00804AE6">
        <w:rPr>
          <w:color w:val="000000" w:themeColor="text1"/>
        </w:rPr>
        <w:noBreakHyphen/>
      </w:r>
      <w:r w:rsidR="00796111">
        <w:rPr>
          <w:color w:val="000000" w:themeColor="text1"/>
        </w:rPr>
        <w:t>1198</w:t>
      </w:r>
      <w:r w:rsidRPr="000F7591" w:rsidR="00804AE6">
        <w:rPr>
          <w:color w:val="000000" w:themeColor="text1"/>
        </w:rPr>
        <w:t>,</w:t>
      </w:r>
      <w:r w:rsidRPr="00804AE6" w:rsidR="00804AE6">
        <w:rPr>
          <w:color w:val="000000" w:themeColor="text1"/>
        </w:rPr>
        <w:t xml:space="preserve"> </w:t>
      </w:r>
      <w:r w:rsidRPr="00F63EBC" w:rsidR="00601796">
        <w:rPr>
          <w:color w:val="1D2B3E"/>
        </w:rPr>
        <w:t>34 FCC Rcd 10521</w:t>
      </w:r>
      <w:r w:rsidRPr="000F7591" w:rsidR="00804AE6">
        <w:rPr>
          <w:color w:val="000000" w:themeColor="text1"/>
          <w:shd w:val="clear" w:color="auto" w:fill="FFFFFF"/>
        </w:rPr>
        <w:t xml:space="preserve"> </w:t>
      </w:r>
      <w:r w:rsidRPr="00804AE6" w:rsidR="00804AE6">
        <w:rPr>
          <w:color w:val="000000" w:themeColor="text1"/>
        </w:rPr>
        <w:t>(201</w:t>
      </w:r>
      <w:r w:rsidR="00F15FCA">
        <w:rPr>
          <w:color w:val="000000" w:themeColor="text1"/>
        </w:rPr>
        <w:t>9</w:t>
      </w:r>
      <w:r w:rsidRPr="00804AE6" w:rsidR="00804AE6">
        <w:rPr>
          <w:color w:val="000000" w:themeColor="text1"/>
        </w:rPr>
        <w:t>)</w:t>
      </w:r>
      <w:r w:rsidRPr="00804AE6">
        <w:rPr>
          <w:color w:val="000000" w:themeColor="text1"/>
        </w:rPr>
        <w:t>.</w:t>
      </w:r>
      <w:r w:rsidRPr="00116970">
        <w:rPr>
          <w:color w:val="000000" w:themeColor="text1"/>
        </w:rPr>
        <w:t xml:space="preserve">  </w:t>
      </w:r>
    </w:p>
  </w:footnote>
  <w:footnote w:id="21">
    <w:p w:rsidR="00EB3F33" w14:paraId="70E544A2" w14:textId="77777777">
      <w:pPr>
        <w:pStyle w:val="FootnoteText"/>
      </w:pPr>
      <w:r>
        <w:rPr>
          <w:rStyle w:val="FootnoteReference"/>
        </w:rPr>
        <w:footnoteRef/>
      </w:r>
      <w:r>
        <w:t xml:space="preserve"> In addition, a</w:t>
      </w:r>
      <w:r w:rsidRPr="004A070B">
        <w:rPr>
          <w:rFonts w:eastAsiaTheme="minorEastAsia"/>
        </w:rPr>
        <w:t xml:space="preserve"> joint comment from 7 parties (Facebook, Google, Samsung, Qualcomm, Intel, Infineon, Socionext America) </w:t>
      </w:r>
      <w:r>
        <w:t xml:space="preserve">was filed </w:t>
      </w:r>
      <w:r w:rsidRPr="004A070B">
        <w:rPr>
          <w:i/>
          <w:iCs/>
        </w:rPr>
        <w:t>ex parte</w:t>
      </w:r>
      <w:r>
        <w:t xml:space="preserve"> </w:t>
      </w:r>
      <w:r w:rsidR="00940C89">
        <w:t xml:space="preserve">on Feb. 3, 2020 </w:t>
      </w:r>
      <w:r>
        <w:t xml:space="preserve">to </w:t>
      </w:r>
      <w:r w:rsidRPr="004A070B">
        <w:rPr>
          <w:rFonts w:eastAsiaTheme="minorEastAsia"/>
        </w:rPr>
        <w:t>urg</w:t>
      </w:r>
      <w:r>
        <w:t>e</w:t>
      </w:r>
      <w:r w:rsidRPr="004A070B">
        <w:rPr>
          <w:rFonts w:eastAsiaTheme="minorEastAsia"/>
        </w:rPr>
        <w:t xml:space="preserve"> the FCC to open a rulemaking proceeding to ensure reasonable co-existence of all technologies in the 60 GHz band</w:t>
      </w:r>
      <w:r w:rsidR="00D54EBC">
        <w:rPr>
          <w:rFonts w:eastAsiaTheme="minorEastAsia"/>
        </w:rPr>
        <w:t xml:space="preserve">, instead of granting </w:t>
      </w:r>
      <w:r w:rsidRPr="00D54EBC" w:rsidR="00D54EBC">
        <w:rPr>
          <w:rFonts w:eastAsiaTheme="minorEastAsia"/>
          <w:i/>
          <w:iCs/>
        </w:rPr>
        <w:t>ad hoc</w:t>
      </w:r>
      <w:r w:rsidR="00D54EBC">
        <w:rPr>
          <w:rFonts w:eastAsiaTheme="minorEastAsia"/>
        </w:rPr>
        <w:t xml:space="preserve"> </w:t>
      </w:r>
      <w:r w:rsidR="00671220">
        <w:rPr>
          <w:rFonts w:eastAsiaTheme="minorEastAsia"/>
        </w:rPr>
        <w:t xml:space="preserve">germane </w:t>
      </w:r>
      <w:r w:rsidR="00D54EBC">
        <w:rPr>
          <w:rFonts w:eastAsiaTheme="minorEastAsia"/>
        </w:rPr>
        <w:t>waiver requests</w:t>
      </w:r>
      <w:r w:rsidRPr="004A070B">
        <w:rPr>
          <w:rFonts w:eastAsiaTheme="minorEastAsia"/>
        </w:rPr>
        <w:t>.</w:t>
      </w:r>
      <w:r>
        <w:rPr>
          <w:rFonts w:eastAsiaTheme="minorEastAsia"/>
        </w:rPr>
        <w:t xml:space="preserve"> </w:t>
      </w:r>
    </w:p>
  </w:footnote>
  <w:footnote w:id="22">
    <w:p w:rsidR="00A97E9A" w:rsidP="00A97E9A" w14:paraId="7A9EC093" w14:textId="77777777">
      <w:pPr>
        <w:pStyle w:val="FootnoteText"/>
      </w:pPr>
      <w:r>
        <w:rPr>
          <w:rStyle w:val="FootnoteReference"/>
        </w:rPr>
        <w:footnoteRef/>
      </w:r>
      <w:r>
        <w:t xml:space="preserve"> </w:t>
      </w:r>
      <w:r w:rsidRPr="00116970">
        <w:rPr>
          <w:color w:val="000000" w:themeColor="text1"/>
        </w:rPr>
        <w:t xml:space="preserve">CORF </w:t>
      </w:r>
      <w:r>
        <w:rPr>
          <w:color w:val="000000" w:themeColor="text1"/>
        </w:rPr>
        <w:t xml:space="preserve">Comments </w:t>
      </w:r>
      <w:r w:rsidRPr="00116970">
        <w:rPr>
          <w:color w:val="000000" w:themeColor="text1"/>
        </w:rPr>
        <w:t xml:space="preserve">at </w:t>
      </w:r>
      <w:r>
        <w:rPr>
          <w:color w:val="000000" w:themeColor="text1"/>
        </w:rPr>
        <w:t>1.</w:t>
      </w:r>
    </w:p>
  </w:footnote>
  <w:footnote w:id="23">
    <w:p w:rsidR="00A97E9A" w:rsidP="00A97E9A" w14:paraId="374EB0D4" w14:textId="22AFB749">
      <w:pPr>
        <w:pStyle w:val="FootnoteText"/>
      </w:pPr>
      <w:r>
        <w:rPr>
          <w:rStyle w:val="FootnoteReference"/>
        </w:rPr>
        <w:footnoteRef/>
      </w:r>
      <w:r>
        <w:t xml:space="preserve"> Facebook Comments at 1.  The Commission has received at least one more waiver request for expanded usage by radars in the 57-64 GHz band, and Commission staff have been consulted on additional radar uses in this frequency band by other interested parties.  </w:t>
      </w:r>
      <w:r w:rsidRPr="00C058F0">
        <w:rPr>
          <w:i/>
          <w:iCs/>
        </w:rPr>
        <w:t>See</w:t>
      </w:r>
      <w:r w:rsidR="007E4314">
        <w:t>,</w:t>
      </w:r>
      <w:r>
        <w:rPr>
          <w:i/>
          <w:iCs/>
        </w:rPr>
        <w:t xml:space="preserve"> </w:t>
      </w:r>
      <w:r w:rsidRPr="007A3D66">
        <w:t>e.g.</w:t>
      </w:r>
      <w:r>
        <w:t xml:space="preserve">, </w:t>
      </w:r>
      <w:r>
        <w:rPr>
          <w:i/>
          <w:iCs/>
        </w:rPr>
        <w:t xml:space="preserve">OET Seeks Comments on Vayyar Imaging LTD. </w:t>
      </w:r>
      <w:r w:rsidRPr="005200DA">
        <w:rPr>
          <w:i/>
          <w:iCs/>
          <w:color w:val="1D2B3E"/>
        </w:rPr>
        <w:t>Request for Waiver of Sections 15.255(b)(2) and 15.255(c)(3) of the Commission's Rules for Radars Used for Interactive Motion Sensing in the 57-64 GHz Band</w:t>
      </w:r>
      <w:r>
        <w:rPr>
          <w:color w:val="1D2B3E"/>
        </w:rPr>
        <w:t xml:space="preserve">, </w:t>
      </w:r>
      <w:r w:rsidRPr="00804AE6">
        <w:rPr>
          <w:color w:val="000000" w:themeColor="text1"/>
        </w:rPr>
        <w:t xml:space="preserve">ET Docket No. </w:t>
      </w:r>
      <w:r>
        <w:rPr>
          <w:color w:val="000000" w:themeColor="text1"/>
        </w:rPr>
        <w:t>20</w:t>
      </w:r>
      <w:r>
        <w:rPr>
          <w:color w:val="000000" w:themeColor="text1"/>
        </w:rPr>
        <w:noBreakHyphen/>
        <w:t>15</w:t>
      </w:r>
      <w:r w:rsidRPr="00804AE6">
        <w:rPr>
          <w:color w:val="000000" w:themeColor="text1"/>
        </w:rPr>
        <w:t>, Public Notice</w:t>
      </w:r>
      <w:r>
        <w:rPr>
          <w:color w:val="000000" w:themeColor="text1"/>
        </w:rPr>
        <w:t xml:space="preserve">, </w:t>
      </w:r>
      <w:r w:rsidRPr="000F7591">
        <w:rPr>
          <w:color w:val="000000" w:themeColor="text1"/>
        </w:rPr>
        <w:t xml:space="preserve">DA </w:t>
      </w:r>
      <w:r>
        <w:rPr>
          <w:color w:val="000000" w:themeColor="text1"/>
        </w:rPr>
        <w:t>20</w:t>
      </w:r>
      <w:r>
        <w:rPr>
          <w:color w:val="000000" w:themeColor="text1"/>
        </w:rPr>
        <w:noBreakHyphen/>
        <w:t>68</w:t>
      </w:r>
      <w:r w:rsidRPr="000F7591">
        <w:rPr>
          <w:color w:val="000000" w:themeColor="text1"/>
        </w:rPr>
        <w:t>,</w:t>
      </w:r>
      <w:r w:rsidRPr="00804AE6">
        <w:rPr>
          <w:color w:val="000000" w:themeColor="text1"/>
        </w:rPr>
        <w:t xml:space="preserve"> </w:t>
      </w:r>
      <w:r w:rsidR="000831D3">
        <w:rPr>
          <w:color w:val="000000" w:themeColor="text1"/>
        </w:rPr>
        <w:t>35</w:t>
      </w:r>
      <w:r w:rsidRPr="007A3D66">
        <w:rPr>
          <w:color w:val="000000" w:themeColor="text1"/>
          <w:shd w:val="clear" w:color="auto" w:fill="FFFFFF"/>
        </w:rPr>
        <w:t xml:space="preserve"> FCC Rcd </w:t>
      </w:r>
      <w:r w:rsidR="000831D3">
        <w:rPr>
          <w:color w:val="000000" w:themeColor="text1"/>
          <w:shd w:val="clear" w:color="auto" w:fill="FFFFFF"/>
        </w:rPr>
        <w:t>500</w:t>
      </w:r>
      <w:r w:rsidRPr="007A3D66">
        <w:rPr>
          <w:color w:val="000000" w:themeColor="text1"/>
          <w:shd w:val="clear" w:color="auto" w:fill="FFFFFF"/>
        </w:rPr>
        <w:t xml:space="preserve"> </w:t>
      </w:r>
      <w:r w:rsidRPr="007A3D66">
        <w:rPr>
          <w:color w:val="000000" w:themeColor="text1"/>
        </w:rPr>
        <w:t>(2020)</w:t>
      </w:r>
      <w:r w:rsidR="000831D3">
        <w:rPr>
          <w:color w:val="000000" w:themeColor="text1"/>
        </w:rPr>
        <w:t>.</w:t>
      </w:r>
      <w:r w:rsidRPr="00116970">
        <w:rPr>
          <w:color w:val="000000" w:themeColor="text1"/>
        </w:rPr>
        <w:t xml:space="preserve"> </w:t>
      </w:r>
      <w:r>
        <w:rPr>
          <w:color w:val="1D2B3E"/>
        </w:rPr>
        <w:t xml:space="preserve"> </w:t>
      </w:r>
      <w:r>
        <w:rPr>
          <w:i/>
          <w:iCs/>
        </w:rPr>
        <w:t xml:space="preserve"> </w:t>
      </w:r>
    </w:p>
  </w:footnote>
  <w:footnote w:id="24">
    <w:p w:rsidR="00A97E9A" w:rsidP="00A97E9A" w14:paraId="60E27E5E" w14:textId="77777777">
      <w:pPr>
        <w:pStyle w:val="FootnoteText"/>
      </w:pPr>
      <w:r>
        <w:rPr>
          <w:rStyle w:val="FootnoteReference"/>
        </w:rPr>
        <w:footnoteRef/>
      </w:r>
      <w:r>
        <w:t xml:space="preserve"> Facebook Comments at 1.</w:t>
      </w:r>
    </w:p>
  </w:footnote>
  <w:footnote w:id="25">
    <w:p w:rsidR="006A4EC8" w:rsidRPr="00116970" w:rsidP="00CD2EE7" w14:paraId="23EF931C" w14:textId="77777777">
      <w:pPr>
        <w:pStyle w:val="FootnoteText"/>
        <w:rPr>
          <w:color w:val="000000" w:themeColor="text1"/>
        </w:rPr>
      </w:pPr>
      <w:r w:rsidRPr="00116970">
        <w:rPr>
          <w:rStyle w:val="FootnoteReference"/>
          <w:color w:val="000000" w:themeColor="text1"/>
        </w:rPr>
        <w:footnoteRef/>
      </w:r>
      <w:r w:rsidRPr="00116970">
        <w:rPr>
          <w:color w:val="000000" w:themeColor="text1"/>
        </w:rPr>
        <w:t xml:space="preserve"> </w:t>
      </w:r>
      <w:hyperlink r:id="rId5" w:tgtFrame="_top" w:history="1">
        <w:r w:rsidRPr="00116970">
          <w:rPr>
            <w:color w:val="000000" w:themeColor="text1"/>
          </w:rPr>
          <w:t xml:space="preserve">47 </w:t>
        </w:r>
        <w:r>
          <w:rPr>
            <w:color w:val="000000" w:themeColor="text1"/>
          </w:rPr>
          <w:t>CFR</w:t>
        </w:r>
        <w:r w:rsidRPr="00116970">
          <w:rPr>
            <w:color w:val="000000" w:themeColor="text1"/>
          </w:rPr>
          <w:t xml:space="preserve"> § 1.3</w:t>
        </w:r>
      </w:hyperlink>
      <w:r w:rsidRPr="00116970">
        <w:rPr>
          <w:color w:val="000000" w:themeColor="text1"/>
        </w:rPr>
        <w:t xml:space="preserve">; </w:t>
      </w:r>
      <w:r w:rsidRPr="00116970">
        <w:rPr>
          <w:i/>
          <w:color w:val="000000" w:themeColor="text1"/>
        </w:rPr>
        <w:t>s</w:t>
      </w:r>
      <w:r w:rsidRPr="00116970">
        <w:rPr>
          <w:i/>
          <w:iCs/>
          <w:color w:val="000000" w:themeColor="text1"/>
        </w:rPr>
        <w:t>ee also</w:t>
      </w:r>
      <w:r w:rsidRPr="00116970">
        <w:rPr>
          <w:iCs/>
          <w:color w:val="000000" w:themeColor="text1"/>
        </w:rPr>
        <w:t xml:space="preserve"> </w:t>
      </w:r>
      <w:hyperlink r:id="rId6" w:tgtFrame="_top" w:history="1">
        <w:r w:rsidRPr="00116970">
          <w:rPr>
            <w:i/>
            <w:iCs/>
            <w:color w:val="000000" w:themeColor="text1"/>
          </w:rPr>
          <w:t>ICO Global Communications (Holdings) Limited v. FCC</w:t>
        </w:r>
        <w:r w:rsidRPr="00116970">
          <w:rPr>
            <w:color w:val="000000" w:themeColor="text1"/>
          </w:rPr>
          <w:t>, 428 F.3d 264 (D.C. Cir. 2005)</w:t>
        </w:r>
      </w:hyperlink>
      <w:r w:rsidRPr="00116970">
        <w:rPr>
          <w:color w:val="000000" w:themeColor="text1"/>
        </w:rPr>
        <w:t xml:space="preserve">; </w:t>
      </w:r>
      <w:hyperlink r:id="rId7" w:tgtFrame="_top" w:history="1">
        <w:r w:rsidRPr="00116970">
          <w:rPr>
            <w:i/>
            <w:iCs/>
            <w:color w:val="000000" w:themeColor="text1"/>
          </w:rPr>
          <w:t>Northeast Cellular Telephone Co. v. FCC</w:t>
        </w:r>
        <w:r w:rsidRPr="00116970">
          <w:rPr>
            <w:color w:val="000000" w:themeColor="text1"/>
          </w:rPr>
          <w:t>, 897 F.2d 1164 (D.C. Cir. 1990)</w:t>
        </w:r>
      </w:hyperlink>
      <w:r w:rsidRPr="00116970">
        <w:rPr>
          <w:color w:val="000000" w:themeColor="text1"/>
        </w:rPr>
        <w:t xml:space="preserve">; </w:t>
      </w:r>
      <w:hyperlink r:id="rId8" w:tgtFrame="_top" w:history="1">
        <w:r w:rsidRPr="00116970">
          <w:rPr>
            <w:i/>
            <w:iCs/>
            <w:color w:val="000000" w:themeColor="text1"/>
          </w:rPr>
          <w:t>WAIT Radio v. FCC</w:t>
        </w:r>
        <w:r w:rsidRPr="00116970">
          <w:rPr>
            <w:color w:val="000000" w:themeColor="text1"/>
          </w:rPr>
          <w:t>, 418 F.2d 1153 (D.C. Cir. 1969)</w:t>
        </w:r>
      </w:hyperlink>
      <w:r w:rsidRPr="00116970">
        <w:rPr>
          <w:color w:val="000000" w:themeColor="text1"/>
        </w:rPr>
        <w:t>.</w:t>
      </w:r>
    </w:p>
  </w:footnote>
  <w:footnote w:id="26">
    <w:p w:rsidR="006A4EC8" w:rsidRPr="00116970" w:rsidP="00CD2EE7" w14:paraId="38EB630D" w14:textId="77777777">
      <w:pPr>
        <w:pStyle w:val="FootnoteText"/>
        <w:rPr>
          <w:color w:val="000000" w:themeColor="text1"/>
        </w:rPr>
      </w:pPr>
      <w:r w:rsidRPr="00116970">
        <w:rPr>
          <w:rStyle w:val="FootnoteReference"/>
          <w:color w:val="000000" w:themeColor="text1"/>
        </w:rPr>
        <w:footnoteRef/>
      </w:r>
      <w:r w:rsidRPr="00116970">
        <w:rPr>
          <w:color w:val="000000" w:themeColor="text1"/>
        </w:rPr>
        <w:t xml:space="preserve"> </w:t>
      </w:r>
      <w:r w:rsidRPr="00116970">
        <w:rPr>
          <w:i/>
          <w:iCs/>
          <w:color w:val="000000" w:themeColor="text1"/>
        </w:rPr>
        <w:t>Northeast Cellular</w:t>
      </w:r>
      <w:r w:rsidRPr="00116970">
        <w:rPr>
          <w:i/>
          <w:color w:val="000000" w:themeColor="text1"/>
        </w:rPr>
        <w:t>,</w:t>
      </w:r>
      <w:r w:rsidRPr="00116970">
        <w:rPr>
          <w:color w:val="000000" w:themeColor="text1"/>
        </w:rPr>
        <w:t xml:space="preserve"> </w:t>
      </w:r>
      <w:r w:rsidRPr="00BB3358" w:rsidR="007B7F90">
        <w:rPr>
          <w:color w:val="000000" w:themeColor="text1"/>
        </w:rPr>
        <w:t>897 F.2d</w:t>
      </w:r>
      <w:r w:rsidR="007B7F90">
        <w:rPr>
          <w:i/>
          <w:color w:val="000000" w:themeColor="text1"/>
        </w:rPr>
        <w:t xml:space="preserve"> </w:t>
      </w:r>
      <w:r w:rsidRPr="00116970">
        <w:rPr>
          <w:color w:val="000000" w:themeColor="text1"/>
        </w:rPr>
        <w:t xml:space="preserve">at 1166; </w:t>
      </w:r>
      <w:r w:rsidRPr="00116970">
        <w:rPr>
          <w:i/>
          <w:color w:val="000000" w:themeColor="text1"/>
        </w:rPr>
        <w:t>see also</w:t>
      </w:r>
      <w:r w:rsidRPr="00116970">
        <w:rPr>
          <w:color w:val="000000" w:themeColor="text1"/>
        </w:rPr>
        <w:t xml:space="preserve"> </w:t>
      </w:r>
      <w:hyperlink r:id="rId9" w:tgtFrame="_top" w:history="1">
        <w:r w:rsidRPr="00116970">
          <w:rPr>
            <w:i/>
            <w:iCs/>
            <w:color w:val="000000" w:themeColor="text1"/>
          </w:rPr>
          <w:t>ICO Global Communications</w:t>
        </w:r>
        <w:r w:rsidRPr="00116970">
          <w:rPr>
            <w:i/>
            <w:color w:val="000000" w:themeColor="text1"/>
          </w:rPr>
          <w:t>,</w:t>
        </w:r>
        <w:r w:rsidRPr="00116970">
          <w:rPr>
            <w:color w:val="000000" w:themeColor="text1"/>
          </w:rPr>
          <w:t xml:space="preserve"> </w:t>
        </w:r>
        <w:r w:rsidR="007B7F90">
          <w:rPr>
            <w:color w:val="000000" w:themeColor="text1"/>
          </w:rPr>
          <w:t xml:space="preserve">428 F.3d </w:t>
        </w:r>
        <w:r w:rsidRPr="00116970">
          <w:rPr>
            <w:color w:val="000000" w:themeColor="text1"/>
          </w:rPr>
          <w:t>at 269</w:t>
        </w:r>
      </w:hyperlink>
      <w:r w:rsidRPr="00116970">
        <w:rPr>
          <w:color w:val="000000" w:themeColor="text1"/>
        </w:rPr>
        <w:t xml:space="preserve"> (quoting </w:t>
      </w:r>
      <w:r w:rsidRPr="00116970">
        <w:rPr>
          <w:i/>
          <w:iCs/>
          <w:color w:val="000000" w:themeColor="text1"/>
        </w:rPr>
        <w:t>Northeast Cellular</w:t>
      </w:r>
      <w:r w:rsidRPr="00116970">
        <w:rPr>
          <w:color w:val="000000" w:themeColor="text1"/>
        </w:rPr>
        <w:t xml:space="preserve">); </w:t>
      </w:r>
      <w:hyperlink r:id="rId10" w:tgtFrame="_top" w:history="1">
        <w:r w:rsidRPr="00116970">
          <w:rPr>
            <w:i/>
            <w:iCs/>
            <w:color w:val="000000" w:themeColor="text1"/>
          </w:rPr>
          <w:t>WAIT Radio</w:t>
        </w:r>
        <w:r w:rsidRPr="00116970">
          <w:rPr>
            <w:i/>
            <w:color w:val="000000" w:themeColor="text1"/>
          </w:rPr>
          <w:t>,</w:t>
        </w:r>
        <w:r w:rsidRPr="00116970">
          <w:rPr>
            <w:color w:val="000000" w:themeColor="text1"/>
          </w:rPr>
          <w:t xml:space="preserve"> </w:t>
        </w:r>
        <w:r w:rsidR="007B7F90">
          <w:rPr>
            <w:color w:val="000000" w:themeColor="text1"/>
          </w:rPr>
          <w:t xml:space="preserve">418 F.2d </w:t>
        </w:r>
        <w:r w:rsidRPr="00116970">
          <w:rPr>
            <w:color w:val="000000" w:themeColor="text1"/>
          </w:rPr>
          <w:t>at 1157-59</w:t>
        </w:r>
      </w:hyperlink>
      <w:r w:rsidRPr="00116970">
        <w:rPr>
          <w:color w:val="000000" w:themeColor="text1"/>
        </w:rPr>
        <w:t>.</w:t>
      </w:r>
    </w:p>
  </w:footnote>
  <w:footnote w:id="27">
    <w:p w:rsidR="006A4EC8" w:rsidRPr="00116970" w:rsidP="00CD2EE7" w14:paraId="3943C74F" w14:textId="77777777">
      <w:pPr>
        <w:pStyle w:val="FootnoteText"/>
        <w:rPr>
          <w:color w:val="000000" w:themeColor="text1"/>
        </w:rPr>
      </w:pPr>
      <w:r w:rsidRPr="00116970">
        <w:rPr>
          <w:rStyle w:val="FootnoteReference"/>
          <w:color w:val="000000" w:themeColor="text1"/>
        </w:rPr>
        <w:footnoteRef/>
      </w:r>
      <w:r w:rsidRPr="00116970">
        <w:rPr>
          <w:color w:val="000000" w:themeColor="text1"/>
        </w:rPr>
        <w:t xml:space="preserve"> </w:t>
      </w:r>
      <w:r w:rsidRPr="00116970">
        <w:rPr>
          <w:i/>
          <w:color w:val="000000" w:themeColor="text1"/>
        </w:rPr>
        <w:t>See</w:t>
      </w:r>
      <w:r w:rsidRPr="0062216B">
        <w:rPr>
          <w:color w:val="000000" w:themeColor="text1"/>
        </w:rPr>
        <w:t>, e.g.</w:t>
      </w:r>
      <w:r w:rsidRPr="00116970">
        <w:rPr>
          <w:i/>
          <w:color w:val="000000" w:themeColor="text1"/>
        </w:rPr>
        <w:t>, WAIT Radio</w:t>
      </w:r>
      <w:r w:rsidRPr="00116970">
        <w:rPr>
          <w:color w:val="000000" w:themeColor="text1"/>
        </w:rPr>
        <w:t xml:space="preserve">, 418 F.2d at 1157 (stating that even though the overall objectives of a general rule have been adjudged to be in the public interest, it is possible that application of the rule to a specific case may not serve the public interest if an applicant’s proposal does not undermine the public interest policy served by the rule); </w:t>
      </w:r>
      <w:r w:rsidRPr="00116970">
        <w:rPr>
          <w:i/>
          <w:color w:val="000000" w:themeColor="text1"/>
        </w:rPr>
        <w:t>Northeast Cellular</w:t>
      </w:r>
      <w:r w:rsidRPr="00116970">
        <w:rPr>
          <w:color w:val="000000" w:themeColor="text1"/>
        </w:rPr>
        <w:t>, 897 F.2d at 1166 (stating that in granting a waiver, an agency must explain why deviation from the general rule better serves the public interest than would strict adherence to the rule).</w:t>
      </w:r>
    </w:p>
  </w:footnote>
  <w:footnote w:id="28">
    <w:p w:rsidR="00B52259" w:rsidRPr="00E166C5" w:rsidP="00B52259" w14:paraId="7F0CAEC5" w14:textId="77777777">
      <w:pPr>
        <w:pStyle w:val="FootnoteText"/>
      </w:pPr>
      <w:r>
        <w:rPr>
          <w:rStyle w:val="FootnoteReference"/>
        </w:rPr>
        <w:footnoteRef/>
      </w:r>
      <w:r>
        <w:t xml:space="preserve"> </w:t>
      </w:r>
      <w:r>
        <w:rPr>
          <w:i/>
        </w:rPr>
        <w:t>Request</w:t>
      </w:r>
      <w:r>
        <w:t xml:space="preserve"> at 8 and 11-12.</w:t>
      </w:r>
    </w:p>
  </w:footnote>
  <w:footnote w:id="29">
    <w:p w:rsidR="00811228" w:rsidP="00811228" w14:paraId="0A5E8CB2" w14:textId="77777777">
      <w:pPr>
        <w:pStyle w:val="FootnoteText"/>
      </w:pPr>
      <w:r>
        <w:rPr>
          <w:rStyle w:val="FootnoteReference"/>
        </w:rPr>
        <w:footnoteRef/>
      </w:r>
      <w:r>
        <w:t xml:space="preserve"> 47 CFR § 15.3(l); </w:t>
      </w:r>
      <w:r w:rsidRPr="00E37FCE">
        <w:rPr>
          <w:i/>
        </w:rPr>
        <w:t>Request</w:t>
      </w:r>
      <w:r>
        <w:t xml:space="preserve"> at 5</w:t>
      </w:r>
      <w:r>
        <w:noBreakHyphen/>
        <w:t>8.</w:t>
      </w:r>
    </w:p>
  </w:footnote>
  <w:footnote w:id="30">
    <w:p w:rsidR="00C34079" w:rsidRPr="00772C24" w:rsidP="00C34079" w14:paraId="112FF9E9" w14:textId="3A7B8D42">
      <w:pPr>
        <w:pStyle w:val="FootnoteText"/>
      </w:pPr>
      <w:r>
        <w:rPr>
          <w:rStyle w:val="FootnoteReference"/>
        </w:rPr>
        <w:footnoteRef/>
      </w:r>
      <w:r>
        <w:t xml:space="preserve"> The definition for FDS sensors was adopted in 1971, in </w:t>
      </w:r>
      <w:r w:rsidRPr="005200DA">
        <w:rPr>
          <w:i/>
          <w:iCs/>
        </w:rPr>
        <w:t xml:space="preserve">Amendment of </w:t>
      </w:r>
      <w:r>
        <w:rPr>
          <w:i/>
          <w:iCs/>
        </w:rPr>
        <w:t>Part</w:t>
      </w:r>
      <w:r w:rsidRPr="005200DA">
        <w:rPr>
          <w:i/>
          <w:iCs/>
        </w:rPr>
        <w:t xml:space="preserve"> 15 of the Commission's Rules to Add Regulations Governing the Use of Field Disturbance Sensors (Formerly Designated as Radio Frequency Operated Intruder Alarms)</w:t>
      </w:r>
      <w:r>
        <w:t>, Docket No. 13863, FCC 71</w:t>
      </w:r>
      <w:r>
        <w:noBreakHyphen/>
        <w:t xml:space="preserve">873, Report and Order, </w:t>
      </w:r>
      <w:r w:rsidRPr="00A50793">
        <w:t>3</w:t>
      </w:r>
      <w:r>
        <w:t>1</w:t>
      </w:r>
      <w:r w:rsidRPr="00A50793">
        <w:t xml:space="preserve"> FCC </w:t>
      </w:r>
      <w:r>
        <w:t>2</w:t>
      </w:r>
      <w:r w:rsidRPr="00772C24">
        <w:rPr>
          <w:vertAlign w:val="superscript"/>
        </w:rPr>
        <w:t>nd</w:t>
      </w:r>
      <w:r>
        <w:t xml:space="preserve"> 210</w:t>
      </w:r>
      <w:r w:rsidRPr="00A50793">
        <w:t xml:space="preserve"> </w:t>
      </w:r>
      <w:r>
        <w:t>(1971).  The Commission did express that it “</w:t>
      </w:r>
      <w:r w:rsidRPr="00F427A4">
        <w:t>will interpose no objection to the operation of speed measuring equipment (or other radiolocation</w:t>
      </w:r>
      <w:r>
        <w:t xml:space="preserve"> </w:t>
      </w:r>
      <w:r w:rsidRPr="00F427A4">
        <w:t>devices) under the regulations for field disturbance sensors…”</w:t>
      </w:r>
      <w:r>
        <w:t xml:space="preserve"> while discussing radars in this context.  </w:t>
      </w:r>
      <w:r w:rsidRPr="00B63E84">
        <w:rPr>
          <w:i/>
          <w:iCs/>
        </w:rPr>
        <w:t>Id</w:t>
      </w:r>
      <w:r>
        <w:t xml:space="preserve">., at para. 21.  In 1995, the Commission adopted the rules prohibiting FDS, specifically mobile FDS in in 47 CFR </w:t>
      </w:r>
      <w:r w:rsidRPr="007A6CDA">
        <w:t>§</w:t>
      </w:r>
      <w:r>
        <w:t xml:space="preserve"> 15.255 in </w:t>
      </w:r>
      <w:r w:rsidRPr="009228B8">
        <w:rPr>
          <w:i/>
          <w:iCs/>
        </w:rPr>
        <w:t>Amendment of parts 2, 15, and 97 of the Commission's Rules to Permit Use of Radio Frequencies Above 40 GHz for New Radio Applications</w:t>
      </w:r>
      <w:r>
        <w:t xml:space="preserve">, ET Docket No. 94-124, FCC 95-499, First Report and Order, 11 FCC Rcd. 4481, 4496 (1995); in 2002, the Commission adopted rules for UWB radars in 47 CFR </w:t>
      </w:r>
      <w:r w:rsidRPr="007A6CDA">
        <w:t>§§</w:t>
      </w:r>
      <w:r>
        <w:t xml:space="preserve"> 15.503 &amp; 15.515, specifically defining radars as FDS in </w:t>
      </w:r>
      <w:r w:rsidRPr="007D734C">
        <w:rPr>
          <w:i/>
          <w:iCs/>
        </w:rPr>
        <w:t>Revision of Part 15 of the Commission’s Rules Regarding Ultra-Wideband Transmission Systems</w:t>
      </w:r>
      <w:r>
        <w:t>, ET Docket No. 98</w:t>
      </w:r>
      <w:r>
        <w:noBreakHyphen/>
        <w:t xml:space="preserve">153, FCC 02-48, First Report and Order, </w:t>
      </w:r>
      <w:r w:rsidRPr="00297C0A">
        <w:rPr>
          <w:color w:val="1D2B3E"/>
        </w:rPr>
        <w:t>17 FCC Rcd 7435</w:t>
      </w:r>
      <w:r>
        <w:t xml:space="preserve"> (2002); in 2003, the Commission adopted rules for vehicular radars in 47 CFR </w:t>
      </w:r>
      <w:r w:rsidRPr="007A6CDA">
        <w:t>§</w:t>
      </w:r>
      <w:r>
        <w:t xml:space="preserve"> 15.252, specifically labeling vehicular radars as FDS in </w:t>
      </w:r>
      <w:r w:rsidRPr="007D734C">
        <w:rPr>
          <w:i/>
          <w:iCs/>
        </w:rPr>
        <w:t>Revision of Part 15 of the Commission’s Rules Regarding Ultra-Wideband Transmission Systems</w:t>
      </w:r>
      <w:r>
        <w:t>, ET Docket No. 98</w:t>
      </w:r>
      <w:r>
        <w:noBreakHyphen/>
        <w:t>153, FCC 04</w:t>
      </w:r>
      <w:r>
        <w:noBreakHyphen/>
        <w:t>285, Second Report and Order, 19 FCC Rcd 24558 (2003).</w:t>
      </w:r>
    </w:p>
  </w:footnote>
  <w:footnote w:id="31">
    <w:p w:rsidR="002C1B31" w:rsidP="002C1B31" w14:paraId="25ABDE21" w14:textId="77777777">
      <w:pPr>
        <w:pStyle w:val="FootnoteText"/>
      </w:pPr>
      <w:r>
        <w:rPr>
          <w:rStyle w:val="FootnoteReference"/>
        </w:rPr>
        <w:footnoteRef/>
      </w:r>
      <w:r>
        <w:t xml:space="preserve"> </w:t>
      </w:r>
      <w:r>
        <w:rPr>
          <w:szCs w:val="22"/>
        </w:rPr>
        <w:t>Originally, when it was adopted in 1995, s</w:t>
      </w:r>
      <w:r>
        <w:t>ection 15.255(a)(2) prohibited operation of all field disturbance sensors in the 57</w:t>
      </w:r>
      <w:r>
        <w:noBreakHyphen/>
        <w:t xml:space="preserve">64 GHz band.  </w:t>
      </w:r>
      <w:r w:rsidRPr="007A6CDA">
        <w:rPr>
          <w:i/>
        </w:rPr>
        <w:t>See</w:t>
      </w:r>
      <w:r w:rsidRPr="00DE0B2E">
        <w:rPr>
          <w:i/>
          <w:snapToGrid w:val="0"/>
          <w:kern w:val="28"/>
          <w:sz w:val="22"/>
        </w:rPr>
        <w:t xml:space="preserve"> </w:t>
      </w:r>
      <w:r w:rsidRPr="009228B8">
        <w:rPr>
          <w:i/>
          <w:iCs/>
        </w:rPr>
        <w:t>Amendment of parts 2, 15, and 97 of the Commission's Rules to Permit Use of Radio Frequencies Above 40 GHz for New Radio Applications</w:t>
      </w:r>
      <w:r>
        <w:t xml:space="preserve">, ET Docket No. 94-124, FCC 95-499, First Report and Oder, </w:t>
      </w:r>
      <w:r w:rsidRPr="005A4623">
        <w:t>11 FCC Rcd 4481 (1995)</w:t>
      </w:r>
      <w:r>
        <w:t>.  However, later, in 1997, the Commission made an exception for sensors in certain fixed industrial applications (</w:t>
      </w:r>
      <w:r w:rsidRPr="001E4208">
        <w:rPr>
          <w:szCs w:val="22"/>
        </w:rPr>
        <w:t>speed control, fluid level, and motion detection functions</w:t>
      </w:r>
      <w:r>
        <w:t xml:space="preserve">, etc.).  </w:t>
      </w:r>
      <w:r w:rsidRPr="009228B8">
        <w:rPr>
          <w:i/>
          <w:iCs/>
        </w:rPr>
        <w:t>Amendment of parts 2, 15, and 97 of the Commission's Rules to Permit Use of Radio Frequencies Above 40 GHz for New Radio Applications</w:t>
      </w:r>
      <w:r>
        <w:t xml:space="preserve">, ET Docket No. 94-124, FCC 97-267, </w:t>
      </w:r>
      <w:r w:rsidRPr="009228B8">
        <w:rPr>
          <w:iCs/>
        </w:rPr>
        <w:t>Memorandum Opinion and Order and Fourth Further Notice of Proposed Rulemaking</w:t>
      </w:r>
      <w:r w:rsidRPr="007A6CDA">
        <w:t>, 12 FCC Rcd</w:t>
      </w:r>
      <w:r>
        <w:t xml:space="preserve"> 12212 (1997).</w:t>
      </w:r>
    </w:p>
  </w:footnote>
  <w:footnote w:id="32">
    <w:p w:rsidR="00AE04FE" w:rsidP="00AE04FE" w14:paraId="72605DB9" w14:textId="77777777">
      <w:pPr>
        <w:pStyle w:val="FootnoteText"/>
      </w:pPr>
      <w:r>
        <w:rPr>
          <w:rStyle w:val="FootnoteReference"/>
        </w:rPr>
        <w:footnoteRef/>
      </w:r>
      <w:r>
        <w:t xml:space="preserve"> Leica states that “commercial UAVs that would benefit from the Ictos radar have US-dollar prices in six digits; the device does not target the mass consumer market.”  </w:t>
      </w:r>
      <w:r w:rsidRPr="00A03B4F">
        <w:rPr>
          <w:i/>
          <w:iCs/>
        </w:rPr>
        <w:t>Request</w:t>
      </w:r>
      <w:r>
        <w:t xml:space="preserve"> at 12.</w:t>
      </w:r>
    </w:p>
  </w:footnote>
  <w:footnote w:id="33">
    <w:p w:rsidR="00EB7A1B" w14:paraId="28BF7B6C" w14:textId="77777777">
      <w:pPr>
        <w:pStyle w:val="FootnoteText"/>
      </w:pPr>
      <w:r>
        <w:rPr>
          <w:rStyle w:val="FootnoteReference"/>
        </w:rPr>
        <w:footnoteRef/>
      </w:r>
      <w:r>
        <w:t xml:space="preserve"> </w:t>
      </w:r>
      <w:r w:rsidRPr="00EB7A1B">
        <w:rPr>
          <w:i/>
          <w:iCs/>
        </w:rPr>
        <w:t>Request</w:t>
      </w:r>
      <w:r>
        <w:t xml:space="preserve"> at 12.</w:t>
      </w:r>
    </w:p>
  </w:footnote>
  <w:footnote w:id="34">
    <w:p w:rsidR="00DD648D" w14:paraId="54EE990D" w14:textId="77777777">
      <w:pPr>
        <w:pStyle w:val="FootnoteText"/>
      </w:pPr>
      <w:r>
        <w:rPr>
          <w:rStyle w:val="FootnoteReference"/>
        </w:rPr>
        <w:footnoteRef/>
      </w:r>
      <w:r>
        <w:t xml:space="preserve"> Fixed point</w:t>
      </w:r>
      <w:r>
        <w:noBreakHyphen/>
        <w:t>to</w:t>
      </w:r>
      <w:r>
        <w:noBreakHyphen/>
        <w:t xml:space="preserve">point 60 GHz transmitters are allowed to operate at very </w:t>
      </w:r>
      <w:r>
        <w:t>high power</w:t>
      </w:r>
      <w:r>
        <w:t xml:space="preserve"> levels but must use very narrow antenna beamwidths.  47 CFR § 15.255(c)(1)(ii).  </w:t>
      </w:r>
      <w:r w:rsidRPr="00DD648D">
        <w:rPr>
          <w:i/>
          <w:iCs/>
        </w:rPr>
        <w:t>See</w:t>
      </w:r>
      <w:r>
        <w:t xml:space="preserve"> </w:t>
      </w:r>
      <w:r w:rsidRPr="00DD648D">
        <w:rPr>
          <w:i/>
          <w:iCs/>
        </w:rPr>
        <w:t>also</w:t>
      </w:r>
      <w:r w:rsidR="006701B8">
        <w:t xml:space="preserve"> </w:t>
      </w:r>
      <w:r w:rsidRPr="00545460" w:rsidR="006701B8">
        <w:rPr>
          <w:i/>
        </w:rPr>
        <w:t>Revision of Part 15 of the Commission’s Rules Regarding Operation in the 57-64 GHz Band</w:t>
      </w:r>
      <w:r w:rsidR="006701B8">
        <w:t xml:space="preserve">, </w:t>
      </w:r>
      <w:r w:rsidR="00B659A6">
        <w:t>ET Docket 07</w:t>
      </w:r>
      <w:r w:rsidR="00B659A6">
        <w:noBreakHyphen/>
        <w:t>113, FCC 13</w:t>
      </w:r>
      <w:r w:rsidR="00B659A6">
        <w:noBreakHyphen/>
        <w:t xml:space="preserve">112, </w:t>
      </w:r>
      <w:r w:rsidRPr="00545460" w:rsidR="006701B8">
        <w:t>Report and Order</w:t>
      </w:r>
      <w:r w:rsidRPr="00DE0B2E" w:rsidR="006701B8">
        <w:t xml:space="preserve">, </w:t>
      </w:r>
      <w:r w:rsidRPr="007A6CDA" w:rsidR="006701B8">
        <w:t xml:space="preserve">28 FCC Rcd 12517 (2013). </w:t>
      </w:r>
      <w:r>
        <w:t xml:space="preserve"> </w:t>
      </w:r>
    </w:p>
  </w:footnote>
  <w:footnote w:id="35">
    <w:p w:rsidR="00CC183F" w14:paraId="6072781D" w14:textId="77777777">
      <w:pPr>
        <w:pStyle w:val="FootnoteText"/>
      </w:pPr>
      <w:r>
        <w:rPr>
          <w:rStyle w:val="FootnoteReference"/>
        </w:rPr>
        <w:footnoteRef/>
      </w:r>
      <w:r>
        <w:t xml:space="preserve"> This refers to entertainment systems that deliver movies and music to </w:t>
      </w:r>
      <w:r>
        <w:t>passengers</w:t>
      </w:r>
      <w:r>
        <w:t xml:space="preserve"> on-board </w:t>
      </w:r>
      <w:r w:rsidR="00B904E4">
        <w:t xml:space="preserve">commercial </w:t>
      </w:r>
      <w:r>
        <w:t xml:space="preserve">aircraft. 47 CFR § 15.255(b).  </w:t>
      </w:r>
    </w:p>
  </w:footnote>
  <w:footnote w:id="36">
    <w:p w:rsidR="001008F3" w14:paraId="2C6EB539" w14:textId="6238D96C">
      <w:pPr>
        <w:pStyle w:val="FootnoteText"/>
      </w:pPr>
      <w:r>
        <w:rPr>
          <w:rStyle w:val="FootnoteReference"/>
        </w:rPr>
        <w:footnoteRef/>
      </w:r>
      <w:r>
        <w:t xml:space="preserve"> </w:t>
      </w:r>
      <w:r w:rsidRPr="007A6CDA">
        <w:rPr>
          <w:i/>
        </w:rPr>
        <w:t>See</w:t>
      </w:r>
      <w:r w:rsidRPr="008A1339">
        <w:rPr>
          <w:i/>
          <w:snapToGrid w:val="0"/>
          <w:kern w:val="28"/>
          <w:sz w:val="22"/>
        </w:rPr>
        <w:t xml:space="preserve"> </w:t>
      </w:r>
      <w:r w:rsidRPr="00545460">
        <w:rPr>
          <w:i/>
        </w:rPr>
        <w:t>Amendment of Parts 2, 15, and 97 of the Commission's Rules to Permit Use of Frequencies Above 40 GHz for New Radio Applications</w:t>
      </w:r>
      <w:r w:rsidRPr="007A3D66">
        <w:rPr>
          <w:iCs/>
        </w:rPr>
        <w:t>,</w:t>
      </w:r>
      <w:r w:rsidRPr="008A1339">
        <w:rPr>
          <w:i/>
        </w:rPr>
        <w:t xml:space="preserve"> </w:t>
      </w:r>
      <w:r>
        <w:rPr>
          <w:iCs/>
        </w:rPr>
        <w:t>ET Docket No. 94</w:t>
      </w:r>
      <w:r>
        <w:rPr>
          <w:iCs/>
        </w:rPr>
        <w:noBreakHyphen/>
        <w:t xml:space="preserve">124, </w:t>
      </w:r>
      <w:r w:rsidR="00603A5A">
        <w:rPr>
          <w:iCs/>
        </w:rPr>
        <w:t xml:space="preserve">FCC 95-499, </w:t>
      </w:r>
      <w:r w:rsidRPr="007A3D66">
        <w:rPr>
          <w:iCs/>
        </w:rPr>
        <w:t>First Report and Order and Second FNPRM</w:t>
      </w:r>
      <w:r w:rsidRPr="007A6CDA">
        <w:t xml:space="preserve">, 11 FCC Rcd </w:t>
      </w:r>
      <w:r>
        <w:t xml:space="preserve">4481, </w:t>
      </w:r>
      <w:r w:rsidRPr="007A6CDA">
        <w:t>4496</w:t>
      </w:r>
      <w:r w:rsidRPr="007A6CDA">
        <w:noBreakHyphen/>
        <w:t>97</w:t>
      </w:r>
      <w:r>
        <w:t>,</w:t>
      </w:r>
      <w:r w:rsidRPr="007A6CDA">
        <w:t xml:space="preserve"> </w:t>
      </w:r>
      <w:r>
        <w:t>para.</w:t>
      </w:r>
      <w:r w:rsidRPr="007A6CDA">
        <w:t xml:space="preserve"> 35</w:t>
      </w:r>
      <w:r>
        <w:t xml:space="preserve"> (1995)</w:t>
      </w:r>
      <w:r w:rsidRPr="007A6CDA">
        <w:t>.</w:t>
      </w:r>
    </w:p>
  </w:footnote>
  <w:footnote w:id="37">
    <w:p w:rsidR="00F367EA" w14:paraId="2276DC0F" w14:textId="4A173194">
      <w:pPr>
        <w:pStyle w:val="FootnoteText"/>
      </w:pPr>
      <w:r>
        <w:rPr>
          <w:rStyle w:val="FootnoteReference"/>
        </w:rPr>
        <w:footnoteRef/>
      </w:r>
      <w:r>
        <w:t xml:space="preserve"> </w:t>
      </w:r>
      <w:r w:rsidR="00CC54D5">
        <w:t xml:space="preserve">Leica states that </w:t>
      </w:r>
      <w:r w:rsidR="00FC72C5">
        <w:t>the Ictos’ out-of-band emissions do not exceed -51.3 dBm</w:t>
      </w:r>
      <w:r w:rsidR="00603A5A">
        <w:t xml:space="preserve"> EIRP</w:t>
      </w:r>
      <w:r w:rsidR="001418C0">
        <w:t>/MHz</w:t>
      </w:r>
      <w:r w:rsidR="00FC72C5">
        <w:t xml:space="preserve">.  </w:t>
      </w:r>
      <w:r w:rsidRPr="00AA13F3" w:rsidR="00FC72C5">
        <w:rPr>
          <w:i/>
          <w:iCs/>
        </w:rPr>
        <w:t>Request</w:t>
      </w:r>
      <w:r w:rsidR="00FC72C5">
        <w:t xml:space="preserve"> at 12.  </w:t>
      </w:r>
      <w:r w:rsidRPr="00CC54D5">
        <w:t xml:space="preserve">Section 15.255(d)(2) </w:t>
      </w:r>
      <w:r w:rsidR="00A733D3">
        <w:t xml:space="preserve">limits </w:t>
      </w:r>
      <w:r w:rsidRPr="00CC54D5">
        <w:t>out-of-band emissions to</w:t>
      </w:r>
      <w:r w:rsidR="00A733D3">
        <w:t xml:space="preserve"> t</w:t>
      </w:r>
      <w:r w:rsidRPr="00CC54D5">
        <w:t>he general limit in section 15.209 (</w:t>
      </w:r>
      <w:r w:rsidR="00603A5A">
        <w:t>equivalent to an EIRP level of</w:t>
      </w:r>
      <w:r w:rsidRPr="00CC54D5">
        <w:t xml:space="preserve"> </w:t>
      </w:r>
      <w:r w:rsidRPr="00CC54D5">
        <w:noBreakHyphen/>
        <w:t>41.3 dBm) below 40 GHz</w:t>
      </w:r>
      <w:r w:rsidR="00A733D3">
        <w:t>;</w:t>
      </w:r>
      <w:r w:rsidRPr="00CC54D5">
        <w:t xml:space="preserve"> and </w:t>
      </w:r>
      <w:r w:rsidR="00A733D3">
        <w:t xml:space="preserve">to </w:t>
      </w:r>
      <w:r w:rsidRPr="00CC54D5">
        <w:rPr>
          <w:color w:val="000000"/>
        </w:rPr>
        <w:t>90 pW/cm</w:t>
      </w:r>
      <w:r w:rsidRPr="00CC54D5">
        <w:rPr>
          <w:color w:val="000000"/>
          <w:vertAlign w:val="superscript"/>
        </w:rPr>
        <w:t>2</w:t>
      </w:r>
      <w:r w:rsidRPr="00CC54D5">
        <w:rPr>
          <w:color w:val="000000"/>
        </w:rPr>
        <w:t xml:space="preserve"> </w:t>
      </w:r>
      <w:r w:rsidRPr="00CC54D5" w:rsidR="00CC54D5">
        <w:t xml:space="preserve">(equivalent to an EIRP level of </w:t>
      </w:r>
      <w:r w:rsidRPr="00CC54D5" w:rsidR="00CC54D5">
        <w:noBreakHyphen/>
        <w:t xml:space="preserve">10 dBm) </w:t>
      </w:r>
      <w:r w:rsidRPr="00CC54D5">
        <w:rPr>
          <w:color w:val="000000"/>
        </w:rPr>
        <w:t>between 40 GHz and 200 GHz.</w:t>
      </w:r>
    </w:p>
  </w:footnote>
  <w:footnote w:id="38">
    <w:p w:rsidR="000B1851" w:rsidP="000B1851" w14:paraId="2EBFB4F3" w14:textId="77777777">
      <w:pPr>
        <w:pStyle w:val="FootnoteText"/>
      </w:pPr>
      <w:r>
        <w:rPr>
          <w:rStyle w:val="FootnoteReference"/>
        </w:rPr>
        <w:footnoteRef/>
      </w:r>
      <w:r>
        <w:t xml:space="preserve"> 47 CFR § 15.255(c)(3).  </w:t>
      </w:r>
      <w:r w:rsidRPr="00864F9C">
        <w:rPr>
          <w:szCs w:val="22"/>
        </w:rPr>
        <w:t>The Ictos system transmits at 0 dBm average EIRP and +18.7 dBm peak EIRP</w:t>
      </w:r>
      <w:r>
        <w:rPr>
          <w:szCs w:val="22"/>
        </w:rPr>
        <w:t>.</w:t>
      </w:r>
    </w:p>
  </w:footnote>
  <w:footnote w:id="39">
    <w:p w:rsidR="000B1851" w:rsidP="000B1851" w14:paraId="2902E2BB" w14:textId="77777777">
      <w:pPr>
        <w:pStyle w:val="FootnoteText"/>
      </w:pPr>
      <w:r>
        <w:rPr>
          <w:rStyle w:val="FootnoteReference"/>
        </w:rPr>
        <w:footnoteRef/>
      </w:r>
      <w:r>
        <w:t xml:space="preserve"> The rules do not limit the average EIRP level, only the peak EIRP.</w:t>
      </w:r>
    </w:p>
  </w:footnote>
  <w:footnote w:id="40">
    <w:p w:rsidR="00AA13F3" w14:paraId="1F0BF073" w14:textId="05E2A195">
      <w:pPr>
        <w:pStyle w:val="FootnoteText"/>
      </w:pPr>
      <w:r>
        <w:rPr>
          <w:rStyle w:val="FootnoteReference"/>
        </w:rPr>
        <w:footnoteRef/>
      </w:r>
      <w:r>
        <w:t xml:space="preserve"> </w:t>
      </w:r>
      <w:r w:rsidRPr="00AA13F3">
        <w:rPr>
          <w:i/>
          <w:iCs/>
        </w:rPr>
        <w:t>Request</w:t>
      </w:r>
      <w:r>
        <w:t xml:space="preserve"> at 1.</w:t>
      </w:r>
      <w:r w:rsidR="00893BEF">
        <w:t xml:space="preserve">  Leica states that, currently, </w:t>
      </w:r>
      <w:r w:rsidRPr="000171DC" w:rsidR="00893BEF">
        <w:t>safety considerations require planning the UA flight path in aerial free space above all possible collision hazards; this typically limits inspections to top-down views, which in turn confines applications to simple environments such as open-pit mines, earth work, and open landscapes</w:t>
      </w:r>
      <w:r w:rsidR="00893BEF">
        <w:t xml:space="preserve">.  </w:t>
      </w:r>
      <w:r w:rsidRPr="00893BEF" w:rsidR="00893BEF">
        <w:rPr>
          <w:i/>
          <w:iCs/>
        </w:rPr>
        <w:t>Id</w:t>
      </w:r>
      <w:r w:rsidR="00893BEF">
        <w:t>. At 2.</w:t>
      </w:r>
    </w:p>
  </w:footnote>
  <w:footnote w:id="41">
    <w:p w:rsidR="005F5CA9" w14:paraId="28141F54" w14:textId="77777777">
      <w:pPr>
        <w:pStyle w:val="FootnoteText"/>
      </w:pPr>
      <w:r>
        <w:rPr>
          <w:rStyle w:val="FootnoteReference"/>
        </w:rPr>
        <w:footnoteRef/>
      </w:r>
      <w:r>
        <w:t xml:space="preserve"> </w:t>
      </w:r>
      <w:r w:rsidRPr="005F5CA9">
        <w:rPr>
          <w:i/>
          <w:iCs/>
        </w:rPr>
        <w:t>Request</w:t>
      </w:r>
      <w:r>
        <w:t xml:space="preserve"> at 3.</w:t>
      </w:r>
    </w:p>
  </w:footnote>
  <w:footnote w:id="42">
    <w:p w:rsidR="00CC61EA" w14:paraId="2702B228" w14:textId="77777777">
      <w:pPr>
        <w:pStyle w:val="FootnoteText"/>
      </w:pPr>
      <w:r>
        <w:rPr>
          <w:rStyle w:val="FootnoteReference"/>
        </w:rPr>
        <w:footnoteRef/>
      </w:r>
      <w:r>
        <w:t xml:space="preserve"> </w:t>
      </w:r>
      <w:r w:rsidRPr="00CC61EA">
        <w:rPr>
          <w:i/>
          <w:iCs/>
        </w:rPr>
        <w:t>Request</w:t>
      </w:r>
      <w:r>
        <w:t xml:space="preserve"> at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4EC8" w14:paraId="23EDB68B" w14:textId="7A4B3DC3">
    <w:pPr>
      <w:pStyle w:val="Header"/>
      <w:rPr>
        <w:b w:val="0"/>
      </w:rPr>
    </w:pPr>
    <w:r>
      <w:tab/>
      <w:t>Federal Communications Commission</w:t>
    </w:r>
    <w:r>
      <w:tab/>
      <w:t xml:space="preserve">DA </w:t>
    </w:r>
    <w:r w:rsidR="00ED1F87">
      <w:t>20</w:t>
    </w:r>
    <w:r>
      <w:t>-</w:t>
    </w:r>
    <w:r w:rsidR="004531BB">
      <w:t>795</w:t>
    </w:r>
    <w:r>
      <w:t xml:space="preserve"> </w:t>
    </w:r>
  </w:p>
  <w:p w:rsidR="006A4EC8" w14:paraId="7180BF98" w14:textId="77777777">
    <w:pPr>
      <w:pStyle w:val="Header"/>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3"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6A4EC8" w14:paraId="734326E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4EC8" w14:paraId="1A7D245E" w14:textId="2750A247">
    <w:pPr>
      <w:pStyle w:val="Header"/>
      <w:rPr>
        <w:b w:val="0"/>
      </w:rPr>
    </w:pPr>
    <w:r>
      <w:tab/>
      <w:t>Federal Communications Commission</w:t>
    </w:r>
    <w:r>
      <w:tab/>
      <w:t xml:space="preserve">DA </w:t>
    </w:r>
    <w:r w:rsidR="00ED1F87">
      <w:t>20-</w:t>
    </w:r>
    <w:r w:rsidR="004531BB">
      <w:t>795</w:t>
    </w:r>
  </w:p>
  <w:p w:rsidR="006A4EC8" w14:paraId="4DE8DC6D" w14:textId="77777777">
    <w:pPr>
      <w:pStyle w:val="Heade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ED36D8"/>
    <w:multiLevelType w:val="hybridMultilevel"/>
    <w:tmpl w:val="5B1CAEF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A8E6E09"/>
    <w:multiLevelType w:val="hybridMultilevel"/>
    <w:tmpl w:val="21B6B91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8DA780B"/>
    <w:multiLevelType w:val="hybridMultilevel"/>
    <w:tmpl w:val="D5FEF9A8"/>
    <w:lvl w:ilvl="0">
      <w:start w:val="121"/>
      <w:numFmt w:val="bullet"/>
      <w:lvlText w:val="-"/>
      <w:lvlJc w:val="left"/>
      <w:pPr>
        <w:ind w:left="1074" w:hanging="360"/>
      </w:pPr>
      <w:rPr>
        <w:rFonts w:ascii="Times New Roman" w:eastAsia="Times New Roman" w:hAnsi="Times New Roman" w:cs="Times New Roman" w:hint="default"/>
      </w:rPr>
    </w:lvl>
    <w:lvl w:ilvl="1" w:tentative="1">
      <w:start w:val="1"/>
      <w:numFmt w:val="bullet"/>
      <w:lvlText w:val="o"/>
      <w:lvlJc w:val="left"/>
      <w:pPr>
        <w:ind w:left="1794" w:hanging="360"/>
      </w:pPr>
      <w:rPr>
        <w:rFonts w:ascii="Courier New" w:hAnsi="Courier New" w:cs="Courier New" w:hint="default"/>
      </w:rPr>
    </w:lvl>
    <w:lvl w:ilvl="2" w:tentative="1">
      <w:start w:val="1"/>
      <w:numFmt w:val="bullet"/>
      <w:lvlText w:val=""/>
      <w:lvlJc w:val="left"/>
      <w:pPr>
        <w:ind w:left="2514" w:hanging="360"/>
      </w:pPr>
      <w:rPr>
        <w:rFonts w:ascii="Wingdings" w:hAnsi="Wingdings" w:hint="default"/>
      </w:rPr>
    </w:lvl>
    <w:lvl w:ilvl="3" w:tentative="1">
      <w:start w:val="1"/>
      <w:numFmt w:val="bullet"/>
      <w:lvlText w:val=""/>
      <w:lvlJc w:val="left"/>
      <w:pPr>
        <w:ind w:left="3234" w:hanging="360"/>
      </w:pPr>
      <w:rPr>
        <w:rFonts w:ascii="Symbol" w:hAnsi="Symbol" w:hint="default"/>
      </w:rPr>
    </w:lvl>
    <w:lvl w:ilvl="4" w:tentative="1">
      <w:start w:val="1"/>
      <w:numFmt w:val="bullet"/>
      <w:lvlText w:val="o"/>
      <w:lvlJc w:val="left"/>
      <w:pPr>
        <w:ind w:left="3954" w:hanging="360"/>
      </w:pPr>
      <w:rPr>
        <w:rFonts w:ascii="Courier New" w:hAnsi="Courier New" w:cs="Courier New" w:hint="default"/>
      </w:rPr>
    </w:lvl>
    <w:lvl w:ilvl="5" w:tentative="1">
      <w:start w:val="1"/>
      <w:numFmt w:val="bullet"/>
      <w:lvlText w:val=""/>
      <w:lvlJc w:val="left"/>
      <w:pPr>
        <w:ind w:left="4674" w:hanging="360"/>
      </w:pPr>
      <w:rPr>
        <w:rFonts w:ascii="Wingdings" w:hAnsi="Wingdings" w:hint="default"/>
      </w:rPr>
    </w:lvl>
    <w:lvl w:ilvl="6" w:tentative="1">
      <w:start w:val="1"/>
      <w:numFmt w:val="bullet"/>
      <w:lvlText w:val=""/>
      <w:lvlJc w:val="left"/>
      <w:pPr>
        <w:ind w:left="5394" w:hanging="360"/>
      </w:pPr>
      <w:rPr>
        <w:rFonts w:ascii="Symbol" w:hAnsi="Symbol" w:hint="default"/>
      </w:rPr>
    </w:lvl>
    <w:lvl w:ilvl="7" w:tentative="1">
      <w:start w:val="1"/>
      <w:numFmt w:val="bullet"/>
      <w:lvlText w:val="o"/>
      <w:lvlJc w:val="left"/>
      <w:pPr>
        <w:ind w:left="6114" w:hanging="360"/>
      </w:pPr>
      <w:rPr>
        <w:rFonts w:ascii="Courier New" w:hAnsi="Courier New" w:cs="Courier New" w:hint="default"/>
      </w:rPr>
    </w:lvl>
    <w:lvl w:ilvl="8" w:tentative="1">
      <w:start w:val="1"/>
      <w:numFmt w:val="bullet"/>
      <w:lvlText w:val=""/>
      <w:lvlJc w:val="left"/>
      <w:pPr>
        <w:ind w:left="6834" w:hanging="360"/>
      </w:pPr>
      <w:rPr>
        <w:rFonts w:ascii="Wingdings" w:hAnsi="Wingdings" w:hint="default"/>
      </w:rPr>
    </w:lvl>
  </w:abstractNum>
  <w:abstractNum w:abstractNumId="11">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2">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0880147"/>
    <w:multiLevelType w:val="hybridMultilevel"/>
    <w:tmpl w:val="95626F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6">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7">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8">
    <w:nsid w:val="361B62EE"/>
    <w:multiLevelType w:val="hybridMultilevel"/>
    <w:tmpl w:val="07EADB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1">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5">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7">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1">
    <w:nsid w:val="65721A72"/>
    <w:multiLevelType w:val="hybridMultilevel"/>
    <w:tmpl w:val="6D32A2A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2">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30"/>
  </w:num>
  <w:num w:numId="2">
    <w:abstractNumId w:val="32"/>
  </w:num>
  <w:num w:numId="3">
    <w:abstractNumId w:val="6"/>
  </w:num>
  <w:num w:numId="4">
    <w:abstractNumId w:val="25"/>
  </w:num>
  <w:num w:numId="5">
    <w:abstractNumId w:val="11"/>
  </w:num>
  <w:num w:numId="6">
    <w:abstractNumId w:val="28"/>
  </w:num>
  <w:num w:numId="7">
    <w:abstractNumId w:val="21"/>
  </w:num>
  <w:num w:numId="8">
    <w:abstractNumId w:val="12"/>
  </w:num>
  <w:num w:numId="9">
    <w:abstractNumId w:val="27"/>
  </w:num>
  <w:num w:numId="10">
    <w:abstractNumId w:val="19"/>
  </w:num>
  <w:num w:numId="11">
    <w:abstractNumId w:val="17"/>
  </w:num>
  <w:num w:numId="12">
    <w:abstractNumId w:val="13"/>
  </w:num>
  <w:num w:numId="13">
    <w:abstractNumId w:val="20"/>
  </w:num>
  <w:num w:numId="14">
    <w:abstractNumId w:val="26"/>
  </w:num>
  <w:num w:numId="15">
    <w:abstractNumId w:val="4"/>
  </w:num>
  <w:num w:numId="16">
    <w:abstractNumId w:val="5"/>
  </w:num>
  <w:num w:numId="17">
    <w:abstractNumId w:val="15"/>
  </w:num>
  <w:num w:numId="18">
    <w:abstractNumId w:val="2"/>
  </w:num>
  <w:num w:numId="19">
    <w:abstractNumId w:val="16"/>
  </w:num>
  <w:num w:numId="20">
    <w:abstractNumId w:val="22"/>
  </w:num>
  <w:num w:numId="21">
    <w:abstractNumId w:val="24"/>
  </w:num>
  <w:num w:numId="22">
    <w:abstractNumId w:val="31"/>
  </w:num>
  <w:num w:numId="23">
    <w:abstractNumId w:val="10"/>
  </w:num>
  <w:num w:numId="24">
    <w:abstractNumId w:val="20"/>
    <w:lvlOverride w:ilvl="0">
      <w:startOverride w:val="1"/>
    </w:lvlOverride>
  </w:num>
  <w:num w:numId="25">
    <w:abstractNumId w:val="20"/>
    <w:lvlOverride w:ilvl="0">
      <w:startOverride w:val="1"/>
    </w:lvlOverride>
  </w:num>
  <w:num w:numId="26">
    <w:abstractNumId w:val="20"/>
    <w:lvlOverride w:ilvl="0">
      <w:startOverride w:val="1"/>
    </w:lvlOverride>
  </w:num>
  <w:num w:numId="27">
    <w:abstractNumId w:val="20"/>
  </w:num>
  <w:num w:numId="28">
    <w:abstractNumId w:val="20"/>
    <w:lvlOverride w:ilvl="0">
      <w:startOverride w:val="1"/>
    </w:lvlOverride>
  </w:num>
  <w:num w:numId="29">
    <w:abstractNumId w:val="7"/>
  </w:num>
  <w:num w:numId="30">
    <w:abstractNumId w:val="29"/>
  </w:num>
  <w:num w:numId="31">
    <w:abstractNumId w:val="9"/>
  </w:num>
  <w:num w:numId="32">
    <w:abstractNumId w:val="23"/>
  </w:num>
  <w:num w:numId="33">
    <w:abstractNumId w:val="8"/>
  </w:num>
  <w:num w:numId="34">
    <w:abstractNumId w:val="1"/>
  </w:num>
  <w:num w:numId="35">
    <w:abstractNumId w:val="29"/>
    <w:lvlOverride w:ilvl="0">
      <w:startOverride w:val="1"/>
    </w:lvlOverride>
  </w:num>
  <w:num w:numId="36">
    <w:abstractNumId w:val="18"/>
  </w:num>
  <w:num w:numId="37">
    <w:abstractNumId w:val="14"/>
  </w:num>
  <w:num w:numId="38">
    <w:abstractNumId w:val="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014"/>
    <w:rsid w:val="00000940"/>
    <w:rsid w:val="00001969"/>
    <w:rsid w:val="00001F0F"/>
    <w:rsid w:val="00002C61"/>
    <w:rsid w:val="00002CDC"/>
    <w:rsid w:val="00005879"/>
    <w:rsid w:val="00005A98"/>
    <w:rsid w:val="00006365"/>
    <w:rsid w:val="000063BB"/>
    <w:rsid w:val="00007D50"/>
    <w:rsid w:val="000114E0"/>
    <w:rsid w:val="00011E84"/>
    <w:rsid w:val="00012189"/>
    <w:rsid w:val="00012ABB"/>
    <w:rsid w:val="00014778"/>
    <w:rsid w:val="00015B7B"/>
    <w:rsid w:val="000171DC"/>
    <w:rsid w:val="00017883"/>
    <w:rsid w:val="00020A5F"/>
    <w:rsid w:val="000212CC"/>
    <w:rsid w:val="00021E23"/>
    <w:rsid w:val="000221BA"/>
    <w:rsid w:val="0002335B"/>
    <w:rsid w:val="0002375D"/>
    <w:rsid w:val="00025BBC"/>
    <w:rsid w:val="00027887"/>
    <w:rsid w:val="0003199D"/>
    <w:rsid w:val="00032446"/>
    <w:rsid w:val="0003463A"/>
    <w:rsid w:val="00034DD0"/>
    <w:rsid w:val="000356BE"/>
    <w:rsid w:val="0003669A"/>
    <w:rsid w:val="00036A35"/>
    <w:rsid w:val="00036A66"/>
    <w:rsid w:val="000372A0"/>
    <w:rsid w:val="000402FD"/>
    <w:rsid w:val="00040CDE"/>
    <w:rsid w:val="0004138F"/>
    <w:rsid w:val="00041B20"/>
    <w:rsid w:val="000435C4"/>
    <w:rsid w:val="00044F0E"/>
    <w:rsid w:val="0004715B"/>
    <w:rsid w:val="0005061A"/>
    <w:rsid w:val="00050C74"/>
    <w:rsid w:val="0005242A"/>
    <w:rsid w:val="000543E7"/>
    <w:rsid w:val="000572C9"/>
    <w:rsid w:val="000607B4"/>
    <w:rsid w:val="000607E5"/>
    <w:rsid w:val="0006146F"/>
    <w:rsid w:val="00061497"/>
    <w:rsid w:val="00063B69"/>
    <w:rsid w:val="00067485"/>
    <w:rsid w:val="00070002"/>
    <w:rsid w:val="00071452"/>
    <w:rsid w:val="00071932"/>
    <w:rsid w:val="00071D09"/>
    <w:rsid w:val="00072AB0"/>
    <w:rsid w:val="00073036"/>
    <w:rsid w:val="00073622"/>
    <w:rsid w:val="00073CB1"/>
    <w:rsid w:val="000756B2"/>
    <w:rsid w:val="0007617E"/>
    <w:rsid w:val="00076FF1"/>
    <w:rsid w:val="0007744C"/>
    <w:rsid w:val="0007757C"/>
    <w:rsid w:val="00077BCC"/>
    <w:rsid w:val="0008016C"/>
    <w:rsid w:val="000805C6"/>
    <w:rsid w:val="00080AFC"/>
    <w:rsid w:val="00080B2D"/>
    <w:rsid w:val="00082E0D"/>
    <w:rsid w:val="00082ECA"/>
    <w:rsid w:val="000831D3"/>
    <w:rsid w:val="000832FA"/>
    <w:rsid w:val="0008332F"/>
    <w:rsid w:val="00084A74"/>
    <w:rsid w:val="000851BA"/>
    <w:rsid w:val="000869A5"/>
    <w:rsid w:val="00087A9A"/>
    <w:rsid w:val="00090942"/>
    <w:rsid w:val="00090D5C"/>
    <w:rsid w:val="00090ECD"/>
    <w:rsid w:val="0009230F"/>
    <w:rsid w:val="000923B5"/>
    <w:rsid w:val="00093A53"/>
    <w:rsid w:val="00093DAB"/>
    <w:rsid w:val="000944D9"/>
    <w:rsid w:val="00094BD7"/>
    <w:rsid w:val="00094E4F"/>
    <w:rsid w:val="0009514C"/>
    <w:rsid w:val="00097D10"/>
    <w:rsid w:val="000A01F5"/>
    <w:rsid w:val="000A1333"/>
    <w:rsid w:val="000A1AAF"/>
    <w:rsid w:val="000A232E"/>
    <w:rsid w:val="000A3771"/>
    <w:rsid w:val="000A392A"/>
    <w:rsid w:val="000A47F6"/>
    <w:rsid w:val="000A5238"/>
    <w:rsid w:val="000A6CC8"/>
    <w:rsid w:val="000B0E9F"/>
    <w:rsid w:val="000B1851"/>
    <w:rsid w:val="000B1911"/>
    <w:rsid w:val="000B19B3"/>
    <w:rsid w:val="000B1FFB"/>
    <w:rsid w:val="000B222F"/>
    <w:rsid w:val="000B4805"/>
    <w:rsid w:val="000B507D"/>
    <w:rsid w:val="000B67E9"/>
    <w:rsid w:val="000B7503"/>
    <w:rsid w:val="000C062C"/>
    <w:rsid w:val="000C0973"/>
    <w:rsid w:val="000C11F2"/>
    <w:rsid w:val="000C16A4"/>
    <w:rsid w:val="000C1A82"/>
    <w:rsid w:val="000C253C"/>
    <w:rsid w:val="000C2B51"/>
    <w:rsid w:val="000C6A59"/>
    <w:rsid w:val="000C7D82"/>
    <w:rsid w:val="000D0428"/>
    <w:rsid w:val="000D056C"/>
    <w:rsid w:val="000D0A40"/>
    <w:rsid w:val="000D273B"/>
    <w:rsid w:val="000D29CA"/>
    <w:rsid w:val="000D2C50"/>
    <w:rsid w:val="000D4733"/>
    <w:rsid w:val="000D5FB3"/>
    <w:rsid w:val="000D6CA6"/>
    <w:rsid w:val="000D7423"/>
    <w:rsid w:val="000D74A8"/>
    <w:rsid w:val="000D7D0A"/>
    <w:rsid w:val="000D7D4D"/>
    <w:rsid w:val="000E050F"/>
    <w:rsid w:val="000E055D"/>
    <w:rsid w:val="000E1050"/>
    <w:rsid w:val="000E2BAF"/>
    <w:rsid w:val="000E3C8F"/>
    <w:rsid w:val="000E6266"/>
    <w:rsid w:val="000E65DA"/>
    <w:rsid w:val="000E66A1"/>
    <w:rsid w:val="000E6AFE"/>
    <w:rsid w:val="000E77F6"/>
    <w:rsid w:val="000F0E66"/>
    <w:rsid w:val="000F16B1"/>
    <w:rsid w:val="000F3699"/>
    <w:rsid w:val="000F6271"/>
    <w:rsid w:val="000F6A3C"/>
    <w:rsid w:val="000F7591"/>
    <w:rsid w:val="001008F3"/>
    <w:rsid w:val="00102414"/>
    <w:rsid w:val="0010356C"/>
    <w:rsid w:val="00103F36"/>
    <w:rsid w:val="00104085"/>
    <w:rsid w:val="00104723"/>
    <w:rsid w:val="00107E26"/>
    <w:rsid w:val="0011059C"/>
    <w:rsid w:val="0011064E"/>
    <w:rsid w:val="001118BE"/>
    <w:rsid w:val="00112A1D"/>
    <w:rsid w:val="001135E6"/>
    <w:rsid w:val="0011490C"/>
    <w:rsid w:val="00116425"/>
    <w:rsid w:val="00116970"/>
    <w:rsid w:val="001175E1"/>
    <w:rsid w:val="001177C1"/>
    <w:rsid w:val="00117C23"/>
    <w:rsid w:val="00120618"/>
    <w:rsid w:val="001209A9"/>
    <w:rsid w:val="0012104D"/>
    <w:rsid w:val="00123C3A"/>
    <w:rsid w:val="00125D06"/>
    <w:rsid w:val="00126816"/>
    <w:rsid w:val="00127943"/>
    <w:rsid w:val="00127AC9"/>
    <w:rsid w:val="00130E9C"/>
    <w:rsid w:val="00130FCD"/>
    <w:rsid w:val="00131D24"/>
    <w:rsid w:val="00134086"/>
    <w:rsid w:val="001340EF"/>
    <w:rsid w:val="0013445D"/>
    <w:rsid w:val="001358CF"/>
    <w:rsid w:val="00135C85"/>
    <w:rsid w:val="00136466"/>
    <w:rsid w:val="001379F3"/>
    <w:rsid w:val="00137FE5"/>
    <w:rsid w:val="001406F9"/>
    <w:rsid w:val="001418C0"/>
    <w:rsid w:val="00141A35"/>
    <w:rsid w:val="00142C36"/>
    <w:rsid w:val="00145BEC"/>
    <w:rsid w:val="001471C5"/>
    <w:rsid w:val="00147814"/>
    <w:rsid w:val="00147E95"/>
    <w:rsid w:val="001501B5"/>
    <w:rsid w:val="00151100"/>
    <w:rsid w:val="00151FAA"/>
    <w:rsid w:val="0015240F"/>
    <w:rsid w:val="00153B96"/>
    <w:rsid w:val="00154923"/>
    <w:rsid w:val="00156DA5"/>
    <w:rsid w:val="001575A9"/>
    <w:rsid w:val="00157E27"/>
    <w:rsid w:val="001600C2"/>
    <w:rsid w:val="00160365"/>
    <w:rsid w:val="00163534"/>
    <w:rsid w:val="00163E8A"/>
    <w:rsid w:val="0016426A"/>
    <w:rsid w:val="00164382"/>
    <w:rsid w:val="001645C7"/>
    <w:rsid w:val="001646A1"/>
    <w:rsid w:val="00164AF5"/>
    <w:rsid w:val="0016678F"/>
    <w:rsid w:val="00167BB3"/>
    <w:rsid w:val="00167BE4"/>
    <w:rsid w:val="00167DCB"/>
    <w:rsid w:val="001711CE"/>
    <w:rsid w:val="001716A5"/>
    <w:rsid w:val="00171763"/>
    <w:rsid w:val="00171B69"/>
    <w:rsid w:val="00171D87"/>
    <w:rsid w:val="0017250D"/>
    <w:rsid w:val="001728B3"/>
    <w:rsid w:val="001733A3"/>
    <w:rsid w:val="00180DFB"/>
    <w:rsid w:val="00180F2C"/>
    <w:rsid w:val="00181333"/>
    <w:rsid w:val="00181A12"/>
    <w:rsid w:val="001822A2"/>
    <w:rsid w:val="00182B93"/>
    <w:rsid w:val="001845AA"/>
    <w:rsid w:val="00186343"/>
    <w:rsid w:val="001869A3"/>
    <w:rsid w:val="00187268"/>
    <w:rsid w:val="00190807"/>
    <w:rsid w:val="001936B3"/>
    <w:rsid w:val="00193C9F"/>
    <w:rsid w:val="00193F94"/>
    <w:rsid w:val="00195833"/>
    <w:rsid w:val="00195C0D"/>
    <w:rsid w:val="001963D9"/>
    <w:rsid w:val="001974DF"/>
    <w:rsid w:val="001976BD"/>
    <w:rsid w:val="00197B4C"/>
    <w:rsid w:val="001A05E6"/>
    <w:rsid w:val="001A1953"/>
    <w:rsid w:val="001A2306"/>
    <w:rsid w:val="001A31ED"/>
    <w:rsid w:val="001A502D"/>
    <w:rsid w:val="001A54C1"/>
    <w:rsid w:val="001A5C96"/>
    <w:rsid w:val="001A7D2A"/>
    <w:rsid w:val="001B06C0"/>
    <w:rsid w:val="001B173B"/>
    <w:rsid w:val="001B354D"/>
    <w:rsid w:val="001B5EBB"/>
    <w:rsid w:val="001B652F"/>
    <w:rsid w:val="001B6537"/>
    <w:rsid w:val="001C09A8"/>
    <w:rsid w:val="001C0D92"/>
    <w:rsid w:val="001C1AA3"/>
    <w:rsid w:val="001C414A"/>
    <w:rsid w:val="001C4FAE"/>
    <w:rsid w:val="001C5E1B"/>
    <w:rsid w:val="001C5E71"/>
    <w:rsid w:val="001C65A1"/>
    <w:rsid w:val="001C7C93"/>
    <w:rsid w:val="001D1C49"/>
    <w:rsid w:val="001D1D7B"/>
    <w:rsid w:val="001D2D5E"/>
    <w:rsid w:val="001D35CD"/>
    <w:rsid w:val="001D505D"/>
    <w:rsid w:val="001D712B"/>
    <w:rsid w:val="001D7319"/>
    <w:rsid w:val="001D7766"/>
    <w:rsid w:val="001D776E"/>
    <w:rsid w:val="001D7D34"/>
    <w:rsid w:val="001E10D5"/>
    <w:rsid w:val="001E16A7"/>
    <w:rsid w:val="001E16FD"/>
    <w:rsid w:val="001E279D"/>
    <w:rsid w:val="001E2D31"/>
    <w:rsid w:val="001E3102"/>
    <w:rsid w:val="001E3488"/>
    <w:rsid w:val="001E4208"/>
    <w:rsid w:val="001E74F3"/>
    <w:rsid w:val="001F1C9F"/>
    <w:rsid w:val="001F2FC0"/>
    <w:rsid w:val="001F4249"/>
    <w:rsid w:val="00200C93"/>
    <w:rsid w:val="0020282F"/>
    <w:rsid w:val="002028BF"/>
    <w:rsid w:val="0020295C"/>
    <w:rsid w:val="00203643"/>
    <w:rsid w:val="002038E0"/>
    <w:rsid w:val="0020763B"/>
    <w:rsid w:val="00210640"/>
    <w:rsid w:val="0021112B"/>
    <w:rsid w:val="002115D8"/>
    <w:rsid w:val="00211E0A"/>
    <w:rsid w:val="002137F7"/>
    <w:rsid w:val="00215CE1"/>
    <w:rsid w:val="002179E0"/>
    <w:rsid w:val="00217C5D"/>
    <w:rsid w:val="002205FE"/>
    <w:rsid w:val="00221B76"/>
    <w:rsid w:val="00222536"/>
    <w:rsid w:val="00223636"/>
    <w:rsid w:val="002236FC"/>
    <w:rsid w:val="00223A24"/>
    <w:rsid w:val="00224E45"/>
    <w:rsid w:val="00224E67"/>
    <w:rsid w:val="00225081"/>
    <w:rsid w:val="002250A8"/>
    <w:rsid w:val="002265DE"/>
    <w:rsid w:val="0023064F"/>
    <w:rsid w:val="00230872"/>
    <w:rsid w:val="00231061"/>
    <w:rsid w:val="00231757"/>
    <w:rsid w:val="002326ED"/>
    <w:rsid w:val="002338D0"/>
    <w:rsid w:val="00234188"/>
    <w:rsid w:val="00234958"/>
    <w:rsid w:val="00234D4A"/>
    <w:rsid w:val="00235B97"/>
    <w:rsid w:val="002360D2"/>
    <w:rsid w:val="002367B7"/>
    <w:rsid w:val="00236936"/>
    <w:rsid w:val="00236C3C"/>
    <w:rsid w:val="00237882"/>
    <w:rsid w:val="002408FC"/>
    <w:rsid w:val="00240F2A"/>
    <w:rsid w:val="0024198A"/>
    <w:rsid w:val="00241BB1"/>
    <w:rsid w:val="00241CC2"/>
    <w:rsid w:val="00243379"/>
    <w:rsid w:val="00243589"/>
    <w:rsid w:val="0024713F"/>
    <w:rsid w:val="00247508"/>
    <w:rsid w:val="00250187"/>
    <w:rsid w:val="00250B22"/>
    <w:rsid w:val="002523A3"/>
    <w:rsid w:val="00253433"/>
    <w:rsid w:val="0025451E"/>
    <w:rsid w:val="002548E2"/>
    <w:rsid w:val="00260235"/>
    <w:rsid w:val="00261264"/>
    <w:rsid w:val="002615D5"/>
    <w:rsid w:val="002621DC"/>
    <w:rsid w:val="00263AC6"/>
    <w:rsid w:val="00264B7B"/>
    <w:rsid w:val="00265253"/>
    <w:rsid w:val="002665DD"/>
    <w:rsid w:val="0026686B"/>
    <w:rsid w:val="00266B02"/>
    <w:rsid w:val="00266F40"/>
    <w:rsid w:val="00267324"/>
    <w:rsid w:val="00267AE9"/>
    <w:rsid w:val="00270505"/>
    <w:rsid w:val="00271DDA"/>
    <w:rsid w:val="00273B74"/>
    <w:rsid w:val="00274840"/>
    <w:rsid w:val="0027663C"/>
    <w:rsid w:val="00277EE6"/>
    <w:rsid w:val="00280130"/>
    <w:rsid w:val="002801E9"/>
    <w:rsid w:val="0028026C"/>
    <w:rsid w:val="00282B0B"/>
    <w:rsid w:val="002858AD"/>
    <w:rsid w:val="00285A30"/>
    <w:rsid w:val="002910C2"/>
    <w:rsid w:val="00291AF2"/>
    <w:rsid w:val="00291FBF"/>
    <w:rsid w:val="002930E4"/>
    <w:rsid w:val="00293B8B"/>
    <w:rsid w:val="00295B83"/>
    <w:rsid w:val="00296771"/>
    <w:rsid w:val="0029784A"/>
    <w:rsid w:val="00297A3B"/>
    <w:rsid w:val="00297C0A"/>
    <w:rsid w:val="002A1326"/>
    <w:rsid w:val="002A45F8"/>
    <w:rsid w:val="002B0925"/>
    <w:rsid w:val="002B12B5"/>
    <w:rsid w:val="002B1815"/>
    <w:rsid w:val="002B2ED8"/>
    <w:rsid w:val="002B322A"/>
    <w:rsid w:val="002B4FC8"/>
    <w:rsid w:val="002B61F9"/>
    <w:rsid w:val="002B7CB4"/>
    <w:rsid w:val="002B7E6D"/>
    <w:rsid w:val="002B7F3A"/>
    <w:rsid w:val="002C068C"/>
    <w:rsid w:val="002C0DCE"/>
    <w:rsid w:val="002C0F7D"/>
    <w:rsid w:val="002C1843"/>
    <w:rsid w:val="002C1B31"/>
    <w:rsid w:val="002C204F"/>
    <w:rsid w:val="002C251F"/>
    <w:rsid w:val="002C323C"/>
    <w:rsid w:val="002C3F17"/>
    <w:rsid w:val="002C3FED"/>
    <w:rsid w:val="002C48DD"/>
    <w:rsid w:val="002C56FC"/>
    <w:rsid w:val="002C69D6"/>
    <w:rsid w:val="002C6CEA"/>
    <w:rsid w:val="002C76AD"/>
    <w:rsid w:val="002D004A"/>
    <w:rsid w:val="002D032A"/>
    <w:rsid w:val="002D1700"/>
    <w:rsid w:val="002D1C97"/>
    <w:rsid w:val="002D4DAF"/>
    <w:rsid w:val="002D4FC2"/>
    <w:rsid w:val="002D5AD4"/>
    <w:rsid w:val="002D5E4F"/>
    <w:rsid w:val="002D68DB"/>
    <w:rsid w:val="002D70C0"/>
    <w:rsid w:val="002D7EC2"/>
    <w:rsid w:val="002D7FB3"/>
    <w:rsid w:val="002E109D"/>
    <w:rsid w:val="002E1B7B"/>
    <w:rsid w:val="002F4DEE"/>
    <w:rsid w:val="002F535C"/>
    <w:rsid w:val="002F53F4"/>
    <w:rsid w:val="002F5C33"/>
    <w:rsid w:val="002F731F"/>
    <w:rsid w:val="00300301"/>
    <w:rsid w:val="00300891"/>
    <w:rsid w:val="00300A9F"/>
    <w:rsid w:val="00301154"/>
    <w:rsid w:val="003019D5"/>
    <w:rsid w:val="00301D19"/>
    <w:rsid w:val="00302C1F"/>
    <w:rsid w:val="00303286"/>
    <w:rsid w:val="003034B1"/>
    <w:rsid w:val="00303A37"/>
    <w:rsid w:val="00303D84"/>
    <w:rsid w:val="00305A66"/>
    <w:rsid w:val="00306081"/>
    <w:rsid w:val="003069CE"/>
    <w:rsid w:val="00307039"/>
    <w:rsid w:val="003076AC"/>
    <w:rsid w:val="003104FA"/>
    <w:rsid w:val="0031068F"/>
    <w:rsid w:val="00310D87"/>
    <w:rsid w:val="00311489"/>
    <w:rsid w:val="00315265"/>
    <w:rsid w:val="00315EBD"/>
    <w:rsid w:val="0031619C"/>
    <w:rsid w:val="00316806"/>
    <w:rsid w:val="00316852"/>
    <w:rsid w:val="00316CC1"/>
    <w:rsid w:val="003215FD"/>
    <w:rsid w:val="0032252B"/>
    <w:rsid w:val="0032325B"/>
    <w:rsid w:val="00324978"/>
    <w:rsid w:val="00325B78"/>
    <w:rsid w:val="00325E77"/>
    <w:rsid w:val="003265FA"/>
    <w:rsid w:val="0033142B"/>
    <w:rsid w:val="00331F2F"/>
    <w:rsid w:val="00334847"/>
    <w:rsid w:val="00335191"/>
    <w:rsid w:val="00336362"/>
    <w:rsid w:val="003367A5"/>
    <w:rsid w:val="00340C3F"/>
    <w:rsid w:val="00341074"/>
    <w:rsid w:val="00343B12"/>
    <w:rsid w:val="003444C9"/>
    <w:rsid w:val="00347081"/>
    <w:rsid w:val="0034772A"/>
    <w:rsid w:val="00347733"/>
    <w:rsid w:val="003503DA"/>
    <w:rsid w:val="003504DB"/>
    <w:rsid w:val="00350762"/>
    <w:rsid w:val="003507A2"/>
    <w:rsid w:val="00351463"/>
    <w:rsid w:val="003514E4"/>
    <w:rsid w:val="003522BA"/>
    <w:rsid w:val="00352CDE"/>
    <w:rsid w:val="00353F31"/>
    <w:rsid w:val="0035455C"/>
    <w:rsid w:val="00355A5E"/>
    <w:rsid w:val="00356A8C"/>
    <w:rsid w:val="00363686"/>
    <w:rsid w:val="003642BE"/>
    <w:rsid w:val="00364B03"/>
    <w:rsid w:val="00366F45"/>
    <w:rsid w:val="0037087F"/>
    <w:rsid w:val="00375CE6"/>
    <w:rsid w:val="00382CC8"/>
    <w:rsid w:val="00382F9A"/>
    <w:rsid w:val="003845FB"/>
    <w:rsid w:val="003864A9"/>
    <w:rsid w:val="003867AB"/>
    <w:rsid w:val="003878B2"/>
    <w:rsid w:val="00393AEC"/>
    <w:rsid w:val="0039432A"/>
    <w:rsid w:val="00394B16"/>
    <w:rsid w:val="0039555A"/>
    <w:rsid w:val="00395F5D"/>
    <w:rsid w:val="0039673A"/>
    <w:rsid w:val="003A22E5"/>
    <w:rsid w:val="003A2766"/>
    <w:rsid w:val="003A38CF"/>
    <w:rsid w:val="003A49AE"/>
    <w:rsid w:val="003A64E4"/>
    <w:rsid w:val="003A728C"/>
    <w:rsid w:val="003A78B5"/>
    <w:rsid w:val="003A79F6"/>
    <w:rsid w:val="003A7ACC"/>
    <w:rsid w:val="003B0DC7"/>
    <w:rsid w:val="003B178C"/>
    <w:rsid w:val="003B1B69"/>
    <w:rsid w:val="003B1BF8"/>
    <w:rsid w:val="003B3D4D"/>
    <w:rsid w:val="003B630B"/>
    <w:rsid w:val="003B64D8"/>
    <w:rsid w:val="003B6B1F"/>
    <w:rsid w:val="003B7072"/>
    <w:rsid w:val="003B7D87"/>
    <w:rsid w:val="003C17EF"/>
    <w:rsid w:val="003C2A8C"/>
    <w:rsid w:val="003C3D03"/>
    <w:rsid w:val="003C4BF5"/>
    <w:rsid w:val="003C611B"/>
    <w:rsid w:val="003C638F"/>
    <w:rsid w:val="003C6E97"/>
    <w:rsid w:val="003D0C10"/>
    <w:rsid w:val="003D3F37"/>
    <w:rsid w:val="003D6032"/>
    <w:rsid w:val="003D6769"/>
    <w:rsid w:val="003E1550"/>
    <w:rsid w:val="003E5D4D"/>
    <w:rsid w:val="003E5FD3"/>
    <w:rsid w:val="003E6603"/>
    <w:rsid w:val="003E6BBD"/>
    <w:rsid w:val="003E7AF0"/>
    <w:rsid w:val="003F0289"/>
    <w:rsid w:val="003F12AE"/>
    <w:rsid w:val="003F2D8B"/>
    <w:rsid w:val="003F30D2"/>
    <w:rsid w:val="0040028C"/>
    <w:rsid w:val="004010FE"/>
    <w:rsid w:val="00401B42"/>
    <w:rsid w:val="004034FC"/>
    <w:rsid w:val="0040387A"/>
    <w:rsid w:val="004055CB"/>
    <w:rsid w:val="00405811"/>
    <w:rsid w:val="00405C2A"/>
    <w:rsid w:val="00405D0A"/>
    <w:rsid w:val="00410F69"/>
    <w:rsid w:val="00412E1C"/>
    <w:rsid w:val="00413660"/>
    <w:rsid w:val="00413A83"/>
    <w:rsid w:val="0041463A"/>
    <w:rsid w:val="00415E28"/>
    <w:rsid w:val="004179AA"/>
    <w:rsid w:val="004179AF"/>
    <w:rsid w:val="0042061B"/>
    <w:rsid w:val="00421155"/>
    <w:rsid w:val="00426588"/>
    <w:rsid w:val="004272D1"/>
    <w:rsid w:val="00431E59"/>
    <w:rsid w:val="00433D08"/>
    <w:rsid w:val="0043484B"/>
    <w:rsid w:val="00434C95"/>
    <w:rsid w:val="00434E25"/>
    <w:rsid w:val="0043547D"/>
    <w:rsid w:val="004358A5"/>
    <w:rsid w:val="00436504"/>
    <w:rsid w:val="0043741D"/>
    <w:rsid w:val="00437867"/>
    <w:rsid w:val="00440A8D"/>
    <w:rsid w:val="00440E77"/>
    <w:rsid w:val="0044140D"/>
    <w:rsid w:val="00441AC0"/>
    <w:rsid w:val="00441B64"/>
    <w:rsid w:val="004440D2"/>
    <w:rsid w:val="00444FF8"/>
    <w:rsid w:val="00445BF0"/>
    <w:rsid w:val="0044622E"/>
    <w:rsid w:val="00446E17"/>
    <w:rsid w:val="00450366"/>
    <w:rsid w:val="00450520"/>
    <w:rsid w:val="00452A8F"/>
    <w:rsid w:val="004531BB"/>
    <w:rsid w:val="00456342"/>
    <w:rsid w:val="00457AD1"/>
    <w:rsid w:val="004602CA"/>
    <w:rsid w:val="004607B2"/>
    <w:rsid w:val="004607CB"/>
    <w:rsid w:val="00461290"/>
    <w:rsid w:val="00462CFF"/>
    <w:rsid w:val="00463F19"/>
    <w:rsid w:val="00464217"/>
    <w:rsid w:val="004649BF"/>
    <w:rsid w:val="004652B8"/>
    <w:rsid w:val="0046770B"/>
    <w:rsid w:val="00470384"/>
    <w:rsid w:val="00470555"/>
    <w:rsid w:val="00471242"/>
    <w:rsid w:val="00473C7D"/>
    <w:rsid w:val="00474C3D"/>
    <w:rsid w:val="00480472"/>
    <w:rsid w:val="00480687"/>
    <w:rsid w:val="00480D9C"/>
    <w:rsid w:val="0048147E"/>
    <w:rsid w:val="004820C1"/>
    <w:rsid w:val="00482394"/>
    <w:rsid w:val="00483BA3"/>
    <w:rsid w:val="004855F7"/>
    <w:rsid w:val="00485979"/>
    <w:rsid w:val="00485AD5"/>
    <w:rsid w:val="004877CF"/>
    <w:rsid w:val="004903AA"/>
    <w:rsid w:val="00490839"/>
    <w:rsid w:val="00491269"/>
    <w:rsid w:val="00491A83"/>
    <w:rsid w:val="00491BCA"/>
    <w:rsid w:val="00491F0B"/>
    <w:rsid w:val="00493AC0"/>
    <w:rsid w:val="004971D5"/>
    <w:rsid w:val="004A0459"/>
    <w:rsid w:val="004A070B"/>
    <w:rsid w:val="004A1CD0"/>
    <w:rsid w:val="004A1FEE"/>
    <w:rsid w:val="004A202D"/>
    <w:rsid w:val="004A3440"/>
    <w:rsid w:val="004A5559"/>
    <w:rsid w:val="004A5A10"/>
    <w:rsid w:val="004A5D91"/>
    <w:rsid w:val="004A6F3D"/>
    <w:rsid w:val="004A75C3"/>
    <w:rsid w:val="004A7C43"/>
    <w:rsid w:val="004B3396"/>
    <w:rsid w:val="004B5057"/>
    <w:rsid w:val="004B52EC"/>
    <w:rsid w:val="004B55F8"/>
    <w:rsid w:val="004B60D4"/>
    <w:rsid w:val="004B6648"/>
    <w:rsid w:val="004B66A1"/>
    <w:rsid w:val="004B6828"/>
    <w:rsid w:val="004B742F"/>
    <w:rsid w:val="004B743D"/>
    <w:rsid w:val="004B74D0"/>
    <w:rsid w:val="004C0298"/>
    <w:rsid w:val="004C14D8"/>
    <w:rsid w:val="004C1BB8"/>
    <w:rsid w:val="004C1CCE"/>
    <w:rsid w:val="004C38A7"/>
    <w:rsid w:val="004C4547"/>
    <w:rsid w:val="004C4E49"/>
    <w:rsid w:val="004C6987"/>
    <w:rsid w:val="004C6B32"/>
    <w:rsid w:val="004D1F97"/>
    <w:rsid w:val="004D2723"/>
    <w:rsid w:val="004D42E3"/>
    <w:rsid w:val="004D510A"/>
    <w:rsid w:val="004D595E"/>
    <w:rsid w:val="004D64FA"/>
    <w:rsid w:val="004D7907"/>
    <w:rsid w:val="004E1481"/>
    <w:rsid w:val="004E215D"/>
    <w:rsid w:val="004E2C20"/>
    <w:rsid w:val="004E3DFA"/>
    <w:rsid w:val="004E4F6B"/>
    <w:rsid w:val="004E4FA4"/>
    <w:rsid w:val="004E54BE"/>
    <w:rsid w:val="004E5C1C"/>
    <w:rsid w:val="004E6666"/>
    <w:rsid w:val="004E7B51"/>
    <w:rsid w:val="004E7E06"/>
    <w:rsid w:val="004F0A46"/>
    <w:rsid w:val="004F1618"/>
    <w:rsid w:val="004F2FE2"/>
    <w:rsid w:val="004F3468"/>
    <w:rsid w:val="004F34F8"/>
    <w:rsid w:val="004F598E"/>
    <w:rsid w:val="004F7477"/>
    <w:rsid w:val="004F754B"/>
    <w:rsid w:val="0050103B"/>
    <w:rsid w:val="0050104B"/>
    <w:rsid w:val="0050110D"/>
    <w:rsid w:val="00501A0B"/>
    <w:rsid w:val="00502423"/>
    <w:rsid w:val="0050331B"/>
    <w:rsid w:val="00505DB6"/>
    <w:rsid w:val="00506611"/>
    <w:rsid w:val="005077E8"/>
    <w:rsid w:val="005100A2"/>
    <w:rsid w:val="0051042B"/>
    <w:rsid w:val="00513578"/>
    <w:rsid w:val="00513673"/>
    <w:rsid w:val="0051424A"/>
    <w:rsid w:val="00516C6C"/>
    <w:rsid w:val="005170DA"/>
    <w:rsid w:val="005174C3"/>
    <w:rsid w:val="005200DA"/>
    <w:rsid w:val="005204B6"/>
    <w:rsid w:val="005209A9"/>
    <w:rsid w:val="005210DD"/>
    <w:rsid w:val="00523DE6"/>
    <w:rsid w:val="005242F8"/>
    <w:rsid w:val="00525537"/>
    <w:rsid w:val="00526D9E"/>
    <w:rsid w:val="00527507"/>
    <w:rsid w:val="00527DEA"/>
    <w:rsid w:val="00530D4A"/>
    <w:rsid w:val="005331BD"/>
    <w:rsid w:val="00533902"/>
    <w:rsid w:val="00533EBC"/>
    <w:rsid w:val="005347C3"/>
    <w:rsid w:val="00534D97"/>
    <w:rsid w:val="005357DF"/>
    <w:rsid w:val="005357F2"/>
    <w:rsid w:val="00535A38"/>
    <w:rsid w:val="00535A8E"/>
    <w:rsid w:val="0053606A"/>
    <w:rsid w:val="005361E0"/>
    <w:rsid w:val="00536887"/>
    <w:rsid w:val="00536913"/>
    <w:rsid w:val="00537070"/>
    <w:rsid w:val="00537B2F"/>
    <w:rsid w:val="00537D6B"/>
    <w:rsid w:val="0054086B"/>
    <w:rsid w:val="00540EF2"/>
    <w:rsid w:val="00541BBA"/>
    <w:rsid w:val="0054297A"/>
    <w:rsid w:val="00545304"/>
    <w:rsid w:val="00545460"/>
    <w:rsid w:val="0054646C"/>
    <w:rsid w:val="005469E8"/>
    <w:rsid w:val="005478CF"/>
    <w:rsid w:val="00547A3E"/>
    <w:rsid w:val="00552C42"/>
    <w:rsid w:val="00552FE9"/>
    <w:rsid w:val="00554DE6"/>
    <w:rsid w:val="00555819"/>
    <w:rsid w:val="00555B64"/>
    <w:rsid w:val="00555FE2"/>
    <w:rsid w:val="00557E25"/>
    <w:rsid w:val="00560182"/>
    <w:rsid w:val="0056027B"/>
    <w:rsid w:val="00560BAA"/>
    <w:rsid w:val="00561369"/>
    <w:rsid w:val="0056200F"/>
    <w:rsid w:val="0056223E"/>
    <w:rsid w:val="005631D4"/>
    <w:rsid w:val="00563472"/>
    <w:rsid w:val="005638B0"/>
    <w:rsid w:val="00564AFA"/>
    <w:rsid w:val="00565134"/>
    <w:rsid w:val="00566A36"/>
    <w:rsid w:val="005672C3"/>
    <w:rsid w:val="0057189E"/>
    <w:rsid w:val="005725BA"/>
    <w:rsid w:val="00572727"/>
    <w:rsid w:val="00574094"/>
    <w:rsid w:val="005768F5"/>
    <w:rsid w:val="00576BF4"/>
    <w:rsid w:val="00576FF5"/>
    <w:rsid w:val="005779D1"/>
    <w:rsid w:val="00577AB9"/>
    <w:rsid w:val="00577B69"/>
    <w:rsid w:val="005839C8"/>
    <w:rsid w:val="0058471B"/>
    <w:rsid w:val="005853C0"/>
    <w:rsid w:val="00585C62"/>
    <w:rsid w:val="00586A2E"/>
    <w:rsid w:val="00587074"/>
    <w:rsid w:val="00590D17"/>
    <w:rsid w:val="005910E9"/>
    <w:rsid w:val="00591CBA"/>
    <w:rsid w:val="00591F95"/>
    <w:rsid w:val="00594E89"/>
    <w:rsid w:val="00595604"/>
    <w:rsid w:val="00597739"/>
    <w:rsid w:val="00597C1A"/>
    <w:rsid w:val="005A00DD"/>
    <w:rsid w:val="005A395F"/>
    <w:rsid w:val="005A4623"/>
    <w:rsid w:val="005A49D7"/>
    <w:rsid w:val="005A62B8"/>
    <w:rsid w:val="005B222F"/>
    <w:rsid w:val="005B229C"/>
    <w:rsid w:val="005B402E"/>
    <w:rsid w:val="005B4441"/>
    <w:rsid w:val="005B5408"/>
    <w:rsid w:val="005B702D"/>
    <w:rsid w:val="005C0028"/>
    <w:rsid w:val="005C1B69"/>
    <w:rsid w:val="005C2320"/>
    <w:rsid w:val="005C29C7"/>
    <w:rsid w:val="005C3D93"/>
    <w:rsid w:val="005C5B96"/>
    <w:rsid w:val="005C6580"/>
    <w:rsid w:val="005D08E9"/>
    <w:rsid w:val="005D21C0"/>
    <w:rsid w:val="005D2455"/>
    <w:rsid w:val="005D2F57"/>
    <w:rsid w:val="005D3E49"/>
    <w:rsid w:val="005D5A91"/>
    <w:rsid w:val="005D7AFE"/>
    <w:rsid w:val="005D7FBD"/>
    <w:rsid w:val="005E08CB"/>
    <w:rsid w:val="005E187A"/>
    <w:rsid w:val="005E2348"/>
    <w:rsid w:val="005E2917"/>
    <w:rsid w:val="005E3EBD"/>
    <w:rsid w:val="005E5A6E"/>
    <w:rsid w:val="005E7022"/>
    <w:rsid w:val="005F03D2"/>
    <w:rsid w:val="005F07CE"/>
    <w:rsid w:val="005F0E3D"/>
    <w:rsid w:val="005F1383"/>
    <w:rsid w:val="005F1C9D"/>
    <w:rsid w:val="005F1FA8"/>
    <w:rsid w:val="005F28DA"/>
    <w:rsid w:val="005F2AD3"/>
    <w:rsid w:val="005F35C4"/>
    <w:rsid w:val="005F397B"/>
    <w:rsid w:val="005F3AE8"/>
    <w:rsid w:val="005F4747"/>
    <w:rsid w:val="005F5CA9"/>
    <w:rsid w:val="005F6650"/>
    <w:rsid w:val="005F77D3"/>
    <w:rsid w:val="00600A47"/>
    <w:rsid w:val="006014CD"/>
    <w:rsid w:val="00601796"/>
    <w:rsid w:val="00602164"/>
    <w:rsid w:val="00602BCF"/>
    <w:rsid w:val="006031E5"/>
    <w:rsid w:val="00603223"/>
    <w:rsid w:val="0060328D"/>
    <w:rsid w:val="00603542"/>
    <w:rsid w:val="00603A5A"/>
    <w:rsid w:val="006045E8"/>
    <w:rsid w:val="006075F1"/>
    <w:rsid w:val="00611042"/>
    <w:rsid w:val="00611994"/>
    <w:rsid w:val="00612FB5"/>
    <w:rsid w:val="006131D7"/>
    <w:rsid w:val="00613EE5"/>
    <w:rsid w:val="0061598C"/>
    <w:rsid w:val="00615DEC"/>
    <w:rsid w:val="00616B3E"/>
    <w:rsid w:val="00617778"/>
    <w:rsid w:val="0061777F"/>
    <w:rsid w:val="0062076B"/>
    <w:rsid w:val="00620D91"/>
    <w:rsid w:val="0062216B"/>
    <w:rsid w:val="00622AF8"/>
    <w:rsid w:val="006235C5"/>
    <w:rsid w:val="00623743"/>
    <w:rsid w:val="00623D77"/>
    <w:rsid w:val="00624BCE"/>
    <w:rsid w:val="006263AA"/>
    <w:rsid w:val="00626DE4"/>
    <w:rsid w:val="006275FC"/>
    <w:rsid w:val="00630CE9"/>
    <w:rsid w:val="006313A1"/>
    <w:rsid w:val="00632294"/>
    <w:rsid w:val="006329A0"/>
    <w:rsid w:val="006329FA"/>
    <w:rsid w:val="00633019"/>
    <w:rsid w:val="00633139"/>
    <w:rsid w:val="00633525"/>
    <w:rsid w:val="0063507A"/>
    <w:rsid w:val="00636D7B"/>
    <w:rsid w:val="00641E60"/>
    <w:rsid w:val="00642DE6"/>
    <w:rsid w:val="006431A9"/>
    <w:rsid w:val="00643961"/>
    <w:rsid w:val="00643E12"/>
    <w:rsid w:val="006448FD"/>
    <w:rsid w:val="0064691D"/>
    <w:rsid w:val="00646C6D"/>
    <w:rsid w:val="0064700A"/>
    <w:rsid w:val="00651630"/>
    <w:rsid w:val="006519D3"/>
    <w:rsid w:val="006527A7"/>
    <w:rsid w:val="00653376"/>
    <w:rsid w:val="00653597"/>
    <w:rsid w:val="006536C3"/>
    <w:rsid w:val="00657476"/>
    <w:rsid w:val="0065750C"/>
    <w:rsid w:val="0066068C"/>
    <w:rsid w:val="00661220"/>
    <w:rsid w:val="006617E1"/>
    <w:rsid w:val="00661844"/>
    <w:rsid w:val="00661A16"/>
    <w:rsid w:val="00662066"/>
    <w:rsid w:val="00663749"/>
    <w:rsid w:val="006637AF"/>
    <w:rsid w:val="006643FC"/>
    <w:rsid w:val="00664AE8"/>
    <w:rsid w:val="00664C09"/>
    <w:rsid w:val="00666313"/>
    <w:rsid w:val="006666BC"/>
    <w:rsid w:val="00666BB6"/>
    <w:rsid w:val="00667BC1"/>
    <w:rsid w:val="00667E78"/>
    <w:rsid w:val="00667FC8"/>
    <w:rsid w:val="006701B8"/>
    <w:rsid w:val="00671220"/>
    <w:rsid w:val="00671279"/>
    <w:rsid w:val="006719F6"/>
    <w:rsid w:val="00671D8A"/>
    <w:rsid w:val="006722C7"/>
    <w:rsid w:val="0067336A"/>
    <w:rsid w:val="006763B7"/>
    <w:rsid w:val="006804CB"/>
    <w:rsid w:val="00681D5A"/>
    <w:rsid w:val="00682042"/>
    <w:rsid w:val="0068307B"/>
    <w:rsid w:val="006842E7"/>
    <w:rsid w:val="00684ABA"/>
    <w:rsid w:val="0068669E"/>
    <w:rsid w:val="0068772C"/>
    <w:rsid w:val="0069339A"/>
    <w:rsid w:val="006946FA"/>
    <w:rsid w:val="0069499F"/>
    <w:rsid w:val="00695158"/>
    <w:rsid w:val="00695BBC"/>
    <w:rsid w:val="00695F97"/>
    <w:rsid w:val="00696426"/>
    <w:rsid w:val="00697B9F"/>
    <w:rsid w:val="006A0272"/>
    <w:rsid w:val="006A1517"/>
    <w:rsid w:val="006A2A73"/>
    <w:rsid w:val="006A470F"/>
    <w:rsid w:val="006A4B45"/>
    <w:rsid w:val="006A4C09"/>
    <w:rsid w:val="006A4DE7"/>
    <w:rsid w:val="006A4EC8"/>
    <w:rsid w:val="006A50A4"/>
    <w:rsid w:val="006A61A6"/>
    <w:rsid w:val="006A76CB"/>
    <w:rsid w:val="006A7C89"/>
    <w:rsid w:val="006B1D0D"/>
    <w:rsid w:val="006B2668"/>
    <w:rsid w:val="006B30BF"/>
    <w:rsid w:val="006B35E2"/>
    <w:rsid w:val="006B3AE9"/>
    <w:rsid w:val="006B4324"/>
    <w:rsid w:val="006B7936"/>
    <w:rsid w:val="006C083F"/>
    <w:rsid w:val="006C12B3"/>
    <w:rsid w:val="006C282D"/>
    <w:rsid w:val="006C348A"/>
    <w:rsid w:val="006C3C7A"/>
    <w:rsid w:val="006C3CF6"/>
    <w:rsid w:val="006C43C7"/>
    <w:rsid w:val="006C610A"/>
    <w:rsid w:val="006C67A4"/>
    <w:rsid w:val="006C7A84"/>
    <w:rsid w:val="006D043D"/>
    <w:rsid w:val="006D0A55"/>
    <w:rsid w:val="006D0D15"/>
    <w:rsid w:val="006D4E53"/>
    <w:rsid w:val="006D4EBE"/>
    <w:rsid w:val="006D668A"/>
    <w:rsid w:val="006D725D"/>
    <w:rsid w:val="006E04AD"/>
    <w:rsid w:val="006E050D"/>
    <w:rsid w:val="006E0C6C"/>
    <w:rsid w:val="006E33BD"/>
    <w:rsid w:val="006E5DBD"/>
    <w:rsid w:val="006E66BA"/>
    <w:rsid w:val="006E6B57"/>
    <w:rsid w:val="006E7C1A"/>
    <w:rsid w:val="006F0C7B"/>
    <w:rsid w:val="006F0FCA"/>
    <w:rsid w:val="006F0FD9"/>
    <w:rsid w:val="006F18DE"/>
    <w:rsid w:val="006F29E9"/>
    <w:rsid w:val="006F2F24"/>
    <w:rsid w:val="006F3D0E"/>
    <w:rsid w:val="006F407C"/>
    <w:rsid w:val="006F4818"/>
    <w:rsid w:val="006F64FB"/>
    <w:rsid w:val="006F7FAD"/>
    <w:rsid w:val="00700177"/>
    <w:rsid w:val="007001D5"/>
    <w:rsid w:val="00700917"/>
    <w:rsid w:val="00700AD0"/>
    <w:rsid w:val="00701577"/>
    <w:rsid w:val="007027C1"/>
    <w:rsid w:val="007029D5"/>
    <w:rsid w:val="0070365D"/>
    <w:rsid w:val="007041A2"/>
    <w:rsid w:val="00704515"/>
    <w:rsid w:val="00706093"/>
    <w:rsid w:val="0070752F"/>
    <w:rsid w:val="00707DE2"/>
    <w:rsid w:val="00710CE2"/>
    <w:rsid w:val="00710E47"/>
    <w:rsid w:val="00712313"/>
    <w:rsid w:val="00712815"/>
    <w:rsid w:val="007136D8"/>
    <w:rsid w:val="00714EC2"/>
    <w:rsid w:val="00715182"/>
    <w:rsid w:val="00715527"/>
    <w:rsid w:val="007165F0"/>
    <w:rsid w:val="0071741F"/>
    <w:rsid w:val="00720B09"/>
    <w:rsid w:val="00720D38"/>
    <w:rsid w:val="00722DC8"/>
    <w:rsid w:val="00724396"/>
    <w:rsid w:val="00724A0E"/>
    <w:rsid w:val="00724D7C"/>
    <w:rsid w:val="00725ACC"/>
    <w:rsid w:val="00725F04"/>
    <w:rsid w:val="00726095"/>
    <w:rsid w:val="00726318"/>
    <w:rsid w:val="00730BAD"/>
    <w:rsid w:val="0073299A"/>
    <w:rsid w:val="00733539"/>
    <w:rsid w:val="0073388D"/>
    <w:rsid w:val="00735BCC"/>
    <w:rsid w:val="007360B5"/>
    <w:rsid w:val="00737B74"/>
    <w:rsid w:val="00740000"/>
    <w:rsid w:val="00740CEA"/>
    <w:rsid w:val="0074120F"/>
    <w:rsid w:val="0074174D"/>
    <w:rsid w:val="00741AC2"/>
    <w:rsid w:val="007450A8"/>
    <w:rsid w:val="007450DC"/>
    <w:rsid w:val="007466A6"/>
    <w:rsid w:val="00746E0F"/>
    <w:rsid w:val="0075081A"/>
    <w:rsid w:val="00752D61"/>
    <w:rsid w:val="007545E5"/>
    <w:rsid w:val="007558FB"/>
    <w:rsid w:val="00756D02"/>
    <w:rsid w:val="0076047A"/>
    <w:rsid w:val="00760701"/>
    <w:rsid w:val="00762714"/>
    <w:rsid w:val="00762A9A"/>
    <w:rsid w:val="00763814"/>
    <w:rsid w:val="007660D4"/>
    <w:rsid w:val="00766931"/>
    <w:rsid w:val="00767558"/>
    <w:rsid w:val="00767ABA"/>
    <w:rsid w:val="007709C9"/>
    <w:rsid w:val="00771005"/>
    <w:rsid w:val="00772C24"/>
    <w:rsid w:val="0077369F"/>
    <w:rsid w:val="007746C7"/>
    <w:rsid w:val="00774A65"/>
    <w:rsid w:val="0077632E"/>
    <w:rsid w:val="00776FD4"/>
    <w:rsid w:val="0078250E"/>
    <w:rsid w:val="00787315"/>
    <w:rsid w:val="0079162D"/>
    <w:rsid w:val="0079348C"/>
    <w:rsid w:val="00793753"/>
    <w:rsid w:val="00793C6A"/>
    <w:rsid w:val="00794626"/>
    <w:rsid w:val="007946A7"/>
    <w:rsid w:val="00794BB8"/>
    <w:rsid w:val="00795878"/>
    <w:rsid w:val="00796111"/>
    <w:rsid w:val="007961AA"/>
    <w:rsid w:val="00796E0C"/>
    <w:rsid w:val="007A077F"/>
    <w:rsid w:val="007A2857"/>
    <w:rsid w:val="007A2DF7"/>
    <w:rsid w:val="007A3A97"/>
    <w:rsid w:val="007A3D66"/>
    <w:rsid w:val="007A6CDA"/>
    <w:rsid w:val="007B3ABE"/>
    <w:rsid w:val="007B49F7"/>
    <w:rsid w:val="007B5D5F"/>
    <w:rsid w:val="007B6BCF"/>
    <w:rsid w:val="007B7F90"/>
    <w:rsid w:val="007C2F16"/>
    <w:rsid w:val="007C4E1C"/>
    <w:rsid w:val="007C5AC1"/>
    <w:rsid w:val="007C5B39"/>
    <w:rsid w:val="007C603B"/>
    <w:rsid w:val="007D12E2"/>
    <w:rsid w:val="007D2455"/>
    <w:rsid w:val="007D3070"/>
    <w:rsid w:val="007D3D07"/>
    <w:rsid w:val="007D4917"/>
    <w:rsid w:val="007D62EA"/>
    <w:rsid w:val="007D6310"/>
    <w:rsid w:val="007D734C"/>
    <w:rsid w:val="007D7CC8"/>
    <w:rsid w:val="007D7E24"/>
    <w:rsid w:val="007E01E8"/>
    <w:rsid w:val="007E1810"/>
    <w:rsid w:val="007E23C6"/>
    <w:rsid w:val="007E3108"/>
    <w:rsid w:val="007E372B"/>
    <w:rsid w:val="007E4314"/>
    <w:rsid w:val="007E431E"/>
    <w:rsid w:val="007E5A6D"/>
    <w:rsid w:val="007E6147"/>
    <w:rsid w:val="007E6477"/>
    <w:rsid w:val="007E7310"/>
    <w:rsid w:val="007E7EDE"/>
    <w:rsid w:val="007F1B54"/>
    <w:rsid w:val="007F207D"/>
    <w:rsid w:val="007F540C"/>
    <w:rsid w:val="007F5801"/>
    <w:rsid w:val="007F5820"/>
    <w:rsid w:val="007F58BD"/>
    <w:rsid w:val="00800861"/>
    <w:rsid w:val="00800BE0"/>
    <w:rsid w:val="0080287E"/>
    <w:rsid w:val="00802DAA"/>
    <w:rsid w:val="00804AE6"/>
    <w:rsid w:val="00805A1B"/>
    <w:rsid w:val="008061CF"/>
    <w:rsid w:val="008062E7"/>
    <w:rsid w:val="00806AA3"/>
    <w:rsid w:val="0080727C"/>
    <w:rsid w:val="00807AF6"/>
    <w:rsid w:val="00811227"/>
    <w:rsid w:val="00811228"/>
    <w:rsid w:val="00811498"/>
    <w:rsid w:val="00811F5B"/>
    <w:rsid w:val="00813297"/>
    <w:rsid w:val="0081490E"/>
    <w:rsid w:val="008151F9"/>
    <w:rsid w:val="008160AD"/>
    <w:rsid w:val="00821B34"/>
    <w:rsid w:val="0082297B"/>
    <w:rsid w:val="0082299F"/>
    <w:rsid w:val="00822DA4"/>
    <w:rsid w:val="0082506F"/>
    <w:rsid w:val="0082566D"/>
    <w:rsid w:val="00830A72"/>
    <w:rsid w:val="00831A1B"/>
    <w:rsid w:val="00832C72"/>
    <w:rsid w:val="00833F44"/>
    <w:rsid w:val="00834368"/>
    <w:rsid w:val="0083452D"/>
    <w:rsid w:val="008374E8"/>
    <w:rsid w:val="0084016C"/>
    <w:rsid w:val="00840DAA"/>
    <w:rsid w:val="00842A66"/>
    <w:rsid w:val="0084376C"/>
    <w:rsid w:val="0084473D"/>
    <w:rsid w:val="00845CA9"/>
    <w:rsid w:val="00851C8D"/>
    <w:rsid w:val="00851F85"/>
    <w:rsid w:val="008544B1"/>
    <w:rsid w:val="00854A96"/>
    <w:rsid w:val="00854BDA"/>
    <w:rsid w:val="008556CA"/>
    <w:rsid w:val="00856138"/>
    <w:rsid w:val="00857538"/>
    <w:rsid w:val="008579EB"/>
    <w:rsid w:val="0086447F"/>
    <w:rsid w:val="00864F9C"/>
    <w:rsid w:val="00865380"/>
    <w:rsid w:val="00870799"/>
    <w:rsid w:val="00870877"/>
    <w:rsid w:val="008714B3"/>
    <w:rsid w:val="0087163E"/>
    <w:rsid w:val="00873AC7"/>
    <w:rsid w:val="008757B8"/>
    <w:rsid w:val="00875EF3"/>
    <w:rsid w:val="008807C8"/>
    <w:rsid w:val="0088094B"/>
    <w:rsid w:val="00882305"/>
    <w:rsid w:val="00882401"/>
    <w:rsid w:val="008826A3"/>
    <w:rsid w:val="00882A21"/>
    <w:rsid w:val="00884694"/>
    <w:rsid w:val="00886718"/>
    <w:rsid w:val="00891154"/>
    <w:rsid w:val="00892F38"/>
    <w:rsid w:val="00893264"/>
    <w:rsid w:val="00893BEF"/>
    <w:rsid w:val="00893F25"/>
    <w:rsid w:val="00894732"/>
    <w:rsid w:val="00895F29"/>
    <w:rsid w:val="0089737E"/>
    <w:rsid w:val="008A0A9A"/>
    <w:rsid w:val="008A0BD7"/>
    <w:rsid w:val="008A0E10"/>
    <w:rsid w:val="008A1339"/>
    <w:rsid w:val="008A1A16"/>
    <w:rsid w:val="008A1FBA"/>
    <w:rsid w:val="008A266F"/>
    <w:rsid w:val="008A4C86"/>
    <w:rsid w:val="008A4DEE"/>
    <w:rsid w:val="008A647C"/>
    <w:rsid w:val="008A789B"/>
    <w:rsid w:val="008A7B7A"/>
    <w:rsid w:val="008A7E74"/>
    <w:rsid w:val="008B032E"/>
    <w:rsid w:val="008B2EF2"/>
    <w:rsid w:val="008B3DDC"/>
    <w:rsid w:val="008B4252"/>
    <w:rsid w:val="008B435C"/>
    <w:rsid w:val="008B49DB"/>
    <w:rsid w:val="008B5273"/>
    <w:rsid w:val="008B62A7"/>
    <w:rsid w:val="008B6953"/>
    <w:rsid w:val="008B6B61"/>
    <w:rsid w:val="008B7B24"/>
    <w:rsid w:val="008C050E"/>
    <w:rsid w:val="008C0B97"/>
    <w:rsid w:val="008C0D15"/>
    <w:rsid w:val="008C1F68"/>
    <w:rsid w:val="008C20B5"/>
    <w:rsid w:val="008C224C"/>
    <w:rsid w:val="008C29AC"/>
    <w:rsid w:val="008C2B56"/>
    <w:rsid w:val="008C386D"/>
    <w:rsid w:val="008C40A0"/>
    <w:rsid w:val="008C44F8"/>
    <w:rsid w:val="008C46A0"/>
    <w:rsid w:val="008C4A20"/>
    <w:rsid w:val="008C5E7E"/>
    <w:rsid w:val="008C6206"/>
    <w:rsid w:val="008C6D12"/>
    <w:rsid w:val="008C7840"/>
    <w:rsid w:val="008D00AD"/>
    <w:rsid w:val="008D00EA"/>
    <w:rsid w:val="008D1981"/>
    <w:rsid w:val="008D4CA6"/>
    <w:rsid w:val="008D4DF1"/>
    <w:rsid w:val="008D504B"/>
    <w:rsid w:val="008D5674"/>
    <w:rsid w:val="008D5F54"/>
    <w:rsid w:val="008D6B12"/>
    <w:rsid w:val="008D71AD"/>
    <w:rsid w:val="008E0AFB"/>
    <w:rsid w:val="008E0F52"/>
    <w:rsid w:val="008E1E8B"/>
    <w:rsid w:val="008E1EFC"/>
    <w:rsid w:val="008E2BE6"/>
    <w:rsid w:val="008E3E25"/>
    <w:rsid w:val="008E4BC4"/>
    <w:rsid w:val="008E4C0B"/>
    <w:rsid w:val="008E5738"/>
    <w:rsid w:val="008F3F9D"/>
    <w:rsid w:val="008F45A7"/>
    <w:rsid w:val="008F6756"/>
    <w:rsid w:val="008F7503"/>
    <w:rsid w:val="009014ED"/>
    <w:rsid w:val="00901EEE"/>
    <w:rsid w:val="00901F6F"/>
    <w:rsid w:val="00902A41"/>
    <w:rsid w:val="00903770"/>
    <w:rsid w:val="009055D8"/>
    <w:rsid w:val="009061BB"/>
    <w:rsid w:val="009071A6"/>
    <w:rsid w:val="0090781F"/>
    <w:rsid w:val="00910D18"/>
    <w:rsid w:val="00911F70"/>
    <w:rsid w:val="00912495"/>
    <w:rsid w:val="009132DD"/>
    <w:rsid w:val="00913EFF"/>
    <w:rsid w:val="0091481A"/>
    <w:rsid w:val="00914A9D"/>
    <w:rsid w:val="009156E6"/>
    <w:rsid w:val="009166DB"/>
    <w:rsid w:val="009166F3"/>
    <w:rsid w:val="00916B3B"/>
    <w:rsid w:val="00916BF9"/>
    <w:rsid w:val="00916C4D"/>
    <w:rsid w:val="00916EA8"/>
    <w:rsid w:val="00917014"/>
    <w:rsid w:val="0092097B"/>
    <w:rsid w:val="00920EAC"/>
    <w:rsid w:val="0092265D"/>
    <w:rsid w:val="009228B8"/>
    <w:rsid w:val="00923079"/>
    <w:rsid w:val="00924E94"/>
    <w:rsid w:val="0092528E"/>
    <w:rsid w:val="00926184"/>
    <w:rsid w:val="009268AD"/>
    <w:rsid w:val="00927F38"/>
    <w:rsid w:val="00930851"/>
    <w:rsid w:val="00932B99"/>
    <w:rsid w:val="009333FD"/>
    <w:rsid w:val="00935F4D"/>
    <w:rsid w:val="00936537"/>
    <w:rsid w:val="0093711B"/>
    <w:rsid w:val="009372FE"/>
    <w:rsid w:val="009375C9"/>
    <w:rsid w:val="0094061C"/>
    <w:rsid w:val="00940C89"/>
    <w:rsid w:val="00941150"/>
    <w:rsid w:val="009427FF"/>
    <w:rsid w:val="009439F9"/>
    <w:rsid w:val="009459D4"/>
    <w:rsid w:val="00946889"/>
    <w:rsid w:val="00946D70"/>
    <w:rsid w:val="00947D78"/>
    <w:rsid w:val="0095088A"/>
    <w:rsid w:val="00951216"/>
    <w:rsid w:val="00952444"/>
    <w:rsid w:val="00952DCA"/>
    <w:rsid w:val="00953C44"/>
    <w:rsid w:val="00955786"/>
    <w:rsid w:val="0095617A"/>
    <w:rsid w:val="00956577"/>
    <w:rsid w:val="00956A45"/>
    <w:rsid w:val="00956C94"/>
    <w:rsid w:val="009573D6"/>
    <w:rsid w:val="00957713"/>
    <w:rsid w:val="00960B18"/>
    <w:rsid w:val="00961AD3"/>
    <w:rsid w:val="00961D03"/>
    <w:rsid w:val="00962440"/>
    <w:rsid w:val="009634DB"/>
    <w:rsid w:val="0096486A"/>
    <w:rsid w:val="009650C1"/>
    <w:rsid w:val="00965F25"/>
    <w:rsid w:val="00971B51"/>
    <w:rsid w:val="00972C0C"/>
    <w:rsid w:val="0097340E"/>
    <w:rsid w:val="009750DF"/>
    <w:rsid w:val="00975AA5"/>
    <w:rsid w:val="00975E68"/>
    <w:rsid w:val="00976A77"/>
    <w:rsid w:val="00977167"/>
    <w:rsid w:val="00977911"/>
    <w:rsid w:val="00977F21"/>
    <w:rsid w:val="00981C27"/>
    <w:rsid w:val="00982276"/>
    <w:rsid w:val="00983546"/>
    <w:rsid w:val="0098487F"/>
    <w:rsid w:val="00984DAC"/>
    <w:rsid w:val="00984E3C"/>
    <w:rsid w:val="00986328"/>
    <w:rsid w:val="00986450"/>
    <w:rsid w:val="009874A8"/>
    <w:rsid w:val="00987D32"/>
    <w:rsid w:val="00990E29"/>
    <w:rsid w:val="00991E2A"/>
    <w:rsid w:val="00992525"/>
    <w:rsid w:val="00992768"/>
    <w:rsid w:val="00997A1D"/>
    <w:rsid w:val="009A029A"/>
    <w:rsid w:val="009A118F"/>
    <w:rsid w:val="009A1248"/>
    <w:rsid w:val="009A1EB0"/>
    <w:rsid w:val="009A24EE"/>
    <w:rsid w:val="009A2623"/>
    <w:rsid w:val="009A3041"/>
    <w:rsid w:val="009A43DB"/>
    <w:rsid w:val="009A4B8B"/>
    <w:rsid w:val="009A4E64"/>
    <w:rsid w:val="009A5585"/>
    <w:rsid w:val="009B0126"/>
    <w:rsid w:val="009B02AC"/>
    <w:rsid w:val="009B10C2"/>
    <w:rsid w:val="009B12A2"/>
    <w:rsid w:val="009B1485"/>
    <w:rsid w:val="009B1D2E"/>
    <w:rsid w:val="009B25E2"/>
    <w:rsid w:val="009B273B"/>
    <w:rsid w:val="009B3E0F"/>
    <w:rsid w:val="009B719F"/>
    <w:rsid w:val="009C00AF"/>
    <w:rsid w:val="009C0E1F"/>
    <w:rsid w:val="009C1206"/>
    <w:rsid w:val="009C1E3D"/>
    <w:rsid w:val="009C21AC"/>
    <w:rsid w:val="009C2389"/>
    <w:rsid w:val="009C4073"/>
    <w:rsid w:val="009C411B"/>
    <w:rsid w:val="009C53BF"/>
    <w:rsid w:val="009C5CDE"/>
    <w:rsid w:val="009C6F27"/>
    <w:rsid w:val="009C70BF"/>
    <w:rsid w:val="009D13B3"/>
    <w:rsid w:val="009D285A"/>
    <w:rsid w:val="009D3355"/>
    <w:rsid w:val="009D45FF"/>
    <w:rsid w:val="009D5220"/>
    <w:rsid w:val="009D532F"/>
    <w:rsid w:val="009D57B9"/>
    <w:rsid w:val="009D74A5"/>
    <w:rsid w:val="009E15D6"/>
    <w:rsid w:val="009E1ECE"/>
    <w:rsid w:val="009E26B3"/>
    <w:rsid w:val="009E3C01"/>
    <w:rsid w:val="009E402C"/>
    <w:rsid w:val="009E4455"/>
    <w:rsid w:val="009E6138"/>
    <w:rsid w:val="009F0138"/>
    <w:rsid w:val="009F0310"/>
    <w:rsid w:val="009F0737"/>
    <w:rsid w:val="009F148E"/>
    <w:rsid w:val="009F15BC"/>
    <w:rsid w:val="009F204F"/>
    <w:rsid w:val="009F3F88"/>
    <w:rsid w:val="009F4DA7"/>
    <w:rsid w:val="009F4E3F"/>
    <w:rsid w:val="009F590F"/>
    <w:rsid w:val="009F5F19"/>
    <w:rsid w:val="009F6189"/>
    <w:rsid w:val="009F62E2"/>
    <w:rsid w:val="009F67A7"/>
    <w:rsid w:val="009F699B"/>
    <w:rsid w:val="00A0124A"/>
    <w:rsid w:val="00A02AB1"/>
    <w:rsid w:val="00A03059"/>
    <w:rsid w:val="00A03133"/>
    <w:rsid w:val="00A03B4F"/>
    <w:rsid w:val="00A041FE"/>
    <w:rsid w:val="00A051C5"/>
    <w:rsid w:val="00A054FC"/>
    <w:rsid w:val="00A059BF"/>
    <w:rsid w:val="00A06991"/>
    <w:rsid w:val="00A071D2"/>
    <w:rsid w:val="00A136E7"/>
    <w:rsid w:val="00A14780"/>
    <w:rsid w:val="00A14916"/>
    <w:rsid w:val="00A14FB1"/>
    <w:rsid w:val="00A177E9"/>
    <w:rsid w:val="00A17F5E"/>
    <w:rsid w:val="00A203A9"/>
    <w:rsid w:val="00A20C73"/>
    <w:rsid w:val="00A20DF5"/>
    <w:rsid w:val="00A219E0"/>
    <w:rsid w:val="00A220B5"/>
    <w:rsid w:val="00A2227F"/>
    <w:rsid w:val="00A23FCE"/>
    <w:rsid w:val="00A270EC"/>
    <w:rsid w:val="00A273A4"/>
    <w:rsid w:val="00A273CD"/>
    <w:rsid w:val="00A27CBD"/>
    <w:rsid w:val="00A3198F"/>
    <w:rsid w:val="00A34F05"/>
    <w:rsid w:val="00A35C0A"/>
    <w:rsid w:val="00A461B7"/>
    <w:rsid w:val="00A463C9"/>
    <w:rsid w:val="00A470B4"/>
    <w:rsid w:val="00A47239"/>
    <w:rsid w:val="00A47254"/>
    <w:rsid w:val="00A4730F"/>
    <w:rsid w:val="00A47987"/>
    <w:rsid w:val="00A47D2B"/>
    <w:rsid w:val="00A50793"/>
    <w:rsid w:val="00A51B15"/>
    <w:rsid w:val="00A5235A"/>
    <w:rsid w:val="00A52ED4"/>
    <w:rsid w:val="00A53604"/>
    <w:rsid w:val="00A546EF"/>
    <w:rsid w:val="00A5471B"/>
    <w:rsid w:val="00A54AAE"/>
    <w:rsid w:val="00A54E27"/>
    <w:rsid w:val="00A551D1"/>
    <w:rsid w:val="00A5570B"/>
    <w:rsid w:val="00A55B83"/>
    <w:rsid w:val="00A561A4"/>
    <w:rsid w:val="00A5740A"/>
    <w:rsid w:val="00A57BC7"/>
    <w:rsid w:val="00A57C3D"/>
    <w:rsid w:val="00A60DC1"/>
    <w:rsid w:val="00A62096"/>
    <w:rsid w:val="00A62217"/>
    <w:rsid w:val="00A62401"/>
    <w:rsid w:val="00A638F0"/>
    <w:rsid w:val="00A65D45"/>
    <w:rsid w:val="00A65E06"/>
    <w:rsid w:val="00A67765"/>
    <w:rsid w:val="00A733D3"/>
    <w:rsid w:val="00A73E5B"/>
    <w:rsid w:val="00A74F81"/>
    <w:rsid w:val="00A7588C"/>
    <w:rsid w:val="00A75A1A"/>
    <w:rsid w:val="00A80378"/>
    <w:rsid w:val="00A80466"/>
    <w:rsid w:val="00A80476"/>
    <w:rsid w:val="00A80747"/>
    <w:rsid w:val="00A81358"/>
    <w:rsid w:val="00A8165E"/>
    <w:rsid w:val="00A832E0"/>
    <w:rsid w:val="00A837C0"/>
    <w:rsid w:val="00A844E1"/>
    <w:rsid w:val="00A85657"/>
    <w:rsid w:val="00A85B01"/>
    <w:rsid w:val="00A86A74"/>
    <w:rsid w:val="00A86F22"/>
    <w:rsid w:val="00A876AB"/>
    <w:rsid w:val="00A90BCD"/>
    <w:rsid w:val="00A91BDA"/>
    <w:rsid w:val="00A91F32"/>
    <w:rsid w:val="00A928DA"/>
    <w:rsid w:val="00A931F6"/>
    <w:rsid w:val="00A94B85"/>
    <w:rsid w:val="00A95812"/>
    <w:rsid w:val="00A96BD0"/>
    <w:rsid w:val="00A96DD8"/>
    <w:rsid w:val="00A970C7"/>
    <w:rsid w:val="00A97571"/>
    <w:rsid w:val="00A97A76"/>
    <w:rsid w:val="00A97C4B"/>
    <w:rsid w:val="00A97E9A"/>
    <w:rsid w:val="00AA11EB"/>
    <w:rsid w:val="00AA13F3"/>
    <w:rsid w:val="00AA1BCD"/>
    <w:rsid w:val="00AA33C8"/>
    <w:rsid w:val="00AA4255"/>
    <w:rsid w:val="00AA4840"/>
    <w:rsid w:val="00AA666F"/>
    <w:rsid w:val="00AA7B77"/>
    <w:rsid w:val="00AB065A"/>
    <w:rsid w:val="00AB11BC"/>
    <w:rsid w:val="00AB13CA"/>
    <w:rsid w:val="00AB150F"/>
    <w:rsid w:val="00AB1AEA"/>
    <w:rsid w:val="00AB277C"/>
    <w:rsid w:val="00AB4A23"/>
    <w:rsid w:val="00AB5DB2"/>
    <w:rsid w:val="00AB68CA"/>
    <w:rsid w:val="00AB7113"/>
    <w:rsid w:val="00AB76CD"/>
    <w:rsid w:val="00AC008D"/>
    <w:rsid w:val="00AC0A3F"/>
    <w:rsid w:val="00AC1449"/>
    <w:rsid w:val="00AC2650"/>
    <w:rsid w:val="00AC41FA"/>
    <w:rsid w:val="00AC63D6"/>
    <w:rsid w:val="00AC6A76"/>
    <w:rsid w:val="00AC6C95"/>
    <w:rsid w:val="00AC76B6"/>
    <w:rsid w:val="00AC7A8A"/>
    <w:rsid w:val="00AD0AEA"/>
    <w:rsid w:val="00AD1287"/>
    <w:rsid w:val="00AD2C54"/>
    <w:rsid w:val="00AD36BC"/>
    <w:rsid w:val="00AD5629"/>
    <w:rsid w:val="00AD786C"/>
    <w:rsid w:val="00AD7D87"/>
    <w:rsid w:val="00AE02F1"/>
    <w:rsid w:val="00AE04FE"/>
    <w:rsid w:val="00AE05EB"/>
    <w:rsid w:val="00AE1ACC"/>
    <w:rsid w:val="00AE25DB"/>
    <w:rsid w:val="00AE2B1E"/>
    <w:rsid w:val="00AE2EC0"/>
    <w:rsid w:val="00AE3876"/>
    <w:rsid w:val="00AE3CD7"/>
    <w:rsid w:val="00AE43FB"/>
    <w:rsid w:val="00AE4929"/>
    <w:rsid w:val="00AE4E2D"/>
    <w:rsid w:val="00AE4EB2"/>
    <w:rsid w:val="00AE590A"/>
    <w:rsid w:val="00AE6BDB"/>
    <w:rsid w:val="00AE79A8"/>
    <w:rsid w:val="00AF08E2"/>
    <w:rsid w:val="00AF0DCA"/>
    <w:rsid w:val="00AF0F23"/>
    <w:rsid w:val="00AF1106"/>
    <w:rsid w:val="00AF263B"/>
    <w:rsid w:val="00AF3DA0"/>
    <w:rsid w:val="00AF4681"/>
    <w:rsid w:val="00AF6CBF"/>
    <w:rsid w:val="00B00C96"/>
    <w:rsid w:val="00B0162A"/>
    <w:rsid w:val="00B0223A"/>
    <w:rsid w:val="00B04336"/>
    <w:rsid w:val="00B044FD"/>
    <w:rsid w:val="00B04D4B"/>
    <w:rsid w:val="00B052C3"/>
    <w:rsid w:val="00B07B04"/>
    <w:rsid w:val="00B108E6"/>
    <w:rsid w:val="00B12BE2"/>
    <w:rsid w:val="00B12C4B"/>
    <w:rsid w:val="00B1334E"/>
    <w:rsid w:val="00B15184"/>
    <w:rsid w:val="00B1598E"/>
    <w:rsid w:val="00B16046"/>
    <w:rsid w:val="00B17CEF"/>
    <w:rsid w:val="00B17D50"/>
    <w:rsid w:val="00B17F22"/>
    <w:rsid w:val="00B20064"/>
    <w:rsid w:val="00B20133"/>
    <w:rsid w:val="00B201C5"/>
    <w:rsid w:val="00B21FE2"/>
    <w:rsid w:val="00B23181"/>
    <w:rsid w:val="00B25358"/>
    <w:rsid w:val="00B25B09"/>
    <w:rsid w:val="00B26EB8"/>
    <w:rsid w:val="00B30D79"/>
    <w:rsid w:val="00B30F13"/>
    <w:rsid w:val="00B32B95"/>
    <w:rsid w:val="00B335F8"/>
    <w:rsid w:val="00B33C86"/>
    <w:rsid w:val="00B34F0A"/>
    <w:rsid w:val="00B3522D"/>
    <w:rsid w:val="00B36A45"/>
    <w:rsid w:val="00B37FC6"/>
    <w:rsid w:val="00B41E1D"/>
    <w:rsid w:val="00B422E7"/>
    <w:rsid w:val="00B4448E"/>
    <w:rsid w:val="00B44C23"/>
    <w:rsid w:val="00B46D49"/>
    <w:rsid w:val="00B473EB"/>
    <w:rsid w:val="00B50116"/>
    <w:rsid w:val="00B50530"/>
    <w:rsid w:val="00B51C16"/>
    <w:rsid w:val="00B52259"/>
    <w:rsid w:val="00B53943"/>
    <w:rsid w:val="00B53BEC"/>
    <w:rsid w:val="00B550A1"/>
    <w:rsid w:val="00B572A7"/>
    <w:rsid w:val="00B575E8"/>
    <w:rsid w:val="00B608D6"/>
    <w:rsid w:val="00B60F7E"/>
    <w:rsid w:val="00B6312F"/>
    <w:rsid w:val="00B635C6"/>
    <w:rsid w:val="00B63E84"/>
    <w:rsid w:val="00B65385"/>
    <w:rsid w:val="00B65427"/>
    <w:rsid w:val="00B659A6"/>
    <w:rsid w:val="00B6794A"/>
    <w:rsid w:val="00B71630"/>
    <w:rsid w:val="00B72F00"/>
    <w:rsid w:val="00B73238"/>
    <w:rsid w:val="00B742E3"/>
    <w:rsid w:val="00B74D0E"/>
    <w:rsid w:val="00B75370"/>
    <w:rsid w:val="00B758F3"/>
    <w:rsid w:val="00B76A4D"/>
    <w:rsid w:val="00B77100"/>
    <w:rsid w:val="00B800BE"/>
    <w:rsid w:val="00B80CB3"/>
    <w:rsid w:val="00B82552"/>
    <w:rsid w:val="00B84393"/>
    <w:rsid w:val="00B85B1A"/>
    <w:rsid w:val="00B85E35"/>
    <w:rsid w:val="00B873EF"/>
    <w:rsid w:val="00B87AD4"/>
    <w:rsid w:val="00B87AE8"/>
    <w:rsid w:val="00B904E4"/>
    <w:rsid w:val="00B90A83"/>
    <w:rsid w:val="00B92706"/>
    <w:rsid w:val="00B9358B"/>
    <w:rsid w:val="00B93EAB"/>
    <w:rsid w:val="00B9586F"/>
    <w:rsid w:val="00B95D8A"/>
    <w:rsid w:val="00B96B36"/>
    <w:rsid w:val="00BA082A"/>
    <w:rsid w:val="00BA140F"/>
    <w:rsid w:val="00BA1F9D"/>
    <w:rsid w:val="00BA2509"/>
    <w:rsid w:val="00BA29BD"/>
    <w:rsid w:val="00BA29F4"/>
    <w:rsid w:val="00BA3EEB"/>
    <w:rsid w:val="00BA51E4"/>
    <w:rsid w:val="00BA6134"/>
    <w:rsid w:val="00BA61B8"/>
    <w:rsid w:val="00BB2339"/>
    <w:rsid w:val="00BB3358"/>
    <w:rsid w:val="00BB45E0"/>
    <w:rsid w:val="00BB46FC"/>
    <w:rsid w:val="00BB6920"/>
    <w:rsid w:val="00BB7D0C"/>
    <w:rsid w:val="00BC084C"/>
    <w:rsid w:val="00BC0AF8"/>
    <w:rsid w:val="00BC0D36"/>
    <w:rsid w:val="00BC152E"/>
    <w:rsid w:val="00BC15BB"/>
    <w:rsid w:val="00BC23DC"/>
    <w:rsid w:val="00BC3451"/>
    <w:rsid w:val="00BC38F9"/>
    <w:rsid w:val="00BC3CDD"/>
    <w:rsid w:val="00BC59ED"/>
    <w:rsid w:val="00BC5D1C"/>
    <w:rsid w:val="00BC710A"/>
    <w:rsid w:val="00BD06B1"/>
    <w:rsid w:val="00BD2134"/>
    <w:rsid w:val="00BD3221"/>
    <w:rsid w:val="00BD45B7"/>
    <w:rsid w:val="00BD45C9"/>
    <w:rsid w:val="00BD4C34"/>
    <w:rsid w:val="00BD4DF6"/>
    <w:rsid w:val="00BD65CB"/>
    <w:rsid w:val="00BD70D0"/>
    <w:rsid w:val="00BE10AD"/>
    <w:rsid w:val="00BE14B8"/>
    <w:rsid w:val="00BE1F00"/>
    <w:rsid w:val="00BE3298"/>
    <w:rsid w:val="00BE35ED"/>
    <w:rsid w:val="00BE4731"/>
    <w:rsid w:val="00BE4B40"/>
    <w:rsid w:val="00BE547C"/>
    <w:rsid w:val="00BE73AA"/>
    <w:rsid w:val="00BE74A6"/>
    <w:rsid w:val="00BE7C80"/>
    <w:rsid w:val="00BF080F"/>
    <w:rsid w:val="00BF217C"/>
    <w:rsid w:val="00BF2EFB"/>
    <w:rsid w:val="00BF6028"/>
    <w:rsid w:val="00BF6F04"/>
    <w:rsid w:val="00C01C4E"/>
    <w:rsid w:val="00C03DBF"/>
    <w:rsid w:val="00C058F0"/>
    <w:rsid w:val="00C06D71"/>
    <w:rsid w:val="00C07B60"/>
    <w:rsid w:val="00C11133"/>
    <w:rsid w:val="00C11AA7"/>
    <w:rsid w:val="00C11AC4"/>
    <w:rsid w:val="00C11E47"/>
    <w:rsid w:val="00C12E8C"/>
    <w:rsid w:val="00C13D29"/>
    <w:rsid w:val="00C159AD"/>
    <w:rsid w:val="00C16957"/>
    <w:rsid w:val="00C17350"/>
    <w:rsid w:val="00C17B95"/>
    <w:rsid w:val="00C20AC1"/>
    <w:rsid w:val="00C22B3C"/>
    <w:rsid w:val="00C22B45"/>
    <w:rsid w:val="00C22C08"/>
    <w:rsid w:val="00C23EA5"/>
    <w:rsid w:val="00C24506"/>
    <w:rsid w:val="00C27A04"/>
    <w:rsid w:val="00C3010A"/>
    <w:rsid w:val="00C3024C"/>
    <w:rsid w:val="00C33A64"/>
    <w:rsid w:val="00C33D9E"/>
    <w:rsid w:val="00C34079"/>
    <w:rsid w:val="00C34F87"/>
    <w:rsid w:val="00C36B2A"/>
    <w:rsid w:val="00C36C0D"/>
    <w:rsid w:val="00C418F3"/>
    <w:rsid w:val="00C42100"/>
    <w:rsid w:val="00C42F80"/>
    <w:rsid w:val="00C45CD5"/>
    <w:rsid w:val="00C479DA"/>
    <w:rsid w:val="00C50A70"/>
    <w:rsid w:val="00C514F8"/>
    <w:rsid w:val="00C51813"/>
    <w:rsid w:val="00C5207B"/>
    <w:rsid w:val="00C5393B"/>
    <w:rsid w:val="00C53BA9"/>
    <w:rsid w:val="00C551A6"/>
    <w:rsid w:val="00C552F7"/>
    <w:rsid w:val="00C55460"/>
    <w:rsid w:val="00C5572F"/>
    <w:rsid w:val="00C56646"/>
    <w:rsid w:val="00C56E35"/>
    <w:rsid w:val="00C57FD8"/>
    <w:rsid w:val="00C60AB2"/>
    <w:rsid w:val="00C60E9A"/>
    <w:rsid w:val="00C62958"/>
    <w:rsid w:val="00C63973"/>
    <w:rsid w:val="00C64270"/>
    <w:rsid w:val="00C644DE"/>
    <w:rsid w:val="00C6481F"/>
    <w:rsid w:val="00C65A6E"/>
    <w:rsid w:val="00C65B70"/>
    <w:rsid w:val="00C66DBB"/>
    <w:rsid w:val="00C67BA7"/>
    <w:rsid w:val="00C67DB4"/>
    <w:rsid w:val="00C72AE0"/>
    <w:rsid w:val="00C72D9A"/>
    <w:rsid w:val="00C73C6B"/>
    <w:rsid w:val="00C73D5D"/>
    <w:rsid w:val="00C74F4C"/>
    <w:rsid w:val="00C7535D"/>
    <w:rsid w:val="00C76AF1"/>
    <w:rsid w:val="00C76ECD"/>
    <w:rsid w:val="00C77D98"/>
    <w:rsid w:val="00C80D5E"/>
    <w:rsid w:val="00C8112B"/>
    <w:rsid w:val="00C825A8"/>
    <w:rsid w:val="00C83880"/>
    <w:rsid w:val="00C8423F"/>
    <w:rsid w:val="00C864A2"/>
    <w:rsid w:val="00C867A3"/>
    <w:rsid w:val="00C92BA7"/>
    <w:rsid w:val="00C948E9"/>
    <w:rsid w:val="00C953ED"/>
    <w:rsid w:val="00C97EDB"/>
    <w:rsid w:val="00CA063B"/>
    <w:rsid w:val="00CA0D1D"/>
    <w:rsid w:val="00CA18C7"/>
    <w:rsid w:val="00CA208F"/>
    <w:rsid w:val="00CA3518"/>
    <w:rsid w:val="00CA5BB5"/>
    <w:rsid w:val="00CA65EC"/>
    <w:rsid w:val="00CA75F4"/>
    <w:rsid w:val="00CA7830"/>
    <w:rsid w:val="00CA7D82"/>
    <w:rsid w:val="00CB0432"/>
    <w:rsid w:val="00CB1AB7"/>
    <w:rsid w:val="00CB4920"/>
    <w:rsid w:val="00CB4DA1"/>
    <w:rsid w:val="00CB4F2A"/>
    <w:rsid w:val="00CB6643"/>
    <w:rsid w:val="00CB6973"/>
    <w:rsid w:val="00CB7206"/>
    <w:rsid w:val="00CC07AB"/>
    <w:rsid w:val="00CC09AD"/>
    <w:rsid w:val="00CC09DB"/>
    <w:rsid w:val="00CC0CFD"/>
    <w:rsid w:val="00CC183F"/>
    <w:rsid w:val="00CC28D6"/>
    <w:rsid w:val="00CC4D43"/>
    <w:rsid w:val="00CC5001"/>
    <w:rsid w:val="00CC5413"/>
    <w:rsid w:val="00CC54D5"/>
    <w:rsid w:val="00CC61EA"/>
    <w:rsid w:val="00CC6AD0"/>
    <w:rsid w:val="00CC79FC"/>
    <w:rsid w:val="00CD2145"/>
    <w:rsid w:val="00CD2EE7"/>
    <w:rsid w:val="00CD3895"/>
    <w:rsid w:val="00CD38CD"/>
    <w:rsid w:val="00CD5B2E"/>
    <w:rsid w:val="00CD6CC2"/>
    <w:rsid w:val="00CD6D0F"/>
    <w:rsid w:val="00CD73CD"/>
    <w:rsid w:val="00CE0370"/>
    <w:rsid w:val="00CE1406"/>
    <w:rsid w:val="00CE14ED"/>
    <w:rsid w:val="00CE1B62"/>
    <w:rsid w:val="00CE3E7D"/>
    <w:rsid w:val="00CE4DFD"/>
    <w:rsid w:val="00CE67D0"/>
    <w:rsid w:val="00CE7469"/>
    <w:rsid w:val="00CF11BC"/>
    <w:rsid w:val="00CF1C50"/>
    <w:rsid w:val="00CF1DA9"/>
    <w:rsid w:val="00CF2AFD"/>
    <w:rsid w:val="00CF32F9"/>
    <w:rsid w:val="00CF33FC"/>
    <w:rsid w:val="00CF4754"/>
    <w:rsid w:val="00CF5557"/>
    <w:rsid w:val="00CF63C8"/>
    <w:rsid w:val="00CF761F"/>
    <w:rsid w:val="00D007BA"/>
    <w:rsid w:val="00D00E6D"/>
    <w:rsid w:val="00D015E3"/>
    <w:rsid w:val="00D018E7"/>
    <w:rsid w:val="00D027EC"/>
    <w:rsid w:val="00D06077"/>
    <w:rsid w:val="00D11030"/>
    <w:rsid w:val="00D13163"/>
    <w:rsid w:val="00D1325C"/>
    <w:rsid w:val="00D14FF9"/>
    <w:rsid w:val="00D15EA6"/>
    <w:rsid w:val="00D15ED6"/>
    <w:rsid w:val="00D16A11"/>
    <w:rsid w:val="00D16EB5"/>
    <w:rsid w:val="00D17514"/>
    <w:rsid w:val="00D178FC"/>
    <w:rsid w:val="00D21F6F"/>
    <w:rsid w:val="00D22137"/>
    <w:rsid w:val="00D224A7"/>
    <w:rsid w:val="00D22AD8"/>
    <w:rsid w:val="00D2545B"/>
    <w:rsid w:val="00D27A7E"/>
    <w:rsid w:val="00D27D67"/>
    <w:rsid w:val="00D300AF"/>
    <w:rsid w:val="00D3178F"/>
    <w:rsid w:val="00D31F83"/>
    <w:rsid w:val="00D32F80"/>
    <w:rsid w:val="00D3368E"/>
    <w:rsid w:val="00D34199"/>
    <w:rsid w:val="00D36049"/>
    <w:rsid w:val="00D360CF"/>
    <w:rsid w:val="00D36F5F"/>
    <w:rsid w:val="00D37896"/>
    <w:rsid w:val="00D409C5"/>
    <w:rsid w:val="00D413D9"/>
    <w:rsid w:val="00D4266E"/>
    <w:rsid w:val="00D42F49"/>
    <w:rsid w:val="00D43F43"/>
    <w:rsid w:val="00D47617"/>
    <w:rsid w:val="00D477F7"/>
    <w:rsid w:val="00D501AD"/>
    <w:rsid w:val="00D51FD6"/>
    <w:rsid w:val="00D52037"/>
    <w:rsid w:val="00D52455"/>
    <w:rsid w:val="00D52485"/>
    <w:rsid w:val="00D53830"/>
    <w:rsid w:val="00D541D9"/>
    <w:rsid w:val="00D544B4"/>
    <w:rsid w:val="00D54EBC"/>
    <w:rsid w:val="00D5577C"/>
    <w:rsid w:val="00D55AE7"/>
    <w:rsid w:val="00D60D2D"/>
    <w:rsid w:val="00D612BB"/>
    <w:rsid w:val="00D620FA"/>
    <w:rsid w:val="00D625BA"/>
    <w:rsid w:val="00D638FA"/>
    <w:rsid w:val="00D6521D"/>
    <w:rsid w:val="00D66B7F"/>
    <w:rsid w:val="00D67A25"/>
    <w:rsid w:val="00D7069C"/>
    <w:rsid w:val="00D70D5F"/>
    <w:rsid w:val="00D711D7"/>
    <w:rsid w:val="00D71B23"/>
    <w:rsid w:val="00D7294F"/>
    <w:rsid w:val="00D72EC6"/>
    <w:rsid w:val="00D7336E"/>
    <w:rsid w:val="00D73546"/>
    <w:rsid w:val="00D73D35"/>
    <w:rsid w:val="00D740E6"/>
    <w:rsid w:val="00D74693"/>
    <w:rsid w:val="00D8015E"/>
    <w:rsid w:val="00D80FA3"/>
    <w:rsid w:val="00D812F4"/>
    <w:rsid w:val="00D81B2D"/>
    <w:rsid w:val="00D831C6"/>
    <w:rsid w:val="00D832A7"/>
    <w:rsid w:val="00D83688"/>
    <w:rsid w:val="00D83D7C"/>
    <w:rsid w:val="00D84708"/>
    <w:rsid w:val="00D86956"/>
    <w:rsid w:val="00D86B54"/>
    <w:rsid w:val="00D86B74"/>
    <w:rsid w:val="00D905F4"/>
    <w:rsid w:val="00D910E0"/>
    <w:rsid w:val="00D9170A"/>
    <w:rsid w:val="00D9178D"/>
    <w:rsid w:val="00D966C5"/>
    <w:rsid w:val="00D96A6F"/>
    <w:rsid w:val="00D96C6D"/>
    <w:rsid w:val="00D96E46"/>
    <w:rsid w:val="00D97B8B"/>
    <w:rsid w:val="00DA0715"/>
    <w:rsid w:val="00DA136A"/>
    <w:rsid w:val="00DA1D9D"/>
    <w:rsid w:val="00DA1F29"/>
    <w:rsid w:val="00DA256D"/>
    <w:rsid w:val="00DA3AEA"/>
    <w:rsid w:val="00DA42E2"/>
    <w:rsid w:val="00DA4BAC"/>
    <w:rsid w:val="00DA5013"/>
    <w:rsid w:val="00DA5104"/>
    <w:rsid w:val="00DA5D83"/>
    <w:rsid w:val="00DA5F5E"/>
    <w:rsid w:val="00DA70AE"/>
    <w:rsid w:val="00DA76D7"/>
    <w:rsid w:val="00DB04B9"/>
    <w:rsid w:val="00DB07F5"/>
    <w:rsid w:val="00DB0A10"/>
    <w:rsid w:val="00DB1380"/>
    <w:rsid w:val="00DB1AAB"/>
    <w:rsid w:val="00DB2AB9"/>
    <w:rsid w:val="00DB2FF3"/>
    <w:rsid w:val="00DB3E9C"/>
    <w:rsid w:val="00DB4523"/>
    <w:rsid w:val="00DB4B80"/>
    <w:rsid w:val="00DB5C9A"/>
    <w:rsid w:val="00DC13A2"/>
    <w:rsid w:val="00DC51B8"/>
    <w:rsid w:val="00DC70F6"/>
    <w:rsid w:val="00DC7500"/>
    <w:rsid w:val="00DC7511"/>
    <w:rsid w:val="00DD0AF8"/>
    <w:rsid w:val="00DD3DBB"/>
    <w:rsid w:val="00DD4E17"/>
    <w:rsid w:val="00DD5021"/>
    <w:rsid w:val="00DD648D"/>
    <w:rsid w:val="00DD6A28"/>
    <w:rsid w:val="00DD70E6"/>
    <w:rsid w:val="00DD7B35"/>
    <w:rsid w:val="00DE03D2"/>
    <w:rsid w:val="00DE06FE"/>
    <w:rsid w:val="00DE0B2E"/>
    <w:rsid w:val="00DE0BE2"/>
    <w:rsid w:val="00DE1DA0"/>
    <w:rsid w:val="00DE280C"/>
    <w:rsid w:val="00DE2867"/>
    <w:rsid w:val="00DE3123"/>
    <w:rsid w:val="00DE3709"/>
    <w:rsid w:val="00DE5A1E"/>
    <w:rsid w:val="00DE63B3"/>
    <w:rsid w:val="00DE75F1"/>
    <w:rsid w:val="00DE7689"/>
    <w:rsid w:val="00DF1C65"/>
    <w:rsid w:val="00DF2A4D"/>
    <w:rsid w:val="00DF2C21"/>
    <w:rsid w:val="00DF4533"/>
    <w:rsid w:val="00DF4DF2"/>
    <w:rsid w:val="00DF55EF"/>
    <w:rsid w:val="00DF6D4E"/>
    <w:rsid w:val="00DF7991"/>
    <w:rsid w:val="00E00477"/>
    <w:rsid w:val="00E0086E"/>
    <w:rsid w:val="00E009DC"/>
    <w:rsid w:val="00E02CB9"/>
    <w:rsid w:val="00E0389D"/>
    <w:rsid w:val="00E0577C"/>
    <w:rsid w:val="00E07204"/>
    <w:rsid w:val="00E105ED"/>
    <w:rsid w:val="00E114A0"/>
    <w:rsid w:val="00E11910"/>
    <w:rsid w:val="00E13D68"/>
    <w:rsid w:val="00E141F1"/>
    <w:rsid w:val="00E14DF4"/>
    <w:rsid w:val="00E15C33"/>
    <w:rsid w:val="00E15C9F"/>
    <w:rsid w:val="00E15FD4"/>
    <w:rsid w:val="00E16422"/>
    <w:rsid w:val="00E166C5"/>
    <w:rsid w:val="00E16C85"/>
    <w:rsid w:val="00E170EB"/>
    <w:rsid w:val="00E1755A"/>
    <w:rsid w:val="00E17AC5"/>
    <w:rsid w:val="00E17CCD"/>
    <w:rsid w:val="00E2095A"/>
    <w:rsid w:val="00E20B6A"/>
    <w:rsid w:val="00E2196F"/>
    <w:rsid w:val="00E21DB9"/>
    <w:rsid w:val="00E227D2"/>
    <w:rsid w:val="00E228AA"/>
    <w:rsid w:val="00E2296F"/>
    <w:rsid w:val="00E22A6F"/>
    <w:rsid w:val="00E237C8"/>
    <w:rsid w:val="00E245EC"/>
    <w:rsid w:val="00E24834"/>
    <w:rsid w:val="00E25D71"/>
    <w:rsid w:val="00E26690"/>
    <w:rsid w:val="00E2685A"/>
    <w:rsid w:val="00E26F81"/>
    <w:rsid w:val="00E27F67"/>
    <w:rsid w:val="00E322D5"/>
    <w:rsid w:val="00E32D6B"/>
    <w:rsid w:val="00E334C1"/>
    <w:rsid w:val="00E3583E"/>
    <w:rsid w:val="00E365E7"/>
    <w:rsid w:val="00E37FCE"/>
    <w:rsid w:val="00E41ED8"/>
    <w:rsid w:val="00E44AF2"/>
    <w:rsid w:val="00E45071"/>
    <w:rsid w:val="00E45F04"/>
    <w:rsid w:val="00E47D38"/>
    <w:rsid w:val="00E5152D"/>
    <w:rsid w:val="00E519E0"/>
    <w:rsid w:val="00E51C48"/>
    <w:rsid w:val="00E5323A"/>
    <w:rsid w:val="00E55AE3"/>
    <w:rsid w:val="00E5634E"/>
    <w:rsid w:val="00E565DF"/>
    <w:rsid w:val="00E605FE"/>
    <w:rsid w:val="00E60955"/>
    <w:rsid w:val="00E61851"/>
    <w:rsid w:val="00E62090"/>
    <w:rsid w:val="00E62963"/>
    <w:rsid w:val="00E63649"/>
    <w:rsid w:val="00E6405D"/>
    <w:rsid w:val="00E64374"/>
    <w:rsid w:val="00E64720"/>
    <w:rsid w:val="00E65823"/>
    <w:rsid w:val="00E673D2"/>
    <w:rsid w:val="00E7230C"/>
    <w:rsid w:val="00E72374"/>
    <w:rsid w:val="00E73037"/>
    <w:rsid w:val="00E73212"/>
    <w:rsid w:val="00E73377"/>
    <w:rsid w:val="00E73DFF"/>
    <w:rsid w:val="00E74FAE"/>
    <w:rsid w:val="00E7567A"/>
    <w:rsid w:val="00E75720"/>
    <w:rsid w:val="00E75B27"/>
    <w:rsid w:val="00E76A3D"/>
    <w:rsid w:val="00E76B32"/>
    <w:rsid w:val="00E77E02"/>
    <w:rsid w:val="00E81ED5"/>
    <w:rsid w:val="00E82BF7"/>
    <w:rsid w:val="00E835FD"/>
    <w:rsid w:val="00E83FC9"/>
    <w:rsid w:val="00E854C5"/>
    <w:rsid w:val="00E86219"/>
    <w:rsid w:val="00E86495"/>
    <w:rsid w:val="00E874FC"/>
    <w:rsid w:val="00E91E84"/>
    <w:rsid w:val="00E9257B"/>
    <w:rsid w:val="00E937AD"/>
    <w:rsid w:val="00E939F1"/>
    <w:rsid w:val="00E93C83"/>
    <w:rsid w:val="00E94A56"/>
    <w:rsid w:val="00E94A72"/>
    <w:rsid w:val="00E94D61"/>
    <w:rsid w:val="00E95640"/>
    <w:rsid w:val="00E95D90"/>
    <w:rsid w:val="00E97E6A"/>
    <w:rsid w:val="00EA20D0"/>
    <w:rsid w:val="00EA3ABA"/>
    <w:rsid w:val="00EA41F0"/>
    <w:rsid w:val="00EA46E7"/>
    <w:rsid w:val="00EA5755"/>
    <w:rsid w:val="00EA60B0"/>
    <w:rsid w:val="00EA6D7F"/>
    <w:rsid w:val="00EB22B7"/>
    <w:rsid w:val="00EB2CF9"/>
    <w:rsid w:val="00EB3F33"/>
    <w:rsid w:val="00EB404D"/>
    <w:rsid w:val="00EB6FED"/>
    <w:rsid w:val="00EB7A1B"/>
    <w:rsid w:val="00EC0782"/>
    <w:rsid w:val="00EC0ACF"/>
    <w:rsid w:val="00EC14F8"/>
    <w:rsid w:val="00EC1C8F"/>
    <w:rsid w:val="00EC381A"/>
    <w:rsid w:val="00EC42DA"/>
    <w:rsid w:val="00EC5B61"/>
    <w:rsid w:val="00EC5E8F"/>
    <w:rsid w:val="00EC6622"/>
    <w:rsid w:val="00EC666C"/>
    <w:rsid w:val="00EC743C"/>
    <w:rsid w:val="00EC762E"/>
    <w:rsid w:val="00EC7860"/>
    <w:rsid w:val="00EC7D47"/>
    <w:rsid w:val="00ED0E31"/>
    <w:rsid w:val="00ED12EB"/>
    <w:rsid w:val="00ED1F87"/>
    <w:rsid w:val="00ED22CD"/>
    <w:rsid w:val="00ED3279"/>
    <w:rsid w:val="00ED480D"/>
    <w:rsid w:val="00ED4F01"/>
    <w:rsid w:val="00ED586F"/>
    <w:rsid w:val="00ED6F90"/>
    <w:rsid w:val="00EE061A"/>
    <w:rsid w:val="00EE09CC"/>
    <w:rsid w:val="00EE220F"/>
    <w:rsid w:val="00EE2328"/>
    <w:rsid w:val="00EE2FDE"/>
    <w:rsid w:val="00EE3315"/>
    <w:rsid w:val="00EE4AEA"/>
    <w:rsid w:val="00EE72C0"/>
    <w:rsid w:val="00EE7661"/>
    <w:rsid w:val="00EE7971"/>
    <w:rsid w:val="00EF02E9"/>
    <w:rsid w:val="00EF0EC7"/>
    <w:rsid w:val="00EF1D64"/>
    <w:rsid w:val="00EF2AEA"/>
    <w:rsid w:val="00EF2C83"/>
    <w:rsid w:val="00EF2FC6"/>
    <w:rsid w:val="00EF5AF4"/>
    <w:rsid w:val="00EF6193"/>
    <w:rsid w:val="00EF661A"/>
    <w:rsid w:val="00EF6830"/>
    <w:rsid w:val="00EF6D18"/>
    <w:rsid w:val="00EF6FD1"/>
    <w:rsid w:val="00F00023"/>
    <w:rsid w:val="00F00411"/>
    <w:rsid w:val="00F04646"/>
    <w:rsid w:val="00F05587"/>
    <w:rsid w:val="00F0571E"/>
    <w:rsid w:val="00F05754"/>
    <w:rsid w:val="00F0588E"/>
    <w:rsid w:val="00F06604"/>
    <w:rsid w:val="00F07347"/>
    <w:rsid w:val="00F07C1A"/>
    <w:rsid w:val="00F105D4"/>
    <w:rsid w:val="00F11B53"/>
    <w:rsid w:val="00F11CC0"/>
    <w:rsid w:val="00F126DD"/>
    <w:rsid w:val="00F1354F"/>
    <w:rsid w:val="00F138FC"/>
    <w:rsid w:val="00F13D28"/>
    <w:rsid w:val="00F15D1E"/>
    <w:rsid w:val="00F15FCA"/>
    <w:rsid w:val="00F171E7"/>
    <w:rsid w:val="00F172F2"/>
    <w:rsid w:val="00F17B36"/>
    <w:rsid w:val="00F22034"/>
    <w:rsid w:val="00F22E70"/>
    <w:rsid w:val="00F232C5"/>
    <w:rsid w:val="00F24615"/>
    <w:rsid w:val="00F2496B"/>
    <w:rsid w:val="00F24C39"/>
    <w:rsid w:val="00F257D0"/>
    <w:rsid w:val="00F25BEE"/>
    <w:rsid w:val="00F25FAE"/>
    <w:rsid w:val="00F26348"/>
    <w:rsid w:val="00F27723"/>
    <w:rsid w:val="00F30CB5"/>
    <w:rsid w:val="00F30FCE"/>
    <w:rsid w:val="00F31D39"/>
    <w:rsid w:val="00F32944"/>
    <w:rsid w:val="00F33351"/>
    <w:rsid w:val="00F33827"/>
    <w:rsid w:val="00F3389B"/>
    <w:rsid w:val="00F33977"/>
    <w:rsid w:val="00F33F6F"/>
    <w:rsid w:val="00F34FA6"/>
    <w:rsid w:val="00F3629E"/>
    <w:rsid w:val="00F367EA"/>
    <w:rsid w:val="00F36E9A"/>
    <w:rsid w:val="00F40100"/>
    <w:rsid w:val="00F40406"/>
    <w:rsid w:val="00F410E6"/>
    <w:rsid w:val="00F41A67"/>
    <w:rsid w:val="00F41D07"/>
    <w:rsid w:val="00F4212C"/>
    <w:rsid w:val="00F42746"/>
    <w:rsid w:val="00F427A4"/>
    <w:rsid w:val="00F42BE8"/>
    <w:rsid w:val="00F42D63"/>
    <w:rsid w:val="00F4451B"/>
    <w:rsid w:val="00F4506A"/>
    <w:rsid w:val="00F45442"/>
    <w:rsid w:val="00F45F6B"/>
    <w:rsid w:val="00F4682B"/>
    <w:rsid w:val="00F506BB"/>
    <w:rsid w:val="00F506CD"/>
    <w:rsid w:val="00F50F5F"/>
    <w:rsid w:val="00F51089"/>
    <w:rsid w:val="00F51200"/>
    <w:rsid w:val="00F51ADD"/>
    <w:rsid w:val="00F52068"/>
    <w:rsid w:val="00F53132"/>
    <w:rsid w:val="00F53C83"/>
    <w:rsid w:val="00F54934"/>
    <w:rsid w:val="00F5645B"/>
    <w:rsid w:val="00F569DC"/>
    <w:rsid w:val="00F57422"/>
    <w:rsid w:val="00F60353"/>
    <w:rsid w:val="00F608AA"/>
    <w:rsid w:val="00F62589"/>
    <w:rsid w:val="00F62613"/>
    <w:rsid w:val="00F63168"/>
    <w:rsid w:val="00F633B3"/>
    <w:rsid w:val="00F63444"/>
    <w:rsid w:val="00F63EBC"/>
    <w:rsid w:val="00F64331"/>
    <w:rsid w:val="00F6472F"/>
    <w:rsid w:val="00F6666A"/>
    <w:rsid w:val="00F703CA"/>
    <w:rsid w:val="00F70BEB"/>
    <w:rsid w:val="00F75C4F"/>
    <w:rsid w:val="00F7724D"/>
    <w:rsid w:val="00F772CE"/>
    <w:rsid w:val="00F77B8E"/>
    <w:rsid w:val="00F8010D"/>
    <w:rsid w:val="00F82DAE"/>
    <w:rsid w:val="00F836CB"/>
    <w:rsid w:val="00F851E4"/>
    <w:rsid w:val="00F86EB5"/>
    <w:rsid w:val="00F87F0F"/>
    <w:rsid w:val="00F91556"/>
    <w:rsid w:val="00F91C31"/>
    <w:rsid w:val="00F92D23"/>
    <w:rsid w:val="00F94CE4"/>
    <w:rsid w:val="00F94D2D"/>
    <w:rsid w:val="00F952A8"/>
    <w:rsid w:val="00F952C3"/>
    <w:rsid w:val="00F96D15"/>
    <w:rsid w:val="00FA04C2"/>
    <w:rsid w:val="00FA1BA5"/>
    <w:rsid w:val="00FA358E"/>
    <w:rsid w:val="00FA37FB"/>
    <w:rsid w:val="00FA3912"/>
    <w:rsid w:val="00FA50E4"/>
    <w:rsid w:val="00FA5D6C"/>
    <w:rsid w:val="00FA72BB"/>
    <w:rsid w:val="00FB1888"/>
    <w:rsid w:val="00FB1A81"/>
    <w:rsid w:val="00FB2431"/>
    <w:rsid w:val="00FB3612"/>
    <w:rsid w:val="00FB3B55"/>
    <w:rsid w:val="00FB4777"/>
    <w:rsid w:val="00FB4A54"/>
    <w:rsid w:val="00FB5493"/>
    <w:rsid w:val="00FB683C"/>
    <w:rsid w:val="00FC0F7B"/>
    <w:rsid w:val="00FC14B0"/>
    <w:rsid w:val="00FC150A"/>
    <w:rsid w:val="00FC1BD7"/>
    <w:rsid w:val="00FC3742"/>
    <w:rsid w:val="00FC3E00"/>
    <w:rsid w:val="00FC42B1"/>
    <w:rsid w:val="00FC5A0A"/>
    <w:rsid w:val="00FC5B47"/>
    <w:rsid w:val="00FC6542"/>
    <w:rsid w:val="00FC6D02"/>
    <w:rsid w:val="00FC72C5"/>
    <w:rsid w:val="00FD0B8E"/>
    <w:rsid w:val="00FD1149"/>
    <w:rsid w:val="00FD1408"/>
    <w:rsid w:val="00FD1FA6"/>
    <w:rsid w:val="00FD28BC"/>
    <w:rsid w:val="00FD28D6"/>
    <w:rsid w:val="00FD3173"/>
    <w:rsid w:val="00FD346B"/>
    <w:rsid w:val="00FD363F"/>
    <w:rsid w:val="00FD5014"/>
    <w:rsid w:val="00FE1891"/>
    <w:rsid w:val="00FE201B"/>
    <w:rsid w:val="00FE3580"/>
    <w:rsid w:val="00FE358D"/>
    <w:rsid w:val="00FE5D5B"/>
    <w:rsid w:val="00FE639C"/>
    <w:rsid w:val="00FF0075"/>
    <w:rsid w:val="00FF0AD1"/>
    <w:rsid w:val="00FF1308"/>
    <w:rsid w:val="00FF1661"/>
    <w:rsid w:val="00FF174F"/>
    <w:rsid w:val="00FF3EFB"/>
    <w:rsid w:val="00FF5305"/>
    <w:rsid w:val="00FF5668"/>
    <w:rsid w:val="00FF5920"/>
    <w:rsid w:val="00FF5A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007904E8-6871-4898-8A9C-DF996A32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1BB"/>
    <w:pPr>
      <w:widowControl w:val="0"/>
    </w:pPr>
    <w:rPr>
      <w:snapToGrid w:val="0"/>
      <w:kern w:val="28"/>
      <w:sz w:val="22"/>
    </w:rPr>
  </w:style>
  <w:style w:type="paragraph" w:styleId="Heading1">
    <w:name w:val="heading 1"/>
    <w:basedOn w:val="Normal"/>
    <w:next w:val="ParaNum"/>
    <w:qFormat/>
    <w:rsid w:val="004531BB"/>
    <w:pPr>
      <w:keepNext/>
      <w:numPr>
        <w:numId w:val="3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531BB"/>
    <w:pPr>
      <w:keepNext/>
      <w:numPr>
        <w:ilvl w:val="1"/>
        <w:numId w:val="31"/>
      </w:numPr>
      <w:spacing w:after="120"/>
      <w:outlineLvl w:val="1"/>
    </w:pPr>
    <w:rPr>
      <w:b/>
    </w:rPr>
  </w:style>
  <w:style w:type="paragraph" w:styleId="Heading3">
    <w:name w:val="heading 3"/>
    <w:basedOn w:val="Normal"/>
    <w:next w:val="ParaNum"/>
    <w:qFormat/>
    <w:rsid w:val="004531BB"/>
    <w:pPr>
      <w:keepNext/>
      <w:numPr>
        <w:ilvl w:val="2"/>
        <w:numId w:val="31"/>
      </w:numPr>
      <w:tabs>
        <w:tab w:val="left" w:pos="2160"/>
      </w:tabs>
      <w:spacing w:after="120"/>
      <w:outlineLvl w:val="2"/>
    </w:pPr>
    <w:rPr>
      <w:b/>
    </w:rPr>
  </w:style>
  <w:style w:type="paragraph" w:styleId="Heading4">
    <w:name w:val="heading 4"/>
    <w:basedOn w:val="Normal"/>
    <w:next w:val="ParaNum"/>
    <w:qFormat/>
    <w:rsid w:val="004531BB"/>
    <w:pPr>
      <w:keepNext/>
      <w:numPr>
        <w:ilvl w:val="3"/>
        <w:numId w:val="31"/>
      </w:numPr>
      <w:tabs>
        <w:tab w:val="left" w:pos="2880"/>
      </w:tabs>
      <w:spacing w:after="120"/>
      <w:outlineLvl w:val="3"/>
    </w:pPr>
    <w:rPr>
      <w:b/>
    </w:rPr>
  </w:style>
  <w:style w:type="paragraph" w:styleId="Heading5">
    <w:name w:val="heading 5"/>
    <w:basedOn w:val="Normal"/>
    <w:next w:val="ParaNum"/>
    <w:qFormat/>
    <w:rsid w:val="004531BB"/>
    <w:pPr>
      <w:keepNext/>
      <w:numPr>
        <w:ilvl w:val="4"/>
        <w:numId w:val="31"/>
      </w:numPr>
      <w:tabs>
        <w:tab w:val="left" w:pos="3600"/>
      </w:tabs>
      <w:suppressAutoHyphens/>
      <w:spacing w:after="120"/>
      <w:outlineLvl w:val="4"/>
    </w:pPr>
    <w:rPr>
      <w:b/>
    </w:rPr>
  </w:style>
  <w:style w:type="paragraph" w:styleId="Heading6">
    <w:name w:val="heading 6"/>
    <w:basedOn w:val="Normal"/>
    <w:next w:val="ParaNum"/>
    <w:qFormat/>
    <w:rsid w:val="004531BB"/>
    <w:pPr>
      <w:numPr>
        <w:ilvl w:val="5"/>
        <w:numId w:val="31"/>
      </w:numPr>
      <w:tabs>
        <w:tab w:val="left" w:pos="4320"/>
      </w:tabs>
      <w:spacing w:after="120"/>
      <w:outlineLvl w:val="5"/>
    </w:pPr>
    <w:rPr>
      <w:b/>
    </w:rPr>
  </w:style>
  <w:style w:type="paragraph" w:styleId="Heading7">
    <w:name w:val="heading 7"/>
    <w:basedOn w:val="Normal"/>
    <w:next w:val="ParaNum"/>
    <w:qFormat/>
    <w:rsid w:val="004531BB"/>
    <w:pPr>
      <w:numPr>
        <w:ilvl w:val="6"/>
        <w:numId w:val="31"/>
      </w:numPr>
      <w:tabs>
        <w:tab w:val="left" w:pos="5040"/>
      </w:tabs>
      <w:spacing w:after="120"/>
      <w:ind w:left="5040" w:hanging="720"/>
      <w:outlineLvl w:val="6"/>
    </w:pPr>
    <w:rPr>
      <w:b/>
    </w:rPr>
  </w:style>
  <w:style w:type="paragraph" w:styleId="Heading8">
    <w:name w:val="heading 8"/>
    <w:basedOn w:val="Normal"/>
    <w:next w:val="ParaNum"/>
    <w:qFormat/>
    <w:rsid w:val="004531BB"/>
    <w:pPr>
      <w:numPr>
        <w:ilvl w:val="7"/>
        <w:numId w:val="31"/>
      </w:numPr>
      <w:tabs>
        <w:tab w:val="clear" w:pos="5400"/>
        <w:tab w:val="left" w:pos="5760"/>
      </w:tabs>
      <w:spacing w:after="120"/>
      <w:ind w:left="5760" w:hanging="720"/>
      <w:outlineLvl w:val="7"/>
    </w:pPr>
    <w:rPr>
      <w:b/>
    </w:rPr>
  </w:style>
  <w:style w:type="paragraph" w:styleId="Heading9">
    <w:name w:val="heading 9"/>
    <w:basedOn w:val="Normal"/>
    <w:next w:val="ParaNum"/>
    <w:qFormat/>
    <w:rsid w:val="004531BB"/>
    <w:pPr>
      <w:numPr>
        <w:ilvl w:val="8"/>
        <w:numId w:val="3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531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31BB"/>
  </w:style>
  <w:style w:type="paragraph" w:styleId="Caption">
    <w:name w:val="caption"/>
    <w:basedOn w:val="Normal"/>
    <w:next w:val="Normal"/>
    <w:qFormat/>
    <w:pPr>
      <w:spacing w:before="120"/>
    </w:pPr>
    <w:rPr>
      <w:b/>
    </w:rPr>
  </w:style>
  <w:style w:type="paragraph" w:customStyle="1" w:styleId="ParaNum">
    <w:name w:val="ParaNum"/>
    <w:basedOn w:val="Normal"/>
    <w:link w:val="ParaNumChar"/>
    <w:rsid w:val="004531BB"/>
    <w:pPr>
      <w:numPr>
        <w:numId w:val="30"/>
      </w:numPr>
      <w:tabs>
        <w:tab w:val="clear" w:pos="1080"/>
        <w:tab w:val="num" w:pos="1440"/>
      </w:tabs>
      <w:spacing w:after="120"/>
    </w:pPr>
  </w:style>
  <w:style w:type="paragraph" w:styleId="FootnoteText">
    <w:name w:val="footnote text"/>
    <w:aliases w:val="Footnote Text Char,Footnote Text Char Char2 Char,Footnote Text Char Char2 Char Char Char,Footnote Text Char1,Footnote Text Char1 Char2,Footnote Text Char1 Char2 Char Char,Footnote Text Char1 Char2 Char Char Char Char,f,fn,footnote text"/>
    <w:link w:val="FootnoteTextChar2"/>
    <w:rsid w:val="004531BB"/>
    <w:pPr>
      <w:spacing w:after="120"/>
    </w:pPr>
  </w:style>
  <w:style w:type="paragraph" w:customStyle="1" w:styleId="Bullet">
    <w:name w:val="Bullet"/>
    <w:basedOn w:val="Normal"/>
    <w:rsid w:val="004531BB"/>
    <w:pPr>
      <w:tabs>
        <w:tab w:val="left" w:pos="2160"/>
      </w:tabs>
      <w:spacing w:after="220"/>
      <w:ind w:left="2160" w:hanging="720"/>
    </w:pPr>
  </w:style>
  <w:style w:type="paragraph" w:styleId="BlockText">
    <w:name w:val="Block Text"/>
    <w:basedOn w:val="Normal"/>
    <w:rsid w:val="004531BB"/>
    <w:pPr>
      <w:spacing w:after="240"/>
      <w:ind w:left="1440" w:right="1440"/>
    </w:pPr>
  </w:style>
  <w:style w:type="paragraph" w:customStyle="1" w:styleId="TableFormat">
    <w:name w:val="TableFormat"/>
    <w:basedOn w:val="Bullet"/>
    <w:rsid w:val="004531BB"/>
    <w:pPr>
      <w:tabs>
        <w:tab w:val="clear" w:pos="2160"/>
        <w:tab w:val="left" w:pos="5040"/>
      </w:tabs>
      <w:ind w:left="5040" w:hanging="360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4531BB"/>
    <w:rPr>
      <w:rFonts w:ascii="Times New Roman" w:hAnsi="Times New Roman"/>
      <w:dstrike w:val="0"/>
      <w:color w:val="auto"/>
      <w:sz w:val="20"/>
      <w:vertAlign w:val="superscript"/>
    </w:rPr>
  </w:style>
  <w:style w:type="paragraph" w:styleId="Header">
    <w:name w:val="header"/>
    <w:basedOn w:val="Normal"/>
    <w:autoRedefine/>
    <w:rsid w:val="004531BB"/>
    <w:pPr>
      <w:tabs>
        <w:tab w:val="center" w:pos="4680"/>
        <w:tab w:val="right" w:pos="9360"/>
      </w:tabs>
    </w:pPr>
    <w:rPr>
      <w:b/>
    </w:rPr>
  </w:style>
  <w:style w:type="paragraph" w:styleId="Footer">
    <w:name w:val="footer"/>
    <w:basedOn w:val="Normal"/>
    <w:link w:val="FooterChar"/>
    <w:uiPriority w:val="99"/>
    <w:rsid w:val="004531BB"/>
    <w:pPr>
      <w:tabs>
        <w:tab w:val="center" w:pos="4320"/>
        <w:tab w:val="right" w:pos="8640"/>
      </w:tabs>
    </w:pPr>
  </w:style>
  <w:style w:type="paragraph" w:styleId="TOC2">
    <w:name w:val="toc 2"/>
    <w:basedOn w:val="Normal"/>
    <w:next w:val="Normal"/>
    <w:semiHidden/>
    <w:rsid w:val="004531BB"/>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4531BB"/>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4531B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531B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531B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531B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531B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531B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531BB"/>
    <w:pPr>
      <w:tabs>
        <w:tab w:val="left" w:pos="3240"/>
        <w:tab w:val="right" w:leader="dot" w:pos="9360"/>
      </w:tabs>
      <w:suppressAutoHyphens/>
      <w:ind w:left="3240" w:hanging="360"/>
    </w:pPr>
    <w:rPr>
      <w:noProof/>
    </w:rPr>
  </w:style>
  <w:style w:type="character" w:styleId="PageNumber">
    <w:name w:val="page number"/>
    <w:basedOn w:val="DefaultParagraphFont"/>
    <w:rsid w:val="004531BB"/>
  </w:style>
  <w:style w:type="paragraph" w:styleId="Title">
    <w:name w:val="Title"/>
    <w:basedOn w:val="Normal"/>
    <w:qFormat/>
    <w:pPr>
      <w:jc w:val="center"/>
    </w:pPr>
    <w:rPr>
      <w:b/>
    </w:rPr>
  </w:style>
  <w:style w:type="character" w:customStyle="1" w:styleId="documentbody1">
    <w:name w:val="documentbody1"/>
    <w:rPr>
      <w:rFonts w:ascii="Verdana" w:hAnsi="Verdana" w:hint="default"/>
      <w:sz w:val="19"/>
      <w:szCs w:val="19"/>
    </w:rPr>
  </w:style>
  <w:style w:type="paragraph" w:customStyle="1" w:styleId="Style30">
    <w:name w:val="Style3"/>
    <w:basedOn w:val="ParaNum"/>
    <w:pPr>
      <w:numPr>
        <w:numId w:val="0"/>
      </w:numPr>
      <w:tabs>
        <w:tab w:val="left" w:pos="720"/>
        <w:tab w:val="left" w:pos="1800"/>
      </w:tabs>
      <w:ind w:firstLine="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EmailStyle401">
    <w:name w:val="EmailStyle401"/>
    <w:semiHidden/>
    <w:rPr>
      <w:rFonts w:ascii="Arial" w:hAnsi="Arial" w:cs="Arial"/>
      <w:color w:val="000080"/>
      <w:sz w:val="20"/>
      <w:szCs w:val="20"/>
    </w:rPr>
  </w:style>
  <w:style w:type="character" w:styleId="CommentReference">
    <w:name w:val="annotation reference"/>
    <w:semiHidden/>
    <w:rPr>
      <w:sz w:val="18"/>
    </w:rPr>
  </w:style>
  <w:style w:type="paragraph" w:styleId="CommentText">
    <w:name w:val="annotation text"/>
    <w:basedOn w:val="Normal"/>
    <w:link w:val="CommentTextChar"/>
    <w:semiHidden/>
    <w:rPr>
      <w:sz w:val="24"/>
      <w:szCs w:val="24"/>
    </w:rPr>
  </w:style>
  <w:style w:type="paragraph" w:styleId="CommentSubject">
    <w:name w:val="annotation subject"/>
    <w:basedOn w:val="CommentText"/>
    <w:next w:val="CommentText"/>
    <w:semiHidden/>
    <w:rPr>
      <w:sz w:val="22"/>
      <w:szCs w:val="20"/>
    </w:rPr>
  </w:style>
  <w:style w:type="paragraph" w:customStyle="1" w:styleId="Default">
    <w:name w:val="Default"/>
    <w:pPr>
      <w:autoSpaceDE w:val="0"/>
      <w:autoSpaceDN w:val="0"/>
      <w:adjustRightInd w:val="0"/>
      <w:spacing w:after="120"/>
    </w:pPr>
    <w:rPr>
      <w:rFonts w:ascii="Arial" w:eastAsia="Calibri" w:hAnsi="Arial" w:cs="Arial"/>
      <w:color w:val="000000"/>
      <w:sz w:val="24"/>
      <w:szCs w:val="24"/>
    </w:rPr>
  </w:style>
  <w:style w:type="paragraph" w:styleId="ListParagraph">
    <w:name w:val="List Paragraph"/>
    <w:basedOn w:val="Normal"/>
    <w:uiPriority w:val="34"/>
    <w:qFormat/>
    <w:pPr>
      <w:ind w:left="720"/>
    </w:pPr>
    <w:rPr>
      <w:sz w:val="24"/>
      <w:szCs w:val="24"/>
    </w:rPr>
  </w:style>
  <w:style w:type="character" w:customStyle="1" w:styleId="FootnoteTextChar2">
    <w:name w:val="Footnote Text Char2"/>
    <w:aliases w:val="Footnote Text Char Char,Footnote Text Char Char2 Char Char,Footnote Text Char Char2 Char Char Char Char,Footnote Text Char1 Char,Footnote Text Char1 Char2 Char,Footnote Text Char1 Char2 Char Char Char,f Char,fn Char"/>
    <w:link w:val="FootnoteText"/>
    <w:rsid w:val="00A74F81"/>
  </w:style>
  <w:style w:type="character" w:customStyle="1" w:styleId="CommentTextChar">
    <w:name w:val="Comment Text Char"/>
    <w:link w:val="CommentText"/>
    <w:semiHidden/>
    <w:rsid w:val="00A74F81"/>
    <w:rPr>
      <w:sz w:val="24"/>
      <w:szCs w:val="24"/>
    </w:rPr>
  </w:style>
  <w:style w:type="character" w:customStyle="1" w:styleId="highlight">
    <w:name w:val="highlight"/>
    <w:rsid w:val="00C8423F"/>
  </w:style>
  <w:style w:type="paragraph" w:styleId="Revision">
    <w:name w:val="Revision"/>
    <w:hidden/>
    <w:uiPriority w:val="99"/>
    <w:semiHidden/>
    <w:rsid w:val="007D4917"/>
    <w:rPr>
      <w:sz w:val="22"/>
    </w:rPr>
  </w:style>
  <w:style w:type="paragraph" w:styleId="EndnoteText">
    <w:name w:val="endnote text"/>
    <w:basedOn w:val="Normal"/>
    <w:link w:val="EndnoteTextChar"/>
    <w:semiHidden/>
    <w:rsid w:val="004531BB"/>
    <w:rPr>
      <w:sz w:val="20"/>
    </w:rPr>
  </w:style>
  <w:style w:type="character" w:customStyle="1" w:styleId="EndnoteTextChar">
    <w:name w:val="Endnote Text Char"/>
    <w:basedOn w:val="DefaultParagraphFont"/>
    <w:link w:val="EndnoteText"/>
    <w:semiHidden/>
    <w:rsid w:val="00AE6BDB"/>
    <w:rPr>
      <w:snapToGrid w:val="0"/>
      <w:kern w:val="28"/>
    </w:rPr>
  </w:style>
  <w:style w:type="character" w:styleId="EndnoteReference">
    <w:name w:val="endnote reference"/>
    <w:semiHidden/>
    <w:rsid w:val="004531BB"/>
    <w:rPr>
      <w:vertAlign w:val="superscript"/>
    </w:rPr>
  </w:style>
  <w:style w:type="paragraph" w:styleId="TOAHeading">
    <w:name w:val="toa heading"/>
    <w:basedOn w:val="Normal"/>
    <w:next w:val="Normal"/>
    <w:semiHidden/>
    <w:rsid w:val="004531BB"/>
    <w:pPr>
      <w:tabs>
        <w:tab w:val="right" w:pos="9360"/>
      </w:tabs>
      <w:suppressAutoHyphens/>
    </w:pPr>
  </w:style>
  <w:style w:type="character" w:customStyle="1" w:styleId="EquationCaption">
    <w:name w:val="_Equation Caption"/>
    <w:rsid w:val="004531BB"/>
  </w:style>
  <w:style w:type="paragraph" w:customStyle="1" w:styleId="Paratitle">
    <w:name w:val="Para title"/>
    <w:basedOn w:val="Normal"/>
    <w:rsid w:val="004531BB"/>
    <w:pPr>
      <w:tabs>
        <w:tab w:val="center" w:pos="9270"/>
      </w:tabs>
      <w:spacing w:after="240"/>
    </w:pPr>
    <w:rPr>
      <w:spacing w:val="-2"/>
    </w:rPr>
  </w:style>
  <w:style w:type="paragraph" w:customStyle="1" w:styleId="TOCTitle">
    <w:name w:val="TOC Title"/>
    <w:basedOn w:val="Normal"/>
    <w:rsid w:val="004531B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531BB"/>
    <w:pPr>
      <w:jc w:val="center"/>
    </w:pPr>
    <w:rPr>
      <w:rFonts w:ascii="Times New Roman Bold" w:hAnsi="Times New Roman Bold"/>
      <w:b/>
      <w:bCs/>
      <w:caps/>
      <w:szCs w:val="22"/>
    </w:rPr>
  </w:style>
  <w:style w:type="character" w:styleId="Hyperlink">
    <w:name w:val="Hyperlink"/>
    <w:rsid w:val="004531BB"/>
    <w:rPr>
      <w:color w:val="0000FF"/>
      <w:u w:val="single"/>
    </w:rPr>
  </w:style>
  <w:style w:type="character" w:customStyle="1" w:styleId="ParaNumChar">
    <w:name w:val="ParaNum Char"/>
    <w:link w:val="ParaNum"/>
    <w:locked/>
    <w:rsid w:val="00CD2EE7"/>
    <w:rPr>
      <w:snapToGrid w:val="0"/>
      <w:kern w:val="28"/>
      <w:sz w:val="22"/>
    </w:rPr>
  </w:style>
  <w:style w:type="character" w:customStyle="1" w:styleId="UnresolvedMention1">
    <w:name w:val="Unresolved Mention1"/>
    <w:basedOn w:val="DefaultParagraphFont"/>
    <w:uiPriority w:val="99"/>
    <w:semiHidden/>
    <w:unhideWhenUsed/>
    <w:rsid w:val="00D812F4"/>
    <w:rPr>
      <w:color w:val="808080"/>
      <w:shd w:val="clear" w:color="auto" w:fill="E6E6E6"/>
    </w:rPr>
  </w:style>
  <w:style w:type="character" w:styleId="FollowedHyperlink">
    <w:name w:val="FollowedHyperlink"/>
    <w:basedOn w:val="DefaultParagraphFont"/>
    <w:semiHidden/>
    <w:unhideWhenUsed/>
    <w:rsid w:val="003B7D87"/>
    <w:rPr>
      <w:color w:val="954F72" w:themeColor="followedHyperlink"/>
      <w:u w:val="single"/>
    </w:rPr>
  </w:style>
  <w:style w:type="character" w:customStyle="1" w:styleId="FooterChar">
    <w:name w:val="Footer Char"/>
    <w:link w:val="Footer"/>
    <w:uiPriority w:val="99"/>
    <w:rsid w:val="004531BB"/>
    <w:rPr>
      <w:snapToGrid w:val="0"/>
      <w:kern w:val="28"/>
      <w:sz w:val="22"/>
    </w:rPr>
  </w:style>
  <w:style w:type="character" w:customStyle="1" w:styleId="FootnoteTextChar3">
    <w:name w:val="Footnote Text Char3"/>
    <w:aliases w:val="Footnote Text Char Char Char Char Char1 Char Char,Footnote Text Char Char1 Char1 Char Char1,Footnote Text Char1 Char Char Char1 Char Char1,Footnote Text Char1 Char Char1,Footnote Text Char2 Char1,Footnote Text Char2 Char1 Char Char1"/>
    <w:semiHidden/>
    <w:rsid w:val="009F0737"/>
    <w:rPr>
      <w:lang w:val="en-US" w:eastAsia="en-US" w:bidi="ar-SA"/>
    </w:rPr>
  </w:style>
  <w:style w:type="character" w:customStyle="1" w:styleId="UnresolvedMention2">
    <w:name w:val="Unresolved Mention2"/>
    <w:basedOn w:val="DefaultParagraphFont"/>
    <w:rsid w:val="00395F5D"/>
    <w:rPr>
      <w:color w:val="605E5C"/>
      <w:shd w:val="clear" w:color="auto" w:fill="E1DFDD"/>
    </w:rPr>
  </w:style>
  <w:style w:type="paragraph" w:customStyle="1" w:styleId="xmsonormal">
    <w:name w:val="x_msonormal"/>
    <w:basedOn w:val="Normal"/>
    <w:rsid w:val="00632294"/>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footnotes.xml.rels>&#65279;<?xml version="1.0" encoding="utf-8" standalone="yes"?><Relationships xmlns="http://schemas.openxmlformats.org/package/2006/relationships"><Relationship Id="rId1" Type="http://schemas.openxmlformats.org/officeDocument/2006/relationships/hyperlink" Target="http://www.wi-fi.org/discover-wi-fi/wigig-certified" TargetMode="External" /><Relationship Id="rId10" Type="http://schemas.openxmlformats.org/officeDocument/2006/relationships/hyperlink" Target="https://web2.westlaw.com/find/default.wl?tf=-1&amp;rs=WLW8.08&amp;referencepositiontype=S&amp;serialnum=1969121124&amp;fn=_top&amp;sv=Split&amp;referenceposition=1157&amp;findtype=Y&amp;tc=-1&amp;ordoc=2011591254&amp;db=350&amp;vr=2.0&amp;rp=%2ffind%2fdefault.wl&amp;mt=Westlaw" TargetMode="External" /><Relationship Id="rId2" Type="http://schemas.openxmlformats.org/officeDocument/2006/relationships/hyperlink" Target="http://www.airlinx.com" TargetMode="External" /><Relationship Id="rId3" Type="http://schemas.openxmlformats.org/officeDocument/2006/relationships/hyperlink" Target="https://www.ignitenet.com/technology/metrolinq/" TargetMode="External" /><Relationship Id="rId4" Type="http://schemas.openxmlformats.org/officeDocument/2006/relationships/hyperlink" Target="https://atap.google.com/soli/" TargetMode="External" /><Relationship Id="rId5" Type="http://schemas.openxmlformats.org/officeDocument/2006/relationships/hyperlink" Target="https://web2.westlaw.com/find/default.wl?tf=-1&amp;rs=WLW8.08&amp;fn=_top&amp;sv=Split&amp;tc=-1&amp;docname=47CFRS1.3&amp;ordoc=2011591254&amp;findtype=L&amp;db=1000547&amp;vr=2.0&amp;rp=%2ffind%2fdefault.wl&amp;mt=Westlaw" TargetMode="External" /><Relationship Id="rId6" Type="http://schemas.openxmlformats.org/officeDocument/2006/relationships/hyperlink" Target="https://web2.westlaw.com/find/default.wl?tf=-1&amp;rs=WLW8.08&amp;serialnum=2007579635&amp;fn=_top&amp;sv=Split&amp;tc=-1&amp;findtype=Y&amp;ordoc=2011591254&amp;db=506&amp;vr=2.0&amp;rp=%2ffind%2fdefault.wl&amp;mt=Westlaw" TargetMode="External" /><Relationship Id="rId7" Type="http://schemas.openxmlformats.org/officeDocument/2006/relationships/hyperlink" Target="https://web2.westlaw.com/find/default.wl?tf=-1&amp;rs=WLW8.08&amp;serialnum=1990047144&amp;fn=_top&amp;sv=Split&amp;tc=-1&amp;findtype=Y&amp;ordoc=2011591254&amp;db=350&amp;vr=2.0&amp;rp=%2ffind%2fdefault.wl&amp;mt=Westlaw" TargetMode="External" /><Relationship Id="rId8" Type="http://schemas.openxmlformats.org/officeDocument/2006/relationships/hyperlink" Target="https://web2.westlaw.com/find/default.wl?tf=-1&amp;rs=WLW8.08&amp;serialnum=1969121124&amp;fn=_top&amp;sv=Split&amp;tc=-1&amp;findtype=Y&amp;ordoc=2011591254&amp;db=350&amp;vr=2.0&amp;rp=%2ffind%2fdefault.wl&amp;mt=Westlaw" TargetMode="External" /><Relationship Id="rId9" Type="http://schemas.openxmlformats.org/officeDocument/2006/relationships/hyperlink" Target="https://web2.westlaw.com/find/default.wl?tf=-1&amp;rs=WLW8.08&amp;referencepositiontype=S&amp;serialnum=2007579635&amp;fn=_top&amp;sv=Split&amp;referenceposition=269&amp;findtype=Y&amp;tc=-1&amp;ordoc=2011591254&amp;db=506&amp;vr=2.0&amp;rp=%2ffind%2fdefault.wl&amp;mt=Westlaw"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