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715E" w:rsidRPr="0073715E" w:rsidP="009F25F6">
      <w:pPr>
        <w:widowControl/>
        <w:jc w:val="center"/>
        <w:rPr>
          <w:b/>
        </w:rPr>
      </w:pPr>
      <w:r w:rsidRPr="0073715E">
        <w:rPr>
          <w:rFonts w:ascii="Times New Roman Bold" w:hAnsi="Times New Roman Bold"/>
          <w:b/>
          <w:kern w:val="0"/>
          <w:szCs w:val="22"/>
        </w:rPr>
        <w:t>Before</w:t>
      </w:r>
      <w:r w:rsidRPr="0073715E">
        <w:rPr>
          <w:b/>
        </w:rPr>
        <w:t xml:space="preserve"> the</w:t>
      </w:r>
    </w:p>
    <w:p w:rsidR="0073715E" w:rsidRPr="0073715E" w:rsidP="009F25F6">
      <w:pPr>
        <w:widowControl/>
        <w:jc w:val="center"/>
        <w:rPr>
          <w:rFonts w:ascii="Times New Roman Bold" w:hAnsi="Times New Roman Bold"/>
          <w:b/>
          <w:bCs/>
          <w:caps/>
          <w:szCs w:val="22"/>
        </w:rPr>
      </w:pPr>
      <w:r w:rsidRPr="0073715E">
        <w:rPr>
          <w:rFonts w:ascii="Times New Roman Bold" w:hAnsi="Times New Roman Bold"/>
          <w:b/>
          <w:bCs/>
          <w:caps/>
          <w:szCs w:val="22"/>
        </w:rPr>
        <w:t>F</w:t>
      </w:r>
      <w:r w:rsidRPr="0073715E">
        <w:rPr>
          <w:rFonts w:ascii="Times New Roman Bold" w:hAnsi="Times New Roman Bold"/>
          <w:b/>
          <w:bCs/>
          <w:szCs w:val="22"/>
        </w:rPr>
        <w:t>ederal Communications Commission</w:t>
      </w:r>
    </w:p>
    <w:p w:rsidR="0073715E" w:rsidRPr="0073715E" w:rsidP="009F25F6">
      <w:pPr>
        <w:widowControl/>
        <w:jc w:val="center"/>
        <w:rPr>
          <w:rFonts w:ascii="Times New Roman Bold" w:hAnsi="Times New Roman Bold"/>
          <w:b/>
          <w:bCs/>
          <w:caps/>
          <w:szCs w:val="22"/>
        </w:rPr>
      </w:pPr>
      <w:r w:rsidRPr="0073715E">
        <w:rPr>
          <w:rFonts w:ascii="Times New Roman Bold" w:hAnsi="Times New Roman Bold"/>
          <w:b/>
          <w:bCs/>
          <w:szCs w:val="22"/>
        </w:rPr>
        <w:t>Washington, D.C. 20554</w:t>
      </w:r>
    </w:p>
    <w:p w:rsidR="0073715E" w:rsidRPr="0073715E" w:rsidP="009F25F6">
      <w:pPr>
        <w:widowControl/>
      </w:pPr>
    </w:p>
    <w:p w:rsidR="0073715E" w:rsidRPr="0073715E" w:rsidP="009F25F6">
      <w:pPr>
        <w:widowControl/>
      </w:pPr>
    </w:p>
    <w:tbl>
      <w:tblPr>
        <w:tblW w:w="0" w:type="auto"/>
        <w:tblLayout w:type="fixed"/>
        <w:tblLook w:val="0000"/>
      </w:tblPr>
      <w:tblGrid>
        <w:gridCol w:w="4698"/>
        <w:gridCol w:w="630"/>
        <w:gridCol w:w="4248"/>
      </w:tblGrid>
      <w:tr w:rsidTr="0026587F">
        <w:tblPrEx>
          <w:tblW w:w="0" w:type="auto"/>
          <w:tblLayout w:type="fixed"/>
          <w:tblLook w:val="0000"/>
        </w:tblPrEx>
        <w:tc>
          <w:tcPr>
            <w:tcW w:w="4698" w:type="dxa"/>
          </w:tcPr>
          <w:p w:rsidR="0073715E" w:rsidRPr="0073715E" w:rsidP="009F25F6">
            <w:pPr>
              <w:widowControl/>
              <w:tabs>
                <w:tab w:val="center" w:pos="4680"/>
              </w:tabs>
              <w:suppressAutoHyphens/>
              <w:rPr>
                <w:spacing w:val="-2"/>
              </w:rPr>
            </w:pPr>
            <w:r w:rsidRPr="0073715E">
              <w:rPr>
                <w:spacing w:val="-2"/>
              </w:rPr>
              <w:t>In the Matter of</w:t>
            </w:r>
          </w:p>
          <w:p w:rsidR="0073715E" w:rsidRPr="0073715E" w:rsidP="009F25F6">
            <w:pPr>
              <w:widowControl/>
              <w:tabs>
                <w:tab w:val="center" w:pos="4680"/>
              </w:tabs>
              <w:suppressAutoHyphens/>
              <w:rPr>
                <w:spacing w:val="-2"/>
              </w:rPr>
            </w:pPr>
          </w:p>
          <w:p w:rsidR="0073715E" w:rsidRPr="0073715E" w:rsidP="009F25F6">
            <w:pPr>
              <w:widowControl/>
              <w:tabs>
                <w:tab w:val="center" w:pos="4680"/>
              </w:tabs>
              <w:suppressAutoHyphens/>
              <w:rPr>
                <w:spacing w:val="-2"/>
              </w:rPr>
            </w:pPr>
            <w:r w:rsidRPr="0073715E">
              <w:rPr>
                <w:spacing w:val="-2"/>
              </w:rPr>
              <w:t>City of Lago Vista, Texas</w:t>
            </w:r>
          </w:p>
          <w:p w:rsidR="0073715E" w:rsidRPr="0073715E" w:rsidP="009F25F6">
            <w:pPr>
              <w:widowControl/>
              <w:tabs>
                <w:tab w:val="center" w:pos="4680"/>
              </w:tabs>
              <w:suppressAutoHyphens/>
              <w:rPr>
                <w:spacing w:val="-2"/>
              </w:rPr>
            </w:pPr>
          </w:p>
          <w:p w:rsidR="0073715E" w:rsidRPr="0073715E" w:rsidP="009F25F6">
            <w:pPr>
              <w:widowControl/>
              <w:tabs>
                <w:tab w:val="center" w:pos="4680"/>
              </w:tabs>
              <w:suppressAutoHyphens/>
            </w:pPr>
            <w:r w:rsidRPr="0073715E">
              <w:rPr>
                <w:spacing w:val="-2"/>
              </w:rPr>
              <w:t xml:space="preserve">Request for Waiver of Section </w:t>
            </w:r>
            <w:r w:rsidRPr="0073715E">
              <w:t>90.242(b)(4)(iv)</w:t>
            </w:r>
          </w:p>
          <w:p w:rsidR="0073715E" w:rsidRPr="0073715E" w:rsidP="009F25F6">
            <w:pPr>
              <w:widowControl/>
              <w:tabs>
                <w:tab w:val="center" w:pos="4680"/>
              </w:tabs>
              <w:suppressAutoHyphens/>
              <w:rPr>
                <w:spacing w:val="-2"/>
              </w:rPr>
            </w:pPr>
            <w:r w:rsidRPr="0073715E">
              <w:t>of the Commission’s Rules</w:t>
            </w:r>
          </w:p>
        </w:tc>
        <w:tc>
          <w:tcPr>
            <w:tcW w:w="630" w:type="dxa"/>
          </w:tcPr>
          <w:p w:rsidR="0073715E" w:rsidRPr="0073715E" w:rsidP="009F25F6">
            <w:pPr>
              <w:widowControl/>
              <w:tabs>
                <w:tab w:val="center" w:pos="4680"/>
              </w:tabs>
              <w:suppressAutoHyphens/>
              <w:rPr>
                <w:b/>
                <w:spacing w:val="-2"/>
              </w:rPr>
            </w:pPr>
            <w:r w:rsidRPr="0073715E">
              <w:rPr>
                <w:b/>
                <w:spacing w:val="-2"/>
              </w:rPr>
              <w:t>)</w:t>
            </w:r>
          </w:p>
          <w:p w:rsidR="0073715E" w:rsidRPr="0073715E" w:rsidP="009F25F6">
            <w:pPr>
              <w:widowControl/>
              <w:tabs>
                <w:tab w:val="center" w:pos="4680"/>
              </w:tabs>
              <w:suppressAutoHyphens/>
              <w:rPr>
                <w:b/>
                <w:spacing w:val="-2"/>
              </w:rPr>
            </w:pPr>
            <w:r w:rsidRPr="0073715E">
              <w:rPr>
                <w:b/>
                <w:spacing w:val="-2"/>
              </w:rPr>
              <w:t>)</w:t>
            </w:r>
          </w:p>
          <w:p w:rsidR="0073715E" w:rsidRPr="0073715E" w:rsidP="009F25F6">
            <w:pPr>
              <w:widowControl/>
              <w:tabs>
                <w:tab w:val="center" w:pos="4680"/>
              </w:tabs>
              <w:suppressAutoHyphens/>
              <w:rPr>
                <w:b/>
                <w:spacing w:val="-2"/>
              </w:rPr>
            </w:pPr>
            <w:r w:rsidRPr="0073715E">
              <w:rPr>
                <w:b/>
                <w:spacing w:val="-2"/>
              </w:rPr>
              <w:t>)</w:t>
            </w:r>
          </w:p>
          <w:p w:rsidR="0073715E" w:rsidRPr="0073715E" w:rsidP="009F25F6">
            <w:pPr>
              <w:widowControl/>
              <w:tabs>
                <w:tab w:val="center" w:pos="4680"/>
              </w:tabs>
              <w:suppressAutoHyphens/>
              <w:rPr>
                <w:b/>
                <w:spacing w:val="-2"/>
              </w:rPr>
            </w:pPr>
            <w:r w:rsidRPr="0073715E">
              <w:rPr>
                <w:b/>
                <w:spacing w:val="-2"/>
              </w:rPr>
              <w:t>)</w:t>
            </w:r>
          </w:p>
          <w:p w:rsidR="0073715E" w:rsidRPr="0073715E" w:rsidP="009F25F6">
            <w:pPr>
              <w:widowControl/>
              <w:tabs>
                <w:tab w:val="center" w:pos="4680"/>
              </w:tabs>
              <w:suppressAutoHyphens/>
              <w:rPr>
                <w:b/>
                <w:spacing w:val="-2"/>
              </w:rPr>
            </w:pPr>
            <w:r w:rsidRPr="0073715E">
              <w:rPr>
                <w:b/>
                <w:spacing w:val="-2"/>
              </w:rPr>
              <w:t>)</w:t>
            </w:r>
          </w:p>
          <w:p w:rsidR="0073715E" w:rsidRPr="0073715E" w:rsidP="009F25F6">
            <w:pPr>
              <w:widowControl/>
              <w:tabs>
                <w:tab w:val="center" w:pos="4680"/>
              </w:tabs>
              <w:suppressAutoHyphens/>
              <w:rPr>
                <w:spacing w:val="-2"/>
              </w:rPr>
            </w:pPr>
            <w:r w:rsidRPr="0073715E">
              <w:rPr>
                <w:b/>
                <w:spacing w:val="-2"/>
              </w:rPr>
              <w:t>)</w:t>
            </w:r>
          </w:p>
        </w:tc>
        <w:tc>
          <w:tcPr>
            <w:tcW w:w="4248" w:type="dxa"/>
          </w:tcPr>
          <w:p w:rsidR="0073715E" w:rsidRPr="0073715E" w:rsidP="009F25F6">
            <w:pPr>
              <w:widowControl/>
              <w:tabs>
                <w:tab w:val="center" w:pos="4680"/>
              </w:tabs>
              <w:suppressAutoHyphens/>
              <w:rPr>
                <w:spacing w:val="-2"/>
              </w:rPr>
            </w:pPr>
          </w:p>
          <w:p w:rsidR="0073715E" w:rsidRPr="0073715E" w:rsidP="009F25F6">
            <w:pPr>
              <w:widowControl/>
              <w:tabs>
                <w:tab w:val="center" w:pos="4680"/>
              </w:tabs>
              <w:suppressAutoHyphens/>
              <w:rPr>
                <w:spacing w:val="-2"/>
              </w:rPr>
            </w:pPr>
          </w:p>
          <w:p w:rsidR="0073715E" w:rsidRPr="0073715E" w:rsidP="009F25F6">
            <w:pPr>
              <w:widowControl/>
              <w:tabs>
                <w:tab w:val="center" w:pos="4680"/>
              </w:tabs>
              <w:suppressAutoHyphens/>
              <w:rPr>
                <w:spacing w:val="-2"/>
              </w:rPr>
            </w:pPr>
            <w:r w:rsidRPr="0073715E">
              <w:rPr>
                <w:spacing w:val="-2"/>
              </w:rPr>
              <w:t>File No. 0008754727</w:t>
            </w:r>
          </w:p>
        </w:tc>
      </w:tr>
    </w:tbl>
    <w:p w:rsidR="0073715E" w:rsidRPr="0073715E" w:rsidP="009F25F6">
      <w:pPr>
        <w:widowControl/>
      </w:pPr>
    </w:p>
    <w:p w:rsidR="0073715E" w:rsidRPr="0073715E" w:rsidP="009F25F6">
      <w:pPr>
        <w:widowControl/>
        <w:jc w:val="center"/>
        <w:rPr>
          <w:rFonts w:ascii="Times New Roman Bold" w:hAnsi="Times New Roman Bold"/>
          <w:b/>
          <w:bCs/>
          <w:caps/>
          <w:szCs w:val="22"/>
        </w:rPr>
      </w:pPr>
      <w:r w:rsidRPr="0073715E">
        <w:rPr>
          <w:rFonts w:ascii="Times New Roman Bold" w:hAnsi="Times New Roman Bold"/>
          <w:b/>
          <w:bCs/>
          <w:caps/>
          <w:szCs w:val="22"/>
        </w:rPr>
        <w:t>Order</w:t>
      </w:r>
    </w:p>
    <w:p w:rsidR="0073715E" w:rsidRPr="0073715E" w:rsidP="009F25F6">
      <w:pPr>
        <w:widowControl/>
        <w:tabs>
          <w:tab w:val="left" w:pos="-720"/>
        </w:tabs>
        <w:suppressAutoHyphens/>
        <w:spacing w:line="227" w:lineRule="auto"/>
        <w:rPr>
          <w:spacing w:val="-2"/>
        </w:rPr>
      </w:pPr>
    </w:p>
    <w:p w:rsidR="0073715E" w:rsidRPr="0073715E" w:rsidP="009F25F6">
      <w:pPr>
        <w:widowControl/>
        <w:tabs>
          <w:tab w:val="left" w:pos="720"/>
          <w:tab w:val="right" w:pos="9360"/>
        </w:tabs>
        <w:suppressAutoHyphens/>
        <w:spacing w:line="227" w:lineRule="auto"/>
        <w:rPr>
          <w:spacing w:val="-2"/>
        </w:rPr>
      </w:pPr>
      <w:r w:rsidRPr="0073715E">
        <w:rPr>
          <w:b/>
          <w:spacing w:val="-2"/>
        </w:rPr>
        <w:t xml:space="preserve">Adopted:  </w:t>
      </w:r>
      <w:r w:rsidR="001951A4">
        <w:rPr>
          <w:b/>
          <w:spacing w:val="-2"/>
        </w:rPr>
        <w:t>January 3, 2020</w:t>
      </w:r>
      <w:r w:rsidRPr="0073715E">
        <w:rPr>
          <w:b/>
          <w:spacing w:val="-2"/>
        </w:rPr>
        <w:t>, 20</w:t>
      </w:r>
      <w:r w:rsidR="00073A90">
        <w:rPr>
          <w:b/>
          <w:spacing w:val="-2"/>
        </w:rPr>
        <w:t>20</w:t>
      </w:r>
      <w:r w:rsidRPr="0073715E">
        <w:rPr>
          <w:b/>
          <w:spacing w:val="-2"/>
        </w:rPr>
        <w:tab/>
        <w:t xml:space="preserve">Released:  </w:t>
      </w:r>
      <w:r w:rsidR="001951A4">
        <w:rPr>
          <w:b/>
          <w:spacing w:val="-2"/>
        </w:rPr>
        <w:t>January 3</w:t>
      </w:r>
      <w:r w:rsidRPr="0073715E">
        <w:rPr>
          <w:b/>
          <w:spacing w:val="-2"/>
        </w:rPr>
        <w:t>, 20</w:t>
      </w:r>
      <w:r w:rsidR="00073A90">
        <w:rPr>
          <w:b/>
          <w:spacing w:val="-2"/>
        </w:rPr>
        <w:t>20</w:t>
      </w:r>
    </w:p>
    <w:p w:rsidR="0073715E" w:rsidRPr="0073715E" w:rsidP="009F25F6">
      <w:pPr>
        <w:widowControl/>
      </w:pPr>
    </w:p>
    <w:p w:rsidR="0073715E" w:rsidRPr="0073715E" w:rsidP="009F25F6">
      <w:pPr>
        <w:widowControl/>
        <w:rPr>
          <w:spacing w:val="-2"/>
        </w:rPr>
      </w:pPr>
      <w:r w:rsidRPr="0073715E">
        <w:t xml:space="preserve">By the </w:t>
      </w:r>
      <w:r w:rsidRPr="0073715E">
        <w:rPr>
          <w:spacing w:val="-2"/>
        </w:rPr>
        <w:t>Chief, Policy and Licensing Division, Public Safety and Homeland Security Bureau:</w:t>
      </w:r>
    </w:p>
    <w:p w:rsidR="0073715E" w:rsidRPr="0073715E" w:rsidP="009F25F6">
      <w:pPr>
        <w:widowControl/>
      </w:pPr>
    </w:p>
    <w:p w:rsidR="0073715E" w:rsidRPr="0073715E" w:rsidP="009F25F6">
      <w:pPr>
        <w:keepNext/>
        <w:widowControl/>
        <w:numPr>
          <w:ilvl w:val="0"/>
          <w:numId w:val="3"/>
        </w:numPr>
        <w:suppressAutoHyphens/>
        <w:spacing w:after="120"/>
        <w:outlineLvl w:val="0"/>
        <w:rPr>
          <w:rFonts w:ascii="Times New Roman Bold" w:hAnsi="Times New Roman Bold"/>
          <w:b/>
          <w:caps/>
        </w:rPr>
      </w:pPr>
      <w:r w:rsidRPr="0073715E">
        <w:rPr>
          <w:rFonts w:ascii="Times New Roman Bold" w:hAnsi="Times New Roman Bold"/>
          <w:b/>
          <w:caps/>
        </w:rPr>
        <w:t>Introduction</w:t>
      </w:r>
    </w:p>
    <w:p w:rsidR="002A169C" w:rsidP="009F25F6">
      <w:pPr>
        <w:pStyle w:val="ParaNum"/>
        <w:widowControl/>
        <w:tabs>
          <w:tab w:val="num" w:pos="1080"/>
          <w:tab w:val="clear" w:pos="1620"/>
        </w:tabs>
        <w:ind w:left="0"/>
      </w:pPr>
      <w:r w:rsidRPr="0073715E">
        <w:t xml:space="preserve">On August 6, 2019, the City of Lago Vista, Texas (Lago Vista or the City) filed an application and waiver request to modify its Travelers’ Information Station (TIS) </w:t>
      </w:r>
      <w:r w:rsidR="007C2BE8">
        <w:t xml:space="preserve">under call sign </w:t>
      </w:r>
      <w:r w:rsidRPr="0073715E">
        <w:t>WQUY758 to expand its service area</w:t>
      </w:r>
      <w:r>
        <w:t xml:space="preserve"> so that it may provide a 2 mV/m signal at </w:t>
      </w:r>
      <w:r w:rsidR="005A7D31">
        <w:t>2</w:t>
      </w:r>
      <w:r>
        <w:t>.5 kilometers from the TIS transmitter site</w:t>
      </w:r>
      <w:r w:rsidRPr="0073715E">
        <w:t>.</w:t>
      </w:r>
      <w:r>
        <w:rPr>
          <w:sz w:val="20"/>
          <w:vertAlign w:val="superscript"/>
        </w:rPr>
        <w:footnoteReference w:id="3"/>
      </w:r>
      <w:r w:rsidRPr="0073715E">
        <w:t xml:space="preserve">  </w:t>
      </w:r>
      <w:r>
        <w:t xml:space="preserve">A waiver is required because section </w:t>
      </w:r>
      <w:bookmarkStart w:id="0" w:name="_Hlk25330042"/>
      <w:r>
        <w:t>90.242(b)(4)(iv)</w:t>
      </w:r>
      <w:bookmarkEnd w:id="0"/>
      <w:r>
        <w:t xml:space="preserve"> of the Commission’s rules </w:t>
      </w:r>
      <w:r>
        <w:t xml:space="preserve">limits </w:t>
      </w:r>
      <w:r>
        <w:t>TIS station</w:t>
      </w:r>
      <w:r>
        <w:t xml:space="preserve"> coverage to 2 </w:t>
      </w:r>
      <w:r w:rsidR="005A7D31">
        <w:t>mV</w:t>
      </w:r>
      <w:r>
        <w:t>/m at</w:t>
      </w:r>
      <w:r>
        <w:t xml:space="preserve"> </w:t>
      </w:r>
      <w:r>
        <w:t>1.5 kilometers from the TIS transmitter site.</w:t>
      </w:r>
      <w:r>
        <w:rPr>
          <w:vertAlign w:val="superscript"/>
        </w:rPr>
        <w:footnoteReference w:id="4"/>
      </w:r>
    </w:p>
    <w:p w:rsidR="002A169C" w:rsidRPr="0073715E" w:rsidP="009F25F6">
      <w:pPr>
        <w:keepNext/>
        <w:widowControl/>
        <w:numPr>
          <w:ilvl w:val="0"/>
          <w:numId w:val="3"/>
        </w:numPr>
        <w:tabs>
          <w:tab w:val="left" w:pos="720"/>
        </w:tabs>
        <w:suppressAutoHyphens/>
        <w:spacing w:after="120"/>
        <w:outlineLvl w:val="0"/>
        <w:rPr>
          <w:rFonts w:ascii="Times New Roman Bold" w:hAnsi="Times New Roman Bold"/>
          <w:b/>
          <w:caps/>
        </w:rPr>
      </w:pPr>
      <w:r w:rsidRPr="0073715E">
        <w:rPr>
          <w:rFonts w:ascii="Times New Roman Bold" w:hAnsi="Times New Roman Bold"/>
          <w:b/>
          <w:caps/>
        </w:rPr>
        <w:t>BACKGROUND</w:t>
      </w:r>
    </w:p>
    <w:p w:rsidR="00AC0D18" w:rsidP="009F25F6">
      <w:pPr>
        <w:pStyle w:val="ParaNum"/>
        <w:widowControl/>
        <w:tabs>
          <w:tab w:val="num" w:pos="1080"/>
          <w:tab w:val="clear" w:pos="1620"/>
        </w:tabs>
        <w:ind w:left="0"/>
      </w:pPr>
      <w:r w:rsidRPr="0073715E">
        <w:t xml:space="preserve">Lago Vista </w:t>
      </w:r>
      <w:r w:rsidR="00273CEC">
        <w:t xml:space="preserve">cites two incidents that illustrate the need for its requested coverage expansion. The City encountered near-hurricane strength winds from Hurricane Harvey in 2017 and </w:t>
      </w:r>
      <w:r w:rsidR="00134B89">
        <w:t xml:space="preserve">later </w:t>
      </w:r>
      <w:r w:rsidR="00273CEC">
        <w:t>experienced a catastrophic flood in 2017 when Lake Travis crested 30 feet above flood stage, engulfing homes and stranding residents.</w:t>
      </w:r>
      <w:r>
        <w:rPr>
          <w:rStyle w:val="FootnoteReference"/>
        </w:rPr>
        <w:footnoteReference w:id="5"/>
      </w:r>
      <w:r w:rsidR="00273CEC">
        <w:t xml:space="preserve">  In both these incidents, coverage from the City’s TIS did not </w:t>
      </w:r>
      <w:r w:rsidR="00795057">
        <w:t xml:space="preserve">adequately </w:t>
      </w:r>
      <w:r w:rsidR="00273CEC">
        <w:t xml:space="preserve">extend to </w:t>
      </w:r>
      <w:r w:rsidR="003F40E9">
        <w:t xml:space="preserve">the </w:t>
      </w:r>
      <w:r w:rsidR="00273CEC">
        <w:t>affected areas.</w:t>
      </w:r>
      <w:r w:rsidRPr="0073715E" w:rsidR="003F40E9">
        <w:t xml:space="preserve"> </w:t>
      </w:r>
      <w:r w:rsidR="007C2BE8">
        <w:t xml:space="preserve"> </w:t>
      </w:r>
      <w:r w:rsidR="003F40E9">
        <w:t xml:space="preserve">The City also characterizes itself as a wooded community where motorists </w:t>
      </w:r>
      <w:r w:rsidR="009F25F6">
        <w:t xml:space="preserve">not served by the current TIS facility </w:t>
      </w:r>
      <w:r w:rsidR="003F40E9">
        <w:t>need information on road conditions and fire hazards.</w:t>
      </w:r>
      <w:r>
        <w:rPr>
          <w:sz w:val="20"/>
          <w:vertAlign w:val="superscript"/>
        </w:rPr>
        <w:footnoteReference w:id="6"/>
      </w:r>
      <w:r w:rsidRPr="0073715E">
        <w:t xml:space="preserve">  </w:t>
      </w:r>
      <w:r w:rsidR="003F40E9">
        <w:t xml:space="preserve">Lago Vista states that improving coverage by operating its TIS at the parameters proposed in its waiver request is preferable to installing </w:t>
      </w:r>
      <w:r w:rsidR="005E49C6">
        <w:t>additional TIS facilities</w:t>
      </w:r>
      <w:r w:rsidR="00E6562C">
        <w:t>, i.e.,</w:t>
      </w:r>
      <w:r w:rsidRPr="0073715E" w:rsidR="003F40E9">
        <w:t xml:space="preserve"> “the cost to the community to install synchronous repeater stations to enlarge the signal is huge compared to merely using all 10 watts of the present system’s power.”</w:t>
      </w:r>
      <w:r>
        <w:rPr>
          <w:vertAlign w:val="superscript"/>
        </w:rPr>
        <w:footnoteReference w:id="7"/>
      </w:r>
      <w:r w:rsidRPr="0073715E" w:rsidR="003F40E9">
        <w:t xml:space="preserve"> </w:t>
      </w:r>
    </w:p>
    <w:p w:rsidR="00E6562C" w:rsidRPr="00E6562C" w:rsidP="009F25F6">
      <w:pPr>
        <w:pStyle w:val="ParaNum"/>
        <w:widowControl/>
        <w:tabs>
          <w:tab w:val="num" w:pos="1080"/>
          <w:tab w:val="clear" w:pos="1620"/>
        </w:tabs>
        <w:ind w:left="0"/>
        <w:rPr>
          <w:szCs w:val="22"/>
        </w:rPr>
      </w:pPr>
      <w:r>
        <w:t>In an engineering study</w:t>
      </w:r>
      <w:r w:rsidR="007C2BE8">
        <w:t>,</w:t>
      </w:r>
      <w:r>
        <w:t xml:space="preserve"> Lago Vista demonstrates that its proposal comports with the </w:t>
      </w:r>
      <w:r w:rsidRPr="00660AE9" w:rsidR="00660AE9">
        <w:t>TIS spacing rule</w:t>
      </w:r>
      <w:r>
        <w:rPr>
          <w:sz w:val="20"/>
          <w:vertAlign w:val="superscript"/>
        </w:rPr>
        <w:footnoteReference w:id="8"/>
      </w:r>
      <w:r w:rsidR="002C54EC">
        <w:t xml:space="preserve"> relative to </w:t>
      </w:r>
      <w:r w:rsidR="002F1D0A">
        <w:t xml:space="preserve">the closest </w:t>
      </w:r>
      <w:r w:rsidR="002C54EC">
        <w:t xml:space="preserve">co-channel station </w:t>
      </w:r>
      <w:r w:rsidR="00120D5B">
        <w:t>(</w:t>
      </w:r>
      <w:r w:rsidRPr="002C54EC" w:rsidR="002C54EC">
        <w:t>XEFCR,</w:t>
      </w:r>
      <w:r w:rsidR="009F25F6">
        <w:t xml:space="preserve"> 1670 kilohertz, </w:t>
      </w:r>
      <w:r w:rsidRPr="002C54EC" w:rsidR="009F25F6">
        <w:t>Reynosa</w:t>
      </w:r>
      <w:r w:rsidRPr="002C54EC" w:rsidR="002C54EC">
        <w:t xml:space="preserve">, </w:t>
      </w:r>
      <w:r w:rsidR="002C54EC">
        <w:t>Mexico</w:t>
      </w:r>
      <w:r w:rsidR="00120D5B">
        <w:t>)</w:t>
      </w:r>
      <w:r w:rsidR="002C54EC">
        <w:t xml:space="preserve"> </w:t>
      </w:r>
      <w:r w:rsidR="002F1D0A">
        <w:t xml:space="preserve">and </w:t>
      </w:r>
      <w:r w:rsidR="009F25F6">
        <w:t xml:space="preserve">the </w:t>
      </w:r>
      <w:r w:rsidR="002F1D0A">
        <w:t>closest adjacent channel station</w:t>
      </w:r>
      <w:r w:rsidRPr="002F1D0A" w:rsidR="002F1D0A">
        <w:t xml:space="preserve"> </w:t>
      </w:r>
      <w:r w:rsidR="00120D5B">
        <w:t>(</w:t>
      </w:r>
      <w:r w:rsidRPr="002F1D0A" w:rsidR="002F1D0A">
        <w:t>KRZI</w:t>
      </w:r>
      <w:r w:rsidR="009F25F6">
        <w:t>, 1660 kilohertz,</w:t>
      </w:r>
      <w:r w:rsidRPr="002F1D0A" w:rsidR="002F1D0A">
        <w:t xml:space="preserve"> Waco, </w:t>
      </w:r>
      <w:r w:rsidR="002F1D0A">
        <w:t>Texas</w:t>
      </w:r>
      <w:r w:rsidR="00120D5B">
        <w:t>)</w:t>
      </w:r>
      <w:r w:rsidR="002F1D0A">
        <w:t>.</w:t>
      </w:r>
      <w:r>
        <w:rPr>
          <w:rStyle w:val="FootnoteReference"/>
        </w:rPr>
        <w:footnoteReference w:id="9"/>
      </w:r>
      <w:r w:rsidRPr="002C54EC" w:rsidR="002C54EC">
        <w:t xml:space="preserve"> </w:t>
      </w:r>
    </w:p>
    <w:p w:rsidR="002A169C" w:rsidRPr="0073715E" w:rsidP="009F25F6">
      <w:pPr>
        <w:pStyle w:val="ParaNum"/>
        <w:widowControl/>
        <w:tabs>
          <w:tab w:val="num" w:pos="1080"/>
          <w:tab w:val="clear" w:pos="1620"/>
        </w:tabs>
        <w:ind w:left="0"/>
        <w:rPr>
          <w:szCs w:val="22"/>
        </w:rPr>
      </w:pPr>
      <w:r>
        <w:t>Addressing the Commission’s waiver criteria,</w:t>
      </w:r>
      <w:r>
        <w:rPr>
          <w:rStyle w:val="FootnoteReference"/>
        </w:rPr>
        <w:footnoteReference w:id="10"/>
      </w:r>
      <w:r>
        <w:t xml:space="preserve"> the City contends that requiring Lago Vista to conform to </w:t>
      </w:r>
      <w:r w:rsidRPr="00E6562C">
        <w:rPr>
          <w:snapToGrid/>
        </w:rPr>
        <w:t xml:space="preserve">section 90.242(b)(4)(iv) </w:t>
      </w:r>
      <w:r w:rsidR="002F1D0A">
        <w:rPr>
          <w:snapToGrid/>
        </w:rPr>
        <w:t xml:space="preserve">– whose purpose is to protect broadcasters from TIS interference </w:t>
      </w:r>
      <w:r w:rsidRPr="005A7D31" w:rsidR="005A7D31">
        <w:rPr>
          <w:snapToGrid/>
        </w:rPr>
        <w:t>–</w:t>
      </w:r>
      <w:r w:rsidRPr="00E6562C">
        <w:rPr>
          <w:snapToGrid/>
        </w:rPr>
        <w:t>w</w:t>
      </w:r>
      <w:r>
        <w:rPr>
          <w:snapToGrid/>
        </w:rPr>
        <w:t xml:space="preserve">ould </w:t>
      </w:r>
      <w:r w:rsidR="002F1D0A">
        <w:rPr>
          <w:snapToGrid/>
        </w:rPr>
        <w:t xml:space="preserve">not be served if applied to the instant matter because Lago Vista has demonstrated the lack of interference from its proposed TIS facility. </w:t>
      </w:r>
      <w:r w:rsidR="00B3706B">
        <w:rPr>
          <w:snapToGrid/>
        </w:rPr>
        <w:t xml:space="preserve"> </w:t>
      </w:r>
      <w:r>
        <w:rPr>
          <w:snapToGrid/>
        </w:rPr>
        <w:t xml:space="preserve">The City also submits that </w:t>
      </w:r>
      <w:r w:rsidRPr="00E6562C">
        <w:rPr>
          <w:snapToGrid/>
        </w:rPr>
        <w:t>strict adherence to section 90.242(b)(4)(iv)</w:t>
      </w:r>
      <w:r>
        <w:rPr>
          <w:snapToGrid/>
        </w:rPr>
        <w:t xml:space="preserve"> </w:t>
      </w:r>
      <w:r w:rsidRPr="00E6562C">
        <w:rPr>
          <w:snapToGrid/>
        </w:rPr>
        <w:t xml:space="preserve">would have the unintended effect </w:t>
      </w:r>
      <w:r w:rsidRPr="00E6562C" w:rsidR="007B05DD">
        <w:rPr>
          <w:snapToGrid/>
        </w:rPr>
        <w:t xml:space="preserve">of </w:t>
      </w:r>
      <w:r w:rsidR="007B05DD">
        <w:rPr>
          <w:snapToGrid/>
        </w:rPr>
        <w:t xml:space="preserve">requiring Lago Vista to install additional </w:t>
      </w:r>
      <w:r w:rsidR="00134B89">
        <w:rPr>
          <w:snapToGrid/>
        </w:rPr>
        <w:t xml:space="preserve">expensive </w:t>
      </w:r>
      <w:r w:rsidR="007B05DD">
        <w:rPr>
          <w:snapToGrid/>
        </w:rPr>
        <w:t>TIS facilities to realize expanded coverage.</w:t>
      </w:r>
      <w:r>
        <w:rPr>
          <w:rStyle w:val="FootnoteReference"/>
          <w:snapToGrid/>
        </w:rPr>
        <w:footnoteReference w:id="11"/>
      </w:r>
      <w:r w:rsidR="007B05DD">
        <w:rPr>
          <w:snapToGrid/>
        </w:rPr>
        <w:t xml:space="preserve"> </w:t>
      </w:r>
      <w:r w:rsidR="00B3706B">
        <w:rPr>
          <w:snapToGrid/>
        </w:rPr>
        <w:t xml:space="preserve"> </w:t>
      </w:r>
      <w:r w:rsidR="007B05DD">
        <w:rPr>
          <w:snapToGrid/>
        </w:rPr>
        <w:t xml:space="preserve">Section </w:t>
      </w:r>
      <w:r w:rsidRPr="007B05DD" w:rsidR="007B05DD">
        <w:rPr>
          <w:snapToGrid/>
        </w:rPr>
        <w:t>90.242(b)(4)(iv)</w:t>
      </w:r>
      <w:r w:rsidR="007B05DD">
        <w:rPr>
          <w:snapToGrid/>
        </w:rPr>
        <w:t xml:space="preserve"> was not intended, the City argues, to impose a cost burden on agencies responsible for informing the travelling public</w:t>
      </w:r>
      <w:r>
        <w:rPr>
          <w:snapToGrid/>
          <w:sz w:val="20"/>
          <w:vertAlign w:val="superscript"/>
        </w:rPr>
        <w:footnoteReference w:id="12"/>
      </w:r>
    </w:p>
    <w:p w:rsidR="007B05DD" w:rsidRPr="007B05DD" w:rsidP="009F25F6">
      <w:pPr>
        <w:pStyle w:val="Heading1"/>
        <w:widowControl/>
      </w:pPr>
      <w:r w:rsidRPr="007B05DD">
        <w:t>DISCUSSION</w:t>
      </w:r>
    </w:p>
    <w:p w:rsidR="00134B89" w:rsidP="009F25F6">
      <w:pPr>
        <w:pStyle w:val="ParaNum"/>
        <w:widowControl/>
        <w:tabs>
          <w:tab w:val="num" w:pos="1080"/>
          <w:tab w:val="clear" w:pos="1620"/>
        </w:tabs>
        <w:ind w:left="0"/>
      </w:pPr>
      <w:r w:rsidRPr="007B05DD">
        <w:t xml:space="preserve">Section 1.925(b)(3) of the Commission’s rules provides that: “the Commission may grant a request for waiver if it is shown that: </w:t>
      </w:r>
      <w:bookmarkStart w:id="1" w:name="SP;619100004c4a2"/>
      <w:bookmarkStart w:id="2" w:name="I0C18FFF043ED11E0B2C484FD2F1B6B50"/>
      <w:bookmarkStart w:id="3" w:name="I0C172B3643ED11E0B2C484FD2F1B6B50"/>
      <w:bookmarkEnd w:id="1"/>
      <w:bookmarkEnd w:id="2"/>
      <w:bookmarkEnd w:id="3"/>
      <w:r w:rsidRPr="007B05DD">
        <w:t xml:space="preserve">(i) The underlying purpose of the rule(s) would not be served or would be frustrated by application to the instant case, and that a grant of the requested waiver would be in the public interest; or </w:t>
      </w:r>
      <w:bookmarkStart w:id="4" w:name="SP;3ac8000039643"/>
      <w:bookmarkStart w:id="5" w:name="I0C19270043ED11E0B2C484FD2F1B6B50"/>
      <w:bookmarkStart w:id="6" w:name="I0C172B3743ED11E0B2C484FD2F1B6B50"/>
      <w:bookmarkEnd w:id="4"/>
      <w:bookmarkEnd w:id="5"/>
      <w:bookmarkEnd w:id="6"/>
      <w:r w:rsidRPr="007B05DD">
        <w:t>(ii)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13"/>
      </w:r>
      <w:r w:rsidRPr="007B05DD">
        <w:t xml:space="preserve">  An applicant seeking a waiver faces a high hurdle and must plead with particularity the facts and circumstances that warrant a waiver.</w:t>
      </w:r>
      <w:r>
        <w:rPr>
          <w:vertAlign w:val="superscript"/>
        </w:rPr>
        <w:footnoteReference w:id="14"/>
      </w:r>
      <w:r w:rsidRPr="007B05DD">
        <w:t xml:space="preserve">  </w:t>
      </w:r>
    </w:p>
    <w:p w:rsidR="007B05DD" w:rsidRPr="007B05DD" w:rsidP="009F25F6">
      <w:pPr>
        <w:pStyle w:val="ParaNum"/>
        <w:widowControl/>
        <w:tabs>
          <w:tab w:val="num" w:pos="1080"/>
          <w:tab w:val="clear" w:pos="1620"/>
        </w:tabs>
        <w:ind w:left="0"/>
      </w:pPr>
      <w:r w:rsidRPr="007B05DD">
        <w:t xml:space="preserve">  Based on the record before us we find that Lago Vista</w:t>
      </w:r>
      <w:r w:rsidR="00795057">
        <w:t xml:space="preserve"> has satisfied the first prong of the Commission’s waiver standard.  Lago Vista has demonstrated the need </w:t>
      </w:r>
      <w:r w:rsidR="00B3706B">
        <w:t xml:space="preserve">to expand </w:t>
      </w:r>
      <w:r w:rsidR="00795057">
        <w:t>its coverage</w:t>
      </w:r>
      <w:r w:rsidR="00134B89">
        <w:t xml:space="preserve"> </w:t>
      </w:r>
      <w:r w:rsidR="00B3706B">
        <w:t>to relay road conditions and other hazards to its community</w:t>
      </w:r>
      <w:r w:rsidR="00557754">
        <w:t>.</w:t>
      </w:r>
      <w:r w:rsidR="00B3706B">
        <w:t xml:space="preserve">  Additionally, </w:t>
      </w:r>
      <w:r w:rsidR="00134B89">
        <w:t xml:space="preserve">because the </w:t>
      </w:r>
      <w:r w:rsidR="00795057">
        <w:t xml:space="preserve">separation of the TIS from </w:t>
      </w:r>
      <w:r w:rsidR="00120D5B">
        <w:t xml:space="preserve">the nearest </w:t>
      </w:r>
      <w:r w:rsidR="00795057">
        <w:t>co-channel and adjacent-channel stations substantially exceeds th</w:t>
      </w:r>
      <w:r w:rsidR="005A7D31">
        <w:t>at</w:t>
      </w:r>
      <w:r w:rsidR="00795057">
        <w:t xml:space="preserve"> required by the rules, we are confident that grant of the waiver will not result in </w:t>
      </w:r>
      <w:r w:rsidR="00120D5B">
        <w:t xml:space="preserve">harmful </w:t>
      </w:r>
      <w:r w:rsidR="00795057">
        <w:t>interference.  Accordingly, we find that the requested waiver is in the public</w:t>
      </w:r>
      <w:r w:rsidR="00134B89">
        <w:t xml:space="preserve"> interest</w:t>
      </w:r>
      <w:r w:rsidRPr="007B05DD">
        <w:t>.</w:t>
      </w:r>
    </w:p>
    <w:p w:rsidR="007B05DD" w:rsidRPr="007B05DD" w:rsidP="009F25F6">
      <w:pPr>
        <w:pStyle w:val="Heading1"/>
        <w:widowControl/>
      </w:pPr>
      <w:r w:rsidRPr="007B05DD">
        <w:t>ordering clauses</w:t>
      </w:r>
    </w:p>
    <w:p w:rsidR="007B05DD" w:rsidRPr="007B05DD" w:rsidP="009F25F6">
      <w:pPr>
        <w:pStyle w:val="ParaNum"/>
        <w:widowControl/>
        <w:tabs>
          <w:tab w:val="num" w:pos="1080"/>
          <w:tab w:val="clear" w:pos="1620"/>
        </w:tabs>
        <w:ind w:left="0"/>
      </w:pPr>
      <w:r w:rsidRPr="007B05DD">
        <w:t>Accordingly, IT IS ORDERED, pursuant to Sections 4(i) and 303(r) of the Communications Act of 1934, as amended, 47 U.S.C. §§ 154(i), 303(r), and Section 1.925 of the Commission’s rules, 47 CFR § 1.925, that the Request for Waiver of the City of Lago Vista, T</w:t>
      </w:r>
      <w:r w:rsidR="007B739F">
        <w:t>exas</w:t>
      </w:r>
      <w:r w:rsidRPr="007B05DD">
        <w:t>, filed on August 6, 2019, IS GRANTED.</w:t>
      </w:r>
    </w:p>
    <w:p w:rsidR="007B05DD" w:rsidRPr="007B05DD" w:rsidP="009F25F6">
      <w:pPr>
        <w:pStyle w:val="ParaNum"/>
        <w:widowControl/>
        <w:tabs>
          <w:tab w:val="num" w:pos="1080"/>
          <w:tab w:val="clear" w:pos="1620"/>
        </w:tabs>
        <w:ind w:left="0"/>
      </w:pPr>
      <w:r w:rsidRPr="007B05DD">
        <w:t xml:space="preserve">IT IS FURTHER ORDERED, that application File No. </w:t>
      </w:r>
      <w:r w:rsidRPr="007B05DD">
        <w:rPr>
          <w:bCs/>
        </w:rPr>
        <w:t>0008754727</w:t>
      </w:r>
      <w:r w:rsidRPr="007B05DD">
        <w:t>, filed by the City of Lago Vista, T</w:t>
      </w:r>
      <w:r w:rsidR="005A7D31">
        <w:t>exas</w:t>
      </w:r>
      <w:r w:rsidRPr="007B05DD">
        <w:t xml:space="preserve"> SHALL BE PROCESSED in accordance with this Order and the Commission’s rules. </w:t>
      </w:r>
    </w:p>
    <w:p w:rsidR="007B05DD" w:rsidRPr="007B05DD" w:rsidP="009F25F6">
      <w:pPr>
        <w:pStyle w:val="ParaNum"/>
        <w:keepNext/>
        <w:keepLines/>
        <w:widowControl/>
        <w:tabs>
          <w:tab w:val="num" w:pos="1080"/>
          <w:tab w:val="clear" w:pos="1620"/>
        </w:tabs>
        <w:ind w:left="0"/>
      </w:pPr>
      <w:r w:rsidRPr="007B05DD">
        <w:t>This action is taken under delegated authority pursuant to Sections 0.191 and 0.392 of the Commission’s rules, 47 CFR §§ 0.191, 0.392.</w:t>
      </w:r>
    </w:p>
    <w:p w:rsidR="007B05DD" w:rsidRPr="007B05DD" w:rsidP="009F25F6">
      <w:pPr>
        <w:keepNext/>
        <w:keepLines/>
        <w:widowControl/>
        <w:spacing w:after="120"/>
        <w:ind w:left="3600"/>
      </w:pPr>
      <w:r w:rsidRPr="007B05DD">
        <w:br/>
        <w:t>FEDERAL COMMUNICATIONS COMMISSION</w:t>
      </w:r>
      <w:r w:rsidRPr="007B05DD">
        <w:br/>
      </w:r>
    </w:p>
    <w:p w:rsidR="007B05DD" w:rsidRPr="007B05DD" w:rsidP="009F25F6">
      <w:pPr>
        <w:keepNext/>
        <w:keepLines/>
        <w:widowControl/>
        <w:spacing w:after="120"/>
        <w:ind w:left="3600"/>
      </w:pPr>
      <w:r w:rsidRPr="007B05DD">
        <w:br/>
        <w:t>Michael J. Wilhelm</w:t>
      </w:r>
      <w:r w:rsidRPr="007B05DD">
        <w:t xml:space="preserve"> </w:t>
      </w:r>
      <w:r w:rsidRPr="007B05DD">
        <w:br/>
        <w:t>Chief, Policy and Licensing Division</w:t>
      </w:r>
      <w:r w:rsidRPr="007B05DD">
        <w:br/>
        <w:t>Public Safety and Homeland Security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58B5">
      <w:r>
        <w:separator/>
      </w:r>
    </w:p>
  </w:footnote>
  <w:footnote w:type="continuationSeparator" w:id="1">
    <w:p w:rsidR="005658B5" w:rsidP="00C721AC">
      <w:pPr>
        <w:spacing w:before="120"/>
        <w:rPr>
          <w:sz w:val="20"/>
        </w:rPr>
      </w:pPr>
      <w:r>
        <w:rPr>
          <w:sz w:val="20"/>
        </w:rPr>
        <w:t xml:space="preserve">(Continued from previous page)  </w:t>
      </w:r>
      <w:r>
        <w:rPr>
          <w:sz w:val="20"/>
        </w:rPr>
        <w:separator/>
      </w:r>
    </w:p>
  </w:footnote>
  <w:footnote w:type="continuationNotice" w:id="2">
    <w:p w:rsidR="005658B5" w:rsidRPr="00130BF3" w:rsidP="00130BF3">
      <w:pPr>
        <w:pStyle w:val="Footer"/>
      </w:pPr>
    </w:p>
  </w:footnote>
  <w:footnote w:id="3">
    <w:p w:rsidR="0073715E" w:rsidP="0073715E">
      <w:pPr>
        <w:pStyle w:val="FootnoteText"/>
      </w:pPr>
      <w:r>
        <w:rPr>
          <w:rStyle w:val="FootnoteReference"/>
        </w:rPr>
        <w:footnoteRef/>
      </w:r>
      <w:r>
        <w:t xml:space="preserve"> </w:t>
      </w:r>
      <w:r w:rsidRPr="006B719D">
        <w:rPr>
          <w:i/>
        </w:rPr>
        <w:t>See</w:t>
      </w:r>
      <w:r>
        <w:t xml:space="preserve"> File No</w:t>
      </w:r>
      <w:r w:rsidRPr="008725E9">
        <w:t>.</w:t>
      </w:r>
      <w:r w:rsidR="002C54EC">
        <w:rPr>
          <w:snapToGrid w:val="0"/>
          <w:spacing w:val="-2"/>
          <w:kern w:val="28"/>
          <w:sz w:val="22"/>
        </w:rPr>
        <w:t xml:space="preserve"> </w:t>
      </w:r>
      <w:r w:rsidRPr="0073715E" w:rsidR="00AE4B45">
        <w:t>0008754727</w:t>
      </w:r>
      <w:r>
        <w:t xml:space="preserve"> and accompanying Waiver Request of City of Lago Vista, TX (filed August 6, 2019 amended October 7, 2019) (Waiver Justification).</w:t>
      </w:r>
      <w:r w:rsidR="007C2BE8">
        <w:t xml:space="preserve"> </w:t>
      </w:r>
      <w:r>
        <w:t xml:space="preserve"> </w:t>
      </w:r>
      <w:r w:rsidRPr="0073715E">
        <w:t xml:space="preserve">Lago Vista’s TIS operates on frequency 1670 kilohertz in the AM radio band.  </w:t>
      </w:r>
    </w:p>
  </w:footnote>
  <w:footnote w:id="4">
    <w:p w:rsidR="002A169C" w:rsidP="002A169C">
      <w:pPr>
        <w:pStyle w:val="FootnoteText"/>
      </w:pPr>
      <w:r>
        <w:rPr>
          <w:rStyle w:val="FootnoteReference"/>
        </w:rPr>
        <w:footnoteRef/>
      </w:r>
      <w:r>
        <w:t xml:space="preserve"> </w:t>
      </w:r>
      <w:r w:rsidRPr="005E49C6" w:rsidR="005E49C6">
        <w:rPr>
          <w:i/>
        </w:rPr>
        <w:t xml:space="preserve">See </w:t>
      </w:r>
      <w:r w:rsidRPr="005E49C6" w:rsidR="005E49C6">
        <w:t>90.242(b)(4)(iv)</w:t>
      </w:r>
      <w:r w:rsidR="005E49C6">
        <w:t xml:space="preserve"> (</w:t>
      </w:r>
      <w:r>
        <w:t>“The field strength of the emission on the operating frequency shall not exceed 2 mV/m when measured with a standard field strength meter at a distance of 1.50 km (0.93 miles) from the transmitting antenna system.”</w:t>
      </w:r>
      <w:r w:rsidR="005E49C6">
        <w:t>)</w:t>
      </w:r>
      <w:r>
        <w:t xml:space="preserve"> </w:t>
      </w:r>
    </w:p>
  </w:footnote>
  <w:footnote w:id="5">
    <w:p w:rsidR="00AF4981">
      <w:pPr>
        <w:pStyle w:val="FootnoteText"/>
      </w:pPr>
      <w:r>
        <w:rPr>
          <w:rStyle w:val="FootnoteReference"/>
        </w:rPr>
        <w:footnoteRef/>
      </w:r>
      <w:r>
        <w:t xml:space="preserve"> Waiver Justification.</w:t>
      </w:r>
    </w:p>
  </w:footnote>
  <w:footnote w:id="6">
    <w:p w:rsidR="002A169C" w:rsidP="002A169C">
      <w:pPr>
        <w:pStyle w:val="FootnoteText"/>
      </w:pPr>
      <w:r>
        <w:rPr>
          <w:rStyle w:val="FootnoteReference"/>
        </w:rPr>
        <w:footnoteRef/>
      </w:r>
      <w:r>
        <w:t xml:space="preserve"> </w:t>
      </w:r>
      <w:r w:rsidRPr="00AF4981">
        <w:rPr>
          <w:i/>
        </w:rPr>
        <w:t>Id.</w:t>
      </w:r>
    </w:p>
  </w:footnote>
  <w:footnote w:id="7">
    <w:p w:rsidR="003F40E9" w:rsidRPr="005A7D31" w:rsidP="003F40E9">
      <w:pPr>
        <w:pStyle w:val="FootnoteText"/>
      </w:pPr>
      <w:r>
        <w:rPr>
          <w:rStyle w:val="FootnoteReference"/>
        </w:rPr>
        <w:footnoteRef/>
      </w:r>
      <w:r>
        <w:t xml:space="preserve"> </w:t>
      </w:r>
      <w:r w:rsidRPr="00AF4981">
        <w:rPr>
          <w:i/>
        </w:rPr>
        <w:t>Id.</w:t>
      </w:r>
      <w:r w:rsidR="005A7D31">
        <w:rPr>
          <w:i/>
        </w:rPr>
        <w:t xml:space="preserve"> </w:t>
      </w:r>
      <w:r w:rsidR="005A7D31">
        <w:t xml:space="preserve">Lago Vista will achieve its desired coverage by </w:t>
      </w:r>
      <w:r w:rsidR="009F25F6">
        <w:t xml:space="preserve">increasing the transmitter power output of its TIS facility to </w:t>
      </w:r>
      <w:r w:rsidR="005A7D31">
        <w:t>10</w:t>
      </w:r>
      <w:r w:rsidR="009F25F6">
        <w:t xml:space="preserve"> watts</w:t>
      </w:r>
      <w:r w:rsidR="005A7D31">
        <w:t xml:space="preserve">, the maximum permitted by </w:t>
      </w:r>
      <w:r w:rsidRPr="009F25F6" w:rsidR="005A7D31">
        <w:rPr>
          <w:snapToGrid w:val="0"/>
          <w:kern w:val="28"/>
        </w:rPr>
        <w:t>47 CFR § 90.242(b)(4)(iii).</w:t>
      </w:r>
      <w:r w:rsidR="005A7D31">
        <w:t xml:space="preserve"> </w:t>
      </w:r>
    </w:p>
  </w:footnote>
  <w:footnote w:id="8">
    <w:p w:rsidR="00660AE9" w:rsidP="00660AE9">
      <w:pPr>
        <w:pStyle w:val="FootnoteText"/>
      </w:pPr>
      <w:r>
        <w:rPr>
          <w:rStyle w:val="FootnoteReference"/>
        </w:rPr>
        <w:footnoteRef/>
      </w:r>
      <w:r>
        <w:t xml:space="preserve"> </w:t>
      </w:r>
      <w:r w:rsidRPr="00D16F29">
        <w:t>47 CFR §</w:t>
      </w:r>
      <w:r>
        <w:t xml:space="preserve"> 90.242(a)(2).</w:t>
      </w:r>
      <w:r w:rsidR="002C54EC">
        <w:t xml:space="preserve"> </w:t>
      </w:r>
      <w:r w:rsidRPr="002F1D0A" w:rsidR="002C54EC">
        <w:rPr>
          <w:i/>
        </w:rPr>
        <w:t xml:space="preserve">See </w:t>
      </w:r>
      <w:r w:rsidR="002C54EC">
        <w:t>Statement of Doug Vernier, October 7, 2019 appended to the Lago Vista application and waiver request</w:t>
      </w:r>
      <w:r w:rsidR="002F1D0A">
        <w:t xml:space="preserve"> (Engineering Statement)</w:t>
      </w:r>
      <w:r w:rsidR="002C54EC">
        <w:t xml:space="preserve">. </w:t>
      </w:r>
    </w:p>
  </w:footnote>
  <w:footnote w:id="9">
    <w:p w:rsidR="002F1D0A">
      <w:pPr>
        <w:pStyle w:val="FootnoteText"/>
      </w:pPr>
      <w:r>
        <w:rPr>
          <w:rStyle w:val="FootnoteReference"/>
        </w:rPr>
        <w:footnoteRef/>
      </w:r>
      <w:r>
        <w:t xml:space="preserve"> </w:t>
      </w:r>
      <w:r w:rsidRPr="002F1D0A">
        <w:rPr>
          <w:i/>
        </w:rPr>
        <w:t>See</w:t>
      </w:r>
      <w:r>
        <w:t xml:space="preserve"> Engineering Statement, Attachments 1-2. </w:t>
      </w:r>
    </w:p>
  </w:footnote>
  <w:footnote w:id="10">
    <w:p w:rsidR="005E49C6">
      <w:pPr>
        <w:pStyle w:val="FootnoteText"/>
      </w:pPr>
      <w:r>
        <w:rPr>
          <w:rStyle w:val="FootnoteReference"/>
        </w:rPr>
        <w:footnoteRef/>
      </w:r>
      <w:r>
        <w:t xml:space="preserve"> </w:t>
      </w:r>
      <w:r w:rsidRPr="005E49C6">
        <w:rPr>
          <w:i/>
        </w:rPr>
        <w:t>See</w:t>
      </w:r>
      <w:r>
        <w:t xml:space="preserve"> 47 CFR </w:t>
      </w:r>
      <w:r w:rsidRPr="007B05DD">
        <w:t>§</w:t>
      </w:r>
      <w:r>
        <w:t xml:space="preserve"> 1.925.</w:t>
      </w:r>
    </w:p>
  </w:footnote>
  <w:footnote w:id="11">
    <w:p w:rsidR="005E49C6">
      <w:pPr>
        <w:pStyle w:val="FootnoteText"/>
      </w:pPr>
      <w:r>
        <w:rPr>
          <w:rStyle w:val="FootnoteReference"/>
        </w:rPr>
        <w:footnoteRef/>
      </w:r>
      <w:r w:rsidR="00570A85">
        <w:rPr>
          <w:rStyle w:val="FootnoteReference"/>
        </w:rPr>
        <w:t xml:space="preserve"> </w:t>
      </w:r>
      <w:r w:rsidR="00570A85">
        <w:t>Waiver Justification.</w:t>
      </w:r>
    </w:p>
  </w:footnote>
  <w:footnote w:id="12">
    <w:p w:rsidR="00E6562C" w:rsidRPr="008F0CDB" w:rsidP="00E6562C">
      <w:pPr>
        <w:pStyle w:val="FootnoteText"/>
      </w:pPr>
      <w:r>
        <w:rPr>
          <w:rStyle w:val="FootnoteReference"/>
        </w:rPr>
        <w:footnoteRef/>
      </w:r>
      <w:r>
        <w:t xml:space="preserve"> </w:t>
      </w:r>
      <w:r w:rsidRPr="005A7D31">
        <w:rPr>
          <w:i/>
        </w:rPr>
        <w:t>Id.</w:t>
      </w:r>
    </w:p>
  </w:footnote>
  <w:footnote w:id="13">
    <w:p w:rsidR="007B05DD" w:rsidP="007B05DD">
      <w:pPr>
        <w:pStyle w:val="FootnoteText"/>
      </w:pPr>
      <w:r w:rsidRPr="00D16F29">
        <w:rPr>
          <w:rStyle w:val="FootnoteReference"/>
        </w:rPr>
        <w:footnoteRef/>
      </w:r>
      <w:r w:rsidRPr="00D16F29">
        <w:t xml:space="preserve"> 47 CFR § 1.925(b)(3).</w:t>
      </w:r>
    </w:p>
  </w:footnote>
  <w:footnote w:id="14">
    <w:p w:rsidR="007B05DD" w:rsidRPr="00A12717" w:rsidP="007B05DD">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w:t>
      </w:r>
      <w:r w:rsidRPr="00BD02E2">
        <w:rPr>
          <w:i/>
        </w:rPr>
        <w:t xml:space="preserve">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951A4">
      <w:t>20-7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951A4">
      <w:rPr>
        <w:spacing w:val="-2"/>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620"/>
        </w:tabs>
        <w:ind w:left="54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5E"/>
    <w:rsid w:val="00036039"/>
    <w:rsid w:val="00037F90"/>
    <w:rsid w:val="00073A90"/>
    <w:rsid w:val="000875BF"/>
    <w:rsid w:val="00096D8C"/>
    <w:rsid w:val="000C0B65"/>
    <w:rsid w:val="000E05FE"/>
    <w:rsid w:val="000E3D42"/>
    <w:rsid w:val="00120D5B"/>
    <w:rsid w:val="00122BD5"/>
    <w:rsid w:val="00130BF3"/>
    <w:rsid w:val="00133F79"/>
    <w:rsid w:val="00134B89"/>
    <w:rsid w:val="00194A66"/>
    <w:rsid w:val="001951A4"/>
    <w:rsid w:val="001D6BCF"/>
    <w:rsid w:val="001E01CA"/>
    <w:rsid w:val="00273CEC"/>
    <w:rsid w:val="00275CF5"/>
    <w:rsid w:val="0028301F"/>
    <w:rsid w:val="00285017"/>
    <w:rsid w:val="002A169C"/>
    <w:rsid w:val="002A2D2E"/>
    <w:rsid w:val="002C00E8"/>
    <w:rsid w:val="002C54EC"/>
    <w:rsid w:val="002F1D0A"/>
    <w:rsid w:val="00343749"/>
    <w:rsid w:val="003660ED"/>
    <w:rsid w:val="003B0550"/>
    <w:rsid w:val="003B694F"/>
    <w:rsid w:val="003F171C"/>
    <w:rsid w:val="003F40E9"/>
    <w:rsid w:val="004108A6"/>
    <w:rsid w:val="00412FC5"/>
    <w:rsid w:val="00422276"/>
    <w:rsid w:val="004242F1"/>
    <w:rsid w:val="00445A00"/>
    <w:rsid w:val="00451B0F"/>
    <w:rsid w:val="004C2EE3"/>
    <w:rsid w:val="004E4A22"/>
    <w:rsid w:val="00511968"/>
    <w:rsid w:val="0055614C"/>
    <w:rsid w:val="00557754"/>
    <w:rsid w:val="005658B5"/>
    <w:rsid w:val="00566D06"/>
    <w:rsid w:val="00570A85"/>
    <w:rsid w:val="005A7D31"/>
    <w:rsid w:val="005E14C2"/>
    <w:rsid w:val="005E49C6"/>
    <w:rsid w:val="00607BA5"/>
    <w:rsid w:val="0061180A"/>
    <w:rsid w:val="00626EB6"/>
    <w:rsid w:val="00655D03"/>
    <w:rsid w:val="00660AE9"/>
    <w:rsid w:val="00683388"/>
    <w:rsid w:val="00683F84"/>
    <w:rsid w:val="006A2D5B"/>
    <w:rsid w:val="006A6A81"/>
    <w:rsid w:val="006B719D"/>
    <w:rsid w:val="006F7393"/>
    <w:rsid w:val="0070224F"/>
    <w:rsid w:val="007115F7"/>
    <w:rsid w:val="0073715E"/>
    <w:rsid w:val="00785689"/>
    <w:rsid w:val="00795057"/>
    <w:rsid w:val="0079754B"/>
    <w:rsid w:val="007A1E6D"/>
    <w:rsid w:val="007B05DD"/>
    <w:rsid w:val="007B0EB2"/>
    <w:rsid w:val="007B739F"/>
    <w:rsid w:val="007C2BE8"/>
    <w:rsid w:val="00810B6F"/>
    <w:rsid w:val="00822CE0"/>
    <w:rsid w:val="00841AB1"/>
    <w:rsid w:val="008725E9"/>
    <w:rsid w:val="008C3E56"/>
    <w:rsid w:val="008C68F1"/>
    <w:rsid w:val="008D56B3"/>
    <w:rsid w:val="008F0CDB"/>
    <w:rsid w:val="008F3D82"/>
    <w:rsid w:val="00921803"/>
    <w:rsid w:val="00926503"/>
    <w:rsid w:val="009726D8"/>
    <w:rsid w:val="009B3567"/>
    <w:rsid w:val="009D7308"/>
    <w:rsid w:val="009F25F6"/>
    <w:rsid w:val="009F76DB"/>
    <w:rsid w:val="00A12717"/>
    <w:rsid w:val="00A32C3B"/>
    <w:rsid w:val="00A45F4F"/>
    <w:rsid w:val="00A600A9"/>
    <w:rsid w:val="00AA55B7"/>
    <w:rsid w:val="00AA5B9E"/>
    <w:rsid w:val="00AB2407"/>
    <w:rsid w:val="00AB53DF"/>
    <w:rsid w:val="00AC0D18"/>
    <w:rsid w:val="00AE4B45"/>
    <w:rsid w:val="00AF4981"/>
    <w:rsid w:val="00B07E5C"/>
    <w:rsid w:val="00B267A5"/>
    <w:rsid w:val="00B3706B"/>
    <w:rsid w:val="00B811F7"/>
    <w:rsid w:val="00BA5DC6"/>
    <w:rsid w:val="00BA6196"/>
    <w:rsid w:val="00BC6D8C"/>
    <w:rsid w:val="00BD02E2"/>
    <w:rsid w:val="00C34006"/>
    <w:rsid w:val="00C36B4C"/>
    <w:rsid w:val="00C426B1"/>
    <w:rsid w:val="00C66160"/>
    <w:rsid w:val="00C721AC"/>
    <w:rsid w:val="00C90D6A"/>
    <w:rsid w:val="00CA247E"/>
    <w:rsid w:val="00CA6D21"/>
    <w:rsid w:val="00CB20BE"/>
    <w:rsid w:val="00CC72B6"/>
    <w:rsid w:val="00D0218D"/>
    <w:rsid w:val="00D16F29"/>
    <w:rsid w:val="00D25FB5"/>
    <w:rsid w:val="00D44223"/>
    <w:rsid w:val="00D70378"/>
    <w:rsid w:val="00DA2529"/>
    <w:rsid w:val="00DA2790"/>
    <w:rsid w:val="00DB130A"/>
    <w:rsid w:val="00DB2EBB"/>
    <w:rsid w:val="00DC10A1"/>
    <w:rsid w:val="00DC655F"/>
    <w:rsid w:val="00DD0B59"/>
    <w:rsid w:val="00DD7EBD"/>
    <w:rsid w:val="00DF62B6"/>
    <w:rsid w:val="00E07225"/>
    <w:rsid w:val="00E5409F"/>
    <w:rsid w:val="00E6562C"/>
    <w:rsid w:val="00EC5201"/>
    <w:rsid w:val="00EE6488"/>
    <w:rsid w:val="00F021FA"/>
    <w:rsid w:val="00F550A3"/>
    <w:rsid w:val="00F62E97"/>
    <w:rsid w:val="00F64209"/>
    <w:rsid w:val="00F847B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3D2C66-CAA9-490A-B397-F47A87F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Appel note de bas de p,Style 12,Style 124,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sid w:val="0073715E"/>
  </w:style>
  <w:style w:type="paragraph" w:styleId="BalloonText">
    <w:name w:val="Balloon Text"/>
    <w:basedOn w:val="Normal"/>
    <w:link w:val="BalloonTextChar"/>
    <w:rsid w:val="00073A90"/>
    <w:rPr>
      <w:rFonts w:ascii="Segoe UI" w:hAnsi="Segoe UI" w:cs="Segoe UI"/>
      <w:sz w:val="18"/>
      <w:szCs w:val="18"/>
    </w:rPr>
  </w:style>
  <w:style w:type="character" w:customStyle="1" w:styleId="BalloonTextChar">
    <w:name w:val="Balloon Text Char"/>
    <w:basedOn w:val="DefaultParagraphFont"/>
    <w:link w:val="BalloonText"/>
    <w:rsid w:val="00073A9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