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1BDD659D" w14:textId="77777777">
      <w:pPr>
        <w:jc w:val="right"/>
        <w:rPr>
          <w:sz w:val="24"/>
        </w:rPr>
      </w:pPr>
      <w:bookmarkStart w:id="0" w:name="_GoBack"/>
      <w:bookmarkEnd w:id="0"/>
    </w:p>
    <w:p w:rsidR="00013A8B" w:rsidRPr="00B20363" w:rsidP="00013A8B" w14:paraId="178FFC73" w14:textId="327E631A">
      <w:pPr>
        <w:jc w:val="right"/>
        <w:rPr>
          <w:b/>
          <w:sz w:val="24"/>
        </w:rPr>
      </w:pPr>
      <w:r>
        <w:rPr>
          <w:b/>
          <w:sz w:val="24"/>
        </w:rPr>
        <w:t>DA 20-</w:t>
      </w:r>
      <w:r w:rsidR="00535CB5">
        <w:rPr>
          <w:b/>
          <w:sz w:val="24"/>
        </w:rPr>
        <w:t>802</w:t>
      </w:r>
    </w:p>
    <w:p w:rsidR="00013A8B" w:rsidP="00013A8B" w14:paraId="09D4750A" w14:textId="20ADF8C8">
      <w:pPr>
        <w:spacing w:before="60"/>
        <w:jc w:val="right"/>
        <w:rPr>
          <w:b/>
          <w:sz w:val="24"/>
        </w:rPr>
      </w:pPr>
      <w:r>
        <w:rPr>
          <w:b/>
          <w:sz w:val="24"/>
        </w:rPr>
        <w:t xml:space="preserve">Released: </w:t>
      </w:r>
      <w:r w:rsidR="001D7C62">
        <w:rPr>
          <w:b/>
          <w:sz w:val="24"/>
        </w:rPr>
        <w:t>July 30, 2020</w:t>
      </w:r>
    </w:p>
    <w:p w:rsidR="006A425A" w:rsidRPr="00B20363" w:rsidP="00013A8B" w14:paraId="369AA905" w14:textId="77777777">
      <w:pPr>
        <w:spacing w:before="60"/>
        <w:jc w:val="right"/>
        <w:rPr>
          <w:b/>
          <w:sz w:val="24"/>
        </w:rPr>
      </w:pPr>
      <w:r w:rsidRPr="006A425A">
        <w:rPr>
          <w:b/>
          <w:sz w:val="24"/>
        </w:rPr>
        <w:t>OMB Control No. 2020-1272</w:t>
      </w:r>
    </w:p>
    <w:p w:rsidR="00013A8B" w:rsidP="00013A8B" w14:paraId="6652FAFB" w14:textId="77777777">
      <w:pPr>
        <w:jc w:val="right"/>
        <w:rPr>
          <w:sz w:val="24"/>
        </w:rPr>
      </w:pPr>
    </w:p>
    <w:p w:rsidR="00013A8B" w:rsidP="00013A8B" w14:paraId="18736B0B" w14:textId="1BD26800">
      <w:pPr>
        <w:spacing w:after="240"/>
        <w:jc w:val="center"/>
        <w:rPr>
          <w:rFonts w:ascii="Times New Roman Bold" w:hAnsi="Times New Roman Bold"/>
          <w:b/>
          <w:caps/>
          <w:sz w:val="24"/>
        </w:rPr>
      </w:pPr>
      <w:r w:rsidRPr="00D33283">
        <w:rPr>
          <w:rFonts w:ascii="Times New Roman Bold" w:hAnsi="Times New Roman Bold"/>
          <w:b/>
          <w:caps/>
          <w:sz w:val="24"/>
        </w:rPr>
        <w:t xml:space="preserve">wireless telecommunications bureau </w:t>
      </w:r>
      <w:r w:rsidR="00555FFC">
        <w:rPr>
          <w:rFonts w:ascii="Times New Roman Bold" w:hAnsi="Times New Roman Bold"/>
          <w:b/>
          <w:caps/>
          <w:sz w:val="24"/>
        </w:rPr>
        <w:t>Release</w:t>
      </w:r>
      <w:r w:rsidR="0056641A">
        <w:rPr>
          <w:rFonts w:ascii="Times New Roman Bold" w:hAnsi="Times New Roman Bold"/>
          <w:b/>
          <w:caps/>
          <w:sz w:val="24"/>
        </w:rPr>
        <w:t>s</w:t>
      </w:r>
      <w:r w:rsidR="00555FFC">
        <w:rPr>
          <w:rFonts w:ascii="Times New Roman Bold" w:hAnsi="Times New Roman Bold"/>
          <w:b/>
          <w:caps/>
          <w:sz w:val="24"/>
        </w:rPr>
        <w:t xml:space="preserve"> Final</w:t>
      </w:r>
      <w:r w:rsidRPr="00D33283">
        <w:rPr>
          <w:rFonts w:ascii="Times New Roman Bold" w:hAnsi="Times New Roman Bold"/>
          <w:b/>
          <w:caps/>
          <w:sz w:val="24"/>
        </w:rPr>
        <w:t xml:space="preserve"> cost </w:t>
      </w:r>
      <w:r w:rsidR="00FB3ACD">
        <w:rPr>
          <w:rFonts w:ascii="Times New Roman Bold" w:hAnsi="Times New Roman Bold"/>
          <w:b/>
          <w:caps/>
          <w:sz w:val="24"/>
        </w:rPr>
        <w:t>CATEGORY SCHEDULE</w:t>
      </w:r>
      <w:r w:rsidRPr="00D33283" w:rsidR="00FB3ACD">
        <w:rPr>
          <w:rFonts w:ascii="Times New Roman Bold" w:hAnsi="Times New Roman Bold"/>
          <w:b/>
          <w:caps/>
          <w:sz w:val="24"/>
        </w:rPr>
        <w:t xml:space="preserve"> </w:t>
      </w:r>
      <w:r w:rsidRPr="00D33283">
        <w:rPr>
          <w:rFonts w:ascii="Times New Roman Bold" w:hAnsi="Times New Roman Bold"/>
          <w:b/>
          <w:caps/>
          <w:sz w:val="24"/>
        </w:rPr>
        <w:t>for 3.7-4.2 ghz Band relocation</w:t>
      </w:r>
      <w:r>
        <w:rPr>
          <w:rFonts w:ascii="Times New Roman Bold" w:hAnsi="Times New Roman Bold"/>
          <w:b/>
          <w:caps/>
          <w:sz w:val="24"/>
        </w:rPr>
        <w:t xml:space="preserve"> Expenses</w:t>
      </w:r>
      <w:r w:rsidR="00555FFC">
        <w:rPr>
          <w:rFonts w:ascii="Times New Roman Bold" w:hAnsi="Times New Roman Bold"/>
          <w:b/>
          <w:caps/>
          <w:sz w:val="24"/>
        </w:rPr>
        <w:t xml:space="preserve"> and announce</w:t>
      </w:r>
      <w:r w:rsidR="0056641A">
        <w:rPr>
          <w:rFonts w:ascii="Times New Roman Bold" w:hAnsi="Times New Roman Bold"/>
          <w:b/>
          <w:caps/>
          <w:sz w:val="24"/>
        </w:rPr>
        <w:t>s</w:t>
      </w:r>
      <w:r w:rsidR="00555FFC">
        <w:rPr>
          <w:rFonts w:ascii="Times New Roman Bold" w:hAnsi="Times New Roman Bold"/>
          <w:b/>
          <w:caps/>
          <w:sz w:val="24"/>
        </w:rPr>
        <w:t xml:space="preserve"> process </w:t>
      </w:r>
      <w:r w:rsidR="00F40AAB">
        <w:rPr>
          <w:rFonts w:ascii="Times New Roman Bold" w:hAnsi="Times New Roman Bold"/>
          <w:b/>
          <w:caps/>
          <w:sz w:val="24"/>
        </w:rPr>
        <w:t xml:space="preserve">and Deadline </w:t>
      </w:r>
      <w:r w:rsidR="00555FFC">
        <w:rPr>
          <w:rFonts w:ascii="Times New Roman Bold" w:hAnsi="Times New Roman Bold"/>
          <w:b/>
          <w:caps/>
          <w:sz w:val="24"/>
        </w:rPr>
        <w:t>for Lump Sum Elections</w:t>
      </w:r>
    </w:p>
    <w:p w:rsidR="00321A1D" w:rsidP="00013A8B" w14:paraId="71EC8DFB" w14:textId="58D9E0C6">
      <w:pPr>
        <w:spacing w:after="240"/>
        <w:jc w:val="center"/>
        <w:rPr>
          <w:rFonts w:ascii="Times New Roman Bold" w:hAnsi="Times New Roman Bold"/>
          <w:b/>
          <w:caps/>
          <w:sz w:val="24"/>
        </w:rPr>
      </w:pPr>
      <w:r w:rsidRPr="00D33283">
        <w:rPr>
          <w:b/>
          <w:sz w:val="24"/>
        </w:rPr>
        <w:t>GN Docket No. 18-122</w:t>
      </w:r>
      <w:r>
        <w:rPr>
          <w:b/>
          <w:sz w:val="24"/>
        </w:rPr>
        <w:t>; IB Docket No. 20-</w:t>
      </w:r>
      <w:r w:rsidRPr="003F657B">
        <w:rPr>
          <w:b/>
          <w:sz w:val="24"/>
        </w:rPr>
        <w:t>205</w:t>
      </w:r>
    </w:p>
    <w:p w:rsidR="00E609B3" w:rsidP="001B6168" w14:paraId="4321021B" w14:textId="2E1BC775">
      <w:pPr>
        <w:rPr>
          <w:b/>
          <w:bCs/>
          <w:sz w:val="24"/>
        </w:rPr>
      </w:pPr>
    </w:p>
    <w:p w:rsidR="00F40AAB" w:rsidRPr="004B47E0" w:rsidP="001B6168" w14:paraId="4F9C1AF2" w14:textId="2B6B5252">
      <w:pPr>
        <w:rPr>
          <w:b/>
          <w:sz w:val="24"/>
        </w:rPr>
      </w:pPr>
      <w:r>
        <w:rPr>
          <w:b/>
          <w:bCs/>
          <w:sz w:val="24"/>
        </w:rPr>
        <w:t xml:space="preserve">Lump Sum Elections Due: </w:t>
      </w:r>
      <w:r w:rsidR="001D7C62">
        <w:rPr>
          <w:b/>
          <w:bCs/>
          <w:sz w:val="24"/>
        </w:rPr>
        <w:t>August 31, 2020</w:t>
      </w:r>
    </w:p>
    <w:p w:rsidR="00D43B9E" w:rsidP="001B6168" w14:paraId="45400700" w14:textId="1C3048BB">
      <w:pPr>
        <w:rPr>
          <w:sz w:val="24"/>
        </w:rPr>
      </w:pPr>
    </w:p>
    <w:p w:rsidR="00434161" w:rsidP="003B031F" w14:paraId="71EDD019" w14:textId="641064BB">
      <w:pPr>
        <w:pStyle w:val="TOCTitle"/>
      </w:pPr>
      <w:bookmarkStart w:id="1" w:name="TOChere"/>
      <w:r>
        <w:t>Table of Contents</w:t>
      </w:r>
    </w:p>
    <w:p w:rsidR="00D654CE" w:rsidP="003B031F" w14:paraId="63F551E4" w14:textId="01DFA963">
      <w:pPr>
        <w:pStyle w:val="Paratitle"/>
      </w:pPr>
      <w:r>
        <w:t>Heading</w:t>
      </w:r>
      <w:r>
        <w:tab/>
        <w:t>Paragraph #</w:t>
      </w:r>
      <w:bookmarkStart w:id="2" w:name="start_here"/>
      <w:bookmarkEnd w:id="2"/>
    </w:p>
    <w:p w:rsidR="00D654CE" w:rsidP="003B031F" w14:paraId="0FDED42F" w14:textId="40B17FAB">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D654CE" w:rsidP="003B031F" w14:paraId="727EC399" w14:textId="227C41AE">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Final Cost Catalog</w:t>
      </w:r>
      <w:r>
        <w:tab/>
        <w:t>5</w:t>
      </w:r>
    </w:p>
    <w:p w:rsidR="00D654CE" w:rsidP="003B031F" w14:paraId="0422AB17" w14:textId="6A535CBE">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Clarifications on the Use of the Cost Catalog for Reimbursement</w:t>
      </w:r>
      <w:r>
        <w:tab/>
        <w:t>6</w:t>
      </w:r>
    </w:p>
    <w:p w:rsidR="00D654CE" w:rsidP="003B031F" w14:paraId="410A310D" w14:textId="26C3E9B9">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Changes to Cost Catalog Cost Items and Tables</w:t>
      </w:r>
      <w:r>
        <w:tab/>
        <w:t>9</w:t>
      </w:r>
    </w:p>
    <w:p w:rsidR="00D654CE" w:rsidP="003B031F" w14:paraId="3F089331" w14:textId="01BBE6D1">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Updated Costs</w:t>
      </w:r>
      <w:r>
        <w:tab/>
        <w:t>12</w:t>
      </w:r>
    </w:p>
    <w:p w:rsidR="00D654CE" w:rsidP="003B031F" w14:paraId="4703A5FA" w14:textId="4E52BC4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Additional Issues Raised by Commenters</w:t>
      </w:r>
      <w:r>
        <w:tab/>
        <w:t>14</w:t>
      </w:r>
    </w:p>
    <w:p w:rsidR="00D654CE" w:rsidP="00D654CE" w14:paraId="7203463A" w14:textId="18F9ACE0">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Lump Sum Payments</w:t>
      </w:r>
      <w:r>
        <w:tab/>
        <w:t>16</w:t>
      </w:r>
    </w:p>
    <w:p w:rsidR="00D654CE" w:rsidP="003B031F" w14:paraId="02AA1A2E" w14:textId="364F723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The Cost of Integrated Receivers/Decoders and Transcoders for MVPD Technology Upgrades Are Separate from the Lump Sum Process</w:t>
      </w:r>
      <w:r>
        <w:tab/>
        <w:t>17</w:t>
      </w:r>
    </w:p>
    <w:p w:rsidR="00D654CE" w:rsidP="003B031F" w14:paraId="52BB1AF8" w14:textId="02E9488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Updates to the Lump Sum Categories</w:t>
      </w:r>
      <w:r>
        <w:tab/>
        <w:t>31</w:t>
      </w:r>
    </w:p>
    <w:p w:rsidR="00D654CE" w:rsidP="003B031F" w14:paraId="6F068824" w14:textId="604F995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Updates to the Lump Sum Amounts</w:t>
      </w:r>
      <w:r>
        <w:tab/>
        <w:t>34</w:t>
      </w:r>
    </w:p>
    <w:p w:rsidR="00D654CE" w:rsidP="003B031F" w14:paraId="68A1BB12" w14:textId="48A0A49A">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Lump Sum Election Process</w:t>
      </w:r>
      <w:r>
        <w:tab/>
        <w:t>39</w:t>
      </w:r>
    </w:p>
    <w:bookmarkEnd w:id="1"/>
    <w:p w:rsidR="00D654CE" w:rsidP="001B6168" w14:paraId="22398B75" w14:textId="77777777">
      <w:pPr>
        <w:rPr>
          <w:sz w:val="24"/>
        </w:rPr>
      </w:pPr>
    </w:p>
    <w:p w:rsidR="00321A1D" w:rsidRPr="00930ECF" w:rsidP="001B6168" w14:paraId="6EF48CA6" w14:textId="77777777">
      <w:pPr>
        <w:rPr>
          <w:sz w:val="24"/>
        </w:rPr>
      </w:pPr>
    </w:p>
    <w:p w:rsidR="00321A1D" w:rsidP="00AE35E3" w14:paraId="7C323947" w14:textId="4D8404BC">
      <w:pPr>
        <w:pStyle w:val="Heading1"/>
      </w:pPr>
      <w:bookmarkStart w:id="3" w:name="_Toc45031400"/>
      <w:bookmarkStart w:id="4" w:name="_Toc45117412"/>
      <w:bookmarkStart w:id="5" w:name="_Toc46160556"/>
      <w:bookmarkStart w:id="6" w:name="_Toc46503213"/>
      <w:bookmarkStart w:id="7" w:name="_Toc46744202"/>
      <w:bookmarkStart w:id="8" w:name="_Toc46935642"/>
      <w:r>
        <w:t>Introduction</w:t>
      </w:r>
      <w:bookmarkEnd w:id="3"/>
      <w:bookmarkEnd w:id="4"/>
      <w:bookmarkEnd w:id="5"/>
      <w:bookmarkEnd w:id="6"/>
      <w:bookmarkEnd w:id="7"/>
      <w:bookmarkEnd w:id="8"/>
    </w:p>
    <w:p w:rsidR="00555FFC" w:rsidP="003B031F" w14:paraId="32C294C6" w14:textId="1035D4D2">
      <w:pPr>
        <w:pStyle w:val="ParaNum"/>
        <w:tabs>
          <w:tab w:val="clear" w:pos="990"/>
          <w:tab w:val="num" w:pos="1440"/>
        </w:tabs>
      </w:pPr>
      <w:r>
        <w:t>With</w:t>
      </w:r>
      <w:r w:rsidRPr="008C4517" w:rsidR="00D33283">
        <w:t xml:space="preserve"> this Public Notice, the Wireless Telecommunications Bureau (the Bureau) </w:t>
      </w:r>
      <w:r>
        <w:t>release</w:t>
      </w:r>
      <w:r w:rsidR="0056641A">
        <w:t>s</w:t>
      </w:r>
      <w:r>
        <w:t xml:space="preserve"> </w:t>
      </w:r>
      <w:r w:rsidRPr="008C4517" w:rsidR="00D33283">
        <w:t xml:space="preserve">the </w:t>
      </w:r>
      <w:bookmarkStart w:id="9" w:name="_Hlk38880283"/>
      <w:r w:rsidR="00C25CC2">
        <w:t xml:space="preserve">attached </w:t>
      </w:r>
      <w:r w:rsidR="00B67895">
        <w:t xml:space="preserve">3.7 GHz Transition </w:t>
      </w:r>
      <w:r>
        <w:t>Final</w:t>
      </w:r>
      <w:r w:rsidR="00B67895">
        <w:t xml:space="preserve"> </w:t>
      </w:r>
      <w:r w:rsidRPr="008C4517" w:rsidR="00FB3ACD">
        <w:t>C</w:t>
      </w:r>
      <w:r w:rsidR="00FB3ACD">
        <w:t>ost Category</w:t>
      </w:r>
      <w:r w:rsidRPr="008C4517" w:rsidR="00FB3ACD">
        <w:t xml:space="preserve"> </w:t>
      </w:r>
      <w:r w:rsidR="000E109E">
        <w:t xml:space="preserve">Schedule </w:t>
      </w:r>
      <w:r w:rsidRPr="008C4517" w:rsidR="00D33283">
        <w:t xml:space="preserve">of Potential Expenses and Estimated Costs </w:t>
      </w:r>
      <w:bookmarkEnd w:id="9"/>
      <w:r w:rsidRPr="008C4517" w:rsidR="00D33283">
        <w:t xml:space="preserve">(Cost Catalog).  </w:t>
      </w:r>
      <w:r>
        <w:t>The Bureau also release</w:t>
      </w:r>
      <w:r w:rsidR="0056641A">
        <w:t>s</w:t>
      </w:r>
      <w:r>
        <w:t xml:space="preserve"> the</w:t>
      </w:r>
      <w:r w:rsidR="00C25CC2">
        <w:t xml:space="preserve"> optional</w:t>
      </w:r>
      <w:r>
        <w:t xml:space="preserve"> lump sum </w:t>
      </w:r>
      <w:r w:rsidR="00E24956">
        <w:t>payment amounts</w:t>
      </w:r>
      <w:r>
        <w:t xml:space="preserve"> for </w:t>
      </w:r>
      <w:r w:rsidRPr="00DB038D" w:rsidR="00DB038D">
        <w:t xml:space="preserve">which </w:t>
      </w:r>
      <w:r>
        <w:t>incumbent Fixed Satellite Service (FSS) earth station operators</w:t>
      </w:r>
      <w:r w:rsidR="00C25CC2">
        <w:t xml:space="preserve"> </w:t>
      </w:r>
      <w:r w:rsidRPr="005E0389" w:rsidR="005E0389">
        <w:t xml:space="preserve">are eligible </w:t>
      </w:r>
      <w:r w:rsidR="00C25CC2">
        <w:t>and announce</w:t>
      </w:r>
      <w:r w:rsidR="0056641A">
        <w:t>s</w:t>
      </w:r>
      <w:r>
        <w:t xml:space="preserve"> the process </w:t>
      </w:r>
      <w:r w:rsidR="00C25CC2">
        <w:t xml:space="preserve">and deadline </w:t>
      </w:r>
      <w:r>
        <w:t xml:space="preserve">for </w:t>
      </w:r>
      <w:r w:rsidR="00F40AAB">
        <w:t>electing to receive</w:t>
      </w:r>
      <w:r>
        <w:t xml:space="preserve"> lump sum payment</w:t>
      </w:r>
      <w:r w:rsidR="00F40AAB">
        <w:t>s</w:t>
      </w:r>
      <w:r>
        <w:t xml:space="preserve">.  </w:t>
      </w:r>
    </w:p>
    <w:p w:rsidR="00C25CC2" w:rsidP="003B031F" w14:paraId="6DD2481E" w14:textId="4D054B76">
      <w:pPr>
        <w:pStyle w:val="ParaNum"/>
        <w:tabs>
          <w:tab w:val="clear" w:pos="990"/>
          <w:tab w:val="num" w:pos="1440"/>
        </w:tabs>
      </w:pPr>
      <w:r w:rsidRPr="008C4517">
        <w:t xml:space="preserve">In the </w:t>
      </w:r>
      <w:r w:rsidRPr="008C4517">
        <w:rPr>
          <w:i/>
        </w:rPr>
        <w:t xml:space="preserve">3.7 GHz </w:t>
      </w:r>
      <w:r w:rsidR="009954AA">
        <w:rPr>
          <w:i/>
        </w:rPr>
        <w:t xml:space="preserve">Report and </w:t>
      </w:r>
      <w:r w:rsidRPr="008C4517">
        <w:rPr>
          <w:i/>
        </w:rPr>
        <w:t>Order</w:t>
      </w:r>
      <w:r w:rsidRPr="008C4517">
        <w:t xml:space="preserve">, the Commission adopted rules to make </w:t>
      </w:r>
      <w:r w:rsidR="004C65C2">
        <w:t>280</w:t>
      </w:r>
      <w:r w:rsidRPr="008C4517">
        <w:t xml:space="preserve"> megahertz of </w:t>
      </w:r>
      <w:r w:rsidR="00F6741A">
        <w:t xml:space="preserve">mid-band </w:t>
      </w:r>
      <w:r w:rsidRPr="008C4517">
        <w:t>spectrum available for flexible use</w:t>
      </w:r>
      <w:r w:rsidRPr="00F173F0" w:rsidR="00F173F0">
        <w:t xml:space="preserve"> (</w:t>
      </w:r>
      <w:r w:rsidR="00875DD8">
        <w:t>plus a 20 megahertz guard band</w:t>
      </w:r>
      <w:r w:rsidRPr="00DF6E6F" w:rsidR="00DF6E6F">
        <w:t>)</w:t>
      </w:r>
      <w:r w:rsidRPr="008C4517">
        <w:t xml:space="preserve"> </w:t>
      </w:r>
      <w:r w:rsidR="00107686">
        <w:t xml:space="preserve">throughout the contiguous United States </w:t>
      </w:r>
      <w:r w:rsidRPr="008C4517">
        <w:t xml:space="preserve">by transitioning existing services out of the lower portion </w:t>
      </w:r>
      <w:r w:rsidR="001B2C77">
        <w:t xml:space="preserve">of the band </w:t>
      </w:r>
      <w:r w:rsidR="00CF47B5">
        <w:t xml:space="preserve">and into </w:t>
      </w:r>
      <w:r w:rsidR="00CF47B5">
        <w:t xml:space="preserve">the upper 200 megahertz </w:t>
      </w:r>
      <w:r w:rsidRPr="008C4517">
        <w:t xml:space="preserve">of the </w:t>
      </w:r>
      <w:r w:rsidR="00E466B0">
        <w:t>3.7</w:t>
      </w:r>
      <w:r w:rsidR="00674DE9">
        <w:t>-</w:t>
      </w:r>
      <w:r w:rsidR="00E466B0">
        <w:t>4.2 GHz band (</w:t>
      </w:r>
      <w:r w:rsidR="00462ABF">
        <w:t>C-</w:t>
      </w:r>
      <w:r w:rsidRPr="008C4517">
        <w:t>band</w:t>
      </w:r>
      <w:r w:rsidR="00E466B0">
        <w:t>)</w:t>
      </w:r>
      <w:r w:rsidRPr="008C4517">
        <w:t>.</w:t>
      </w:r>
      <w:r>
        <w:rPr>
          <w:rStyle w:val="FootnoteReference"/>
          <w:sz w:val="24"/>
          <w:szCs w:val="24"/>
        </w:rPr>
        <w:footnoteReference w:id="3"/>
      </w:r>
      <w:r w:rsidRPr="008C4517">
        <w:t xml:space="preserve">  The </w:t>
      </w:r>
      <w:r w:rsidRPr="008C4517" w:rsidR="000F48DE">
        <w:rPr>
          <w:i/>
        </w:rPr>
        <w:t xml:space="preserve">3.7 GHz </w:t>
      </w:r>
      <w:r w:rsidR="00C81DA9">
        <w:rPr>
          <w:i/>
        </w:rPr>
        <w:t xml:space="preserve">Report and </w:t>
      </w:r>
      <w:r w:rsidRPr="008C4517">
        <w:rPr>
          <w:i/>
        </w:rPr>
        <w:t xml:space="preserve">Order </w:t>
      </w:r>
      <w:r w:rsidR="00083AB0">
        <w:t xml:space="preserve">established </w:t>
      </w:r>
      <w:r w:rsidR="009614B4">
        <w:t xml:space="preserve">that </w:t>
      </w:r>
      <w:r w:rsidR="000B7F68">
        <w:t xml:space="preserve">new </w:t>
      </w:r>
      <w:r w:rsidR="007D5607">
        <w:t>3.7 GHz Service</w:t>
      </w:r>
      <w:r w:rsidR="000B7F68">
        <w:t xml:space="preserve"> license</w:t>
      </w:r>
      <w:r w:rsidR="00293B3D">
        <w:t>e</w:t>
      </w:r>
      <w:r w:rsidR="000B7F68">
        <w:t>s w</w:t>
      </w:r>
      <w:r w:rsidR="0096443C">
        <w:t>ill</w:t>
      </w:r>
      <w:r w:rsidR="000B7F68">
        <w:t xml:space="preserve"> reimburse </w:t>
      </w:r>
      <w:r w:rsidR="008D3EB4">
        <w:t xml:space="preserve">the reasonable relocation costs of </w:t>
      </w:r>
      <w:r w:rsidR="009614B4">
        <w:t xml:space="preserve">eligible </w:t>
      </w:r>
      <w:r w:rsidR="009E51BE">
        <w:t xml:space="preserve">FSS </w:t>
      </w:r>
      <w:r w:rsidR="009614B4">
        <w:t xml:space="preserve">space station operators, </w:t>
      </w:r>
      <w:r w:rsidR="00293B3D">
        <w:t xml:space="preserve">incumbent </w:t>
      </w:r>
      <w:r w:rsidR="009E51BE">
        <w:t xml:space="preserve">FSS </w:t>
      </w:r>
      <w:r w:rsidR="009614B4">
        <w:t xml:space="preserve">earth station operators, and </w:t>
      </w:r>
      <w:r w:rsidR="00293B3D">
        <w:t xml:space="preserve">incumbent </w:t>
      </w:r>
      <w:r w:rsidR="0022360B">
        <w:t>F</w:t>
      </w:r>
      <w:r w:rsidR="009614B4">
        <w:t xml:space="preserve">ixed </w:t>
      </w:r>
      <w:r w:rsidR="0022360B">
        <w:t>S</w:t>
      </w:r>
      <w:r w:rsidR="009614B4">
        <w:t>ervice</w:t>
      </w:r>
      <w:r w:rsidR="009E51BE">
        <w:t xml:space="preserve"> </w:t>
      </w:r>
      <w:r w:rsidR="009614B4">
        <w:t xml:space="preserve">licensees </w:t>
      </w:r>
      <w:r w:rsidR="00293B3D">
        <w:t xml:space="preserve">(collectively incumbents) </w:t>
      </w:r>
      <w:r w:rsidR="008D3EB4">
        <w:t>to transition out of the band</w:t>
      </w:r>
      <w:r w:rsidR="009614B4">
        <w:t>.</w:t>
      </w:r>
      <w:r>
        <w:rPr>
          <w:szCs w:val="24"/>
          <w:vertAlign w:val="superscript"/>
        </w:rPr>
        <w:footnoteReference w:id="4"/>
      </w:r>
      <w:r w:rsidR="009614B4">
        <w:t xml:space="preserve"> </w:t>
      </w:r>
      <w:r w:rsidR="00F00C2B">
        <w:t xml:space="preserve"> </w:t>
      </w:r>
      <w:r w:rsidR="000B7F68">
        <w:t xml:space="preserve">To provide incumbents and new </w:t>
      </w:r>
      <w:r w:rsidRPr="00696BBE" w:rsidR="00696BBE">
        <w:t>3.7 GHz Service</w:t>
      </w:r>
      <w:r w:rsidRPr="00696BBE" w:rsidR="00696BBE">
        <w:t xml:space="preserve"> </w:t>
      </w:r>
      <w:r w:rsidR="000B7F68">
        <w:t xml:space="preserve">licensees with a </w:t>
      </w:r>
      <w:r w:rsidRPr="008C4517" w:rsidR="000B7F68">
        <w:t>range of reasonable transition costs</w:t>
      </w:r>
      <w:r w:rsidR="000B7F68">
        <w:t xml:space="preserve">, </w:t>
      </w:r>
      <w:r w:rsidR="009614B4">
        <w:t xml:space="preserve">the </w:t>
      </w:r>
      <w:r w:rsidRPr="008C4517" w:rsidR="000F48DE">
        <w:rPr>
          <w:i/>
        </w:rPr>
        <w:t xml:space="preserve">3.7 GHz </w:t>
      </w:r>
      <w:r w:rsidR="00C81DA9">
        <w:rPr>
          <w:i/>
        </w:rPr>
        <w:t xml:space="preserve">Report and </w:t>
      </w:r>
      <w:r w:rsidR="009614B4">
        <w:rPr>
          <w:i/>
        </w:rPr>
        <w:t>Order</w:t>
      </w:r>
      <w:r w:rsidRPr="00845D15" w:rsidR="009614B4">
        <w:t xml:space="preserve"> </w:t>
      </w:r>
      <w:r w:rsidRPr="008C4517" w:rsidR="00083AB0">
        <w:t>direct</w:t>
      </w:r>
      <w:r w:rsidR="00083AB0">
        <w:t>ed</w:t>
      </w:r>
      <w:r w:rsidRPr="008C4517" w:rsidR="00083AB0">
        <w:t xml:space="preserve"> </w:t>
      </w:r>
      <w:r w:rsidRPr="008C4517" w:rsidR="009614B4">
        <w:t>the Bureau to establish a cost category schedule</w:t>
      </w:r>
      <w:r w:rsidR="009614B4">
        <w:t xml:space="preserve"> </w:t>
      </w:r>
      <w:r w:rsidR="000B7F68">
        <w:t xml:space="preserve">of the types of expenses </w:t>
      </w:r>
      <w:r w:rsidRPr="008C4517" w:rsidR="000B7F68">
        <w:t xml:space="preserve">that incumbents </w:t>
      </w:r>
      <w:r w:rsidR="00C038E1">
        <w:t>are likely to</w:t>
      </w:r>
      <w:r w:rsidRPr="008C4517" w:rsidR="00C038E1">
        <w:t xml:space="preserve"> </w:t>
      </w:r>
      <w:r w:rsidRPr="008C4517" w:rsidR="000B7F68">
        <w:t>incur</w:t>
      </w:r>
      <w:r w:rsidRPr="008C4517">
        <w:t>.</w:t>
      </w:r>
      <w:r>
        <w:rPr>
          <w:rStyle w:val="FootnoteReference"/>
          <w:sz w:val="24"/>
          <w:szCs w:val="24"/>
        </w:rPr>
        <w:footnoteReference w:id="5"/>
      </w:r>
      <w:r w:rsidRPr="008C4517">
        <w:t xml:space="preserve">  </w:t>
      </w:r>
      <w:r w:rsidR="00751528">
        <w:t xml:space="preserve">The </w:t>
      </w:r>
      <w:r w:rsidRPr="008C4517" w:rsidR="000F48DE">
        <w:rPr>
          <w:i/>
        </w:rPr>
        <w:t xml:space="preserve">3.7 GHz </w:t>
      </w:r>
      <w:r w:rsidR="00C81DA9">
        <w:rPr>
          <w:i/>
        </w:rPr>
        <w:t xml:space="preserve">Report and </w:t>
      </w:r>
      <w:r w:rsidR="004C5E2E">
        <w:rPr>
          <w:i/>
        </w:rPr>
        <w:t>Order</w:t>
      </w:r>
      <w:r w:rsidR="004C5E2E">
        <w:t xml:space="preserve"> </w:t>
      </w:r>
      <w:r w:rsidR="00A04977">
        <w:t xml:space="preserve">provided </w:t>
      </w:r>
      <w:r w:rsidR="006E7DB7">
        <w:t>for the creation of a Relocation Payment Clearinghouse</w:t>
      </w:r>
      <w:r w:rsidR="007238F2">
        <w:t xml:space="preserve"> </w:t>
      </w:r>
      <w:r w:rsidR="00C16DF3">
        <w:t xml:space="preserve">(Clearinghouse) </w:t>
      </w:r>
      <w:r w:rsidR="007238F2">
        <w:t xml:space="preserve">to </w:t>
      </w:r>
      <w:r w:rsidRPr="007238F2" w:rsidR="007238F2">
        <w:t>oversee the cost-related aspects of the transition</w:t>
      </w:r>
      <w:r w:rsidR="001742AF">
        <w:t xml:space="preserve">, including collecting </w:t>
      </w:r>
      <w:r w:rsidR="00471ACB">
        <w:t>relocation payments from overlay licensees and disbursing those payments to incumbents</w:t>
      </w:r>
      <w:r w:rsidR="00F706C5">
        <w:t>.</w:t>
      </w:r>
      <w:r>
        <w:rPr>
          <w:rStyle w:val="FootnoteReference"/>
          <w:szCs w:val="24"/>
        </w:rPr>
        <w:footnoteReference w:id="6"/>
      </w:r>
      <w:r w:rsidR="00471ACB">
        <w:t xml:space="preserve"> </w:t>
      </w:r>
      <w:r w:rsidR="00D35ABD">
        <w:t xml:space="preserve"> In determining the reasonableness </w:t>
      </w:r>
      <w:r w:rsidR="005A7033">
        <w:t xml:space="preserve">of costs for which incumbents seek reimbursement, the </w:t>
      </w:r>
      <w:r w:rsidRPr="008C4517" w:rsidR="000F48DE">
        <w:rPr>
          <w:i/>
        </w:rPr>
        <w:t xml:space="preserve">3.7 GHz </w:t>
      </w:r>
      <w:r w:rsidR="00C81DA9">
        <w:rPr>
          <w:i/>
        </w:rPr>
        <w:t xml:space="preserve">Report and </w:t>
      </w:r>
      <w:r w:rsidR="005A7033">
        <w:rPr>
          <w:i/>
        </w:rPr>
        <w:t>Order</w:t>
      </w:r>
      <w:r w:rsidR="005A7033">
        <w:t xml:space="preserve"> </w:t>
      </w:r>
      <w:bookmarkStart w:id="14" w:name="_Hlk43730356"/>
      <w:r w:rsidRPr="001F31C6" w:rsidR="001F31C6">
        <w:t>provided</w:t>
      </w:r>
      <w:bookmarkEnd w:id="14"/>
      <w:r w:rsidR="00F9381D">
        <w:t xml:space="preserve"> that</w:t>
      </w:r>
      <w:r w:rsidR="005A7033">
        <w:t xml:space="preserve"> </w:t>
      </w:r>
      <w:r w:rsidR="00237389">
        <w:t xml:space="preserve">the Clearinghouse </w:t>
      </w:r>
      <w:r w:rsidRPr="001F31C6" w:rsidR="001F31C6">
        <w:t>would</w:t>
      </w:r>
      <w:r w:rsidR="00F9381D">
        <w:t xml:space="preserve"> presume as reasonable all </w:t>
      </w:r>
      <w:r w:rsidRPr="00237389" w:rsidR="00237389">
        <w:t xml:space="preserve">submissions that fall within the estimated range of costs in the </w:t>
      </w:r>
      <w:r w:rsidR="00BA36C2">
        <w:t xml:space="preserve">final </w:t>
      </w:r>
      <w:r w:rsidRPr="00237389" w:rsidR="00237389">
        <w:t>cost category schedule.</w:t>
      </w:r>
      <w:r>
        <w:rPr>
          <w:rStyle w:val="FootnoteReference"/>
          <w:szCs w:val="24"/>
        </w:rPr>
        <w:footnoteReference w:id="7"/>
      </w:r>
      <w:r w:rsidR="001B2C77">
        <w:t xml:space="preserve">  </w:t>
      </w:r>
      <w:r w:rsidR="006852EF">
        <w:t>Incumbent</w:t>
      </w:r>
      <w:r w:rsidR="002018D2">
        <w:t xml:space="preserve"> earth station operators</w:t>
      </w:r>
      <w:r w:rsidR="00595887">
        <w:t>,</w:t>
      </w:r>
      <w:r w:rsidR="002018D2">
        <w:t xml:space="preserve"> satellite operators</w:t>
      </w:r>
      <w:r w:rsidR="00595887">
        <w:t>,</w:t>
      </w:r>
      <w:r w:rsidR="006852EF">
        <w:t xml:space="preserve"> </w:t>
      </w:r>
      <w:r w:rsidR="004D6B36">
        <w:t xml:space="preserve">and Fixed Service licensees </w:t>
      </w:r>
      <w:r w:rsidR="006852EF">
        <w:t>are not precluded</w:t>
      </w:r>
      <w:r w:rsidR="00B75BA9">
        <w:t>, however,</w:t>
      </w:r>
      <w:r w:rsidR="006852EF">
        <w:t xml:space="preserve"> from </w:t>
      </w:r>
      <w:r w:rsidR="00B75BA9">
        <w:t xml:space="preserve">obtaining reimbursement for </w:t>
      </w:r>
      <w:r w:rsidR="0087214D">
        <w:t xml:space="preserve">their actual </w:t>
      </w:r>
      <w:r w:rsidR="00B75BA9">
        <w:t xml:space="preserve">costs that exceed the amounts in the Cost Catalog, so long as those costs are reasonably necessary </w:t>
      </w:r>
      <w:r w:rsidR="00313500">
        <w:t>to the transition</w:t>
      </w:r>
      <w:r w:rsidR="006B067D">
        <w:t>,</w:t>
      </w:r>
      <w:r w:rsidR="00313500">
        <w:t xml:space="preserve"> </w:t>
      </w:r>
      <w:r w:rsidR="00B75BA9">
        <w:t xml:space="preserve">and </w:t>
      </w:r>
      <w:r w:rsidR="004F4D22">
        <w:t>incumbents provide justification to the Clearinghouse</w:t>
      </w:r>
      <w:r w:rsidR="00B75BA9">
        <w:t>.</w:t>
      </w:r>
      <w:r>
        <w:rPr>
          <w:rStyle w:val="FootnoteReference"/>
        </w:rPr>
        <w:footnoteReference w:id="8"/>
      </w:r>
    </w:p>
    <w:p w:rsidR="00D33283" w:rsidP="003B031F" w14:paraId="37259F16" w14:textId="017AC80D">
      <w:pPr>
        <w:pStyle w:val="ParaNum"/>
        <w:tabs>
          <w:tab w:val="clear" w:pos="990"/>
          <w:tab w:val="num" w:pos="1440"/>
        </w:tabs>
      </w:pPr>
      <w:r w:rsidRPr="00C25CC2">
        <w:t xml:space="preserve">The </w:t>
      </w:r>
      <w:r w:rsidRPr="00C25CC2">
        <w:rPr>
          <w:i/>
        </w:rPr>
        <w:t xml:space="preserve">3.7 GHz Report and Order </w:t>
      </w:r>
      <w:r w:rsidRPr="00C25CC2">
        <w:t xml:space="preserve">also established that incumbent FSS earth station operators may </w:t>
      </w:r>
      <w:r w:rsidRPr="00153F8E" w:rsidR="00153F8E">
        <w:t>accept either</w:t>
      </w:r>
      <w:r w:rsidRPr="00C25CC2">
        <w:t xml:space="preserve">: </w:t>
      </w:r>
      <w:r w:rsidR="00AA6A35">
        <w:t xml:space="preserve"> </w:t>
      </w:r>
      <w:r w:rsidRPr="00C25CC2">
        <w:t xml:space="preserve">(1) reimbursement for their actual reasonable relocation costs </w:t>
      </w:r>
      <w:r w:rsidR="00FC0FC9">
        <w:t>to</w:t>
      </w:r>
      <w:r w:rsidRPr="00C25CC2" w:rsidR="00FC0FC9">
        <w:t xml:space="preserve"> </w:t>
      </w:r>
      <w:r w:rsidRPr="00C25CC2">
        <w:t>maintain satellite reception; or (2) a lump sum reimbursement “based on the average, estimated costs of relocating all of their incumbent earth stations” to the upper 200 megahertz of the C-band</w:t>
      </w:r>
      <w:r w:rsidRPr="00112B50" w:rsidR="00112B50">
        <w:t>.</w:t>
      </w:r>
      <w:r>
        <w:rPr>
          <w:vertAlign w:val="superscript"/>
        </w:rPr>
        <w:footnoteReference w:id="9"/>
      </w:r>
      <w:r w:rsidRPr="00112B50" w:rsidR="00112B50">
        <w:t xml:space="preserve">  </w:t>
      </w:r>
      <w:r w:rsidRPr="00C25CC2">
        <w:t xml:space="preserve">The </w:t>
      </w:r>
      <w:r w:rsidRPr="00C25CC2">
        <w:rPr>
          <w:i/>
        </w:rPr>
        <w:t xml:space="preserve">3.7 GHz Report and Order </w:t>
      </w:r>
      <w:r w:rsidR="00730C24">
        <w:t>directed the Bureau to “</w:t>
      </w:r>
      <w:r w:rsidRPr="00730C24" w:rsidR="00730C24">
        <w:t>announce the lump sum that will</w:t>
      </w:r>
      <w:r w:rsidR="00730C24">
        <w:t xml:space="preserve"> </w:t>
      </w:r>
      <w:r w:rsidRPr="00730C24" w:rsidR="00730C24">
        <w:t>be available per incumbent earth station as well as the process for electing lump sum payments</w:t>
      </w:r>
      <w:r w:rsidRPr="006E7F2B" w:rsidR="006E7F2B">
        <w:t xml:space="preserve">” and provided that the Bureau should identify </w:t>
      </w:r>
      <w:r w:rsidRPr="006E7F2B" w:rsidR="006E7F2B">
        <w:t>lump sum amounts for various classes of earth stations as appropriate.</w:t>
      </w:r>
      <w:r>
        <w:rPr>
          <w:vertAlign w:val="superscript"/>
        </w:rPr>
        <w:footnoteReference w:id="10"/>
      </w:r>
      <w:r w:rsidRPr="006E7F2B" w:rsidR="006E7F2B">
        <w:t xml:space="preserve"> </w:t>
      </w:r>
      <w:r w:rsidR="00730C24">
        <w:t xml:space="preserve"> </w:t>
      </w:r>
    </w:p>
    <w:p w:rsidR="001B2C77" w:rsidRPr="005A7033" w:rsidP="003B031F" w14:paraId="3954CFF5" w14:textId="5E594F19">
      <w:pPr>
        <w:pStyle w:val="ParaNum"/>
        <w:tabs>
          <w:tab w:val="clear" w:pos="990"/>
          <w:tab w:val="num" w:pos="1440"/>
        </w:tabs>
      </w:pPr>
      <w:r>
        <w:t>T</w:t>
      </w:r>
      <w:r w:rsidRPr="008C4517">
        <w:t>he Commission engaged a third-party contractor</w:t>
      </w:r>
      <w:r>
        <w:t xml:space="preserve">, </w:t>
      </w:r>
      <w:r w:rsidRPr="002464D8">
        <w:t>RKF Engineering Solutions</w:t>
      </w:r>
      <w:r>
        <w:t>,</w:t>
      </w:r>
      <w:r w:rsidRPr="002464D8">
        <w:t xml:space="preserve"> LLC</w:t>
      </w:r>
      <w:r>
        <w:t xml:space="preserve"> (RKF),</w:t>
      </w:r>
      <w:r w:rsidRPr="008C4517">
        <w:t xml:space="preserve"> to </w:t>
      </w:r>
      <w:r>
        <w:t>assist</w:t>
      </w:r>
      <w:r w:rsidR="00AB6B44">
        <w:t xml:space="preserve"> </w:t>
      </w:r>
      <w:r>
        <w:t xml:space="preserve">in </w:t>
      </w:r>
      <w:r w:rsidRPr="008C4517">
        <w:t>identify</w:t>
      </w:r>
      <w:r>
        <w:t>ing</w:t>
      </w:r>
      <w:r w:rsidRPr="008C4517">
        <w:t xml:space="preserve"> </w:t>
      </w:r>
      <w:r w:rsidRPr="00F7517E" w:rsidR="00F7517E">
        <w:t xml:space="preserve">the </w:t>
      </w:r>
      <w:r w:rsidRPr="008C4517">
        <w:t xml:space="preserve">costs </w:t>
      </w:r>
      <w:r>
        <w:t xml:space="preserve">that </w:t>
      </w:r>
      <w:r w:rsidRPr="008C4517">
        <w:t>incumbents might incur</w:t>
      </w:r>
      <w:r w:rsidR="00AB6B44">
        <w:t>,</w:t>
      </w:r>
      <w:r>
        <w:t xml:space="preserve"> </w:t>
      </w:r>
      <w:r w:rsidR="00AB6B44">
        <w:t>developing</w:t>
      </w:r>
      <w:r>
        <w:t xml:space="preserve"> a cost category schedule</w:t>
      </w:r>
      <w:r w:rsidR="00AB6B44">
        <w:t>, and calculating the lump sum payment amounts</w:t>
      </w:r>
      <w:r w:rsidRPr="008C4517">
        <w:t xml:space="preserve">.  </w:t>
      </w:r>
      <w:r>
        <w:t xml:space="preserve">To compile the information needed to develop a cost </w:t>
      </w:r>
      <w:r w:rsidR="00487EDD">
        <w:t>cata</w:t>
      </w:r>
      <w:r w:rsidRPr="002B777E" w:rsidR="00487EDD">
        <w:t>lo</w:t>
      </w:r>
      <w:r w:rsidRPr="002B777E" w:rsidR="002B777E">
        <w:t>g</w:t>
      </w:r>
      <w:r>
        <w:t xml:space="preserve">, RKF considered the </w:t>
      </w:r>
      <w:r w:rsidRPr="008C4517">
        <w:rPr>
          <w:i/>
        </w:rPr>
        <w:t xml:space="preserve">3.7 GHz </w:t>
      </w:r>
      <w:r>
        <w:rPr>
          <w:i/>
        </w:rPr>
        <w:t xml:space="preserve">Report and </w:t>
      </w:r>
      <w:r w:rsidRPr="0058081A">
        <w:rPr>
          <w:i/>
        </w:rPr>
        <w:t>Order</w:t>
      </w:r>
      <w:r>
        <w:t xml:space="preserve">’s </w:t>
      </w:r>
      <w:r w:rsidRPr="0058081A">
        <w:t>initial</w:t>
      </w:r>
      <w:r w:rsidRPr="008C4517">
        <w:t xml:space="preserve"> </w:t>
      </w:r>
      <w:r>
        <w:t>relocation cost estimates, derived from comments and filings in the record</w:t>
      </w:r>
      <w:r w:rsidRPr="008C4517">
        <w:t>,</w:t>
      </w:r>
      <w:r>
        <w:rPr>
          <w:rStyle w:val="FootnoteReference"/>
          <w:szCs w:val="24"/>
        </w:rPr>
        <w:footnoteReference w:id="11"/>
      </w:r>
      <w:r>
        <w:t xml:space="preserve"> and</w:t>
      </w:r>
      <w:r w:rsidRPr="008C4517">
        <w:t xml:space="preserve"> </w:t>
      </w:r>
      <w:r w:rsidRPr="00E50AED" w:rsidR="00E50AED">
        <w:t xml:space="preserve">it then </w:t>
      </w:r>
      <w:r>
        <w:t>conducted confidential</w:t>
      </w:r>
      <w:r w:rsidRPr="00B44CE4">
        <w:rPr>
          <w:rStyle w:val="CommentReference"/>
          <w:sz w:val="24"/>
          <w:szCs w:val="24"/>
        </w:rPr>
        <w:t xml:space="preserve"> </w:t>
      </w:r>
      <w:r>
        <w:t>interviews with a broad range of stakeholders, including satellite operators, earth station operators, Fixed Service licensees, and vendors.</w:t>
      </w:r>
      <w:r>
        <w:rPr>
          <w:rStyle w:val="FootnoteReference"/>
          <w:szCs w:val="24"/>
        </w:rPr>
        <w:footnoteReference w:id="12"/>
      </w:r>
      <w:r>
        <w:t xml:space="preserve">  </w:t>
      </w:r>
      <w:r w:rsidRPr="008C4517">
        <w:t xml:space="preserve">With </w:t>
      </w:r>
      <w:r w:rsidRPr="00272B19" w:rsidR="00272B19">
        <w:t xml:space="preserve">input </w:t>
      </w:r>
      <w:r>
        <w:t>from RKF</w:t>
      </w:r>
      <w:r w:rsidRPr="00685CCB" w:rsidR="00685CCB">
        <w:t>,</w:t>
      </w:r>
      <w:r>
        <w:t xml:space="preserve"> </w:t>
      </w:r>
      <w:r w:rsidRPr="008C4517">
        <w:t>the Bureau developed</w:t>
      </w:r>
      <w:r>
        <w:t xml:space="preserve"> a preliminary c</w:t>
      </w:r>
      <w:r w:rsidRPr="008C4517">
        <w:t xml:space="preserve">ost </w:t>
      </w:r>
      <w:r>
        <w:t>c</w:t>
      </w:r>
      <w:r w:rsidRPr="008C4517">
        <w:t>atalog</w:t>
      </w:r>
      <w:r>
        <w:t xml:space="preserve">, which </w:t>
      </w:r>
      <w:r w:rsidR="00875543">
        <w:t xml:space="preserve">it </w:t>
      </w:r>
      <w:r>
        <w:t>released for public comment</w:t>
      </w:r>
      <w:r w:rsidRPr="008C4517">
        <w:t>.</w:t>
      </w:r>
      <w:r>
        <w:rPr>
          <w:rStyle w:val="FootnoteReference"/>
          <w:szCs w:val="24"/>
        </w:rPr>
        <w:footnoteReference w:id="13"/>
      </w:r>
      <w:r w:rsidR="00C46F4D">
        <w:t xml:space="preserve">  The preliminary cost catalog included </w:t>
      </w:r>
      <w:r>
        <w:t xml:space="preserve">classes of earth stations for which </w:t>
      </w:r>
      <w:r w:rsidR="00C46F4D">
        <w:t>the Bureau</w:t>
      </w:r>
      <w:r>
        <w:t xml:space="preserve"> would establish lump sum payments.  </w:t>
      </w:r>
      <w:r w:rsidR="00D17345">
        <w:t xml:space="preserve">After review of the record, </w:t>
      </w:r>
      <w:r>
        <w:t xml:space="preserve">the Bureau issued a </w:t>
      </w:r>
      <w:r w:rsidR="00E501DB">
        <w:t>p</w:t>
      </w:r>
      <w:r>
        <w:t xml:space="preserve">ublic </w:t>
      </w:r>
      <w:r w:rsidR="00E501DB">
        <w:t>n</w:t>
      </w:r>
      <w:r>
        <w:t xml:space="preserve">otice seeking </w:t>
      </w:r>
      <w:r w:rsidR="00C46F4D">
        <w:t xml:space="preserve">further </w:t>
      </w:r>
      <w:r>
        <w:t xml:space="preserve">comment on </w:t>
      </w:r>
      <w:r w:rsidR="00C76614">
        <w:t>a</w:t>
      </w:r>
      <w:r>
        <w:t xml:space="preserve"> revised </w:t>
      </w:r>
      <w:r w:rsidR="00C76614">
        <w:t xml:space="preserve">list </w:t>
      </w:r>
      <w:r w:rsidR="00B53461">
        <w:t xml:space="preserve">of </w:t>
      </w:r>
      <w:r w:rsidR="00C46F4D">
        <w:t>earth station classes</w:t>
      </w:r>
      <w:r>
        <w:t xml:space="preserve">, preliminary lump sum </w:t>
      </w:r>
      <w:r w:rsidR="00C76614">
        <w:t xml:space="preserve">payment </w:t>
      </w:r>
      <w:r>
        <w:t xml:space="preserve">amounts, and </w:t>
      </w:r>
      <w:r w:rsidR="00C76614">
        <w:t>the methodology for calculating those amounts.</w:t>
      </w:r>
      <w:r>
        <w:rPr>
          <w:rStyle w:val="FootnoteReference"/>
          <w:szCs w:val="24"/>
        </w:rPr>
        <w:footnoteReference w:id="14"/>
      </w:r>
      <w:r w:rsidR="00C46F4D">
        <w:t xml:space="preserve">  After considering the comments in response to the </w:t>
      </w:r>
      <w:r w:rsidRPr="00C46F4D" w:rsidR="00C46F4D">
        <w:rPr>
          <w:i/>
        </w:rPr>
        <w:t>Cost Catalog Comment Public Notice</w:t>
      </w:r>
      <w:r w:rsidRPr="00C46F4D" w:rsidR="00C46F4D">
        <w:t xml:space="preserve"> </w:t>
      </w:r>
      <w:r w:rsidR="00C46F4D">
        <w:t xml:space="preserve">and the </w:t>
      </w:r>
      <w:r w:rsidRPr="00C46F4D" w:rsidR="00C46F4D">
        <w:rPr>
          <w:i/>
        </w:rPr>
        <w:t>Lump Sum Comment Public Notice</w:t>
      </w:r>
      <w:r w:rsidR="00C46F4D">
        <w:t>,</w:t>
      </w:r>
      <w:r>
        <w:rPr>
          <w:rStyle w:val="FootnoteReference"/>
        </w:rPr>
        <w:footnoteReference w:id="15"/>
      </w:r>
      <w:r w:rsidR="00C46F4D">
        <w:t xml:space="preserve"> the Bureau now release</w:t>
      </w:r>
      <w:r w:rsidR="002D7607">
        <w:t>s</w:t>
      </w:r>
      <w:r w:rsidR="00C46F4D">
        <w:t xml:space="preserve"> the final Cost Catalog and lump sum payment amounts. </w:t>
      </w:r>
      <w:r w:rsidRPr="00C46F4D" w:rsidR="00C46F4D">
        <w:t xml:space="preserve"> </w:t>
      </w:r>
    </w:p>
    <w:p w:rsidR="00FD48B2" w:rsidP="00FD48B2" w14:paraId="44A25EBC" w14:textId="4A09E1B5">
      <w:pPr>
        <w:pStyle w:val="Heading1"/>
      </w:pPr>
      <w:bookmarkStart w:id="15" w:name="_Toc45030691"/>
      <w:bookmarkStart w:id="16" w:name="_Toc45031201"/>
      <w:bookmarkStart w:id="17" w:name="_Toc45031293"/>
      <w:bookmarkStart w:id="18" w:name="_Toc45031348"/>
      <w:bookmarkStart w:id="19" w:name="_Toc45031401"/>
      <w:bookmarkStart w:id="20" w:name="_Toc45117413"/>
      <w:bookmarkStart w:id="21" w:name="_Toc46160557"/>
      <w:bookmarkStart w:id="22" w:name="_Toc46503214"/>
      <w:bookmarkStart w:id="23" w:name="_Toc46744203"/>
      <w:bookmarkStart w:id="24" w:name="_Toc46935643"/>
      <w:r>
        <w:t>Final Cost Catalog</w:t>
      </w:r>
      <w:bookmarkEnd w:id="15"/>
      <w:bookmarkEnd w:id="16"/>
      <w:bookmarkEnd w:id="17"/>
      <w:bookmarkEnd w:id="18"/>
      <w:bookmarkEnd w:id="19"/>
      <w:bookmarkEnd w:id="20"/>
      <w:bookmarkEnd w:id="21"/>
      <w:bookmarkEnd w:id="22"/>
      <w:bookmarkEnd w:id="23"/>
      <w:bookmarkEnd w:id="24"/>
      <w:r>
        <w:t xml:space="preserve">  </w:t>
      </w:r>
    </w:p>
    <w:p w:rsidR="0010361A" w:rsidP="003B031F" w14:paraId="05BAAFFE" w14:textId="62981249">
      <w:pPr>
        <w:pStyle w:val="ParaNum"/>
        <w:tabs>
          <w:tab w:val="clear" w:pos="990"/>
          <w:tab w:val="num" w:pos="1440"/>
        </w:tabs>
      </w:pPr>
      <w:r>
        <w:t>T</w:t>
      </w:r>
      <w:r w:rsidRPr="008C4517" w:rsidR="00D33283">
        <w:t>he</w:t>
      </w:r>
      <w:r w:rsidR="00C46F4D">
        <w:t xml:space="preserve"> attached</w:t>
      </w:r>
      <w:r w:rsidRPr="008C4517" w:rsidR="00D33283">
        <w:t xml:space="preserve"> Cost Catalog contains </w:t>
      </w:r>
      <w:r w:rsidR="00C81DA9">
        <w:t xml:space="preserve">the </w:t>
      </w:r>
      <w:r w:rsidRPr="008C4517" w:rsidR="00D33283">
        <w:t xml:space="preserve">categories and </w:t>
      </w:r>
      <w:r w:rsidR="00107686">
        <w:t xml:space="preserve">estimates </w:t>
      </w:r>
      <w:r w:rsidRPr="008C4517" w:rsidR="00D33283">
        <w:t xml:space="preserve">of expenses that </w:t>
      </w:r>
      <w:r w:rsidR="00293B3D">
        <w:t>incumbents</w:t>
      </w:r>
      <w:r w:rsidRPr="008C4517" w:rsidR="00D33283">
        <w:t xml:space="preserve"> </w:t>
      </w:r>
      <w:r w:rsidRPr="00287620" w:rsidR="00DD7433">
        <w:rPr>
          <w:rStyle w:val="CommentReference"/>
          <w:sz w:val="24"/>
          <w:szCs w:val="24"/>
        </w:rPr>
        <w:t>may</w:t>
      </w:r>
      <w:r w:rsidRPr="008C4517" w:rsidR="00D33283">
        <w:t xml:space="preserve"> incur </w:t>
      </w:r>
      <w:r w:rsidR="0096443C">
        <w:t>as they</w:t>
      </w:r>
      <w:r w:rsidR="00F6741A">
        <w:t xml:space="preserve"> clear</w:t>
      </w:r>
      <w:r w:rsidR="009C14D7">
        <w:t xml:space="preserve"> FSS operations from</w:t>
      </w:r>
      <w:r w:rsidR="00F6741A">
        <w:t xml:space="preserve"> </w:t>
      </w:r>
      <w:r w:rsidRPr="008C4517" w:rsidR="00D33283">
        <w:t xml:space="preserve">the </w:t>
      </w:r>
      <w:r w:rsidR="00F6741A">
        <w:t>3</w:t>
      </w:r>
      <w:r w:rsidR="00351018">
        <w:t>.</w:t>
      </w:r>
      <w:r w:rsidR="00F6741A">
        <w:t>7</w:t>
      </w:r>
      <w:r w:rsidR="00035B9C">
        <w:t>-</w:t>
      </w:r>
      <w:r w:rsidR="00F6741A">
        <w:t>4</w:t>
      </w:r>
      <w:r w:rsidR="00351018">
        <w:t>.</w:t>
      </w:r>
      <w:r w:rsidR="00F6741A">
        <w:t xml:space="preserve">0 </w:t>
      </w:r>
      <w:r w:rsidR="00902540">
        <w:t>G</w:t>
      </w:r>
      <w:r w:rsidR="00F6741A">
        <w:t>Hz</w:t>
      </w:r>
      <w:r w:rsidRPr="008C4517" w:rsidR="00D33283">
        <w:t xml:space="preserve"> </w:t>
      </w:r>
      <w:r w:rsidR="0096443C">
        <w:t>portion</w:t>
      </w:r>
      <w:r w:rsidR="00F7649F">
        <w:t xml:space="preserve"> </w:t>
      </w:r>
      <w:r w:rsidR="00226397">
        <w:t xml:space="preserve">of the band </w:t>
      </w:r>
      <w:r w:rsidR="00F7649F">
        <w:t>and F</w:t>
      </w:r>
      <w:r w:rsidR="00DD40E0">
        <w:t xml:space="preserve">ixed </w:t>
      </w:r>
      <w:r w:rsidR="00F7649F">
        <w:t>S</w:t>
      </w:r>
      <w:r w:rsidR="00DD40E0">
        <w:t>ervice</w:t>
      </w:r>
      <w:r w:rsidR="00F7649F">
        <w:t xml:space="preserve"> operations from the </w:t>
      </w:r>
      <w:r w:rsidR="00CD7A50">
        <w:t>entire</w:t>
      </w:r>
      <w:r w:rsidR="0096443C">
        <w:t xml:space="preserve"> C-</w:t>
      </w:r>
      <w:r w:rsidRPr="008C4517" w:rsidR="00D33283">
        <w:t>band</w:t>
      </w:r>
      <w:r w:rsidR="00F6741A">
        <w:t xml:space="preserve"> </w:t>
      </w:r>
      <w:r w:rsidR="00226397">
        <w:t xml:space="preserve">to make the lower 280 </w:t>
      </w:r>
      <w:r w:rsidR="001C041E">
        <w:t>megahertz</w:t>
      </w:r>
      <w:r w:rsidR="00226397">
        <w:t xml:space="preserve"> available for </w:t>
      </w:r>
      <w:r w:rsidRPr="008C4517" w:rsidR="00D33283">
        <w:t xml:space="preserve">flexible use.  </w:t>
      </w:r>
      <w:r w:rsidR="00C81DA9">
        <w:t xml:space="preserve">In the </w:t>
      </w:r>
      <w:r w:rsidRPr="00A45692" w:rsidR="00A45692">
        <w:t xml:space="preserve">final </w:t>
      </w:r>
      <w:r w:rsidR="00C81DA9">
        <w:t xml:space="preserve">Cost Catalog, we </w:t>
      </w:r>
      <w:r w:rsidR="00543320">
        <w:t>review and incorporate</w:t>
      </w:r>
      <w:r w:rsidRPr="005A6C21" w:rsidR="005A6C21">
        <w:t>, as appropriate,</w:t>
      </w:r>
      <w:r w:rsidRPr="00C01234" w:rsidR="00C01234">
        <w:t xml:space="preserve"> </w:t>
      </w:r>
      <w:r w:rsidR="00C81DA9">
        <w:t xml:space="preserve">the information we received </w:t>
      </w:r>
      <w:r w:rsidR="00D41771">
        <w:t xml:space="preserve">from commenters </w:t>
      </w:r>
      <w:r w:rsidR="00C81DA9">
        <w:t xml:space="preserve">in response to the preliminary cost catalog.  </w:t>
      </w:r>
    </w:p>
    <w:p w:rsidR="004C71E1" w:rsidP="00544EB2" w14:paraId="63966680" w14:textId="67E28770">
      <w:pPr>
        <w:pStyle w:val="Heading2"/>
      </w:pPr>
      <w:bookmarkStart w:id="25" w:name="_Toc45030692"/>
      <w:bookmarkStart w:id="26" w:name="_Toc45031202"/>
      <w:bookmarkStart w:id="27" w:name="_Toc45031294"/>
      <w:bookmarkStart w:id="28" w:name="_Toc45031349"/>
      <w:bookmarkStart w:id="29" w:name="_Toc45031402"/>
      <w:bookmarkStart w:id="30" w:name="_Toc45117414"/>
      <w:bookmarkStart w:id="31" w:name="_Toc46160558"/>
      <w:bookmarkStart w:id="32" w:name="_Toc46503215"/>
      <w:bookmarkStart w:id="33" w:name="_Toc46744204"/>
      <w:bookmarkStart w:id="34" w:name="_Toc46935644"/>
      <w:r w:rsidRPr="001C562A">
        <w:t xml:space="preserve">Clarifications </w:t>
      </w:r>
      <w:r w:rsidR="003D290C">
        <w:t>on the</w:t>
      </w:r>
      <w:r w:rsidRPr="001C562A" w:rsidR="003D290C">
        <w:t xml:space="preserve"> </w:t>
      </w:r>
      <w:r w:rsidRPr="001C562A">
        <w:t>Use of the Cost Catalog for Reimbursement</w:t>
      </w:r>
      <w:bookmarkEnd w:id="25"/>
      <w:bookmarkEnd w:id="26"/>
      <w:bookmarkEnd w:id="27"/>
      <w:bookmarkEnd w:id="28"/>
      <w:bookmarkEnd w:id="29"/>
      <w:bookmarkEnd w:id="30"/>
      <w:bookmarkEnd w:id="31"/>
      <w:bookmarkEnd w:id="32"/>
      <w:bookmarkEnd w:id="33"/>
      <w:bookmarkEnd w:id="34"/>
      <w:r w:rsidRPr="001C562A">
        <w:t xml:space="preserve">  </w:t>
      </w:r>
    </w:p>
    <w:p w:rsidR="00FE2D65" w:rsidP="003B031F" w14:paraId="6CB30CA5" w14:textId="52283ABB">
      <w:pPr>
        <w:pStyle w:val="ParaNum"/>
        <w:tabs>
          <w:tab w:val="clear" w:pos="990"/>
          <w:tab w:val="num" w:pos="1440"/>
        </w:tabs>
        <w:rPr>
          <w:lang w:bidi="en-US"/>
        </w:rPr>
      </w:pPr>
      <w:r>
        <w:t>In response</w:t>
      </w:r>
      <w:r w:rsidRPr="004B47E0" w:rsidR="0034199F">
        <w:t xml:space="preserve"> to the</w:t>
      </w:r>
      <w:r w:rsidR="0034199F">
        <w:rPr>
          <w:i/>
        </w:rPr>
        <w:t xml:space="preserve"> </w:t>
      </w:r>
      <w:r w:rsidRPr="00C46F4D" w:rsidR="0034199F">
        <w:rPr>
          <w:i/>
        </w:rPr>
        <w:t>Cost Catalog Comment Public Notice</w:t>
      </w:r>
      <w:r w:rsidRPr="00C46F4D" w:rsidR="0034199F">
        <w:t xml:space="preserve"> </w:t>
      </w:r>
      <w:r w:rsidR="0034199F">
        <w:t xml:space="preserve">and the </w:t>
      </w:r>
      <w:r w:rsidRPr="00C46F4D" w:rsidR="0034199F">
        <w:rPr>
          <w:i/>
        </w:rPr>
        <w:t>Lump Sum Comment Public Notice</w:t>
      </w:r>
      <w:r>
        <w:t xml:space="preserve">, commenters </w:t>
      </w:r>
      <w:r w:rsidRPr="001F31C6" w:rsidR="001F31C6">
        <w:t>sought</w:t>
      </w:r>
      <w:r>
        <w:t xml:space="preserve"> </w:t>
      </w:r>
      <w:r w:rsidR="0048030B">
        <w:t xml:space="preserve">clarification and additional information </w:t>
      </w:r>
      <w:r w:rsidR="00D264CC">
        <w:t>on how</w:t>
      </w:r>
      <w:r w:rsidRPr="001C562A" w:rsidR="0034199F">
        <w:t xml:space="preserve"> </w:t>
      </w:r>
      <w:r w:rsidR="0064124E">
        <w:t xml:space="preserve">reimbursement payments </w:t>
      </w:r>
      <w:r w:rsidR="00A506EF">
        <w:t xml:space="preserve">and </w:t>
      </w:r>
      <w:r w:rsidR="00034235">
        <w:t>lump sum amounts</w:t>
      </w:r>
      <w:r w:rsidRPr="001C562A" w:rsidR="0034199F">
        <w:t xml:space="preserve"> </w:t>
      </w:r>
      <w:r w:rsidR="006633A1">
        <w:t>should be counted</w:t>
      </w:r>
      <w:r w:rsidRPr="001C562A" w:rsidR="0034199F">
        <w:t xml:space="preserve"> </w:t>
      </w:r>
      <w:r w:rsidR="00691ED6">
        <w:t xml:space="preserve">and </w:t>
      </w:r>
      <w:r w:rsidRPr="00280FD9" w:rsidR="00280FD9">
        <w:t xml:space="preserve">on </w:t>
      </w:r>
      <w:r w:rsidR="00C636B0">
        <w:t xml:space="preserve">how to use the </w:t>
      </w:r>
      <w:r w:rsidR="0074033E">
        <w:t>Cost Catalog</w:t>
      </w:r>
      <w:r w:rsidRPr="001F31C6" w:rsidR="001F31C6">
        <w:t>.</w:t>
      </w:r>
      <w:r>
        <w:rPr>
          <w:rStyle w:val="FootnoteReference"/>
          <w:szCs w:val="24"/>
        </w:rPr>
        <w:footnoteReference w:id="16"/>
      </w:r>
      <w:r w:rsidR="00FF432F">
        <w:t xml:space="preserve"> </w:t>
      </w:r>
      <w:r w:rsidRPr="001C562A" w:rsidR="0034199F">
        <w:t xml:space="preserve"> </w:t>
      </w:r>
      <w:r w:rsidRPr="001C562A" w:rsidR="001C562A">
        <w:t xml:space="preserve">We clarify </w:t>
      </w:r>
      <w:r w:rsidRPr="001C562A" w:rsidR="001C562A">
        <w:t xml:space="preserve">certain aspects of the Cost Catalog.  </w:t>
      </w:r>
      <w:r w:rsidRPr="00466C94" w:rsidR="00466C94">
        <w:t>First, the costs included in the Cost Catalog are on a per unit basis (e.g., per earth station antenna or dish) unless the catalog specifies otherwise</w:t>
      </w:r>
      <w:r w:rsidRPr="001C562A" w:rsidR="001C562A">
        <w:t>.</w:t>
      </w:r>
      <w:r>
        <w:rPr>
          <w:vertAlign w:val="superscript"/>
        </w:rPr>
        <w:footnoteReference w:id="17"/>
      </w:r>
      <w:r w:rsidR="006F4469">
        <w:t xml:space="preserve">  </w:t>
      </w:r>
      <w:r w:rsidR="006C3467">
        <w:t>For example, w</w:t>
      </w:r>
      <w:r w:rsidRPr="00FC011E" w:rsidR="00FC011E">
        <w:t>hile a</w:t>
      </w:r>
      <w:r w:rsidR="00F07F68">
        <w:t>n</w:t>
      </w:r>
      <w:r w:rsidRPr="00FC011E" w:rsidR="00FC011E">
        <w:t xml:space="preserve"> earth station </w:t>
      </w:r>
      <w:r w:rsidR="00F07F68">
        <w:t xml:space="preserve">registration </w:t>
      </w:r>
      <w:r w:rsidRPr="00FC011E" w:rsidR="00FC011E">
        <w:t xml:space="preserve">listed in the </w:t>
      </w:r>
      <w:r w:rsidRPr="0083533B" w:rsidR="0083533B">
        <w:t>International Bureau Filing System (IBFS)</w:t>
      </w:r>
      <w:r w:rsidRPr="00FC011E" w:rsidR="00FC011E">
        <w:t xml:space="preserve"> may incorporate more than one antenna or dish, we clarify that only those antennas </w:t>
      </w:r>
      <w:r w:rsidR="00CD3193">
        <w:t xml:space="preserve">that are </w:t>
      </w:r>
      <w:r w:rsidRPr="00FC011E" w:rsidR="00FC011E">
        <w:t xml:space="preserve">identified under an </w:t>
      </w:r>
      <w:r w:rsidR="001B3687">
        <w:t>incumbent</w:t>
      </w:r>
      <w:r w:rsidRPr="00FC011E" w:rsidR="001B3687">
        <w:t xml:space="preserve"> </w:t>
      </w:r>
      <w:r w:rsidRPr="00FC011E" w:rsidR="00FC011E">
        <w:t>earth station registration</w:t>
      </w:r>
      <w:r w:rsidR="008A0548">
        <w:t xml:space="preserve">, consistent with the requirements </w:t>
      </w:r>
      <w:r w:rsidR="00FA2658">
        <w:t xml:space="preserve">set forth in the </w:t>
      </w:r>
      <w:r w:rsidR="00FA2658">
        <w:rPr>
          <w:i/>
          <w:iCs/>
        </w:rPr>
        <w:t>3.7 GHz Report and Order</w:t>
      </w:r>
      <w:r w:rsidR="00A46A12">
        <w:t>,</w:t>
      </w:r>
      <w:r>
        <w:rPr>
          <w:rStyle w:val="FootnoteReference"/>
        </w:rPr>
        <w:footnoteReference w:id="18"/>
      </w:r>
      <w:r w:rsidRPr="00FC011E" w:rsidR="00FC011E">
        <w:t xml:space="preserve"> can count as a unit towards the calculation of reimbursable expenses</w:t>
      </w:r>
      <w:r w:rsidRPr="009A7024" w:rsidR="009A7024">
        <w:t>.</w:t>
      </w:r>
      <w:r>
        <w:rPr>
          <w:vertAlign w:val="superscript"/>
        </w:rPr>
        <w:footnoteReference w:id="19"/>
      </w:r>
      <w:r w:rsidRPr="009A7024" w:rsidR="009A7024">
        <w:t xml:space="preserve"> </w:t>
      </w:r>
      <w:r w:rsidRPr="00FC011E" w:rsidR="00FC011E">
        <w:t xml:space="preserve"> </w:t>
      </w:r>
      <w:r w:rsidRPr="009A4FCB" w:rsidR="009A4FCB">
        <w:t>Calculating costs on a per unit basis most closely reflects the actual mechanism of the transition, much of which will require changes, upgrades</w:t>
      </w:r>
      <w:r w:rsidR="0057094C">
        <w:t>,</w:t>
      </w:r>
      <w:r w:rsidRPr="009A4FCB" w:rsidR="009A4FCB">
        <w:t xml:space="preserve"> and/or modifications to individual antennas.  </w:t>
      </w:r>
      <w:r w:rsidR="00FC4D94">
        <w:t>We note that</w:t>
      </w:r>
      <w:r w:rsidRPr="00FF4368" w:rsidR="00FF4368">
        <w:t xml:space="preserve"> the references in the preliminary cost catalog and in the </w:t>
      </w:r>
      <w:r w:rsidRPr="00FF4368" w:rsidR="00FF4368">
        <w:rPr>
          <w:i/>
          <w:iCs/>
        </w:rPr>
        <w:t xml:space="preserve">Lump Sum Comment Public Notice </w:t>
      </w:r>
      <w:r w:rsidRPr="00FF4368" w:rsidR="00FF4368">
        <w:t>to “per earth station” referred to individual antennas specifically identified and included within an IBFS registration.</w:t>
      </w:r>
      <w:r>
        <w:rPr>
          <w:vertAlign w:val="superscript"/>
        </w:rPr>
        <w:footnoteReference w:id="20"/>
      </w:r>
      <w:r w:rsidRPr="00FF4368" w:rsidR="00FF4368">
        <w:t xml:space="preserve">  </w:t>
      </w:r>
      <w:r w:rsidR="005E63C2">
        <w:t>W</w:t>
      </w:r>
      <w:r w:rsidR="006B7C18">
        <w:t xml:space="preserve">e have </w:t>
      </w:r>
      <w:r w:rsidR="00E34985">
        <w:t xml:space="preserve">updated references in the Cost </w:t>
      </w:r>
      <w:r w:rsidR="00840FDE">
        <w:t>C</w:t>
      </w:r>
      <w:r w:rsidR="00E34985">
        <w:t>atalog</w:t>
      </w:r>
      <w:r w:rsidRPr="002B2F8E" w:rsidR="002B2F8E">
        <w:t xml:space="preserve"> </w:t>
      </w:r>
      <w:r w:rsidR="002B2F8E">
        <w:t>to clarify where we refer to an individual antenna</w:t>
      </w:r>
      <w:r w:rsidR="005E63C2">
        <w:t xml:space="preserve"> and </w:t>
      </w:r>
      <w:r w:rsidR="00E5678C">
        <w:t>to</w:t>
      </w:r>
      <w:r w:rsidR="00AB74EE">
        <w:t xml:space="preserve"> clarify</w:t>
      </w:r>
      <w:r w:rsidR="00C43F05">
        <w:t xml:space="preserve"> that the lump sum base </w:t>
      </w:r>
      <w:r w:rsidR="0004517E">
        <w:t>payments</w:t>
      </w:r>
      <w:r w:rsidR="00C43F05">
        <w:t xml:space="preserve"> </w:t>
      </w:r>
      <w:r w:rsidR="002B2F8E">
        <w:t xml:space="preserve">in Table III-E-1 (Lump Sum Table) </w:t>
      </w:r>
      <w:r w:rsidR="00DC2377">
        <w:t>are calculated</w:t>
      </w:r>
      <w:r w:rsidR="00C43F05">
        <w:t xml:space="preserve"> </w:t>
      </w:r>
      <w:r w:rsidR="00C43F05">
        <w:rPr>
          <w:i/>
          <w:iCs/>
        </w:rPr>
        <w:t>per antenna</w:t>
      </w:r>
      <w:r w:rsidR="00DC2377">
        <w:rPr>
          <w:i/>
          <w:iCs/>
        </w:rPr>
        <w:t xml:space="preserve"> </w:t>
      </w:r>
      <w:r w:rsidR="00DC2377">
        <w:t>rather than per earth station registration or site</w:t>
      </w:r>
      <w:r w:rsidR="00D832CF">
        <w:t>.</w:t>
      </w:r>
      <w:r>
        <w:rPr>
          <w:rStyle w:val="FootnoteReference"/>
        </w:rPr>
        <w:footnoteReference w:id="21"/>
      </w:r>
      <w:r w:rsidR="00D832CF">
        <w:t xml:space="preserve">  </w:t>
      </w:r>
      <w:r w:rsidR="00673961">
        <w:t>I</w:t>
      </w:r>
      <w:r w:rsidRPr="00142611" w:rsidR="00673961">
        <w:rPr>
          <w:lang w:bidi="en-US"/>
        </w:rPr>
        <w:t xml:space="preserve">ncumbents </w:t>
      </w:r>
      <w:r w:rsidR="008D0279">
        <w:rPr>
          <w:lang w:bidi="en-US"/>
        </w:rPr>
        <w:t xml:space="preserve">with more than </w:t>
      </w:r>
      <w:r w:rsidR="00E03AFA">
        <w:rPr>
          <w:lang w:bidi="en-US"/>
        </w:rPr>
        <w:t>on</w:t>
      </w:r>
      <w:r w:rsidR="0025068A">
        <w:rPr>
          <w:lang w:bidi="en-US"/>
        </w:rPr>
        <w:t>e</w:t>
      </w:r>
      <w:r w:rsidR="00E03AFA">
        <w:rPr>
          <w:lang w:bidi="en-US"/>
        </w:rPr>
        <w:t xml:space="preserve"> antenna registered per site </w:t>
      </w:r>
      <w:r w:rsidRPr="00142611" w:rsidR="006C3467">
        <w:rPr>
          <w:lang w:bidi="en-US"/>
        </w:rPr>
        <w:t xml:space="preserve">may be eligible for reimbursement for multiple units associated with the same IBFS </w:t>
      </w:r>
      <w:r w:rsidR="00F01122">
        <w:rPr>
          <w:lang w:bidi="en-US"/>
        </w:rPr>
        <w:t>registration</w:t>
      </w:r>
      <w:r w:rsidRPr="00142611" w:rsidR="006C3467">
        <w:rPr>
          <w:lang w:bidi="en-US"/>
        </w:rPr>
        <w:t xml:space="preserve">, where the Clearinghouse finds the expenses are </w:t>
      </w:r>
      <w:r w:rsidRPr="00142611" w:rsidR="006C3467">
        <w:rPr>
          <w:lang w:bidi="en-US"/>
        </w:rPr>
        <w:t>reasonable and necessary to the relocation.</w:t>
      </w:r>
      <w:r>
        <w:rPr>
          <w:vertAlign w:val="superscript"/>
          <w:lang w:bidi="en-US"/>
        </w:rPr>
        <w:footnoteReference w:id="22"/>
      </w:r>
      <w:r w:rsidRPr="00142611" w:rsidR="006C3467">
        <w:rPr>
          <w:lang w:bidi="en-US"/>
        </w:rPr>
        <w:t xml:space="preserve">  </w:t>
      </w:r>
      <w:r w:rsidRPr="00A61397" w:rsidR="00A61397">
        <w:t xml:space="preserve">Similarly, </w:t>
      </w:r>
      <w:r w:rsidR="00420342">
        <w:t xml:space="preserve">incumbent earth station operators that elect the lump sum will be eligible to receive </w:t>
      </w:r>
      <w:r w:rsidR="002F6192">
        <w:t xml:space="preserve">the base lump sum </w:t>
      </w:r>
      <w:r w:rsidR="003939E0">
        <w:t>payments</w:t>
      </w:r>
      <w:r w:rsidR="002F6192">
        <w:t xml:space="preserve"> </w:t>
      </w:r>
      <w:r w:rsidR="00103265">
        <w:t>id</w:t>
      </w:r>
      <w:r w:rsidR="00170555">
        <w:t xml:space="preserve">entified in </w:t>
      </w:r>
      <w:r w:rsidR="00FA5E8C">
        <w:t xml:space="preserve">the Lump Sum Table </w:t>
      </w:r>
      <w:r w:rsidR="00D468B9">
        <w:t xml:space="preserve">for each </w:t>
      </w:r>
      <w:r w:rsidR="00602C61">
        <w:t xml:space="preserve">operational and </w:t>
      </w:r>
      <w:r w:rsidR="00782389">
        <w:t xml:space="preserve">registered </w:t>
      </w:r>
      <w:r w:rsidR="009A7D4C">
        <w:t xml:space="preserve">antenna included </w:t>
      </w:r>
      <w:r w:rsidR="00247264">
        <w:t>i</w:t>
      </w:r>
      <w:r w:rsidR="009A7D4C">
        <w:t>n an IBFS registration</w:t>
      </w:r>
      <w:r w:rsidR="006D35D9">
        <w:t xml:space="preserve"> for an incumbent earth station site.</w:t>
      </w:r>
      <w:r>
        <w:rPr>
          <w:vertAlign w:val="superscript"/>
        </w:rPr>
        <w:footnoteReference w:id="23"/>
      </w:r>
      <w:r w:rsidR="009D29BF">
        <w:t xml:space="preserve">  </w:t>
      </w:r>
      <w:r w:rsidR="001B3687">
        <w:t>T</w:t>
      </w:r>
      <w:r w:rsidRPr="00A61397" w:rsidR="00A61397">
        <w:t>hus, a</w:t>
      </w:r>
      <w:r w:rsidR="003C4DEF">
        <w:t xml:space="preserve"> registered</w:t>
      </w:r>
      <w:r w:rsidRPr="00A61397" w:rsidR="00A61397">
        <w:t xml:space="preserve"> earth station</w:t>
      </w:r>
      <w:r w:rsidR="003263AD">
        <w:t xml:space="preserve"> site </w:t>
      </w:r>
      <w:r w:rsidRPr="00A61397" w:rsidR="00A61397">
        <w:t xml:space="preserve">that </w:t>
      </w:r>
      <w:r w:rsidR="004C4FFE">
        <w:t>includes</w:t>
      </w:r>
      <w:r w:rsidRPr="00A61397" w:rsidR="00A61397">
        <w:t xml:space="preserve"> four </w:t>
      </w:r>
      <w:r w:rsidR="003C4DEF">
        <w:t xml:space="preserve">registered </w:t>
      </w:r>
      <w:r w:rsidRPr="00A61397" w:rsidR="00A61397">
        <w:t xml:space="preserve">antennas can claim </w:t>
      </w:r>
      <w:r w:rsidRPr="00326242" w:rsidR="00326242">
        <w:t xml:space="preserve">a </w:t>
      </w:r>
      <w:r w:rsidR="009D29BF">
        <w:t xml:space="preserve">base </w:t>
      </w:r>
      <w:r w:rsidRPr="00A61397" w:rsidR="00A61397">
        <w:t xml:space="preserve">lump sum </w:t>
      </w:r>
      <w:r w:rsidR="007A7181">
        <w:t>payment</w:t>
      </w:r>
      <w:r w:rsidR="009D29BF">
        <w:t xml:space="preserve"> </w:t>
      </w:r>
      <w:r w:rsidRPr="00A61397" w:rsidR="00A61397">
        <w:t>for each</w:t>
      </w:r>
      <w:r w:rsidRPr="00DE6042" w:rsidR="00DE6042">
        <w:t xml:space="preserve"> antenna</w:t>
      </w:r>
      <w:r w:rsidRPr="00A61397" w:rsidR="00A61397">
        <w:t>.</w:t>
      </w:r>
      <w:r>
        <w:rPr>
          <w:rStyle w:val="FootnoteReference"/>
        </w:rPr>
        <w:footnoteReference w:id="24"/>
      </w:r>
      <w:r w:rsidRPr="00A61397" w:rsidR="00A61397">
        <w:t xml:space="preserve"> </w:t>
      </w:r>
      <w:r w:rsidRPr="00142611" w:rsidR="00142611">
        <w:t xml:space="preserve"> </w:t>
      </w:r>
    </w:p>
    <w:p w:rsidR="001C562A" w:rsidRPr="001C562A" w:rsidP="003B031F" w14:paraId="330A461B" w14:textId="30209B05">
      <w:pPr>
        <w:pStyle w:val="ParaNum"/>
        <w:tabs>
          <w:tab w:val="clear" w:pos="990"/>
          <w:tab w:val="num" w:pos="1440"/>
        </w:tabs>
        <w:rPr>
          <w:lang w:bidi="en-US"/>
        </w:rPr>
      </w:pPr>
      <w:r w:rsidRPr="001C562A">
        <w:rPr>
          <w:lang w:bidi="en-US"/>
        </w:rPr>
        <w:t xml:space="preserve">We also clarify that incumbents </w:t>
      </w:r>
      <w:r w:rsidRPr="00233CC5" w:rsidR="00233CC5">
        <w:rPr>
          <w:lang w:bidi="en-US"/>
        </w:rPr>
        <w:t xml:space="preserve">that do not elect </w:t>
      </w:r>
      <w:r w:rsidRPr="00433581" w:rsidR="00433581">
        <w:rPr>
          <w:lang w:bidi="en-US"/>
        </w:rPr>
        <w:t xml:space="preserve">the lump sum </w:t>
      </w:r>
      <w:r w:rsidRPr="001C562A">
        <w:rPr>
          <w:lang w:bidi="en-US"/>
        </w:rPr>
        <w:t xml:space="preserve">are not </w:t>
      </w:r>
      <w:r w:rsidRPr="004128EA" w:rsidR="004128EA">
        <w:rPr>
          <w:lang w:bidi="en-US"/>
        </w:rPr>
        <w:t>limited to reimbursement from</w:t>
      </w:r>
      <w:r w:rsidRPr="001C562A">
        <w:rPr>
          <w:lang w:bidi="en-US"/>
        </w:rPr>
        <w:t xml:space="preserve"> the costs </w:t>
      </w:r>
      <w:r w:rsidRPr="00956867" w:rsidR="00956867">
        <w:rPr>
          <w:lang w:bidi="en-US"/>
        </w:rPr>
        <w:t>listed in</w:t>
      </w:r>
      <w:r w:rsidRPr="001C562A">
        <w:rPr>
          <w:lang w:bidi="en-US"/>
        </w:rPr>
        <w:t xml:space="preserve"> a particular table or for a particular type of earth station</w:t>
      </w:r>
      <w:r w:rsidR="00DE51E4">
        <w:rPr>
          <w:lang w:bidi="en-US"/>
        </w:rPr>
        <w:t xml:space="preserve"> or </w:t>
      </w:r>
      <w:r w:rsidR="000421A0">
        <w:rPr>
          <w:lang w:bidi="en-US"/>
        </w:rPr>
        <w:t>antenna</w:t>
      </w:r>
      <w:r w:rsidRPr="001C562A">
        <w:rPr>
          <w:lang w:bidi="en-US"/>
        </w:rPr>
        <w:t xml:space="preserve">; </w:t>
      </w:r>
      <w:r w:rsidRPr="00B67DDF" w:rsidR="00B67DDF">
        <w:rPr>
          <w:lang w:bidi="en-US"/>
        </w:rPr>
        <w:t xml:space="preserve">they </w:t>
      </w:r>
      <w:r w:rsidRPr="001C562A">
        <w:rPr>
          <w:lang w:bidi="en-US"/>
        </w:rPr>
        <w:t>may incur costs from different tables if needed to address their particular transition.</w:t>
      </w:r>
      <w:r>
        <w:rPr>
          <w:vertAlign w:val="superscript"/>
          <w:lang w:bidi="en-US"/>
        </w:rPr>
        <w:footnoteReference w:id="25"/>
      </w:r>
      <w:r w:rsidRPr="004F5ADD" w:rsidR="004F5ADD">
        <w:rPr>
          <w:lang w:bidi="en-US"/>
        </w:rPr>
        <w:t xml:space="preserve">  </w:t>
      </w:r>
      <w:r w:rsidR="00A537CE">
        <w:rPr>
          <w:lang w:bidi="en-US"/>
        </w:rPr>
        <w:t xml:space="preserve">For example, </w:t>
      </w:r>
      <w:r w:rsidR="007621FD">
        <w:rPr>
          <w:lang w:bidi="en-US"/>
        </w:rPr>
        <w:t>a</w:t>
      </w:r>
      <w:r w:rsidR="00AD2066">
        <w:rPr>
          <w:lang w:bidi="en-US"/>
        </w:rPr>
        <w:t>n earth station</w:t>
      </w:r>
      <w:r w:rsidR="00956867">
        <w:rPr>
          <w:lang w:bidi="en-US"/>
        </w:rPr>
        <w:t xml:space="preserve"> that is</w:t>
      </w:r>
      <w:r w:rsidRPr="001C562A">
        <w:rPr>
          <w:lang w:bidi="en-US"/>
        </w:rPr>
        <w:t xml:space="preserve"> </w:t>
      </w:r>
      <w:r w:rsidR="006033B3">
        <w:rPr>
          <w:lang w:bidi="en-US"/>
        </w:rPr>
        <w:t>being repointed to a new satellite using costs in</w:t>
      </w:r>
      <w:r w:rsidR="00542DB3">
        <w:rPr>
          <w:lang w:bidi="en-US"/>
        </w:rPr>
        <w:t xml:space="preserve"> Table III-A-2</w:t>
      </w:r>
      <w:r w:rsidR="006033B3">
        <w:rPr>
          <w:lang w:bidi="en-US"/>
        </w:rPr>
        <w:t xml:space="preserve"> </w:t>
      </w:r>
      <w:r w:rsidR="00956867">
        <w:rPr>
          <w:lang w:bidi="en-US"/>
        </w:rPr>
        <w:t xml:space="preserve">also </w:t>
      </w:r>
      <w:r w:rsidR="007621FD">
        <w:rPr>
          <w:lang w:bidi="en-US"/>
        </w:rPr>
        <w:t>may need the installation of</w:t>
      </w:r>
      <w:r w:rsidR="004E1C06">
        <w:rPr>
          <w:lang w:bidi="en-US"/>
        </w:rPr>
        <w:t xml:space="preserve"> a </w:t>
      </w:r>
      <w:r w:rsidR="007621FD">
        <w:rPr>
          <w:lang w:bidi="en-US"/>
        </w:rPr>
        <w:t>reflector</w:t>
      </w:r>
      <w:r w:rsidRPr="001C562A">
        <w:rPr>
          <w:lang w:bidi="en-US"/>
        </w:rPr>
        <w:t xml:space="preserve"> </w:t>
      </w:r>
      <w:r w:rsidR="00146EDD">
        <w:rPr>
          <w:lang w:bidi="en-US"/>
        </w:rPr>
        <w:t>antenna from Table III</w:t>
      </w:r>
      <w:r w:rsidR="002F61F6">
        <w:rPr>
          <w:lang w:bidi="en-US"/>
        </w:rPr>
        <w:t>-B-2 in order to view the new satellite.</w:t>
      </w:r>
      <w:r w:rsidRPr="001C562A">
        <w:rPr>
          <w:lang w:bidi="en-US"/>
        </w:rPr>
        <w:t xml:space="preserve">  Accordingly, incumbents will need to determine </w:t>
      </w:r>
      <w:r w:rsidR="00956867">
        <w:rPr>
          <w:lang w:bidi="en-US"/>
        </w:rPr>
        <w:t>those</w:t>
      </w:r>
      <w:r w:rsidRPr="001C562A" w:rsidR="00956867">
        <w:rPr>
          <w:lang w:bidi="en-US"/>
        </w:rPr>
        <w:t xml:space="preserve"> </w:t>
      </w:r>
      <w:r w:rsidRPr="001C562A">
        <w:rPr>
          <w:lang w:bidi="en-US"/>
        </w:rPr>
        <w:t xml:space="preserve">costs </w:t>
      </w:r>
      <w:r w:rsidR="00956867">
        <w:rPr>
          <w:lang w:bidi="en-US"/>
        </w:rPr>
        <w:t xml:space="preserve">that </w:t>
      </w:r>
      <w:r w:rsidRPr="001C562A">
        <w:rPr>
          <w:lang w:bidi="en-US"/>
        </w:rPr>
        <w:t xml:space="preserve">are necessary to perform the transition to maintain an equivalent level of service and </w:t>
      </w:r>
      <w:r w:rsidRPr="00DB38C6" w:rsidR="00DB38C6">
        <w:rPr>
          <w:lang w:bidi="en-US"/>
        </w:rPr>
        <w:t xml:space="preserve">to </w:t>
      </w:r>
      <w:r w:rsidRPr="001C562A">
        <w:rPr>
          <w:lang w:bidi="en-US"/>
        </w:rPr>
        <w:t xml:space="preserve">provide the itemized details to the Clearinghouse so it can determine whether those costs are reasonable.  </w:t>
      </w:r>
    </w:p>
    <w:p w:rsidR="001C562A" w:rsidRPr="001C562A" w:rsidP="003B031F" w14:paraId="2C3035E7" w14:textId="008B3D1B">
      <w:pPr>
        <w:pStyle w:val="ParaNum"/>
        <w:tabs>
          <w:tab w:val="clear" w:pos="990"/>
          <w:tab w:val="num" w:pos="1440"/>
        </w:tabs>
      </w:pPr>
      <w:r w:rsidRPr="001C562A">
        <w:rPr>
          <w:lang w:bidi="en-US"/>
        </w:rPr>
        <w:t>In addition, we</w:t>
      </w:r>
      <w:r w:rsidRPr="001C562A">
        <w:t xml:space="preserve"> remind incumbents that they must acquire “equipment that most closely replaces their existing equipment or, as needed, provides the targeted technology upgrades necessary for clearing the lower 300 megahertz, and all relocation costs must be reasonable.”</w:t>
      </w:r>
      <w:r>
        <w:rPr>
          <w:vertAlign w:val="superscript"/>
        </w:rPr>
        <w:footnoteReference w:id="26"/>
      </w:r>
      <w:r w:rsidRPr="001C562A">
        <w:t xml:space="preserve">  As the </w:t>
      </w:r>
      <w:r w:rsidRPr="001C562A">
        <w:rPr>
          <w:i/>
        </w:rPr>
        <w:t>3.7 GHz Report and Order</w:t>
      </w:r>
      <w:r w:rsidRPr="001C562A">
        <w:t xml:space="preserve"> makes clear, </w:t>
      </w:r>
      <w:r w:rsidRPr="001C562A">
        <w:rPr>
          <w:lang w:bidi="en-US"/>
        </w:rPr>
        <w:t>incumbents</w:t>
      </w:r>
      <w:r w:rsidRPr="001C562A">
        <w:t xml:space="preserve"> may not attempt </w:t>
      </w:r>
      <w:r w:rsidRPr="00124576" w:rsidR="00124576">
        <w:t xml:space="preserve">to claim reimbursement </w:t>
      </w:r>
      <w:r w:rsidRPr="001C562A">
        <w:t>to enhance or upgrade their service or to replace older equipment capable of being transitioned beyond what is “reasonably necessary to complete the transition in a timely manner.”</w:t>
      </w:r>
      <w:r>
        <w:rPr>
          <w:vertAlign w:val="superscript"/>
        </w:rPr>
        <w:footnoteReference w:id="27"/>
      </w:r>
      <w:r w:rsidRPr="001C562A">
        <w:t xml:space="preserve">  Accordingly, we make clear that inclusion of a category or cost item in the Cost Catalog does not mean, as a matter of course, that such expense would be reasonable in all transitions.  </w:t>
      </w:r>
      <w:r w:rsidRPr="001C562A">
        <w:rPr>
          <w:lang w:bidi="en-US"/>
        </w:rPr>
        <w:t>Incumbents</w:t>
      </w:r>
      <w:r w:rsidRPr="001C562A">
        <w:t xml:space="preserve"> </w:t>
      </w:r>
      <w:r w:rsidRPr="001C562A">
        <w:t>are eligible to be reimbursed only for those expenses that are reasonably necessary to complete the transition.</w:t>
      </w:r>
      <w:r>
        <w:rPr>
          <w:vertAlign w:val="superscript"/>
        </w:rPr>
        <w:footnoteReference w:id="28"/>
      </w:r>
      <w:r w:rsidRPr="001C562A">
        <w:t xml:space="preserve">  Not all expenses in the Cost Catalog (such as equipment replacement) will be necessary in every type of transition.  Finally, while the Cost Catalog includes certain recurring costs, such as rental equipment or recurring fees, </w:t>
      </w:r>
      <w:r w:rsidRPr="001C562A">
        <w:rPr>
          <w:lang w:bidi="en-US"/>
        </w:rPr>
        <w:t>incumbents</w:t>
      </w:r>
      <w:r w:rsidRPr="001C562A">
        <w:t xml:space="preserve"> are only permitted </w:t>
      </w:r>
      <w:r w:rsidRPr="001C562A">
        <w:t>to receive reimbursement for those recurring expenses for a period sufficient to achieve the transition.</w:t>
      </w:r>
      <w:r>
        <w:rPr>
          <w:vertAlign w:val="superscript"/>
        </w:rPr>
        <w:footnoteReference w:id="29"/>
      </w:r>
      <w:r w:rsidRPr="001C562A">
        <w:t xml:space="preserve">  </w:t>
      </w:r>
    </w:p>
    <w:p w:rsidR="00A1079F" w:rsidP="00544EB2" w14:paraId="4616CC99" w14:textId="6931BC2F">
      <w:pPr>
        <w:pStyle w:val="Heading2"/>
      </w:pPr>
      <w:bookmarkStart w:id="35" w:name="_Toc45117415"/>
      <w:bookmarkStart w:id="36" w:name="_Toc46160559"/>
      <w:bookmarkStart w:id="37" w:name="_Toc46503216"/>
      <w:bookmarkStart w:id="38" w:name="_Toc46744205"/>
      <w:bookmarkStart w:id="39" w:name="_Toc46935645"/>
      <w:bookmarkStart w:id="40" w:name="_Toc45030693"/>
      <w:bookmarkStart w:id="41" w:name="_Toc45031203"/>
      <w:bookmarkStart w:id="42" w:name="_Toc45031295"/>
      <w:bookmarkStart w:id="43" w:name="_Toc45031350"/>
      <w:bookmarkStart w:id="44" w:name="_Toc45031403"/>
      <w:r w:rsidRPr="001C562A">
        <w:t>Changes to Cost Catalog</w:t>
      </w:r>
      <w:r w:rsidR="00207334">
        <w:t xml:space="preserve"> </w:t>
      </w:r>
      <w:r w:rsidR="00711252">
        <w:t>Cost</w:t>
      </w:r>
      <w:r w:rsidR="00BA7EC4">
        <w:t xml:space="preserve"> Items</w:t>
      </w:r>
      <w:r w:rsidR="00207334">
        <w:t xml:space="preserve"> and Tables</w:t>
      </w:r>
      <w:bookmarkEnd w:id="35"/>
      <w:bookmarkEnd w:id="36"/>
      <w:bookmarkEnd w:id="37"/>
      <w:bookmarkEnd w:id="38"/>
      <w:bookmarkEnd w:id="39"/>
      <w:r w:rsidRPr="001C562A">
        <w:t xml:space="preserve">  </w:t>
      </w:r>
      <w:bookmarkEnd w:id="40"/>
      <w:bookmarkEnd w:id="41"/>
      <w:bookmarkEnd w:id="42"/>
      <w:bookmarkEnd w:id="43"/>
      <w:bookmarkEnd w:id="44"/>
    </w:p>
    <w:p w:rsidR="00830218" w:rsidP="00B969B1" w14:paraId="6FDC8A1C" w14:textId="4C32C821">
      <w:pPr>
        <w:pStyle w:val="ParaNum"/>
        <w:tabs>
          <w:tab w:val="clear" w:pos="990"/>
          <w:tab w:val="num" w:pos="1440"/>
        </w:tabs>
      </w:pPr>
      <w:r w:rsidRPr="00AB54C8">
        <w:t>In response to commenters’ requests and input, t</w:t>
      </w:r>
      <w:r w:rsidRPr="001C562A" w:rsidR="001C562A">
        <w:t xml:space="preserve">he Cost Catalog contains updated </w:t>
      </w:r>
      <w:r w:rsidR="00A323EC">
        <w:t>cost items</w:t>
      </w:r>
      <w:r w:rsidR="006B5EC0">
        <w:t xml:space="preserve"> and</w:t>
      </w:r>
      <w:r w:rsidRPr="001C562A" w:rsidR="001C562A">
        <w:t xml:space="preserve"> tables</w:t>
      </w:r>
      <w:r w:rsidR="002E7E33">
        <w:t xml:space="preserve"> </w:t>
      </w:r>
      <w:r w:rsidRPr="001C562A" w:rsidR="001C562A">
        <w:t>that the Bureau, with assistance from RKF, determine</w:t>
      </w:r>
      <w:r w:rsidR="000C0A3D">
        <w:t>s</w:t>
      </w:r>
      <w:r w:rsidRPr="001C562A" w:rsidR="001C562A">
        <w:t xml:space="preserve"> to be </w:t>
      </w:r>
      <w:r w:rsidR="00BA7A52">
        <w:t xml:space="preserve">expenses that </w:t>
      </w:r>
      <w:r w:rsidR="00DD619E">
        <w:t xml:space="preserve">incumbents </w:t>
      </w:r>
      <w:r w:rsidR="00CB21AA">
        <w:t xml:space="preserve">are </w:t>
      </w:r>
      <w:r w:rsidR="00260289">
        <w:t>likely to incur in a typical transition</w:t>
      </w:r>
      <w:r w:rsidRPr="001C562A" w:rsidR="001C562A">
        <w:t xml:space="preserve">.  For example, </w:t>
      </w:r>
      <w:r w:rsidR="00AA7355">
        <w:t xml:space="preserve">in response to information from </w:t>
      </w:r>
      <w:r w:rsidR="00A37677">
        <w:t xml:space="preserve">commenters such as </w:t>
      </w:r>
      <w:r w:rsidR="00181E60">
        <w:t>the Church of Jesus Christ of Latter-</w:t>
      </w:r>
      <w:r w:rsidR="00DE66AE">
        <w:t>D</w:t>
      </w:r>
      <w:r w:rsidR="00181E60">
        <w:t>ay S</w:t>
      </w:r>
      <w:r w:rsidR="00F57C94">
        <w:t>aints</w:t>
      </w:r>
      <w:r w:rsidR="00DB184C">
        <w:t xml:space="preserve"> (JCLDS)</w:t>
      </w:r>
      <w:r w:rsidR="005A6B67">
        <w:t>,</w:t>
      </w:r>
      <w:r w:rsidR="00F57C94">
        <w:t xml:space="preserve"> Cox</w:t>
      </w:r>
      <w:r w:rsidR="008C4C42">
        <w:t xml:space="preserve"> Communications</w:t>
      </w:r>
      <w:r w:rsidR="00094424">
        <w:t>,</w:t>
      </w:r>
      <w:r w:rsidR="00426E75">
        <w:t xml:space="preserve"> Inc.</w:t>
      </w:r>
      <w:r w:rsidR="00E3147F">
        <w:t xml:space="preserve"> (Cox)</w:t>
      </w:r>
      <w:r w:rsidR="005A6B67">
        <w:t>, and NCTA</w:t>
      </w:r>
      <w:r w:rsidR="00F57C94">
        <w:t xml:space="preserve">, </w:t>
      </w:r>
      <w:r w:rsidRPr="001C562A" w:rsidR="001C562A">
        <w:t xml:space="preserve">we </w:t>
      </w:r>
      <w:r w:rsidR="00EC7C50">
        <w:t>clarif</w:t>
      </w:r>
      <w:r w:rsidR="003A0FCF">
        <w:t>y</w:t>
      </w:r>
      <w:r w:rsidR="00EC7C50">
        <w:t xml:space="preserve"> </w:t>
      </w:r>
      <w:r w:rsidR="00075CA8">
        <w:t xml:space="preserve">or </w:t>
      </w:r>
      <w:r w:rsidRPr="001C562A" w:rsidR="001C562A">
        <w:t>add daily or monthly rental expenses for various items</w:t>
      </w:r>
      <w:r w:rsidR="00F824E8">
        <w:t xml:space="preserve"> that we expect would be incurred in a typical transition</w:t>
      </w:r>
      <w:r w:rsidR="00A37677">
        <w:t>.</w:t>
      </w:r>
      <w:r>
        <w:rPr>
          <w:rStyle w:val="FootnoteReference"/>
          <w:szCs w:val="24"/>
        </w:rPr>
        <w:footnoteReference w:id="30"/>
      </w:r>
      <w:r w:rsidRPr="001C562A" w:rsidR="001C562A">
        <w:t xml:space="preserve"> </w:t>
      </w:r>
      <w:r w:rsidR="00D855E2">
        <w:t xml:space="preserve"> </w:t>
      </w:r>
      <w:r w:rsidR="00DA7375">
        <w:t xml:space="preserve">Several commenters </w:t>
      </w:r>
      <w:r w:rsidR="000463A5">
        <w:t>provide additional information regarding</w:t>
      </w:r>
      <w:r w:rsidR="00B91B83">
        <w:t xml:space="preserve"> dual illumination costs</w:t>
      </w:r>
      <w:r w:rsidR="0068657C">
        <w:t xml:space="preserve"> or </w:t>
      </w:r>
      <w:r w:rsidR="00402D44">
        <w:t>potential clarifications to those cost items</w:t>
      </w:r>
      <w:r w:rsidR="007A7CF8">
        <w:t xml:space="preserve">, so </w:t>
      </w:r>
      <w:r w:rsidR="00B91B83">
        <w:t>we add</w:t>
      </w:r>
      <w:r w:rsidRPr="001C562A" w:rsidR="001C562A">
        <w:t xml:space="preserve"> the potential expense of paying for additional satellite capacity to allow for dual illumination during the transition</w:t>
      </w:r>
      <w:r w:rsidR="00313088">
        <w:t xml:space="preserve"> and ma</w:t>
      </w:r>
      <w:r w:rsidRPr="001F31C6" w:rsidR="001F31C6">
        <w:t>k</w:t>
      </w:r>
      <w:r w:rsidR="00313088">
        <w:t xml:space="preserve">e clarifications to </w:t>
      </w:r>
      <w:r w:rsidR="00296A0E">
        <w:t xml:space="preserve">the dual </w:t>
      </w:r>
      <w:r w:rsidR="001B0521">
        <w:t>illumination</w:t>
      </w:r>
      <w:r w:rsidR="00296A0E">
        <w:t xml:space="preserve"> cost items</w:t>
      </w:r>
      <w:r w:rsidRPr="001C562A" w:rsidR="001C562A">
        <w:t>.</w:t>
      </w:r>
      <w:r>
        <w:rPr>
          <w:vertAlign w:val="superscript"/>
        </w:rPr>
        <w:footnoteReference w:id="31"/>
      </w:r>
      <w:r w:rsidRPr="001C562A" w:rsidR="001C562A">
        <w:t xml:space="preserve">  </w:t>
      </w:r>
      <w:r w:rsidR="001913B7">
        <w:t xml:space="preserve">In addition, </w:t>
      </w:r>
      <w:r w:rsidR="00296A0E">
        <w:t>based on information from</w:t>
      </w:r>
      <w:r w:rsidR="00C34BD9">
        <w:t xml:space="preserve"> </w:t>
      </w:r>
      <w:r w:rsidR="00313DC6">
        <w:t xml:space="preserve">commenters such as </w:t>
      </w:r>
      <w:r w:rsidR="00DC53D5">
        <w:t xml:space="preserve">Trinity Broadcasting Network (Trinity), JCLDS, </w:t>
      </w:r>
      <w:r w:rsidR="00D03105">
        <w:t>SES</w:t>
      </w:r>
      <w:r w:rsidR="00023183">
        <w:t>, Telesat</w:t>
      </w:r>
      <w:r w:rsidR="00115E53">
        <w:t xml:space="preserve"> Canada (Telesat)</w:t>
      </w:r>
      <w:r w:rsidR="00023183">
        <w:t xml:space="preserve">, </w:t>
      </w:r>
      <w:r w:rsidR="00977DDC">
        <w:t xml:space="preserve">and </w:t>
      </w:r>
      <w:r w:rsidR="00023183">
        <w:t xml:space="preserve">NCTA, </w:t>
      </w:r>
      <w:r w:rsidR="00313DC6">
        <w:t>w</w:t>
      </w:r>
      <w:r w:rsidRPr="001C562A" w:rsidR="001C562A">
        <w:t>e insert options for various travel expenses,</w:t>
      </w:r>
      <w:r>
        <w:rPr>
          <w:vertAlign w:val="superscript"/>
        </w:rPr>
        <w:footnoteReference w:id="32"/>
      </w:r>
      <w:r w:rsidRPr="001C562A" w:rsidR="001C562A">
        <w:t xml:space="preserve"> interconnect</w:t>
      </w:r>
      <w:r w:rsidR="00B77975">
        <w:t xml:space="preserve">ion </w:t>
      </w:r>
      <w:r w:rsidRPr="001C562A" w:rsidR="001C562A">
        <w:t>options (cabling, fiber connections),</w:t>
      </w:r>
      <w:r>
        <w:rPr>
          <w:vertAlign w:val="superscript"/>
        </w:rPr>
        <w:footnoteReference w:id="33"/>
      </w:r>
      <w:r w:rsidRPr="001C562A" w:rsidR="001C562A">
        <w:t xml:space="preserve"> landscaping, tree removal, fencing,</w:t>
      </w:r>
      <w:r>
        <w:rPr>
          <w:vertAlign w:val="superscript"/>
        </w:rPr>
        <w:footnoteReference w:id="34"/>
      </w:r>
      <w:r w:rsidRPr="001C562A" w:rsidR="001C562A">
        <w:t xml:space="preserve"> and other expenses that may not appear to be part of an earth station, but may nevertheless be necessary expenses for the transition.  </w:t>
      </w:r>
    </w:p>
    <w:p w:rsidR="001C562A" w:rsidRPr="001C562A" w:rsidP="00CB4667" w14:paraId="5090AC51" w14:textId="307C997F">
      <w:pPr>
        <w:pStyle w:val="ParaNum"/>
      </w:pPr>
      <w:r w:rsidRPr="001C562A">
        <w:t xml:space="preserve">We also include additional technical equipment components </w:t>
      </w:r>
      <w:r w:rsidR="00D56BAE">
        <w:t>that were not originally included</w:t>
      </w:r>
      <w:r w:rsidR="00B70293">
        <w:t xml:space="preserve"> in the tables</w:t>
      </w:r>
      <w:r w:rsidR="00D56BAE">
        <w:t xml:space="preserve">, but </w:t>
      </w:r>
      <w:r w:rsidR="00B70293">
        <w:t>that</w:t>
      </w:r>
      <w:r w:rsidR="00D56BAE">
        <w:t xml:space="preserve"> parties </w:t>
      </w:r>
      <w:r w:rsidRPr="001F31C6" w:rsidR="001F31C6">
        <w:t xml:space="preserve">persuasively </w:t>
      </w:r>
      <w:r w:rsidR="00D56BAE">
        <w:t xml:space="preserve">argue </w:t>
      </w:r>
      <w:r w:rsidR="00A25E9E">
        <w:t xml:space="preserve">are likely to </w:t>
      </w:r>
      <w:r w:rsidR="00D56BAE">
        <w:t>be necessary to complete the transition.</w:t>
      </w:r>
      <w:r>
        <w:rPr>
          <w:vertAlign w:val="superscript"/>
        </w:rPr>
        <w:footnoteReference w:id="35"/>
      </w:r>
      <w:r w:rsidRPr="001C562A">
        <w:t xml:space="preserve"> </w:t>
      </w:r>
      <w:r w:rsidR="000B1088">
        <w:t xml:space="preserve"> </w:t>
      </w:r>
      <w:r w:rsidRPr="001C562A" w:rsidR="00875CB6">
        <w:t xml:space="preserve">We </w:t>
      </w:r>
      <w:r w:rsidR="00A460C6">
        <w:t>add</w:t>
      </w:r>
      <w:r w:rsidRPr="001C562A" w:rsidR="00875CB6">
        <w:t xml:space="preserve"> </w:t>
      </w:r>
      <w:r w:rsidR="00BF0D6C">
        <w:t>numerous</w:t>
      </w:r>
      <w:r w:rsidRPr="001C562A" w:rsidR="00875CB6">
        <w:t xml:space="preserve"> cost</w:t>
      </w:r>
      <w:r w:rsidR="000B1088">
        <w:t xml:space="preserve"> item</w:t>
      </w:r>
      <w:r w:rsidRPr="001C562A" w:rsidR="00875CB6">
        <w:t>s associated with the relocation or construction of new earth station</w:t>
      </w:r>
      <w:r w:rsidRPr="004832BA" w:rsidR="004832BA">
        <w:t>s</w:t>
      </w:r>
      <w:r w:rsidR="005322C1">
        <w:t xml:space="preserve"> (i.e., antennas)</w:t>
      </w:r>
      <w:r w:rsidRPr="001C562A" w:rsidR="00875CB6">
        <w:t>, mounting platforms, and supporting facilities</w:t>
      </w:r>
      <w:r w:rsidR="00216493">
        <w:t xml:space="preserve">, in response to </w:t>
      </w:r>
      <w:r w:rsidR="00507024">
        <w:t xml:space="preserve">information </w:t>
      </w:r>
      <w:r w:rsidR="00216493">
        <w:t xml:space="preserve">from </w:t>
      </w:r>
      <w:r w:rsidR="00A26EC3">
        <w:t xml:space="preserve">ACA </w:t>
      </w:r>
      <w:r w:rsidR="0054406F">
        <w:t>and</w:t>
      </w:r>
      <w:r w:rsidR="00A26EC3">
        <w:t xml:space="preserve"> </w:t>
      </w:r>
      <w:r w:rsidR="00C84A71">
        <w:t>NAB</w:t>
      </w:r>
      <w:r w:rsidR="0082649E">
        <w:t xml:space="preserve"> that we </w:t>
      </w:r>
      <w:r w:rsidRPr="00C15123" w:rsidR="0082649E">
        <w:t>determine</w:t>
      </w:r>
      <w:r w:rsidR="0082649E">
        <w:t xml:space="preserve"> to be reasonable expenses</w:t>
      </w:r>
      <w:r w:rsidRPr="001C562A" w:rsidR="00875CB6">
        <w:t>.</w:t>
      </w:r>
      <w:r>
        <w:rPr>
          <w:vertAlign w:val="superscript"/>
        </w:rPr>
        <w:footnoteReference w:id="36"/>
      </w:r>
      <w:r w:rsidRPr="001C562A" w:rsidR="00875CB6">
        <w:t xml:space="preserve">  </w:t>
      </w:r>
      <w:r w:rsidR="00924A13">
        <w:t xml:space="preserve">Based on the comments, we </w:t>
      </w:r>
      <w:r w:rsidR="002F4C64">
        <w:t xml:space="preserve">also </w:t>
      </w:r>
      <w:r w:rsidR="0088776F">
        <w:t xml:space="preserve">include </w:t>
      </w:r>
      <w:r w:rsidR="00087973">
        <w:t>add</w:t>
      </w:r>
      <w:r w:rsidR="00DB1251">
        <w:t>i</w:t>
      </w:r>
      <w:r w:rsidR="00087973">
        <w:t>tional</w:t>
      </w:r>
      <w:r w:rsidR="002F4C64">
        <w:t xml:space="preserve"> cost items </w:t>
      </w:r>
      <w:r w:rsidRPr="001F31C6" w:rsidR="001F31C6">
        <w:t>for moving to</w:t>
      </w:r>
      <w:r w:rsidR="002F4C64">
        <w:t xml:space="preserve"> higher order modulation (Section V Technology Upgrades)</w:t>
      </w:r>
      <w:r w:rsidR="00F47676">
        <w:t>,</w:t>
      </w:r>
      <w:r w:rsidR="0056064B">
        <w:t xml:space="preserve"> like</w:t>
      </w:r>
      <w:r w:rsidR="002F4C64">
        <w:t xml:space="preserve"> the inclusion of addition</w:t>
      </w:r>
      <w:r w:rsidR="00F54A8A">
        <w:t>al</w:t>
      </w:r>
      <w:r w:rsidR="002F4C64">
        <w:t xml:space="preserve"> equipment components, shipping costs</w:t>
      </w:r>
      <w:r w:rsidR="00171445">
        <w:t>,</w:t>
      </w:r>
      <w:r w:rsidR="002F4C64">
        <w:t xml:space="preserve"> and project management costs.</w:t>
      </w:r>
      <w:r>
        <w:rPr>
          <w:rStyle w:val="FootnoteReference"/>
        </w:rPr>
        <w:footnoteReference w:id="37"/>
      </w:r>
      <w:r w:rsidR="00347F2B">
        <w:t xml:space="preserve"> </w:t>
      </w:r>
      <w:r w:rsidR="000A1BE1">
        <w:t xml:space="preserve"> </w:t>
      </w:r>
      <w:r w:rsidRPr="001C562A" w:rsidR="00875CB6">
        <w:t>Finally, we note that Table III-B-2 contains new cost items for 6.5</w:t>
      </w:r>
      <w:r w:rsidR="00892E2D">
        <w:t>-</w:t>
      </w:r>
      <w:r w:rsidRPr="001C562A" w:rsidR="00875CB6">
        <w:t>, 7.2</w:t>
      </w:r>
      <w:r w:rsidR="00892E2D">
        <w:t>-</w:t>
      </w:r>
      <w:r w:rsidRPr="001C562A" w:rsidR="00875CB6">
        <w:t>, and 13.</w:t>
      </w:r>
      <w:r w:rsidRPr="001C562A" w:rsidR="00892E2D">
        <w:t>5</w:t>
      </w:r>
      <w:r w:rsidR="00892E2D">
        <w:t>-</w:t>
      </w:r>
      <w:r w:rsidRPr="001C562A" w:rsidR="00875CB6">
        <w:t>meter receive</w:t>
      </w:r>
      <w:r w:rsidR="00875CB6">
        <w:t>-</w:t>
      </w:r>
      <w:r w:rsidRPr="001C562A" w:rsidR="00875CB6">
        <w:t xml:space="preserve">only antennas </w:t>
      </w:r>
      <w:r w:rsidR="00C17912">
        <w:t xml:space="preserve">based on information from </w:t>
      </w:r>
      <w:r w:rsidR="0013130A">
        <w:t>commenters.</w:t>
      </w:r>
      <w:bookmarkStart w:id="45" w:name="_Hlk45783704"/>
      <w:r>
        <w:rPr>
          <w:vertAlign w:val="superscript"/>
        </w:rPr>
        <w:footnoteReference w:id="38"/>
      </w:r>
      <w:r w:rsidRPr="001C562A" w:rsidR="006E1680">
        <w:t xml:space="preserve"> </w:t>
      </w:r>
      <w:bookmarkEnd w:id="45"/>
    </w:p>
    <w:p w:rsidR="00387B62" w:rsidRPr="001C562A" w:rsidP="00CB4667" w14:paraId="0F53041C" w14:textId="6E877346">
      <w:pPr>
        <w:pStyle w:val="ParaNum"/>
      </w:pPr>
      <w:r>
        <w:t xml:space="preserve">We </w:t>
      </w:r>
      <w:r w:rsidRPr="00747C07" w:rsidR="00747C07">
        <w:t xml:space="preserve">reject certain </w:t>
      </w:r>
      <w:r w:rsidR="000015C3">
        <w:t>requests for changes to the c</w:t>
      </w:r>
      <w:r w:rsidR="00697418">
        <w:t>ost items</w:t>
      </w:r>
      <w:r w:rsidR="000015C3">
        <w:t xml:space="preserve"> or </w:t>
      </w:r>
      <w:r w:rsidR="00115AEF">
        <w:t>tables.  For instance,</w:t>
      </w:r>
      <w:r w:rsidRPr="001C562A" w:rsidR="008C72E5">
        <w:t xml:space="preserve"> </w:t>
      </w:r>
      <w:r w:rsidRPr="002F0C12" w:rsidR="002F0C12">
        <w:t xml:space="preserve">we reject arguments </w:t>
      </w:r>
      <w:r w:rsidRPr="001C562A" w:rsidR="008C72E5">
        <w:t>that certain cost items should be moved to different tables or duplicated in various tables</w:t>
      </w:r>
      <w:r w:rsidR="003640EC">
        <w:t>;</w:t>
      </w:r>
      <w:r>
        <w:rPr>
          <w:vertAlign w:val="superscript"/>
        </w:rPr>
        <w:footnoteReference w:id="39"/>
      </w:r>
      <w:r w:rsidRPr="001C562A" w:rsidR="008C72E5">
        <w:t xml:space="preserve"> instead, we </w:t>
      </w:r>
      <w:r w:rsidR="0089131D">
        <w:t>clarify</w:t>
      </w:r>
      <w:r w:rsidRPr="001C562A" w:rsidR="0089131D">
        <w:t xml:space="preserve"> </w:t>
      </w:r>
      <w:r w:rsidRPr="001C562A" w:rsidR="008C72E5">
        <w:t>that parties are not limited to cost items within any one table if their transition requires items from other tables</w:t>
      </w:r>
      <w:r w:rsidR="008C72E5">
        <w:t xml:space="preserve"> (</w:t>
      </w:r>
      <w:r w:rsidRPr="282C584A" w:rsidR="008C72E5">
        <w:rPr>
          <w:i/>
          <w:iCs/>
        </w:rPr>
        <w:t>e.g</w:t>
      </w:r>
      <w:r w:rsidR="008C72E5">
        <w:t xml:space="preserve">., a party using Table III-B-2 to install a new </w:t>
      </w:r>
      <w:r w:rsidR="00060273">
        <w:t>antenna</w:t>
      </w:r>
      <w:r w:rsidR="008C72E5">
        <w:t xml:space="preserve"> may need to trim a tree to view the satellite</w:t>
      </w:r>
      <w:r w:rsidR="00D26D56">
        <w:t>,</w:t>
      </w:r>
      <w:r w:rsidR="008C72E5">
        <w:t xml:space="preserve"> which is a cost item in Table III-B-1)</w:t>
      </w:r>
      <w:r w:rsidRPr="001C562A" w:rsidR="008C72E5">
        <w:t xml:space="preserve">.  </w:t>
      </w:r>
      <w:r w:rsidRPr="001C562A" w:rsidR="006D58CD">
        <w:t xml:space="preserve">Because there are a wide range of components in the various tables that parties </w:t>
      </w:r>
      <w:r w:rsidRPr="00CB4667" w:rsidR="006D58CD">
        <w:t>can</w:t>
      </w:r>
      <w:r w:rsidRPr="001C562A" w:rsidR="006D58CD">
        <w:t xml:space="preserve"> choose from, we attempted to minimize repetition where possible.</w:t>
      </w:r>
      <w:r w:rsidR="006D58CD">
        <w:t xml:space="preserve">  </w:t>
      </w:r>
      <w:r w:rsidRPr="00A56F1A" w:rsidR="00A56F1A">
        <w:t xml:space="preserve">Some commenters also ask us to include more </w:t>
      </w:r>
      <w:r w:rsidR="00A56A48">
        <w:t xml:space="preserve">granular </w:t>
      </w:r>
      <w:r w:rsidRPr="00A56F1A" w:rsidR="00A56F1A">
        <w:t xml:space="preserve">detail about </w:t>
      </w:r>
      <w:r w:rsidR="00E33907">
        <w:t xml:space="preserve">potential </w:t>
      </w:r>
      <w:r w:rsidRPr="00A56F1A" w:rsidR="00A56F1A">
        <w:t xml:space="preserve">soft costs </w:t>
      </w:r>
      <w:r w:rsidR="00A56A48">
        <w:t>that may be</w:t>
      </w:r>
      <w:r w:rsidRPr="00A56F1A" w:rsidR="00A56F1A">
        <w:t xml:space="preserve"> incurred in </w:t>
      </w:r>
      <w:r w:rsidR="005D4021">
        <w:t xml:space="preserve">a particular </w:t>
      </w:r>
      <w:r w:rsidRPr="00A56F1A" w:rsidR="00A56F1A">
        <w:t>type of transition</w:t>
      </w:r>
      <w:r w:rsidR="00B14A14">
        <w:t>.</w:t>
      </w:r>
      <w:r>
        <w:rPr>
          <w:vertAlign w:val="superscript"/>
        </w:rPr>
        <w:footnoteReference w:id="40"/>
      </w:r>
      <w:r w:rsidRPr="00A56F1A" w:rsidR="00A56F1A">
        <w:t xml:space="preserve"> </w:t>
      </w:r>
      <w:r w:rsidR="00B14A14">
        <w:t xml:space="preserve"> </w:t>
      </w:r>
      <w:r w:rsidR="00C93E24">
        <w:t>Many of these costs are already addressed in other table</w:t>
      </w:r>
      <w:r w:rsidR="00AE6723">
        <w:t>s</w:t>
      </w:r>
      <w:r w:rsidR="00C93E24">
        <w:t xml:space="preserve"> in the Cost Catalog.  </w:t>
      </w:r>
      <w:r w:rsidR="00B14A14">
        <w:t>G</w:t>
      </w:r>
      <w:r w:rsidRPr="00A56F1A" w:rsidR="00A56F1A">
        <w:t>iven that parties may</w:t>
      </w:r>
      <w:r w:rsidR="003657E8">
        <w:t xml:space="preserve"> claim reimbursement</w:t>
      </w:r>
      <w:r w:rsidRPr="00A56F1A" w:rsidR="00A56F1A">
        <w:t xml:space="preserve"> </w:t>
      </w:r>
      <w:r w:rsidR="003657E8">
        <w:t>for</w:t>
      </w:r>
      <w:r w:rsidR="00A75E89">
        <w:t xml:space="preserve"> </w:t>
      </w:r>
      <w:r w:rsidRPr="00A56F1A" w:rsidR="00A56F1A">
        <w:t>cost</w:t>
      </w:r>
      <w:r w:rsidR="003657E8">
        <w:t>s in an</w:t>
      </w:r>
      <w:r w:rsidR="008975F6">
        <w:t xml:space="preserve">y </w:t>
      </w:r>
      <w:r w:rsidRPr="00A56F1A" w:rsidR="00A56F1A">
        <w:t>table</w:t>
      </w:r>
      <w:r w:rsidR="00790A36">
        <w:t xml:space="preserve"> in the </w:t>
      </w:r>
      <w:r w:rsidR="00AE6723">
        <w:t>C</w:t>
      </w:r>
      <w:r w:rsidR="00790A36">
        <w:t xml:space="preserve">ost </w:t>
      </w:r>
      <w:r w:rsidR="00AE6723">
        <w:t>Catalog</w:t>
      </w:r>
      <w:r w:rsidR="00F241FB">
        <w:t>—</w:t>
      </w:r>
      <w:r w:rsidR="00427B79">
        <w:t>some of</w:t>
      </w:r>
      <w:r w:rsidRPr="00A56F1A" w:rsidR="00A56F1A">
        <w:t xml:space="preserve"> which break out potential soft costs in greater detail</w:t>
      </w:r>
      <w:r w:rsidR="00F241FB">
        <w:t>—</w:t>
      </w:r>
      <w:r w:rsidRPr="00A56F1A" w:rsidR="00A56F1A">
        <w:t xml:space="preserve">we find it unnecessary </w:t>
      </w:r>
      <w:r w:rsidR="00C8270A">
        <w:t xml:space="preserve">to add </w:t>
      </w:r>
      <w:r w:rsidR="0083661F">
        <w:t>redundant</w:t>
      </w:r>
      <w:r w:rsidR="001F3C07">
        <w:t xml:space="preserve"> </w:t>
      </w:r>
      <w:r w:rsidRPr="00A56F1A" w:rsidR="00A56F1A">
        <w:t>soft costs in</w:t>
      </w:r>
      <w:r w:rsidR="001F3C07">
        <w:t xml:space="preserve"> other tables</w:t>
      </w:r>
      <w:r w:rsidRPr="00A56F1A" w:rsidR="00A56F1A">
        <w:t>.</w:t>
      </w:r>
      <w:r w:rsidRPr="001C562A" w:rsidR="008C72E5">
        <w:t xml:space="preserve">  We remind parties, however, that the </w:t>
      </w:r>
      <w:r w:rsidRPr="282C584A" w:rsidR="008C72E5">
        <w:rPr>
          <w:i/>
          <w:iCs/>
        </w:rPr>
        <w:t xml:space="preserve">3.7 GHz Report and Order </w:t>
      </w:r>
      <w:r w:rsidRPr="001C562A" w:rsidR="008C72E5">
        <w:t>establishe</w:t>
      </w:r>
      <w:r w:rsidR="00EB36D6">
        <w:t>d</w:t>
      </w:r>
      <w:r w:rsidRPr="001C562A" w:rsidR="008C72E5">
        <w:t xml:space="preserve"> that soft costs are subject to a rebuttable presumption of 2% of hard costs and we make clear that </w:t>
      </w:r>
      <w:r w:rsidR="002B39ED">
        <w:t xml:space="preserve">soft costs are subject </w:t>
      </w:r>
      <w:r w:rsidR="003B0906">
        <w:t>to</w:t>
      </w:r>
      <w:r w:rsidR="002B39ED">
        <w:t xml:space="preserve"> t</w:t>
      </w:r>
      <w:r w:rsidR="00A315BD">
        <w:t>hat limitation regardless of the amounts listed in the Cost Catalog</w:t>
      </w:r>
      <w:r w:rsidRPr="001C562A" w:rsidR="008C72E5">
        <w:t>.</w:t>
      </w:r>
      <w:r>
        <w:rPr>
          <w:vertAlign w:val="superscript"/>
        </w:rPr>
        <w:footnoteReference w:id="41"/>
      </w:r>
      <w:r w:rsidR="00DB04EF">
        <w:t xml:space="preserve">  </w:t>
      </w:r>
      <w:r w:rsidR="001C3096">
        <w:t>Finally, we note that</w:t>
      </w:r>
      <w:r w:rsidRPr="001C562A">
        <w:t xml:space="preserve"> the Clearinghouse has the ability to reimburse</w:t>
      </w:r>
      <w:r w:rsidR="009C2025">
        <w:t xml:space="preserve"> an eligible entity</w:t>
      </w:r>
      <w:r w:rsidRPr="001C562A">
        <w:t xml:space="preserve"> for any unique </w:t>
      </w:r>
      <w:r w:rsidR="00EF3AAB">
        <w:t>expense</w:t>
      </w:r>
      <w:r w:rsidRPr="001C562A">
        <w:t xml:space="preserve"> not specified in the Cost Catalog</w:t>
      </w:r>
      <w:r w:rsidR="00A460C6">
        <w:t xml:space="preserve"> </w:t>
      </w:r>
      <w:r w:rsidR="00007BAD">
        <w:t>on a case-by-case basis</w:t>
      </w:r>
      <w:r w:rsidRPr="00007BAD" w:rsidR="00007BAD">
        <w:t xml:space="preserve"> </w:t>
      </w:r>
      <w:r w:rsidR="00A460C6">
        <w:t>so long as that expense is reasonably necessary to a timely transition</w:t>
      </w:r>
      <w:r w:rsidR="006D58CD">
        <w:t>.  Accordingly, we do not include certain cost items that we determine are not likely to be incurred in a typical transition</w:t>
      </w:r>
      <w:r w:rsidR="00203D6D">
        <w:t xml:space="preserve"> or are not presumptively reasonable</w:t>
      </w:r>
      <w:r w:rsidR="00D45A28">
        <w:t>.</w:t>
      </w:r>
      <w:r>
        <w:rPr>
          <w:rStyle w:val="FootnoteReference"/>
        </w:rPr>
        <w:footnoteReference w:id="42"/>
      </w:r>
      <w:r w:rsidR="006D58CD">
        <w:t xml:space="preserve"> </w:t>
      </w:r>
      <w:r w:rsidR="00D45A28">
        <w:t xml:space="preserve"> L</w:t>
      </w:r>
      <w:r w:rsidR="006D58CD">
        <w:t>ikewise, we do not</w:t>
      </w:r>
      <w:r w:rsidRPr="001C562A">
        <w:t xml:space="preserve"> expand or explicitly break out additional costs </w:t>
      </w:r>
      <w:r w:rsidR="008A1543">
        <w:t>for certain categories</w:t>
      </w:r>
      <w:r w:rsidR="006D58CD">
        <w:t xml:space="preserve">, such as those </w:t>
      </w:r>
      <w:r w:rsidRPr="001C562A">
        <w:t>associated with “occasional use” or “temporary fixed” operators as requested by some commenters.</w:t>
      </w:r>
      <w:r>
        <w:rPr>
          <w:vertAlign w:val="superscript"/>
        </w:rPr>
        <w:footnoteReference w:id="43"/>
      </w:r>
      <w:r w:rsidRPr="001C562A">
        <w:t xml:space="preserve">  </w:t>
      </w:r>
    </w:p>
    <w:p w:rsidR="00DD4EBC" w:rsidP="00544EB2" w14:paraId="47C690B2" w14:textId="744767A6">
      <w:pPr>
        <w:pStyle w:val="Heading2"/>
      </w:pPr>
      <w:bookmarkStart w:id="46" w:name="_Toc45030694"/>
      <w:bookmarkStart w:id="47" w:name="_Toc45031204"/>
      <w:bookmarkStart w:id="48" w:name="_Toc45031296"/>
      <w:bookmarkStart w:id="49" w:name="_Toc45031351"/>
      <w:bookmarkStart w:id="50" w:name="_Toc45031404"/>
      <w:bookmarkStart w:id="51" w:name="_Toc45117416"/>
      <w:bookmarkStart w:id="52" w:name="_Toc46160560"/>
      <w:bookmarkStart w:id="53" w:name="_Toc46503217"/>
      <w:bookmarkStart w:id="54" w:name="_Toc46744206"/>
      <w:bookmarkStart w:id="55" w:name="_Toc46935646"/>
      <w:r>
        <w:t>Updated Costs</w:t>
      </w:r>
      <w:bookmarkEnd w:id="46"/>
      <w:bookmarkEnd w:id="47"/>
      <w:bookmarkEnd w:id="48"/>
      <w:bookmarkEnd w:id="49"/>
      <w:bookmarkEnd w:id="50"/>
      <w:bookmarkEnd w:id="51"/>
      <w:bookmarkEnd w:id="52"/>
      <w:bookmarkEnd w:id="53"/>
      <w:bookmarkEnd w:id="54"/>
      <w:bookmarkEnd w:id="55"/>
    </w:p>
    <w:p w:rsidR="00CD70C8" w:rsidP="00CB4667" w14:paraId="5768AFDF" w14:textId="6C299F24">
      <w:pPr>
        <w:pStyle w:val="ParaNum"/>
      </w:pPr>
      <w:r w:rsidRPr="001C562A">
        <w:t xml:space="preserve">The </w:t>
      </w:r>
      <w:r w:rsidR="0036506F">
        <w:t>final</w:t>
      </w:r>
      <w:r w:rsidRPr="0036506F" w:rsidR="0036506F">
        <w:t xml:space="preserve"> </w:t>
      </w:r>
      <w:r w:rsidRPr="001C562A">
        <w:t xml:space="preserve">Cost Catalog </w:t>
      </w:r>
      <w:r>
        <w:t xml:space="preserve">also </w:t>
      </w:r>
      <w:r w:rsidRPr="001C7A59" w:rsidR="001C7A59">
        <w:t xml:space="preserve">updates </w:t>
      </w:r>
      <w:r w:rsidR="00AA6ADB">
        <w:t xml:space="preserve">the cost </w:t>
      </w:r>
      <w:r w:rsidR="009B491A">
        <w:t xml:space="preserve">estimates </w:t>
      </w:r>
      <w:r w:rsidR="00C72F96">
        <w:t xml:space="preserve">previously included in the </w:t>
      </w:r>
      <w:r w:rsidR="004601C9">
        <w:t>p</w:t>
      </w:r>
      <w:r w:rsidR="00C72F96">
        <w:t xml:space="preserve">reliminary </w:t>
      </w:r>
      <w:r w:rsidR="004601C9">
        <w:t>c</w:t>
      </w:r>
      <w:r w:rsidR="00C72F96">
        <w:t xml:space="preserve">ost </w:t>
      </w:r>
      <w:r w:rsidR="004601C9">
        <w:t>c</w:t>
      </w:r>
      <w:r w:rsidR="00C72F96">
        <w:t>atalog</w:t>
      </w:r>
      <w:r w:rsidRPr="001C562A">
        <w:t xml:space="preserve"> to </w:t>
      </w:r>
      <w:r w:rsidR="00262889">
        <w:t xml:space="preserve">account for </w:t>
      </w:r>
      <w:r w:rsidRPr="008D36B6" w:rsidR="009B491A">
        <w:t>reasonable</w:t>
      </w:r>
      <w:r w:rsidR="009B491A">
        <w:t xml:space="preserve"> </w:t>
      </w:r>
      <w:r w:rsidR="00CE4EEB">
        <w:t>changes proposed by commenters</w:t>
      </w:r>
      <w:r w:rsidR="009B491A">
        <w:t>.</w:t>
      </w:r>
      <w:r>
        <w:rPr>
          <w:rStyle w:val="FootnoteReference"/>
        </w:rPr>
        <w:footnoteReference w:id="44"/>
      </w:r>
      <w:r w:rsidR="005F7A8C">
        <w:t xml:space="preserve"> </w:t>
      </w:r>
      <w:r w:rsidR="009B491A">
        <w:t xml:space="preserve"> </w:t>
      </w:r>
      <w:r w:rsidR="00CE4EEB">
        <w:t xml:space="preserve">For example, we expand the </w:t>
      </w:r>
      <w:r w:rsidR="007D5DD7">
        <w:t xml:space="preserve">cost </w:t>
      </w:r>
      <w:r w:rsidR="00CE4EEB">
        <w:t xml:space="preserve">range for </w:t>
      </w:r>
      <w:r w:rsidR="007D5DD7">
        <w:t>a single launch</w:t>
      </w:r>
      <w:r w:rsidRPr="001C562A">
        <w:t xml:space="preserve"> </w:t>
      </w:r>
      <w:r w:rsidR="00390BEA">
        <w:t xml:space="preserve">in response to information </w:t>
      </w:r>
      <w:r w:rsidR="00AC00A6">
        <w:t>that</w:t>
      </w:r>
      <w:r w:rsidR="007D5DD7">
        <w:t xml:space="preserve"> SpaceX and Intelsat</w:t>
      </w:r>
      <w:r w:rsidR="00AC00A6">
        <w:t xml:space="preserve"> submit</w:t>
      </w:r>
      <w:r w:rsidR="00B772DD">
        <w:t>ted</w:t>
      </w:r>
      <w:r w:rsidR="007D5DD7">
        <w:t>.</w:t>
      </w:r>
      <w:r>
        <w:rPr>
          <w:rStyle w:val="FootnoteReference"/>
        </w:rPr>
        <w:footnoteReference w:id="45"/>
      </w:r>
      <w:r w:rsidR="005F6448">
        <w:t xml:space="preserve">  We increase the upper end of the range </w:t>
      </w:r>
      <w:r w:rsidR="00976EA2">
        <w:t xml:space="preserve">for several cost categories within the </w:t>
      </w:r>
      <w:r w:rsidR="009D0FBA">
        <w:t>earth station filtering, retuning, and repointing tables</w:t>
      </w:r>
      <w:r w:rsidR="004F13DE">
        <w:t xml:space="preserve"> </w:t>
      </w:r>
      <w:r w:rsidR="006C036B">
        <w:t xml:space="preserve">to </w:t>
      </w:r>
      <w:r w:rsidR="00D65624">
        <w:t>reflect information provided by</w:t>
      </w:r>
      <w:r w:rsidR="004F13DE">
        <w:t xml:space="preserve"> </w:t>
      </w:r>
      <w:r w:rsidR="004872EA">
        <w:t xml:space="preserve">NAB, </w:t>
      </w:r>
      <w:r w:rsidR="00B424D5">
        <w:t xml:space="preserve">NCTA, </w:t>
      </w:r>
      <w:r w:rsidR="007130E3">
        <w:t>Cox</w:t>
      </w:r>
      <w:r w:rsidR="00820243">
        <w:t>, and Telesat</w:t>
      </w:r>
      <w:r w:rsidR="0034543B">
        <w:t>.</w:t>
      </w:r>
      <w:r>
        <w:rPr>
          <w:rStyle w:val="FootnoteReference"/>
        </w:rPr>
        <w:footnoteReference w:id="46"/>
      </w:r>
      <w:r w:rsidR="00666D58">
        <w:t xml:space="preserve"> </w:t>
      </w:r>
      <w:r w:rsidR="004F0960">
        <w:t xml:space="preserve"> </w:t>
      </w:r>
      <w:r w:rsidR="00666D58">
        <w:t xml:space="preserve">We also increase </w:t>
      </w:r>
      <w:r w:rsidR="000E2397">
        <w:t xml:space="preserve">the upper range of </w:t>
      </w:r>
      <w:r w:rsidR="00666D58">
        <w:t xml:space="preserve">costs for certain </w:t>
      </w:r>
      <w:r w:rsidR="007E669E">
        <w:t xml:space="preserve">categories within the earth station equipment cost tables, </w:t>
      </w:r>
      <w:r w:rsidR="00D65624">
        <w:t>to reflect information provided by</w:t>
      </w:r>
      <w:r w:rsidR="007E669E">
        <w:t xml:space="preserve"> </w:t>
      </w:r>
      <w:r w:rsidR="007F4046">
        <w:t>SES</w:t>
      </w:r>
      <w:r w:rsidR="00E54FA5">
        <w:t>, Telesat</w:t>
      </w:r>
      <w:r w:rsidR="00D6761E">
        <w:t>, Cox</w:t>
      </w:r>
      <w:r w:rsidR="00E7462B">
        <w:t xml:space="preserve">, </w:t>
      </w:r>
      <w:r w:rsidR="0081081A">
        <w:t>NCTA</w:t>
      </w:r>
      <w:r w:rsidR="00E0687F">
        <w:t>,</w:t>
      </w:r>
      <w:r w:rsidR="0081081A">
        <w:t xml:space="preserve"> and </w:t>
      </w:r>
      <w:r w:rsidR="00E7462B">
        <w:t>AT&amp;T</w:t>
      </w:r>
      <w:r w:rsidR="00871EFD">
        <w:t>,</w:t>
      </w:r>
      <w:r>
        <w:rPr>
          <w:rStyle w:val="FootnoteReference"/>
        </w:rPr>
        <w:footnoteReference w:id="47"/>
      </w:r>
      <w:r w:rsidR="008D6CE7">
        <w:t xml:space="preserve"> and</w:t>
      </w:r>
      <w:r w:rsidR="00D137AD">
        <w:t xml:space="preserve"> </w:t>
      </w:r>
      <w:r w:rsidR="00871EFD">
        <w:t xml:space="preserve">we </w:t>
      </w:r>
      <w:r w:rsidR="008D6CE7">
        <w:t>clarif</w:t>
      </w:r>
      <w:r w:rsidR="0049617C">
        <w:t xml:space="preserve">y </w:t>
      </w:r>
      <w:r w:rsidR="001F73B6">
        <w:t>what is included within some of those ca</w:t>
      </w:r>
      <w:r w:rsidR="00E7775B">
        <w:t>tegories</w:t>
      </w:r>
      <w:r w:rsidR="00C40A47">
        <w:t>.</w:t>
      </w:r>
      <w:r>
        <w:rPr>
          <w:rStyle w:val="FootnoteReference"/>
        </w:rPr>
        <w:footnoteReference w:id="48"/>
      </w:r>
      <w:r w:rsidR="005D0739">
        <w:t xml:space="preserve">  </w:t>
      </w:r>
      <w:r w:rsidR="00A17426">
        <w:t>W</w:t>
      </w:r>
      <w:r w:rsidR="00B22E6D">
        <w:t xml:space="preserve">e </w:t>
      </w:r>
      <w:r w:rsidR="00A17426">
        <w:t>also</w:t>
      </w:r>
      <w:r w:rsidR="00B22E6D">
        <w:t xml:space="preserve"> update the </w:t>
      </w:r>
      <w:r w:rsidR="00A17426">
        <w:t xml:space="preserve">cost </w:t>
      </w:r>
      <w:r w:rsidR="006F0DDA">
        <w:t xml:space="preserve">estimates </w:t>
      </w:r>
      <w:r w:rsidR="00B22E6D">
        <w:t xml:space="preserve">for </w:t>
      </w:r>
      <w:r w:rsidR="00892E2D">
        <w:t>13-</w:t>
      </w:r>
      <w:r w:rsidR="00B22E6D">
        <w:t>m</w:t>
      </w:r>
      <w:r w:rsidR="00A26696">
        <w:t>eter</w:t>
      </w:r>
      <w:r w:rsidR="00B22E6D">
        <w:t xml:space="preserve"> limited motion antennas</w:t>
      </w:r>
      <w:r>
        <w:rPr>
          <w:rStyle w:val="FootnoteReference"/>
        </w:rPr>
        <w:footnoteReference w:id="49"/>
      </w:r>
      <w:r w:rsidR="00B22E6D">
        <w:t xml:space="preserve"> and </w:t>
      </w:r>
      <w:r w:rsidR="00892E2D">
        <w:t>13-</w:t>
      </w:r>
      <w:r w:rsidR="00B22E6D">
        <w:t>m</w:t>
      </w:r>
      <w:r w:rsidR="00A26696">
        <w:t>eter</w:t>
      </w:r>
      <w:r w:rsidR="00B22E6D">
        <w:t xml:space="preserve"> full performance antennas</w:t>
      </w:r>
      <w:r>
        <w:rPr>
          <w:rStyle w:val="FootnoteReference"/>
        </w:rPr>
        <w:footnoteReference w:id="50"/>
      </w:r>
      <w:r w:rsidR="00F15349">
        <w:t xml:space="preserve"> </w:t>
      </w:r>
      <w:r w:rsidR="00A17426">
        <w:t>in response to information provided by Intelsat and SES</w:t>
      </w:r>
      <w:r w:rsidR="00F15349">
        <w:t>.</w:t>
      </w:r>
      <w:r w:rsidR="00366F3C">
        <w:t xml:space="preserve">  We increase the site infrastructure buildout costs for </w:t>
      </w:r>
      <w:r w:rsidRPr="001B6A2A" w:rsidR="001B6A2A">
        <w:t>Telemetry, Tracking, and Command</w:t>
      </w:r>
      <w:r w:rsidR="001B6A2A">
        <w:t xml:space="preserve"> </w:t>
      </w:r>
      <w:r w:rsidR="00FC068F">
        <w:t>site</w:t>
      </w:r>
      <w:r w:rsidR="000F3AB4">
        <w:t xml:space="preserve"> consolidation</w:t>
      </w:r>
      <w:r w:rsidR="00C610B2">
        <w:t xml:space="preserve"> and </w:t>
      </w:r>
      <w:r w:rsidR="00AC00A6">
        <w:t xml:space="preserve">clarify </w:t>
      </w:r>
      <w:r w:rsidR="00C610B2">
        <w:t>that those costs include civil works</w:t>
      </w:r>
      <w:r w:rsidR="000F3AB4">
        <w:t>.</w:t>
      </w:r>
      <w:r>
        <w:rPr>
          <w:rStyle w:val="FootnoteReference"/>
        </w:rPr>
        <w:footnoteReference w:id="51"/>
      </w:r>
      <w:r w:rsidR="000F3AB4">
        <w:t xml:space="preserve"> </w:t>
      </w:r>
      <w:r w:rsidR="00055EC7">
        <w:t xml:space="preserve"> </w:t>
      </w:r>
      <w:r w:rsidR="00EE0402">
        <w:t>In</w:t>
      </w:r>
      <w:r w:rsidR="009D02DE">
        <w:t xml:space="preserve"> </w:t>
      </w:r>
      <w:r w:rsidR="00EE0402">
        <w:t>addition</w:t>
      </w:r>
      <w:r w:rsidR="00055EC7">
        <w:t>, we increase the c</w:t>
      </w:r>
      <w:r w:rsidR="00572D2E">
        <w:t>o</w:t>
      </w:r>
      <w:r w:rsidR="00055EC7">
        <w:t xml:space="preserve">st </w:t>
      </w:r>
      <w:r w:rsidR="006F0DDA">
        <w:t xml:space="preserve">estimate </w:t>
      </w:r>
      <w:r w:rsidR="00055EC7">
        <w:t xml:space="preserve">for </w:t>
      </w:r>
      <w:r w:rsidR="00572D2E">
        <w:t>certain site and project costs</w:t>
      </w:r>
      <w:r w:rsidR="00E850F5">
        <w:t xml:space="preserve"> for fixed services</w:t>
      </w:r>
      <w:r w:rsidR="00572D2E">
        <w:t xml:space="preserve">, including </w:t>
      </w:r>
      <w:r w:rsidR="00055EC7">
        <w:t>power and telco utility coordination</w:t>
      </w:r>
      <w:r w:rsidR="00CB6EA8">
        <w:t xml:space="preserve">, environmental site visits, </w:t>
      </w:r>
      <w:r w:rsidR="004E09E4">
        <w:t xml:space="preserve">and </w:t>
      </w:r>
      <w:r w:rsidR="00CB6EA8">
        <w:t>soil boring and reports</w:t>
      </w:r>
      <w:r w:rsidR="00A225DB">
        <w:t>.</w:t>
      </w:r>
      <w:r>
        <w:rPr>
          <w:rStyle w:val="FootnoteReference"/>
        </w:rPr>
        <w:footnoteReference w:id="52"/>
      </w:r>
      <w:r w:rsidR="00A225DB">
        <w:t xml:space="preserve">  Finally, we increase the encoding/statmux equipment costs </w:t>
      </w:r>
      <w:r w:rsidR="00DB285C">
        <w:t>for uplink technology upgrades and clarif</w:t>
      </w:r>
      <w:r w:rsidR="001807E6">
        <w:t>y</w:t>
      </w:r>
      <w:r w:rsidR="00530768">
        <w:t xml:space="preserve"> what may be included in those costs.</w:t>
      </w:r>
      <w:r>
        <w:rPr>
          <w:rStyle w:val="FootnoteReference"/>
        </w:rPr>
        <w:footnoteReference w:id="53"/>
      </w:r>
      <w:r w:rsidR="00E96BD9">
        <w:t xml:space="preserve">  </w:t>
      </w:r>
    </w:p>
    <w:p w:rsidR="001C562A" w:rsidRPr="001C562A" w:rsidP="00CB4667" w14:paraId="10F22D59" w14:textId="7D436B1D">
      <w:pPr>
        <w:pStyle w:val="ParaNum"/>
      </w:pPr>
      <w:r w:rsidRPr="001C562A">
        <w:t>While the Cost Catalog reflects most of the commenters’ suggested changes</w:t>
      </w:r>
      <w:r w:rsidR="005041DC">
        <w:t xml:space="preserve"> to cost </w:t>
      </w:r>
      <w:r w:rsidR="009B491A">
        <w:t>estimates</w:t>
      </w:r>
      <w:r w:rsidRPr="001C562A">
        <w:t xml:space="preserve">, </w:t>
      </w:r>
      <w:r w:rsidR="007B1D13">
        <w:t>not all of</w:t>
      </w:r>
      <w:r w:rsidRPr="001C562A">
        <w:t xml:space="preserve"> </w:t>
      </w:r>
      <w:r w:rsidR="00793AEC">
        <w:t>the</w:t>
      </w:r>
      <w:r w:rsidRPr="001C562A">
        <w:t xml:space="preserve"> </w:t>
      </w:r>
      <w:r w:rsidRPr="008B40BB" w:rsidR="008B40BB">
        <w:t xml:space="preserve">commenters’ requested changes </w:t>
      </w:r>
      <w:r w:rsidR="007C76F6">
        <w:t xml:space="preserve">are </w:t>
      </w:r>
      <w:r w:rsidR="00DF6363">
        <w:t>appropriate</w:t>
      </w:r>
      <w:r w:rsidR="009C0578">
        <w:t xml:space="preserve"> </w:t>
      </w:r>
      <w:r w:rsidRPr="001C562A">
        <w:t xml:space="preserve">for </w:t>
      </w:r>
      <w:r w:rsidR="00DF6363">
        <w:t>inclu</w:t>
      </w:r>
      <w:r w:rsidR="005933A4">
        <w:t>s</w:t>
      </w:r>
      <w:r w:rsidR="00DF6363">
        <w:t xml:space="preserve">ion in the final </w:t>
      </w:r>
      <w:r w:rsidR="003909A7">
        <w:t>C</w:t>
      </w:r>
      <w:r w:rsidR="00DF6363">
        <w:t xml:space="preserve">ost </w:t>
      </w:r>
      <w:r w:rsidR="003909A7">
        <w:t>C</w:t>
      </w:r>
      <w:r w:rsidR="00DF6363">
        <w:t>atalog.</w:t>
      </w:r>
      <w:r w:rsidRPr="001C562A">
        <w:t xml:space="preserve">  </w:t>
      </w:r>
      <w:r w:rsidRPr="001F31C6" w:rsidR="001F31C6">
        <w:t xml:space="preserve">In particular, costs that cannot be properly ascertained and validated </w:t>
      </w:r>
      <w:r w:rsidR="00097269">
        <w:t>a</w:t>
      </w:r>
      <w:r w:rsidRPr="001F31C6" w:rsidR="001F31C6">
        <w:t xml:space="preserve">re not included in the Cost Catalog; these costs </w:t>
      </w:r>
      <w:r w:rsidR="00887F92">
        <w:t>would</w:t>
      </w:r>
      <w:r w:rsidRPr="001F31C6" w:rsidR="001F31C6">
        <w:t xml:space="preserve"> nonetheless be </w:t>
      </w:r>
      <w:r w:rsidR="000F13DF">
        <w:t xml:space="preserve">reimbursable </w:t>
      </w:r>
      <w:r w:rsidR="007D1D1A">
        <w:t>on a case-by-case basis</w:t>
      </w:r>
      <w:r w:rsidRPr="007D1D1A" w:rsidR="007D1D1A">
        <w:t xml:space="preserve"> </w:t>
      </w:r>
      <w:r w:rsidRPr="001F31C6" w:rsidR="001F31C6">
        <w:t xml:space="preserve">if the requesting party </w:t>
      </w:r>
      <w:r w:rsidRPr="001F31C6" w:rsidR="001F31C6">
        <w:t xml:space="preserve">demonstrates that the costs are reasonable and necessary for a specific transition.  </w:t>
      </w:r>
      <w:r w:rsidR="008A7824">
        <w:t xml:space="preserve">For instance, some </w:t>
      </w:r>
      <w:r w:rsidRPr="00495D7C" w:rsidR="00495D7C">
        <w:t xml:space="preserve">proposed cost estimates </w:t>
      </w:r>
      <w:r w:rsidR="008A7824">
        <w:t xml:space="preserve">could not be </w:t>
      </w:r>
      <w:r w:rsidR="00885428">
        <w:t>validated to the degree necessary to deem them presumptively reasonable</w:t>
      </w:r>
      <w:r w:rsidR="000F6961">
        <w:t xml:space="preserve"> for a typical </w:t>
      </w:r>
      <w:r w:rsidR="00A746CA">
        <w:t>transition</w:t>
      </w:r>
      <w:r w:rsidRPr="001F31C6" w:rsidR="00A746CA">
        <w:t xml:space="preserve"> but</w:t>
      </w:r>
      <w:r w:rsidRPr="001F31C6" w:rsidR="001F31C6">
        <w:t xml:space="preserve"> </w:t>
      </w:r>
      <w:r w:rsidR="007A2F30">
        <w:t>c</w:t>
      </w:r>
      <w:r w:rsidRPr="001F31C6" w:rsidR="001F31C6">
        <w:t xml:space="preserve">ould be reimbursed if </w:t>
      </w:r>
      <w:r w:rsidR="00273CE1">
        <w:t xml:space="preserve">the Clearinghouse finds </w:t>
      </w:r>
      <w:r w:rsidRPr="001F31C6" w:rsidR="001F31C6">
        <w:t>they satisfy the standard adopted by the Commission</w:t>
      </w:r>
      <w:r w:rsidR="00D05147">
        <w:t xml:space="preserve"> for a specific transition</w:t>
      </w:r>
      <w:r w:rsidRPr="001F31C6" w:rsidR="001F31C6">
        <w:t>.</w:t>
      </w:r>
      <w:r>
        <w:rPr>
          <w:vertAlign w:val="superscript"/>
        </w:rPr>
        <w:footnoteReference w:id="54"/>
      </w:r>
      <w:r w:rsidRPr="001C562A">
        <w:t xml:space="preserve">  We also reject suggestions that the </w:t>
      </w:r>
      <w:r w:rsidR="00EB5899">
        <w:t xml:space="preserve">costs included in the </w:t>
      </w:r>
      <w:r w:rsidRPr="001C562A">
        <w:t xml:space="preserve">Cost Catalog </w:t>
      </w:r>
      <w:r w:rsidRPr="00887F92" w:rsidR="00887F92">
        <w:t xml:space="preserve">should account for </w:t>
      </w:r>
      <w:r w:rsidRPr="00CE0918" w:rsidR="00CE0918">
        <w:t xml:space="preserve">potential price increases resulting from </w:t>
      </w:r>
      <w:r w:rsidRPr="00887F92" w:rsidR="00887F92">
        <w:t>increased demand for items, the challenges of COVID-19, and other requests to anticipate future price increases in the catalog</w:t>
      </w:r>
      <w:r>
        <w:rPr>
          <w:vertAlign w:val="superscript"/>
        </w:rPr>
        <w:footnoteReference w:id="55"/>
      </w:r>
      <w:r w:rsidRPr="00887F92" w:rsidR="00887F92">
        <w:t xml:space="preserve"> because we cannot accurately predict, much less validate, </w:t>
      </w:r>
      <w:r w:rsidRPr="001C562A">
        <w:t>future price increases in the catalog</w:t>
      </w:r>
      <w:r w:rsidR="007C48E5">
        <w:t>.</w:t>
      </w:r>
      <w:r w:rsidRPr="001C562A">
        <w:t xml:space="preserve">  Nevertheless, the Clearinghouse has the ability to reimburse costs that may exceed the values in the Cost Catalog should </w:t>
      </w:r>
      <w:r w:rsidR="001B561C">
        <w:t>it find them</w:t>
      </w:r>
      <w:r w:rsidRPr="001C562A">
        <w:t xml:space="preserve"> reasonable and necessary to the transition and should the incumbent seeking reimbursement demonstrate that the values in the Cost Catalog were not sufficient for a particular expense.</w:t>
      </w:r>
      <w:r>
        <w:rPr>
          <w:vertAlign w:val="superscript"/>
        </w:rPr>
        <w:footnoteReference w:id="56"/>
      </w:r>
      <w:r w:rsidRPr="001C562A">
        <w:t xml:space="preserve">  </w:t>
      </w:r>
    </w:p>
    <w:p w:rsidR="000F209E" w:rsidP="00544EB2" w14:paraId="79AFD2E8" w14:textId="1B9E254B">
      <w:pPr>
        <w:pStyle w:val="Heading2"/>
      </w:pPr>
      <w:bookmarkStart w:id="56" w:name="_Toc45030695"/>
      <w:bookmarkStart w:id="57" w:name="_Toc45031205"/>
      <w:bookmarkStart w:id="58" w:name="_Toc45031297"/>
      <w:bookmarkStart w:id="59" w:name="_Toc45031352"/>
      <w:bookmarkStart w:id="60" w:name="_Toc45031405"/>
      <w:bookmarkStart w:id="61" w:name="_Toc45117417"/>
      <w:bookmarkStart w:id="62" w:name="_Toc46160561"/>
      <w:bookmarkStart w:id="63" w:name="_Toc46503218"/>
      <w:bookmarkStart w:id="64" w:name="_Toc46744207"/>
      <w:bookmarkStart w:id="65" w:name="_Toc46935647"/>
      <w:r>
        <w:t xml:space="preserve">Additional </w:t>
      </w:r>
      <w:r w:rsidR="00207334">
        <w:t>I</w:t>
      </w:r>
      <w:r>
        <w:t xml:space="preserve">ssues </w:t>
      </w:r>
      <w:r w:rsidR="00207334">
        <w:t>R</w:t>
      </w:r>
      <w:r>
        <w:t xml:space="preserve">aised by </w:t>
      </w:r>
      <w:r w:rsidR="00207334">
        <w:t>C</w:t>
      </w:r>
      <w:r>
        <w:t>ommenters</w:t>
      </w:r>
      <w:bookmarkEnd w:id="56"/>
      <w:bookmarkEnd w:id="57"/>
      <w:bookmarkEnd w:id="58"/>
      <w:bookmarkEnd w:id="59"/>
      <w:bookmarkEnd w:id="60"/>
      <w:bookmarkEnd w:id="61"/>
      <w:bookmarkEnd w:id="62"/>
      <w:bookmarkEnd w:id="63"/>
      <w:bookmarkEnd w:id="64"/>
      <w:bookmarkEnd w:id="65"/>
    </w:p>
    <w:p w:rsidR="001C562A" w:rsidRPr="001C562A" w:rsidP="00CB4667" w14:paraId="35C265BB" w14:textId="57B308E5">
      <w:pPr>
        <w:pStyle w:val="ParaNum"/>
      </w:pPr>
      <w:r w:rsidRPr="001C562A">
        <w:t xml:space="preserve">Commenters also </w:t>
      </w:r>
      <w:r w:rsidRPr="001C562A" w:rsidR="00AC33E4">
        <w:t>s</w:t>
      </w:r>
      <w:r w:rsidR="00AC33E4">
        <w:t>eek</w:t>
      </w:r>
      <w:r w:rsidRPr="001C562A" w:rsidR="00AC33E4">
        <w:t xml:space="preserve"> </w:t>
      </w:r>
      <w:r w:rsidRPr="001C562A">
        <w:t xml:space="preserve">clarification on a number of issues that </w:t>
      </w:r>
      <w:r w:rsidR="00AC33E4">
        <w:t>a</w:t>
      </w:r>
      <w:r w:rsidRPr="001C562A" w:rsidR="00AC33E4">
        <w:t xml:space="preserve">re </w:t>
      </w:r>
      <w:r w:rsidRPr="001C562A">
        <w:t>beyond the scope of the Cost Catalog</w:t>
      </w:r>
      <w:r w:rsidRPr="00887F92" w:rsidR="00887F92">
        <w:t xml:space="preserve">. </w:t>
      </w:r>
      <w:r w:rsidR="00887F92">
        <w:t xml:space="preserve"> </w:t>
      </w:r>
      <w:r w:rsidRPr="00887F92" w:rsidR="00887F92">
        <w:t>A</w:t>
      </w:r>
      <w:r w:rsidRPr="001C562A">
        <w:t>s we have previously explained, the purpose of the Cost Catalog is to identify potential expenses that incumbents are likely to incur and to provide a range of reasonable costs for those expenses.</w:t>
      </w:r>
      <w:r>
        <w:rPr>
          <w:vertAlign w:val="superscript"/>
        </w:rPr>
        <w:footnoteReference w:id="57"/>
      </w:r>
      <w:r w:rsidRPr="001C562A">
        <w:t xml:space="preserve">  It is not intended to be an exhaustive list of the only categories eligible for reimbursement.</w:t>
      </w:r>
      <w:r>
        <w:rPr>
          <w:vertAlign w:val="superscript"/>
        </w:rPr>
        <w:footnoteReference w:id="58"/>
      </w:r>
      <w:r w:rsidRPr="001C562A">
        <w:t xml:space="preserve">  Accordingly, we decline to adopt commenters’ requests to the extent they ask the Bureau to go beyond the requirements adopted in the </w:t>
      </w:r>
      <w:r w:rsidRPr="282C584A">
        <w:rPr>
          <w:i/>
          <w:iCs/>
        </w:rPr>
        <w:t>3.7 GHz Report and Order</w:t>
      </w:r>
      <w:r w:rsidRPr="001C562A">
        <w:t>.</w:t>
      </w:r>
      <w:r>
        <w:rPr>
          <w:vertAlign w:val="superscript"/>
        </w:rPr>
        <w:footnoteReference w:id="59"/>
      </w:r>
      <w:r w:rsidRPr="001C562A">
        <w:t xml:space="preserve">    </w:t>
      </w:r>
    </w:p>
    <w:p w:rsidR="001C562A" w:rsidRPr="001C562A" w:rsidP="00CB4667" w14:paraId="4806FBF1" w14:textId="1DDAB247">
      <w:pPr>
        <w:pStyle w:val="ParaNum"/>
      </w:pPr>
      <w:r w:rsidRPr="001C562A">
        <w:t xml:space="preserve">Several parties </w:t>
      </w:r>
      <w:r w:rsidRPr="001C562A" w:rsidR="00AC33E4">
        <w:t>s</w:t>
      </w:r>
      <w:r w:rsidR="00AC33E4">
        <w:t>eek</w:t>
      </w:r>
      <w:r w:rsidRPr="001C562A" w:rsidR="00AC33E4">
        <w:t xml:space="preserve"> </w:t>
      </w:r>
      <w:r w:rsidR="00887F92">
        <w:t>clarification</w:t>
      </w:r>
      <w:r w:rsidRPr="001C562A" w:rsidR="00887F92">
        <w:t xml:space="preserve"> </w:t>
      </w:r>
      <w:r w:rsidRPr="001C562A">
        <w:t>on whether and how certain stakeholders in the chain will be eligible to seek reimbursement for expenses and how earth station operators and other parties in the chain may participate in decisions for technology upgrades.</w:t>
      </w:r>
      <w:r>
        <w:rPr>
          <w:vertAlign w:val="superscript"/>
        </w:rPr>
        <w:footnoteReference w:id="60"/>
      </w:r>
      <w:r w:rsidRPr="001C562A">
        <w:t xml:space="preserve">  SES also ask</w:t>
      </w:r>
      <w:r w:rsidR="00AC33E4">
        <w:t>s</w:t>
      </w:r>
      <w:r w:rsidRPr="001C562A">
        <w:t xml:space="preserve"> the Bureau to clarify the </w:t>
      </w:r>
      <w:r w:rsidRPr="001C562A">
        <w:t>satellite operators’ responsibility for certain aspects of the transition.</w:t>
      </w:r>
      <w:r>
        <w:rPr>
          <w:vertAlign w:val="superscript"/>
        </w:rPr>
        <w:footnoteReference w:id="61"/>
      </w:r>
      <w:r w:rsidRPr="001C562A">
        <w:t xml:space="preserve">  W</w:t>
      </w:r>
      <w:r w:rsidR="00F04E2C">
        <w:t>ith the exceptio</w:t>
      </w:r>
      <w:r w:rsidR="00ED632C">
        <w:t>n of the clarification</w:t>
      </w:r>
      <w:r w:rsidR="00884D8E">
        <w:t>s</w:t>
      </w:r>
      <w:r w:rsidR="00ED632C">
        <w:t xml:space="preserve"> we make to technology upgrades for the lump sum process</w:t>
      </w:r>
      <w:r w:rsidR="00E5390C">
        <w:t xml:space="preserve"> below</w:t>
      </w:r>
      <w:r w:rsidR="00ED632C">
        <w:t xml:space="preserve">, </w:t>
      </w:r>
      <w:r w:rsidR="00884D8E">
        <w:t>w</w:t>
      </w:r>
      <w:r w:rsidRPr="001C562A">
        <w:t xml:space="preserve">e make no determination in this Public Notice on the role stakeholders have in the transition process and instead refer parties to the </w:t>
      </w:r>
      <w:r w:rsidRPr="282C584A">
        <w:rPr>
          <w:i/>
          <w:iCs/>
        </w:rPr>
        <w:t>3.7 GHz Report and Order</w:t>
      </w:r>
      <w:r w:rsidRPr="001C562A">
        <w:t>, which establishes the process for transition and for reimbursement.</w:t>
      </w:r>
      <w:r>
        <w:rPr>
          <w:vertAlign w:val="superscript"/>
        </w:rPr>
        <w:footnoteReference w:id="62"/>
      </w:r>
      <w:r w:rsidRPr="001C562A">
        <w:t xml:space="preserve">  </w:t>
      </w:r>
    </w:p>
    <w:p w:rsidR="00FD48B2" w:rsidP="00FD48B2" w14:paraId="3BD4A512" w14:textId="4F9487DA">
      <w:pPr>
        <w:pStyle w:val="Heading1"/>
      </w:pPr>
      <w:bookmarkStart w:id="66" w:name="_Toc45030696"/>
      <w:bookmarkStart w:id="67" w:name="_Toc45031206"/>
      <w:bookmarkStart w:id="68" w:name="_Toc45031298"/>
      <w:bookmarkStart w:id="69" w:name="_Toc45031353"/>
      <w:bookmarkStart w:id="70" w:name="_Toc45031406"/>
      <w:bookmarkStart w:id="71" w:name="_Toc45117418"/>
      <w:bookmarkStart w:id="72" w:name="_Toc46160562"/>
      <w:bookmarkStart w:id="73" w:name="_Toc46503219"/>
      <w:bookmarkStart w:id="74" w:name="_Toc46744208"/>
      <w:bookmarkStart w:id="75" w:name="_Toc46935648"/>
      <w:r>
        <w:t xml:space="preserve">Lump Sum </w:t>
      </w:r>
      <w:r w:rsidR="00C46F4D">
        <w:t>Payments</w:t>
      </w:r>
      <w:bookmarkEnd w:id="66"/>
      <w:bookmarkEnd w:id="67"/>
      <w:bookmarkEnd w:id="68"/>
      <w:bookmarkEnd w:id="69"/>
      <w:bookmarkEnd w:id="70"/>
      <w:bookmarkEnd w:id="71"/>
      <w:bookmarkEnd w:id="72"/>
      <w:bookmarkEnd w:id="73"/>
      <w:bookmarkEnd w:id="74"/>
      <w:bookmarkEnd w:id="75"/>
      <w:r>
        <w:t xml:space="preserve">  </w:t>
      </w:r>
    </w:p>
    <w:p w:rsidR="00CB2274" w:rsidP="00CB4667" w14:paraId="0528479B" w14:textId="142FE86B">
      <w:pPr>
        <w:pStyle w:val="ParaNum"/>
      </w:pPr>
      <w:r>
        <w:t xml:space="preserve">The Cost Catalog </w:t>
      </w:r>
      <w:r w:rsidR="000F48DE">
        <w:t>sets forth</w:t>
      </w:r>
      <w:r w:rsidR="00EF711E">
        <w:t xml:space="preserve"> the </w:t>
      </w:r>
      <w:r w:rsidRPr="00F11944" w:rsidR="00F11944">
        <w:t xml:space="preserve">amounts </w:t>
      </w:r>
      <w:r w:rsidRPr="0010361A" w:rsidR="00EF711E">
        <w:t xml:space="preserve">that will be available </w:t>
      </w:r>
      <w:r w:rsidR="00F10D0C">
        <w:t xml:space="preserve">to </w:t>
      </w:r>
      <w:r w:rsidRPr="0010361A" w:rsidR="00EF711E">
        <w:t xml:space="preserve">incumbent earth </w:t>
      </w:r>
      <w:bookmarkStart w:id="76" w:name="_Hlk38627139"/>
      <w:r w:rsidRPr="00AD7923" w:rsidR="00AD7923">
        <w:t xml:space="preserve">station operators </w:t>
      </w:r>
      <w:r w:rsidR="00EF711E">
        <w:t>elect</w:t>
      </w:r>
      <w:r w:rsidR="7A8AB4DE">
        <w:t>ing</w:t>
      </w:r>
      <w:r w:rsidR="00EF711E">
        <w:t xml:space="preserve"> to receive a lump sum</w:t>
      </w:r>
      <w:r w:rsidR="000D2C5B">
        <w:t xml:space="preserve"> </w:t>
      </w:r>
      <w:r w:rsidR="000F48DE">
        <w:t xml:space="preserve">payment </w:t>
      </w:r>
      <w:r w:rsidR="000D2C5B">
        <w:t xml:space="preserve">in place of </w:t>
      </w:r>
      <w:r w:rsidR="00060CA0">
        <w:t xml:space="preserve">their </w:t>
      </w:r>
      <w:r w:rsidR="001471A9">
        <w:t>actual</w:t>
      </w:r>
      <w:r w:rsidR="000D2C5B">
        <w:t xml:space="preserve"> reasonable relocation costs.</w:t>
      </w:r>
      <w:r>
        <w:rPr>
          <w:rStyle w:val="FootnoteReference"/>
        </w:rPr>
        <w:footnoteReference w:id="63"/>
      </w:r>
      <w:r w:rsidR="000D2C5B">
        <w:t xml:space="preserve">  </w:t>
      </w:r>
      <w:r>
        <w:t xml:space="preserve">Consistent with the </w:t>
      </w:r>
      <w:r w:rsidRPr="282C584A" w:rsidR="000F48DE">
        <w:rPr>
          <w:i/>
          <w:iCs/>
        </w:rPr>
        <w:t xml:space="preserve">3.7 GHz </w:t>
      </w:r>
      <w:r w:rsidRPr="282C584A">
        <w:rPr>
          <w:i/>
          <w:iCs/>
        </w:rPr>
        <w:t>Report and Order</w:t>
      </w:r>
      <w:r w:rsidRPr="00D41771">
        <w:t xml:space="preserve">, </w:t>
      </w:r>
      <w:r>
        <w:t>t</w:t>
      </w:r>
      <w:r w:rsidRPr="00D41771">
        <w:t>he lump</w:t>
      </w:r>
      <w:r>
        <w:t xml:space="preserve"> sum payment amounts are based on the </w:t>
      </w:r>
      <w:r w:rsidRPr="00D41771">
        <w:t xml:space="preserve">average, estimated costs of </w:t>
      </w:r>
      <w:r w:rsidR="00C51E34">
        <w:t>tran</w:t>
      </w:r>
      <w:r w:rsidR="00404CB5">
        <w:t>sitioning</w:t>
      </w:r>
      <w:r w:rsidR="00C51E34">
        <w:t xml:space="preserve"> </w:t>
      </w:r>
      <w:r w:rsidRPr="00D41771">
        <w:t>incumbent earth stations to the upper 200 megahertz of the C-band</w:t>
      </w:r>
      <w:r>
        <w:t xml:space="preserve">.  </w:t>
      </w:r>
      <w:r w:rsidR="00C947CE">
        <w:t xml:space="preserve">Consistent with our proposed approach in the </w:t>
      </w:r>
      <w:r w:rsidR="00C947CE">
        <w:rPr>
          <w:i/>
          <w:iCs/>
        </w:rPr>
        <w:t xml:space="preserve">Lump Sum Comment </w:t>
      </w:r>
      <w:r w:rsidRPr="007D6607" w:rsidR="00C947CE">
        <w:rPr>
          <w:i/>
          <w:iCs/>
        </w:rPr>
        <w:t>Public N</w:t>
      </w:r>
      <w:r w:rsidRPr="00AD39D5" w:rsidR="00C947CE">
        <w:rPr>
          <w:i/>
          <w:iCs/>
        </w:rPr>
        <w:t>otice</w:t>
      </w:r>
      <w:r w:rsidR="00C947CE">
        <w:t>, we continue to use a</w:t>
      </w:r>
      <w:r w:rsidR="00D1092F">
        <w:t xml:space="preserve"> variation of a</w:t>
      </w:r>
      <w:r w:rsidR="00C947CE">
        <w:t xml:space="preserve">n expected value approach to calculate both the base lump sum payments as well as the technology upgrade installation costs </w:t>
      </w:r>
      <w:r w:rsidRPr="00A32450" w:rsidR="00A32450">
        <w:t>for MVPD incumbent earth stations, which we describe in greater detail below.</w:t>
      </w:r>
      <w:r>
        <w:rPr>
          <w:vertAlign w:val="superscript"/>
        </w:rPr>
        <w:footnoteReference w:id="64"/>
      </w:r>
      <w:r w:rsidRPr="00A32450" w:rsidR="00A32450">
        <w:t xml:space="preserve">  Specifically, </w:t>
      </w:r>
      <w:r w:rsidR="001936CE">
        <w:t xml:space="preserve">for both the base lump sum payments </w:t>
      </w:r>
      <w:r w:rsidR="003365BA">
        <w:t>(</w:t>
      </w:r>
      <w:r w:rsidR="000E2031">
        <w:t>for all antenna types</w:t>
      </w:r>
      <w:r w:rsidR="003365BA">
        <w:t>)</w:t>
      </w:r>
      <w:r w:rsidR="000E2031">
        <w:t xml:space="preserve"> </w:t>
      </w:r>
      <w:r w:rsidR="00AA45E4">
        <w:t xml:space="preserve">and </w:t>
      </w:r>
      <w:r w:rsidR="00D5623D">
        <w:t xml:space="preserve">for </w:t>
      </w:r>
      <w:r w:rsidR="00AA45E4">
        <w:t>the per</w:t>
      </w:r>
      <w:r w:rsidR="008D3701">
        <w:t>-</w:t>
      </w:r>
      <w:r w:rsidR="00AA45E4">
        <w:t xml:space="preserve">site </w:t>
      </w:r>
      <w:r w:rsidR="004E559B">
        <w:t xml:space="preserve">MVPD technology </w:t>
      </w:r>
      <w:r w:rsidR="00D5623D">
        <w:t>u</w:t>
      </w:r>
      <w:r w:rsidR="008D1EAE">
        <w:t xml:space="preserve">pgrade installation payment, </w:t>
      </w:r>
      <w:r w:rsidR="00C947CE">
        <w:t xml:space="preserve">where we determine that a cost would be part of </w:t>
      </w:r>
      <w:r w:rsidRPr="00371569" w:rsidR="00371569">
        <w:t xml:space="preserve">a </w:t>
      </w:r>
      <w:r w:rsidR="00C947CE">
        <w:t xml:space="preserve">typical transition for a particular </w:t>
      </w:r>
      <w:r w:rsidR="00440D1C">
        <w:t xml:space="preserve">antenna type or </w:t>
      </w:r>
      <w:r w:rsidR="00C947CE">
        <w:t>class of earth station</w:t>
      </w:r>
      <w:r w:rsidR="00630DAA">
        <w:t xml:space="preserve"> </w:t>
      </w:r>
      <w:r w:rsidR="00C92CE1">
        <w:t xml:space="preserve">and not an outlier </w:t>
      </w:r>
      <w:r w:rsidR="00630DAA">
        <w:t xml:space="preserve">(in other words, where it meets a </w:t>
      </w:r>
      <w:r w:rsidR="006A092D">
        <w:t>minimum</w:t>
      </w:r>
      <w:r w:rsidR="00D24FFD">
        <w:t xml:space="preserve"> </w:t>
      </w:r>
      <w:r w:rsidR="00630DAA">
        <w:t xml:space="preserve">threshold </w:t>
      </w:r>
      <w:r w:rsidR="00D24FFD">
        <w:t xml:space="preserve">of likelihood </w:t>
      </w:r>
      <w:r w:rsidR="002C1AB6">
        <w:t>that it would be incurred in a typical transition</w:t>
      </w:r>
      <w:r w:rsidR="00790033">
        <w:t>)</w:t>
      </w:r>
      <w:r w:rsidR="00C947CE">
        <w:t>, we multiply the average estimate</w:t>
      </w:r>
      <w:r w:rsidR="002B6039">
        <w:t>d cost</w:t>
      </w:r>
      <w:r w:rsidR="00C947CE">
        <w:t xml:space="preserve"> (</w:t>
      </w:r>
      <w:r w:rsidRPr="002D1BC8" w:rsidR="002D1BC8">
        <w:t xml:space="preserve">calculated as </w:t>
      </w:r>
      <w:r w:rsidR="00C947CE">
        <w:t xml:space="preserve">the average </w:t>
      </w:r>
      <w:r w:rsidRPr="005D7C73" w:rsidR="005D7C73">
        <w:t xml:space="preserve">of the </w:t>
      </w:r>
      <w:r w:rsidR="00C947CE">
        <w:t xml:space="preserve">range </w:t>
      </w:r>
      <w:r w:rsidRPr="00C52C3B" w:rsidR="00C52C3B">
        <w:t xml:space="preserve">of costs included </w:t>
      </w:r>
      <w:r w:rsidR="00C947CE">
        <w:t xml:space="preserve">in the Cost Catalog) for that particular cost </w:t>
      </w:r>
      <w:r w:rsidR="003C01B7">
        <w:t>item</w:t>
      </w:r>
      <w:r w:rsidR="00C947CE">
        <w:t xml:space="preserve"> </w:t>
      </w:r>
      <w:r w:rsidRPr="009307C4" w:rsidR="009307C4">
        <w:t xml:space="preserve">by the probability that the particular </w:t>
      </w:r>
      <w:r w:rsidR="000B001A">
        <w:t xml:space="preserve">antenna type or </w:t>
      </w:r>
      <w:r w:rsidRPr="009307C4" w:rsidR="009307C4">
        <w:t>class of earth station is likely to incur it</w:t>
      </w:r>
      <w:r w:rsidR="00C947CE">
        <w:t>.</w:t>
      </w:r>
      <w:r>
        <w:rPr>
          <w:rStyle w:val="FootnoteReference"/>
        </w:rPr>
        <w:footnoteReference w:id="65"/>
      </w:r>
      <w:r w:rsidR="00F249E0">
        <w:t xml:space="preserve"> </w:t>
      </w:r>
      <w:r w:rsidR="00C947CE">
        <w:t xml:space="preserve"> </w:t>
      </w:r>
      <w:r w:rsidR="00BC11FA">
        <w:t>W</w:t>
      </w:r>
      <w:r w:rsidR="0072487A">
        <w:t>hile</w:t>
      </w:r>
      <w:r w:rsidR="00FC4617">
        <w:t xml:space="preserve"> the methodology</w:t>
      </w:r>
      <w:r w:rsidR="003D63F6">
        <w:t xml:space="preserve"> for calculating lump sums </w:t>
      </w:r>
      <w:r w:rsidR="00F52751">
        <w:t xml:space="preserve">generally </w:t>
      </w:r>
      <w:r w:rsidRPr="00F52751" w:rsidR="00F52751">
        <w:t xml:space="preserve">remains the same </w:t>
      </w:r>
      <w:r w:rsidR="00FC4617">
        <w:t xml:space="preserve">as described in the </w:t>
      </w:r>
      <w:r w:rsidRPr="282C584A" w:rsidR="003D63F6">
        <w:rPr>
          <w:i/>
          <w:iCs/>
        </w:rPr>
        <w:t xml:space="preserve">Lump Sum </w:t>
      </w:r>
      <w:r w:rsidRPr="282C584A" w:rsidR="00BB6E6B">
        <w:rPr>
          <w:i/>
          <w:iCs/>
        </w:rPr>
        <w:t xml:space="preserve">Comment </w:t>
      </w:r>
      <w:r w:rsidRPr="282C584A" w:rsidR="003D63F6">
        <w:rPr>
          <w:i/>
          <w:iCs/>
        </w:rPr>
        <w:t>Public Notice</w:t>
      </w:r>
      <w:r w:rsidR="00541A9B">
        <w:t xml:space="preserve">, </w:t>
      </w:r>
      <w:r w:rsidRPr="004F1B8E" w:rsidR="004F1B8E">
        <w:t>such methodology accounts</w:t>
      </w:r>
      <w:r w:rsidR="00541A9B">
        <w:t xml:space="preserve"> for the </w:t>
      </w:r>
      <w:r w:rsidR="000C0A6F">
        <w:t xml:space="preserve">updates to the lump sum categories and amounts </w:t>
      </w:r>
      <w:r w:rsidR="00DD46EF">
        <w:t xml:space="preserve">made in response to comments </w:t>
      </w:r>
      <w:r w:rsidR="00577474">
        <w:t>on</w:t>
      </w:r>
      <w:r w:rsidR="00DD46EF">
        <w:t xml:space="preserve"> the </w:t>
      </w:r>
      <w:r w:rsidRPr="282C584A" w:rsidR="00DD46EF">
        <w:rPr>
          <w:i/>
          <w:iCs/>
        </w:rPr>
        <w:t xml:space="preserve">Lump Sum </w:t>
      </w:r>
      <w:r w:rsidRPr="282C584A" w:rsidR="00BB6E6B">
        <w:rPr>
          <w:i/>
          <w:iCs/>
        </w:rPr>
        <w:t xml:space="preserve">Comment </w:t>
      </w:r>
      <w:r w:rsidRPr="282C584A" w:rsidR="00DD46EF">
        <w:rPr>
          <w:i/>
          <w:iCs/>
        </w:rPr>
        <w:t>Public Notice.</w:t>
      </w:r>
      <w:r>
        <w:rPr>
          <w:rStyle w:val="FootnoteReference"/>
        </w:rPr>
        <w:footnoteReference w:id="66"/>
      </w:r>
      <w:r w:rsidRPr="282C584A" w:rsidR="00DD46EF">
        <w:rPr>
          <w:i/>
          <w:iCs/>
        </w:rPr>
        <w:t xml:space="preserve">  </w:t>
      </w:r>
      <w:r w:rsidRPr="00F51924" w:rsidR="00060CA0">
        <w:t>Below</w:t>
      </w:r>
      <w:r w:rsidRPr="00060CA0" w:rsidR="00060CA0">
        <w:t>, w</w:t>
      </w:r>
      <w:r w:rsidR="00F079D1">
        <w:t xml:space="preserve">e describe those updates and </w:t>
      </w:r>
      <w:r w:rsidR="003451A9">
        <w:t>establish</w:t>
      </w:r>
      <w:r w:rsidR="00DD46EF">
        <w:t xml:space="preserve"> the process for incumbent earth station </w:t>
      </w:r>
      <w:r w:rsidR="00DD46EF">
        <w:t>operators to make their lump sum elections.</w:t>
      </w:r>
      <w:r>
        <w:rPr>
          <w:rStyle w:val="FootnoteReference"/>
        </w:rPr>
        <w:footnoteReference w:id="67"/>
      </w:r>
    </w:p>
    <w:p w:rsidR="000B3B6D" w:rsidP="00544EB2" w14:paraId="2312E024" w14:textId="27D00827">
      <w:pPr>
        <w:pStyle w:val="Heading2"/>
      </w:pPr>
      <w:bookmarkStart w:id="77" w:name="_Toc45030697"/>
      <w:bookmarkStart w:id="78" w:name="_Toc45031207"/>
      <w:bookmarkStart w:id="79" w:name="_Toc45031299"/>
      <w:bookmarkStart w:id="80" w:name="_Toc45031354"/>
      <w:bookmarkStart w:id="81" w:name="_Toc45031407"/>
      <w:bookmarkStart w:id="82" w:name="_Toc45117419"/>
      <w:bookmarkStart w:id="83" w:name="_Toc46160563"/>
      <w:bookmarkStart w:id="84" w:name="_Toc46503220"/>
      <w:bookmarkStart w:id="85" w:name="_Toc46744209"/>
      <w:bookmarkStart w:id="86" w:name="_Toc46935649"/>
      <w:r>
        <w:t xml:space="preserve">The Cost of </w:t>
      </w:r>
      <w:r w:rsidR="008C1F3E">
        <w:t>Integrated Receive</w:t>
      </w:r>
      <w:r w:rsidR="00B53D51">
        <w:t>r</w:t>
      </w:r>
      <w:r w:rsidR="008C1F3E">
        <w:t>s/Decoders and Transcoders</w:t>
      </w:r>
      <w:r w:rsidR="00926CA8">
        <w:t xml:space="preserve"> for </w:t>
      </w:r>
      <w:r w:rsidR="008827A4">
        <w:t xml:space="preserve">MVPD </w:t>
      </w:r>
      <w:r w:rsidR="00926CA8">
        <w:t xml:space="preserve">Technology Upgrades </w:t>
      </w:r>
      <w:r w:rsidR="00C70424">
        <w:t xml:space="preserve">Are </w:t>
      </w:r>
      <w:r>
        <w:t xml:space="preserve">Separate from </w:t>
      </w:r>
      <w:r w:rsidR="008827A4">
        <w:t xml:space="preserve">the </w:t>
      </w:r>
      <w:r>
        <w:t>Lump Sum Process</w:t>
      </w:r>
      <w:bookmarkEnd w:id="77"/>
      <w:bookmarkEnd w:id="78"/>
      <w:bookmarkEnd w:id="79"/>
      <w:bookmarkEnd w:id="80"/>
      <w:bookmarkEnd w:id="81"/>
      <w:bookmarkEnd w:id="82"/>
      <w:bookmarkEnd w:id="83"/>
      <w:bookmarkEnd w:id="84"/>
      <w:bookmarkEnd w:id="85"/>
      <w:bookmarkEnd w:id="86"/>
    </w:p>
    <w:p w:rsidR="00D83570" w:rsidRPr="00D83570" w:rsidP="00CB4667" w14:paraId="2BC9DB62" w14:textId="72D54F7C">
      <w:pPr>
        <w:pStyle w:val="ParaNum"/>
      </w:pPr>
      <w:r w:rsidRPr="008B0030">
        <w:t xml:space="preserve">The lump sum amounts for all MVPD incumbent earth stations include the average, estimated costs associated with installing </w:t>
      </w:r>
      <w:r w:rsidR="00FD0557">
        <w:t xml:space="preserve">any necessary </w:t>
      </w:r>
      <w:r w:rsidRPr="008B0030">
        <w:t>compression-related technology upgrades at an MVPD earth station site,</w:t>
      </w:r>
      <w:r w:rsidR="00996B0B">
        <w:t xml:space="preserve"> but </w:t>
      </w:r>
      <w:r w:rsidRPr="002758BB" w:rsidR="002758BB">
        <w:t xml:space="preserve">they </w:t>
      </w:r>
      <w:r w:rsidR="00996B0B">
        <w:t>do not include the cost to purchase</w:t>
      </w:r>
      <w:r w:rsidR="00774AA8">
        <w:t xml:space="preserve"> the </w:t>
      </w:r>
      <w:r w:rsidRPr="00F364E9" w:rsidR="00774AA8">
        <w:t>integrated receivers/decoders</w:t>
      </w:r>
      <w:r w:rsidR="00774AA8">
        <w:t xml:space="preserve"> or transcoders </w:t>
      </w:r>
      <w:r w:rsidR="00454800">
        <w:t>for those technology upgrades.</w:t>
      </w:r>
      <w:r>
        <w:rPr>
          <w:vertAlign w:val="superscript"/>
        </w:rPr>
        <w:footnoteReference w:id="68"/>
      </w:r>
      <w:r w:rsidRPr="00213195" w:rsidR="00213195">
        <w:t xml:space="preserve"> </w:t>
      </w:r>
      <w:r w:rsidR="000B3B6D">
        <w:t xml:space="preserve"> </w:t>
      </w:r>
      <w:r w:rsidR="00C37861">
        <w:t>A</w:t>
      </w:r>
      <w:r w:rsidR="00E00F7B">
        <w:t xml:space="preserve">fter review of the record, we </w:t>
      </w:r>
      <w:r w:rsidR="0024106B">
        <w:t>believe</w:t>
      </w:r>
      <w:r w:rsidRPr="002A6DD6" w:rsidR="002A6DD6">
        <w:t xml:space="preserve"> </w:t>
      </w:r>
      <w:r w:rsidR="00E00F7B">
        <w:t>t</w:t>
      </w:r>
      <w:r w:rsidR="00A746CA">
        <w:t>h</w:t>
      </w:r>
      <w:r w:rsidR="00E00F7B">
        <w:t>at</w:t>
      </w:r>
      <w:r w:rsidR="00F364E9">
        <w:t xml:space="preserve"> the </w:t>
      </w:r>
      <w:r w:rsidR="00422846">
        <w:t xml:space="preserve">selection and purchase of </w:t>
      </w:r>
      <w:r w:rsidR="00F364E9">
        <w:t xml:space="preserve">compression equipment for these technology upgrades—such as </w:t>
      </w:r>
      <w:r w:rsidR="006E5C0C">
        <w:t xml:space="preserve">integrated receivers/decoders </w:t>
      </w:r>
      <w:r w:rsidR="00367812">
        <w:t>and transcoders</w:t>
      </w:r>
      <w:r w:rsidR="00F364E9">
        <w:t>—</w:t>
      </w:r>
      <w:r w:rsidRPr="007F1A72" w:rsidR="007F1A72">
        <w:t xml:space="preserve">are </w:t>
      </w:r>
      <w:r w:rsidR="0056316E">
        <w:t xml:space="preserve">an integral part of the satellite </w:t>
      </w:r>
      <w:r w:rsidR="009757A4">
        <w:t>operators</w:t>
      </w:r>
      <w:r w:rsidR="0056316E">
        <w:t xml:space="preserve">’ nationwide transition process and, as such, </w:t>
      </w:r>
      <w:r w:rsidR="004D144B">
        <w:t xml:space="preserve">they should be </w:t>
      </w:r>
      <w:r w:rsidR="009757A4">
        <w:t xml:space="preserve">considered as part </w:t>
      </w:r>
      <w:r w:rsidR="00AE6723">
        <w:t>of</w:t>
      </w:r>
      <w:r w:rsidRPr="007F1A72" w:rsidR="007F1A72">
        <w:t xml:space="preserve"> </w:t>
      </w:r>
      <w:r w:rsidRPr="003D1521" w:rsidR="003D1521">
        <w:t>the cost associated with the transition of satellite transponders.</w:t>
      </w:r>
      <w:r>
        <w:rPr>
          <w:rStyle w:val="FootnoteReference"/>
        </w:rPr>
        <w:footnoteReference w:id="69"/>
      </w:r>
      <w:r w:rsidR="00F364E9">
        <w:t xml:space="preserve"> </w:t>
      </w:r>
      <w:r w:rsidR="00ED643B">
        <w:t xml:space="preserve"> </w:t>
      </w:r>
      <w:r w:rsidRPr="0004129E" w:rsidR="0004129E">
        <w:t xml:space="preserve">Thus, </w:t>
      </w:r>
      <w:r w:rsidR="00EB7F52">
        <w:t>satellite operators, in cooperation with programmers, will be responsible for selecting, purchasing, and delivering the necessary compression equipment to respective earth stations</w:t>
      </w:r>
      <w:r w:rsidRPr="00C744ED" w:rsidR="00C744ED">
        <w:t xml:space="preserve">.  In contrast, the costs associated with physically installing the compression equipment at the earth station site are more appropriately assigned to the earth station </w:t>
      </w:r>
      <w:r w:rsidR="00ED0BAA">
        <w:t xml:space="preserve">operator </w:t>
      </w:r>
      <w:r w:rsidRPr="00C744ED" w:rsidR="00C744ED">
        <w:t xml:space="preserve">(and are thus included in the </w:t>
      </w:r>
      <w:r w:rsidR="000141AD">
        <w:t xml:space="preserve">MVPD </w:t>
      </w:r>
      <w:r w:rsidRPr="00C744ED" w:rsidR="00C744ED">
        <w:t xml:space="preserve">lump sum </w:t>
      </w:r>
      <w:r w:rsidR="001B1273">
        <w:t>amount</w:t>
      </w:r>
      <w:r w:rsidRPr="00C744ED" w:rsidR="00C744ED">
        <w:t>), given that a satellite operator will not usually have direct access to an earth station site, and the earth station owner will be the one exercising direct control over that process</w:t>
      </w:r>
      <w:r w:rsidR="00EB7F52">
        <w:t>.</w:t>
      </w:r>
      <w:r>
        <w:rPr>
          <w:rStyle w:val="FootnoteReference"/>
        </w:rPr>
        <w:footnoteReference w:id="70"/>
      </w:r>
      <w:r w:rsidR="00EB7F52">
        <w:t xml:space="preserve">  Accordingly, </w:t>
      </w:r>
      <w:r w:rsidR="00666E8D">
        <w:t xml:space="preserve">all </w:t>
      </w:r>
      <w:r w:rsidR="00C63B8F">
        <w:t xml:space="preserve">MVPD </w:t>
      </w:r>
      <w:r w:rsidR="00C63B8F">
        <w:t xml:space="preserve">earth station operators that elect the lump sum </w:t>
      </w:r>
      <w:r w:rsidR="00A374B9">
        <w:t>will</w:t>
      </w:r>
      <w:r w:rsidR="00C63B8F">
        <w:t xml:space="preserve"> receive the relevant lump sum base amounts, </w:t>
      </w:r>
      <w:r w:rsidR="001F21C3">
        <w:t xml:space="preserve">including the </w:t>
      </w:r>
      <w:r w:rsidR="00D8020D">
        <w:t>estimated</w:t>
      </w:r>
      <w:r w:rsidR="00EB7F52">
        <w:t xml:space="preserve"> costs to install </w:t>
      </w:r>
      <w:r w:rsidR="006F178C">
        <w:t>integrated receivers/decoder</w:t>
      </w:r>
      <w:r w:rsidR="00EB7F52">
        <w:t>s and transcoders (including labor, cabling, and any necessary equipment for such installation, as described in more detail below).</w:t>
      </w:r>
      <w:r w:rsidR="00B7456E">
        <w:t xml:space="preserve">  </w:t>
      </w:r>
      <w:r w:rsidR="00FB6A83">
        <w:t>The installation costs for technology upgrades will be availabl</w:t>
      </w:r>
      <w:r w:rsidR="00072A71">
        <w:t xml:space="preserve">e </w:t>
      </w:r>
      <w:r w:rsidR="00E73F8F">
        <w:t>to all</w:t>
      </w:r>
      <w:r w:rsidR="00072A71">
        <w:t xml:space="preserve"> MVPD earth station operators that elect the lump sum.</w:t>
      </w:r>
    </w:p>
    <w:p w:rsidR="006523CC" w:rsidP="00CB4667" w14:paraId="37F0BB3A" w14:textId="00E6A4AE">
      <w:pPr>
        <w:pStyle w:val="ParaNum"/>
      </w:pPr>
      <w:r w:rsidRPr="002B24C7">
        <w:t>As noted, the lump sum amount for MVPD incumbent earth stations excludes the cost of compression equipment (i.e., integrated receivers/decoders and transcoders) for technology upgrades</w:t>
      </w:r>
      <w:r w:rsidR="00250DCD">
        <w:t xml:space="preserve">.  </w:t>
      </w:r>
      <w:r w:rsidR="00ED643B">
        <w:t xml:space="preserve">We agree with commenters </w:t>
      </w:r>
      <w:r w:rsidRPr="00515AB1" w:rsidR="00515AB1">
        <w:t>who argue</w:t>
      </w:r>
      <w:r w:rsidR="00ED643B">
        <w:t xml:space="preserve"> that satellite operators, together with programmers</w:t>
      </w:r>
      <w:r w:rsidR="00D80F1B">
        <w:t>, must be able to select and purchase compression equipment uniformly</w:t>
      </w:r>
      <w:r w:rsidRPr="00E972D2" w:rsidR="00E972D2">
        <w:t xml:space="preserve"> </w:t>
      </w:r>
      <w:r w:rsidR="00E972D2">
        <w:t>and on a nationwide basis</w:t>
      </w:r>
      <w:r w:rsidR="00DE543B">
        <w:t>—and to coordinate the technology upgrade process</w:t>
      </w:r>
      <w:r w:rsidR="00385F54">
        <w:t>—</w:t>
      </w:r>
      <w:r w:rsidR="00D80F1B">
        <w:t xml:space="preserve">to </w:t>
      </w:r>
      <w:r w:rsidR="00396006">
        <w:t xml:space="preserve">accomplish </w:t>
      </w:r>
      <w:r w:rsidR="00D80F1B">
        <w:t xml:space="preserve">a </w:t>
      </w:r>
      <w:r w:rsidR="002E7C7A">
        <w:t xml:space="preserve">successful </w:t>
      </w:r>
      <w:r w:rsidR="00D80F1B">
        <w:t>transition.</w:t>
      </w:r>
      <w:r>
        <w:rPr>
          <w:rStyle w:val="FootnoteReference"/>
        </w:rPr>
        <w:footnoteReference w:id="71"/>
      </w:r>
      <w:r w:rsidR="00ED643B">
        <w:t xml:space="preserve"> </w:t>
      </w:r>
      <w:r w:rsidR="00222933">
        <w:t xml:space="preserve"> </w:t>
      </w:r>
      <w:r w:rsidR="00334728">
        <w:t xml:space="preserve">To </w:t>
      </w:r>
      <w:r w:rsidR="00564DD4">
        <w:t>en</w:t>
      </w:r>
      <w:r w:rsidR="00334728">
        <w:t xml:space="preserve">sure that satellite operators are able to meet </w:t>
      </w:r>
      <w:r w:rsidRPr="00473B46" w:rsidR="00473B46">
        <w:t xml:space="preserve">the accelerated </w:t>
      </w:r>
      <w:r w:rsidR="00334728">
        <w:t xml:space="preserve">transition deadlines </w:t>
      </w:r>
      <w:r w:rsidRPr="00605D72" w:rsidR="00605D72">
        <w:t xml:space="preserve">and </w:t>
      </w:r>
      <w:r w:rsidR="0044425E">
        <w:t xml:space="preserve">to </w:t>
      </w:r>
      <w:r w:rsidRPr="00605D72" w:rsidR="00605D72">
        <w:t>avoid inconsistent or untimely deployment of technology upgrade equipment</w:t>
      </w:r>
      <w:r w:rsidR="00304189">
        <w:t xml:space="preserve"> which could disrupt </w:t>
      </w:r>
      <w:r w:rsidR="00853C0D">
        <w:t>content delivery</w:t>
      </w:r>
      <w:r w:rsidR="00334728">
        <w:t xml:space="preserve">, we make clear that satellite operators, in cooperation with programmers, bear responsibility for </w:t>
      </w:r>
      <w:r w:rsidR="00564DD4">
        <w:t xml:space="preserve">selecting and purchasing </w:t>
      </w:r>
      <w:r w:rsidR="5DD770E2">
        <w:t xml:space="preserve">compression </w:t>
      </w:r>
      <w:r w:rsidR="00564DD4">
        <w:t xml:space="preserve">equipment for any </w:t>
      </w:r>
      <w:r w:rsidR="00334728">
        <w:t>necessary technology upgrades.</w:t>
      </w:r>
      <w:r>
        <w:rPr>
          <w:rStyle w:val="FootnoteReference"/>
        </w:rPr>
        <w:footnoteReference w:id="72"/>
      </w:r>
      <w:r w:rsidR="00334728">
        <w:t xml:space="preserve">  </w:t>
      </w:r>
    </w:p>
    <w:p w:rsidR="00171DE0" w:rsidP="00D654CE" w14:paraId="6E0376F4" w14:textId="402C910C">
      <w:pPr>
        <w:pStyle w:val="ParaNum"/>
      </w:pPr>
      <w:r>
        <w:t xml:space="preserve">To the extent </w:t>
      </w:r>
      <w:r w:rsidR="00ED643B">
        <w:t>that compression</w:t>
      </w:r>
      <w:r w:rsidR="00EE0C6D">
        <w:t xml:space="preserve"> </w:t>
      </w:r>
      <w:r>
        <w:t xml:space="preserve">technology </w:t>
      </w:r>
      <w:r w:rsidR="00906622">
        <w:t>equipment is</w:t>
      </w:r>
      <w:r>
        <w:t xml:space="preserve"> reasonably necessary to complete the </w:t>
      </w:r>
      <w:r w:rsidR="00A27878">
        <w:t>transition</w:t>
      </w:r>
      <w:r w:rsidRPr="00F6646B" w:rsidR="00F6646B">
        <w:t xml:space="preserve">, consistent with the standards set forth in the </w:t>
      </w:r>
      <w:r w:rsidRPr="282C584A" w:rsidR="00F6646B">
        <w:rPr>
          <w:i/>
          <w:iCs/>
        </w:rPr>
        <w:t>3.7 GHz Report and Order</w:t>
      </w:r>
      <w:r w:rsidRPr="00F6646B" w:rsidR="00F6646B">
        <w:t xml:space="preserve">, the </w:t>
      </w:r>
      <w:r w:rsidRPr="00634198" w:rsidR="00634198">
        <w:t>satellite operator may agree to shift costs to purchase that equipment to a third party (other than the lump-sum-electing earth station), and that third party may recover such costs through the Clearinghouse</w:t>
      </w:r>
      <w:r w:rsidRPr="00F6646B" w:rsidR="00F6646B">
        <w:t>.</w:t>
      </w:r>
      <w:r>
        <w:rPr>
          <w:vertAlign w:val="superscript"/>
        </w:rPr>
        <w:footnoteReference w:id="73"/>
      </w:r>
      <w:r w:rsidRPr="00F6646B" w:rsidR="00F6646B">
        <w:t xml:space="preserve">  </w:t>
      </w:r>
      <w:r w:rsidRPr="00D66925" w:rsidR="00D66925">
        <w:t>Under these circumstances, the</w:t>
      </w:r>
      <w:r>
        <w:t xml:space="preserve"> party that purchases </w:t>
      </w:r>
      <w:r w:rsidR="00F364E9">
        <w:t>the equipment for</w:t>
      </w:r>
      <w:r>
        <w:t xml:space="preserve"> </w:t>
      </w:r>
      <w:r w:rsidR="00F364E9">
        <w:t xml:space="preserve">such </w:t>
      </w:r>
      <w:r>
        <w:t>a technology upgrade—</w:t>
      </w:r>
      <w:r w:rsidR="00FC3B13">
        <w:t>either</w:t>
      </w:r>
      <w:r w:rsidR="00F364E9">
        <w:t xml:space="preserve"> </w:t>
      </w:r>
      <w:r>
        <w:t xml:space="preserve">the incumbent satellite operator or a programmer designated </w:t>
      </w:r>
      <w:r w:rsidR="0042794A">
        <w:t xml:space="preserve">by the satellite operator </w:t>
      </w:r>
      <w:r>
        <w:t xml:space="preserve">to </w:t>
      </w:r>
      <w:r w:rsidR="00F364E9">
        <w:t>purchase the equipment</w:t>
      </w:r>
      <w:r>
        <w:t xml:space="preserve"> (as provided for in the </w:t>
      </w:r>
      <w:r w:rsidRPr="282C584A">
        <w:rPr>
          <w:i/>
          <w:iCs/>
        </w:rPr>
        <w:t>3.7 GHz Report and Order</w:t>
      </w:r>
      <w:r>
        <w:t>)</w:t>
      </w:r>
      <w:r>
        <w:rPr>
          <w:rStyle w:val="FootnoteReference"/>
        </w:rPr>
        <w:footnoteReference w:id="74"/>
      </w:r>
      <w:r>
        <w:t xml:space="preserve">—may </w:t>
      </w:r>
      <w:r w:rsidR="00EE0C6D">
        <w:t xml:space="preserve">seek reimbursement from the Clearinghouse for </w:t>
      </w:r>
      <w:r>
        <w:t>its actual costs</w:t>
      </w:r>
      <w:r w:rsidRPr="00A5177A" w:rsidR="00A5177A">
        <w:t xml:space="preserve">; the fact that </w:t>
      </w:r>
      <w:r>
        <w:t xml:space="preserve">the incumbent earth station operator </w:t>
      </w:r>
      <w:r w:rsidRPr="00141FB3" w:rsidR="00141FB3">
        <w:t xml:space="preserve">receiving the equipment </w:t>
      </w:r>
      <w:r w:rsidRPr="000F48DF" w:rsidR="000F48DF">
        <w:t>has chosen to accept a lump sum payment is irrelevant, as the lump sum payment does not include the costs of purchasing such equipment</w:t>
      </w:r>
      <w:r>
        <w:t>.</w:t>
      </w:r>
      <w:r>
        <w:rPr>
          <w:rStyle w:val="FootnoteReference"/>
        </w:rPr>
        <w:footnoteReference w:id="75"/>
      </w:r>
      <w:r>
        <w:t xml:space="preserve">  </w:t>
      </w:r>
    </w:p>
    <w:p w:rsidR="007D440E" w:rsidP="00D654CE" w14:paraId="25F93F60" w14:textId="46E5D845">
      <w:pPr>
        <w:pStyle w:val="ParaNum"/>
      </w:pPr>
      <w:r w:rsidRPr="002073FD">
        <w:t xml:space="preserve">This determination is based, in part, </w:t>
      </w:r>
      <w:r w:rsidR="004415CF">
        <w:t xml:space="preserve">on the comments we received in response to the </w:t>
      </w:r>
      <w:r w:rsidRPr="14273D7F" w:rsidR="004415CF">
        <w:rPr>
          <w:i/>
          <w:iCs/>
        </w:rPr>
        <w:t xml:space="preserve">Lump Sum </w:t>
      </w:r>
      <w:r w:rsidRPr="14273D7F" w:rsidR="00A57AB7">
        <w:rPr>
          <w:i/>
          <w:iCs/>
        </w:rPr>
        <w:t>Comment Public Notice</w:t>
      </w:r>
      <w:r w:rsidR="004415CF">
        <w:t xml:space="preserve">.  </w:t>
      </w:r>
      <w:r w:rsidR="00FC75E0">
        <w:t>Removing the cost of compression equipment for technology upgrades from an MVPD operator’s lump sum amount</w:t>
      </w:r>
      <w:r w:rsidR="00F06ED4">
        <w:t xml:space="preserve">—but including the installation costs </w:t>
      </w:r>
      <w:r w:rsidR="00A321D0">
        <w:t>of such equipment in the lump sum amount for all MVPDs—</w:t>
      </w:r>
      <w:r w:rsidR="00FC75E0">
        <w:t xml:space="preserve">best addresses the concerns commenters raise in response to our proposed approach in the </w:t>
      </w:r>
      <w:r w:rsidRPr="14273D7F" w:rsidR="00FC75E0">
        <w:rPr>
          <w:i/>
          <w:iCs/>
        </w:rPr>
        <w:t xml:space="preserve">Lump Sum Comment Public Notice </w:t>
      </w:r>
      <w:r w:rsidR="00FC75E0">
        <w:t xml:space="preserve">in a manner consistent with the </w:t>
      </w:r>
      <w:r w:rsidRPr="14273D7F" w:rsidR="00FC75E0">
        <w:rPr>
          <w:i/>
          <w:iCs/>
        </w:rPr>
        <w:t>3.7 GHz Report and Order</w:t>
      </w:r>
      <w:r w:rsidR="00FC75E0">
        <w:t xml:space="preserve">.  </w:t>
      </w:r>
      <w:r w:rsidRPr="00464A35" w:rsidR="00464A35">
        <w:t xml:space="preserve">Although </w:t>
      </w:r>
      <w:r w:rsidR="006E6E7F">
        <w:t xml:space="preserve">some commenters argue that MVPD operators, rather than satellite operators or programmers, </w:t>
      </w:r>
      <w:r w:rsidR="2F5761B4">
        <w:t>are</w:t>
      </w:r>
      <w:r w:rsidR="006E6E7F">
        <w:t xml:space="preserve"> responsible for purchasing and installing compression equipment for technology upgrades and thus endorse including compensation for such upgrades as part of the lump sum payment</w:t>
      </w:r>
      <w:r w:rsidRPr="007C437A" w:rsidR="007C437A">
        <w:t>,</w:t>
      </w:r>
      <w:r>
        <w:rPr>
          <w:vertAlign w:val="superscript"/>
        </w:rPr>
        <w:footnoteReference w:id="76"/>
      </w:r>
      <w:r w:rsidRPr="007C437A" w:rsidR="007C437A">
        <w:t xml:space="preserve"> these </w:t>
      </w:r>
      <w:r w:rsidR="006E6E7F">
        <w:t xml:space="preserve">commenters do not appear to dispute the claims that satellite operators and programmers need to </w:t>
      </w:r>
      <w:r w:rsidRPr="00F65282" w:rsidR="00F65282">
        <w:t xml:space="preserve">decide which </w:t>
      </w:r>
      <w:r w:rsidRPr="00B321D1" w:rsidR="00B321D1">
        <w:t xml:space="preserve">equipment </w:t>
      </w:r>
      <w:r w:rsidR="00982F96">
        <w:t xml:space="preserve">is </w:t>
      </w:r>
      <w:r w:rsidRPr="00B321D1" w:rsidR="00B321D1">
        <w:t xml:space="preserve">needed for </w:t>
      </w:r>
      <w:r w:rsidR="006E6E7F">
        <w:t xml:space="preserve">technology upgrades, </w:t>
      </w:r>
      <w:r w:rsidRPr="006D097B" w:rsidR="006D097B">
        <w:t xml:space="preserve">and that they </w:t>
      </w:r>
      <w:r w:rsidR="006E6E7F">
        <w:t>will need to do so on a nationwide basis.</w:t>
      </w:r>
      <w:r>
        <w:rPr>
          <w:rStyle w:val="FootnoteReference"/>
        </w:rPr>
        <w:footnoteReference w:id="77"/>
      </w:r>
      <w:r w:rsidR="006E6E7F">
        <w:t xml:space="preserve"> </w:t>
      </w:r>
      <w:r w:rsidR="004415CF">
        <w:t xml:space="preserve"> </w:t>
      </w:r>
      <w:r w:rsidR="00FC75E0">
        <w:t xml:space="preserve">Although commenters provide conflicting information about </w:t>
      </w:r>
      <w:r w:rsidRPr="000375FA" w:rsidR="000375FA">
        <w:t>which party</w:t>
      </w:r>
      <w:r w:rsidR="00FC75E0">
        <w:t xml:space="preserve"> typically is </w:t>
      </w:r>
      <w:r w:rsidR="00391B95">
        <w:t xml:space="preserve">contractually </w:t>
      </w:r>
      <w:r w:rsidR="00FC75E0">
        <w:t>responsible for purchasing and performing technology upgrades,</w:t>
      </w:r>
      <w:r>
        <w:rPr>
          <w:rStyle w:val="FootnoteReference"/>
        </w:rPr>
        <w:footnoteReference w:id="78"/>
      </w:r>
      <w:r w:rsidR="00FC75E0">
        <w:t xml:space="preserve"> </w:t>
      </w:r>
      <w:r w:rsidR="002679A2">
        <w:t xml:space="preserve">we are </w:t>
      </w:r>
      <w:r w:rsidR="002679A2">
        <w:t xml:space="preserve">unable to verify </w:t>
      </w:r>
      <w:r w:rsidR="00391B95">
        <w:t xml:space="preserve">such arguments, nor </w:t>
      </w:r>
      <w:r w:rsidR="00972858">
        <w:t xml:space="preserve">is such </w:t>
      </w:r>
      <w:r w:rsidR="000F3DFA">
        <w:t>verification</w:t>
      </w:r>
      <w:r w:rsidR="00391B95">
        <w:t xml:space="preserve"> necessary</w:t>
      </w:r>
      <w:r w:rsidR="00972858">
        <w:t>.</w:t>
      </w:r>
      <w:r>
        <w:rPr>
          <w:rStyle w:val="FootnoteReference"/>
        </w:rPr>
        <w:footnoteReference w:id="79"/>
      </w:r>
      <w:r w:rsidR="00A8015F">
        <w:t xml:space="preserve"> </w:t>
      </w:r>
      <w:r w:rsidR="0083533B">
        <w:t xml:space="preserve"> </w:t>
      </w:r>
      <w:r w:rsidR="000F3DFA">
        <w:t xml:space="preserve">Regardless of the private contractual arrangements of the parties, </w:t>
      </w:r>
      <w:r w:rsidRPr="008E3A32" w:rsidR="008E3A32">
        <w:t xml:space="preserve">which the Commission’s </w:t>
      </w:r>
      <w:r w:rsidRPr="002B7D95" w:rsidR="00654E29">
        <w:rPr>
          <w:i/>
          <w:iCs/>
        </w:rPr>
        <w:t xml:space="preserve">3.7 GHz Report and </w:t>
      </w:r>
      <w:r w:rsidRPr="008E3A32" w:rsidR="008E3A32">
        <w:rPr>
          <w:i/>
          <w:iCs/>
        </w:rPr>
        <w:t>Order</w:t>
      </w:r>
      <w:r w:rsidRPr="008E3A32" w:rsidR="008E3A32">
        <w:t xml:space="preserve"> did not intend to change or modify,</w:t>
      </w:r>
      <w:r>
        <w:rPr>
          <w:rStyle w:val="FootnoteReference"/>
        </w:rPr>
        <w:footnoteReference w:id="80"/>
      </w:r>
      <w:r w:rsidRPr="008E3A32" w:rsidR="008E3A32">
        <w:t xml:space="preserve"> </w:t>
      </w:r>
      <w:r w:rsidR="000F3DFA">
        <w:t>t</w:t>
      </w:r>
      <w:r w:rsidR="00FC75E0">
        <w:t xml:space="preserve">he record reflects that the most efficient approach to ensure a smooth transition is to </w:t>
      </w:r>
      <w:r w:rsidRPr="00F5250A" w:rsidR="00F5250A">
        <w:t xml:space="preserve">assign </w:t>
      </w:r>
      <w:r w:rsidR="00FC75E0">
        <w:t>satellite operators, in cooperation with programmers, responsibility for selecting</w:t>
      </w:r>
      <w:r w:rsidRPr="00CE14C2" w:rsidR="00CE14C2">
        <w:t xml:space="preserve"> and</w:t>
      </w:r>
      <w:r w:rsidR="00FC75E0">
        <w:t xml:space="preserve"> purchasing those upgrades</w:t>
      </w:r>
      <w:r w:rsidR="00F12E26">
        <w:t xml:space="preserve"> as part of the satellite operators’ transition</w:t>
      </w:r>
      <w:r w:rsidR="00FC75E0">
        <w:t>.</w:t>
      </w:r>
      <w:r>
        <w:rPr>
          <w:rStyle w:val="FootnoteReference"/>
        </w:rPr>
        <w:footnoteReference w:id="81"/>
      </w:r>
      <w:r w:rsidR="00FC75E0">
        <w:t xml:space="preserve">  </w:t>
      </w:r>
      <w:r w:rsidR="000335E3">
        <w:t xml:space="preserve">Allowing MVPD operators to maintain individual responsibility for installing </w:t>
      </w:r>
      <w:r w:rsidR="00B10097">
        <w:t xml:space="preserve">such equipment </w:t>
      </w:r>
      <w:r w:rsidR="00FC3171">
        <w:t>strikes a</w:t>
      </w:r>
      <w:r w:rsidR="00A443D8">
        <w:t>n appropriate</w:t>
      </w:r>
      <w:r w:rsidR="00FC3171">
        <w:t xml:space="preserve"> balanc</w:t>
      </w:r>
      <w:r w:rsidR="00A443D8">
        <w:t>e</w:t>
      </w:r>
      <w:r w:rsidR="00FC3171">
        <w:t xml:space="preserve"> by </w:t>
      </w:r>
      <w:r w:rsidR="00B10097">
        <w:t>allow</w:t>
      </w:r>
      <w:r w:rsidR="00FC3171">
        <w:t>ing</w:t>
      </w:r>
      <w:r w:rsidR="00B10097">
        <w:t xml:space="preserve"> MVPD operators to maintain control over </w:t>
      </w:r>
      <w:r w:rsidR="0061679F">
        <w:t xml:space="preserve">the portion </w:t>
      </w:r>
      <w:r w:rsidR="007C569C">
        <w:t xml:space="preserve">of </w:t>
      </w:r>
      <w:r w:rsidR="00B10097">
        <w:t>their</w:t>
      </w:r>
      <w:r w:rsidR="0061679F">
        <w:t xml:space="preserve"> </w:t>
      </w:r>
      <w:r w:rsidR="00FC3171">
        <w:t>transition specific to their own earth stations</w:t>
      </w:r>
      <w:r w:rsidR="00B10097">
        <w:t>.</w:t>
      </w:r>
    </w:p>
    <w:p w:rsidR="0092155B" w:rsidP="007374F8" w14:paraId="6DB23E72" w14:textId="702BB85B">
      <w:pPr>
        <w:pStyle w:val="ParaNum"/>
      </w:pPr>
      <w:r w:rsidRPr="00611B04">
        <w:t>T</w:t>
      </w:r>
      <w:r w:rsidRPr="002B7D95" w:rsidR="002B7D95">
        <w:t xml:space="preserve">his approach is consistent with the </w:t>
      </w:r>
      <w:r w:rsidRPr="002B7D95" w:rsidR="002B7D95">
        <w:rPr>
          <w:i/>
          <w:iCs/>
        </w:rPr>
        <w:t>3.7 GHz Report and Order</w:t>
      </w:r>
      <w:r w:rsidR="0038273B">
        <w:rPr>
          <w:i/>
          <w:iCs/>
        </w:rPr>
        <w:t xml:space="preserve"> </w:t>
      </w:r>
      <w:r w:rsidR="0038273B">
        <w:t xml:space="preserve">and the Commission’s direction to the Bureau </w:t>
      </w:r>
      <w:r w:rsidRPr="002B7D95" w:rsidR="0038273B">
        <w:t>“to identify lump sum amounts” based on the “average, estimated costs of relocating all of” an electing earth station operator’s incumbent earth stations.</w:t>
      </w:r>
      <w:r>
        <w:rPr>
          <w:rStyle w:val="FootnoteReference"/>
        </w:rPr>
        <w:footnoteReference w:id="82"/>
      </w:r>
      <w:r w:rsidRPr="002B7D95" w:rsidR="0038273B">
        <w:t xml:space="preserve">  </w:t>
      </w:r>
      <w:r w:rsidR="0038273B">
        <w:t xml:space="preserve">Based on review of the </w:t>
      </w:r>
      <w:r w:rsidR="0038273B">
        <w:t xml:space="preserve">record, </w:t>
      </w:r>
      <w:r w:rsidRPr="002B7D95" w:rsidR="0038273B">
        <w:t>the cost of technology upgrade equipment is not part of the “average</w:t>
      </w:r>
      <w:r w:rsidR="00FB1EA1">
        <w:t>,</w:t>
      </w:r>
      <w:r w:rsidRPr="002B7D95" w:rsidR="0038273B">
        <w:t xml:space="preserve"> estimated costs of relocating” MVPD incumbent earth stations, because those costs are more appropriately tied to the satellite operators’ transition, in coordination with programmers.</w:t>
      </w:r>
      <w:r>
        <w:rPr>
          <w:rStyle w:val="FootnoteReference"/>
        </w:rPr>
        <w:footnoteReference w:id="83"/>
      </w:r>
      <w:r w:rsidRPr="002B7D95" w:rsidR="0038273B">
        <w:t xml:space="preserve">  </w:t>
      </w:r>
      <w:r w:rsidRPr="001F010E" w:rsidR="001F010E">
        <w:t xml:space="preserve">The </w:t>
      </w:r>
      <w:r w:rsidRPr="001F010E" w:rsidR="001F010E">
        <w:rPr>
          <w:i/>
          <w:iCs/>
        </w:rPr>
        <w:t>3.7 GHz Report and Order</w:t>
      </w:r>
      <w:r w:rsidRPr="001F010E" w:rsidR="001F010E">
        <w:t xml:space="preserve"> noted, in its discussion of earth station transitions, </w:t>
      </w:r>
      <w:r w:rsidRPr="002B7D95" w:rsidR="002B7D95">
        <w:t xml:space="preserve">that earth station migration may “require the </w:t>
      </w:r>
      <w:r w:rsidRPr="002B7D95" w:rsidR="002B7D95">
        <w:rPr>
          <w:i/>
          <w:iCs/>
        </w:rPr>
        <w:t>installation</w:t>
      </w:r>
      <w:r w:rsidRPr="002B7D95" w:rsidR="002B7D95">
        <w:t xml:space="preserve"> of new equipment or software” at earth station locations “for customers </w:t>
      </w:r>
      <w:r w:rsidRPr="0038273B" w:rsidR="002B7D95">
        <w:t xml:space="preserve">identified </w:t>
      </w:r>
      <w:r w:rsidRPr="002B7D95" w:rsidR="002B7D95">
        <w:t>for technology upgrades necessary to facilitate the repack, such as compression technology or modulation.”</w:t>
      </w:r>
      <w:r>
        <w:rPr>
          <w:rStyle w:val="FootnoteReference"/>
        </w:rPr>
        <w:footnoteReference w:id="84"/>
      </w:r>
      <w:r w:rsidRPr="002B7D95" w:rsidR="002B7D95">
        <w:t xml:space="preserve">  In short, while the </w:t>
      </w:r>
      <w:r w:rsidRPr="002B7D95" w:rsidR="002B7D95">
        <w:rPr>
          <w:i/>
          <w:iCs/>
        </w:rPr>
        <w:t xml:space="preserve">3.7 GHz Report and Order </w:t>
      </w:r>
      <w:r w:rsidRPr="002B7D95" w:rsidR="002B7D95">
        <w:t xml:space="preserve">indicates that </w:t>
      </w:r>
      <w:r w:rsidRPr="002B7D95" w:rsidR="002B7D95">
        <w:rPr>
          <w:i/>
          <w:iCs/>
        </w:rPr>
        <w:t>installation</w:t>
      </w:r>
      <w:r w:rsidRPr="002B7D95" w:rsidR="002B7D95">
        <w:t xml:space="preserve"> of technology upgrades may be an earth station migration cost, it does not </w:t>
      </w:r>
      <w:r w:rsidRPr="0054153D" w:rsidR="0054153D">
        <w:t xml:space="preserve">mandate that the cost of purchasing the </w:t>
      </w:r>
      <w:r w:rsidRPr="00213FCE" w:rsidR="00213FCE">
        <w:t xml:space="preserve">equipment necessary to implement </w:t>
      </w:r>
      <w:r w:rsidRPr="002B7D95" w:rsidR="002B7D95">
        <w:t xml:space="preserve">those technology upgrades </w:t>
      </w:r>
      <w:r w:rsidR="00C11463">
        <w:t>is</w:t>
      </w:r>
      <w:r w:rsidRPr="002B7D95" w:rsidR="002B7D95">
        <w:t xml:space="preserve"> an earth station migration cost.</w:t>
      </w:r>
      <w:r>
        <w:rPr>
          <w:rStyle w:val="FootnoteReference"/>
        </w:rPr>
        <w:footnoteReference w:id="85"/>
      </w:r>
      <w:r w:rsidRPr="002B7D95" w:rsidR="002B7D95">
        <w:t xml:space="preserve">  </w:t>
      </w:r>
      <w:r w:rsidRPr="006778D9" w:rsidR="006778D9">
        <w:t xml:space="preserve">To the contrary, we here find that allocating such costs to satellite operators is not only consistent with the text of the </w:t>
      </w:r>
      <w:r w:rsidRPr="006778D9" w:rsidR="006778D9">
        <w:rPr>
          <w:i/>
          <w:iCs/>
        </w:rPr>
        <w:t>3.7 GHz Report and Order</w:t>
      </w:r>
      <w:r w:rsidRPr="006778D9" w:rsidR="006778D9">
        <w:t xml:space="preserve">, but also more faithful to its goal of </w:t>
      </w:r>
      <w:r w:rsidRPr="00A37137" w:rsidR="00A37137">
        <w:t>avoiding the disruption of service for FSS operations in the C-band.</w:t>
      </w:r>
      <w:r>
        <w:rPr>
          <w:vertAlign w:val="superscript"/>
        </w:rPr>
        <w:footnoteReference w:id="86"/>
      </w:r>
    </w:p>
    <w:p w:rsidR="00C268D6" w:rsidP="000B0155" w14:paraId="39B1512C" w14:textId="4D1CC3C7">
      <w:pPr>
        <w:pStyle w:val="ParaNum"/>
      </w:pPr>
      <w:bookmarkStart w:id="87" w:name="_Hlk46734992"/>
      <w:r w:rsidRPr="00B53BE3">
        <w:t xml:space="preserve">ACA makes several arguments to support its claim that the </w:t>
      </w:r>
      <w:r w:rsidRPr="00B53BE3">
        <w:rPr>
          <w:i/>
          <w:iCs/>
        </w:rPr>
        <w:t xml:space="preserve">3.7 GHz Report and Order </w:t>
      </w:r>
      <w:r w:rsidRPr="00B53BE3">
        <w:t xml:space="preserve">requires the inclusion of </w:t>
      </w:r>
      <w:r w:rsidR="003D4B19">
        <w:t>integrated receiver/decoder</w:t>
      </w:r>
      <w:r w:rsidRPr="00B53BE3">
        <w:t xml:space="preserve"> costs in the lump sum payment.</w:t>
      </w:r>
      <w:r>
        <w:rPr>
          <w:vertAlign w:val="superscript"/>
        </w:rPr>
        <w:footnoteReference w:id="87"/>
      </w:r>
      <w:r w:rsidRPr="00B53BE3">
        <w:t xml:space="preserve">  We find none of these arguments persuasive, because, among other reasons, each seems to beg the question whether </w:t>
      </w:r>
      <w:r w:rsidR="003D4B19">
        <w:t>integrated receiver/decoder</w:t>
      </w:r>
      <w:r w:rsidRPr="00B53BE3">
        <w:t xml:space="preserve"> costs are properly allocated to earth station</w:t>
      </w:r>
      <w:r w:rsidR="00E23B10">
        <w:t xml:space="preserve"> operator</w:t>
      </w:r>
      <w:r w:rsidRPr="00B53BE3">
        <w:t>s or satellite operators.</w:t>
      </w:r>
      <w:bookmarkEnd w:id="87"/>
      <w:r w:rsidR="00747576">
        <w:t xml:space="preserve">  </w:t>
      </w:r>
      <w:r w:rsidRPr="001E79F4" w:rsidR="001E79F4">
        <w:t xml:space="preserve">According to ACA, the cost of </w:t>
      </w:r>
      <w:r w:rsidR="003D4B19">
        <w:t>integrated receiver/decoder</w:t>
      </w:r>
      <w:r w:rsidRPr="001E79F4" w:rsidR="001E79F4">
        <w:t xml:space="preserve"> equipment should be included in the lump sum because, in establishing the lump sum, the Commission focused on the costs of</w:t>
      </w:r>
      <w:r w:rsidRPr="001E79F4" w:rsidR="001E79F4">
        <w:rPr>
          <w:i/>
          <w:iCs/>
        </w:rPr>
        <w:t xml:space="preserve"> </w:t>
      </w:r>
      <w:r w:rsidRPr="001E79F4" w:rsidR="001E79F4">
        <w:t xml:space="preserve">relocating an earth station, rather than </w:t>
      </w:r>
      <w:r w:rsidR="00675B68">
        <w:t xml:space="preserve">on </w:t>
      </w:r>
      <w:r w:rsidRPr="001E79F4" w:rsidR="001E79F4">
        <w:t>which entity</w:t>
      </w:r>
      <w:r w:rsidRPr="001E79F4" w:rsidR="001E79F4">
        <w:rPr>
          <w:i/>
          <w:iCs/>
        </w:rPr>
        <w:t xml:space="preserve"> </w:t>
      </w:r>
      <w:r w:rsidRPr="001E79F4" w:rsidR="001E79F4">
        <w:t>ultimately would seek reimbursement from the Clearinghouse for any given expense.</w:t>
      </w:r>
      <w:r>
        <w:rPr>
          <w:vertAlign w:val="superscript"/>
        </w:rPr>
        <w:footnoteReference w:id="88"/>
      </w:r>
      <w:r w:rsidRPr="001E79F4" w:rsidR="001E79F4">
        <w:t xml:space="preserve">  But as we have explained above, </w:t>
      </w:r>
      <w:r w:rsidR="003D4B19">
        <w:t>integrated receiver/decoder</w:t>
      </w:r>
      <w:r w:rsidRPr="001E79F4" w:rsidR="001E79F4">
        <w:t xml:space="preserve"> equipment costs are more appropriately tied to the transition of satellites than to that of earth stations.  Unlike filters, which must be purchased in connection with the transition of an earth station regardless of decisions made at the satellite level, the question of </w:t>
      </w:r>
      <w:r w:rsidR="003D4B19">
        <w:t>integrated receiver/decoder</w:t>
      </w:r>
      <w:r w:rsidRPr="001E79F4" w:rsidR="001E79F4">
        <w:t xml:space="preserve"> costs are made on a case</w:t>
      </w:r>
      <w:r w:rsidR="005759B2">
        <w:t>-</w:t>
      </w:r>
      <w:r w:rsidRPr="001E79F4" w:rsidR="001E79F4">
        <w:t>by</w:t>
      </w:r>
      <w:r w:rsidR="005759B2">
        <w:t>-</w:t>
      </w:r>
      <w:r w:rsidRPr="001E79F4" w:rsidR="001E79F4">
        <w:t>case basis pursuant to discussions between the programmer and satellite company.</w:t>
      </w:r>
      <w:r>
        <w:rPr>
          <w:vertAlign w:val="superscript"/>
        </w:rPr>
        <w:footnoteReference w:id="89"/>
      </w:r>
    </w:p>
    <w:p w:rsidR="00251EC8" w:rsidP="00B969B1" w14:paraId="3408AD5D" w14:textId="116343D1">
      <w:pPr>
        <w:pStyle w:val="ParaNum"/>
      </w:pPr>
      <w:r w:rsidRPr="007D1270">
        <w:t>ACA also argues that the lump sum should include any “but for” cost</w:t>
      </w:r>
      <w:r w:rsidR="009E4EAA">
        <w:t>s</w:t>
      </w:r>
      <w:r w:rsidRPr="007D1270">
        <w:t xml:space="preserve"> of transitioning earth stations—i.e., “the money that the Clearinghouse would otherwise have paid to relocate earth stations to maintain satellite reception.”</w:t>
      </w:r>
      <w:r>
        <w:rPr>
          <w:vertAlign w:val="superscript"/>
        </w:rPr>
        <w:footnoteReference w:id="90"/>
      </w:r>
      <w:r w:rsidRPr="007D1270">
        <w:t xml:space="preserve">  But ACA’s argument proves too much and would mean that the cost of new satellite acquisitions would also have to be included in the lump sum, “on the theory that anticipation of an accelerated transition to fiber</w:t>
      </w:r>
      <w:r w:rsidR="008C611F">
        <w:t xml:space="preserve"> </w:t>
      </w:r>
      <w:r w:rsidR="008E1D2F">
        <w:t xml:space="preserve">. . . </w:t>
      </w:r>
      <w:r w:rsidRPr="007D1270">
        <w:t xml:space="preserve">impacted the decision of satellite companies around </w:t>
      </w:r>
      <w:r w:rsidRPr="007D1270">
        <w:t>satellite launches.”</w:t>
      </w:r>
      <w:r>
        <w:rPr>
          <w:vertAlign w:val="superscript"/>
        </w:rPr>
        <w:footnoteReference w:id="91"/>
      </w:r>
      <w:r w:rsidRPr="007D1270">
        <w:t xml:space="preserve">  As the Content </w:t>
      </w:r>
      <w:r w:rsidR="00E00BB3">
        <w:t>Companies</w:t>
      </w:r>
      <w:r w:rsidRPr="007D1270">
        <w:t xml:space="preserve"> note, “the need for IRDs is driven entirely by bilateral decisions and planning between the satellite company and a programmer customer,” meaning that the cost of </w:t>
      </w:r>
      <w:r w:rsidR="008E1D2F">
        <w:t>integrated receiver/decoder</w:t>
      </w:r>
      <w:r w:rsidRPr="007D1270">
        <w:t xml:space="preserve"> equipment “is no more a cost of relocating the MVPD’s earth station than that of the ordering of new satellites.”</w:t>
      </w:r>
      <w:r>
        <w:rPr>
          <w:vertAlign w:val="superscript"/>
        </w:rPr>
        <w:footnoteReference w:id="92"/>
      </w:r>
    </w:p>
    <w:p w:rsidR="001411E1" w:rsidP="00B969B1" w14:paraId="4659DA05" w14:textId="66268FAB">
      <w:pPr>
        <w:pStyle w:val="ParaNum"/>
      </w:pPr>
      <w:r>
        <w:t xml:space="preserve">We also disagree with ACA’s suggestion that the Bureau </w:t>
      </w:r>
      <w:r w:rsidRPr="00A35C7A" w:rsidR="00A35C7A">
        <w:t>must</w:t>
      </w:r>
      <w:r>
        <w:t xml:space="preserve"> maintain integrated receiver/decoder replacement costs within the lump sum reimbursement for MVPDs because “the lump sum is designed to give MVPDs flexibility to either maintain operations in the upper portion of the C-band, or to transition to alternative transport technologies, like fiber, that in some cases would not require the purchase and installation of any integrated receivers/decoders at an earth station site.”</w:t>
      </w:r>
      <w:r>
        <w:rPr>
          <w:rStyle w:val="FootnoteReference"/>
        </w:rPr>
        <w:footnoteReference w:id="93"/>
      </w:r>
      <w:r>
        <w:t xml:space="preserve">  ACA argues that not including integrated receiver/decoder costs in the lump sum would “make it significantly more financially difficult for MVPDs to transition to any alternative technologies that are not dependent on the operator having [integrated receivers/decoders] at an earth station site.”</w:t>
      </w:r>
      <w:r>
        <w:rPr>
          <w:rStyle w:val="FootnoteReference"/>
        </w:rPr>
        <w:footnoteReference w:id="94"/>
      </w:r>
      <w:r>
        <w:t xml:space="preserve">  While the </w:t>
      </w:r>
      <w:r w:rsidRPr="282C584A">
        <w:rPr>
          <w:i/>
          <w:iCs/>
        </w:rPr>
        <w:t xml:space="preserve">3.7 GHz Report and Order </w:t>
      </w:r>
      <w:r>
        <w:t xml:space="preserve">acknowledges that “providing incumbent earth station operators flexibility may allow them to make efficient decisions that better accommodate their needs,” it also recognizes “that replacing existing C-band operations with fiber or other terrestrial service may be . . . more expensive by an </w:t>
      </w:r>
      <w:r w:rsidRPr="282C584A">
        <w:rPr>
          <w:i/>
          <w:iCs/>
        </w:rPr>
        <w:t>order of magnitude</w:t>
      </w:r>
      <w:r>
        <w:t>.”</w:t>
      </w:r>
      <w:r>
        <w:rPr>
          <w:rStyle w:val="FootnoteReference"/>
        </w:rPr>
        <w:footnoteReference w:id="95"/>
      </w:r>
      <w:r>
        <w:t xml:space="preserve">  </w:t>
      </w:r>
      <w:r w:rsidRPr="006A2A81">
        <w:t xml:space="preserve">The </w:t>
      </w:r>
      <w:r w:rsidRPr="006A2A81">
        <w:rPr>
          <w:i/>
          <w:iCs/>
        </w:rPr>
        <w:t xml:space="preserve">3.7 GHz Report and Order </w:t>
      </w:r>
      <w:r w:rsidRPr="006A2A81">
        <w:t>directs the Bureau to establish lump sum amounts based on the “average, estimated costs of relocating” incumbent earth stations, rather than to attempt to approximate the cost of transitioning to alternative transport</w:t>
      </w:r>
      <w:r w:rsidRPr="007E48DA">
        <w:t>, and specifically note</w:t>
      </w:r>
      <w:r>
        <w:t>s</w:t>
      </w:r>
      <w:r w:rsidRPr="007E48DA">
        <w:t xml:space="preserve"> that any costs “over and above the lump sum (i.e., additional costs to transition to fiber) would be borne by the electing incumbent earth station operator.”</w:t>
      </w:r>
      <w:r>
        <w:rPr>
          <w:rStyle w:val="FootnoteReference"/>
        </w:rPr>
        <w:footnoteReference w:id="96"/>
      </w:r>
      <w:r w:rsidRPr="006A2A81">
        <w:t xml:space="preserve">  </w:t>
      </w:r>
      <w:r w:rsidRPr="007E618A" w:rsidR="007E618A">
        <w:t xml:space="preserve">The Commission signaled in these portions of the </w:t>
      </w:r>
      <w:r w:rsidRPr="007E618A" w:rsidR="007E618A">
        <w:rPr>
          <w:i/>
          <w:iCs/>
        </w:rPr>
        <w:t xml:space="preserve">3.7 GHz Report and Order </w:t>
      </w:r>
      <w:r w:rsidRPr="007E618A" w:rsidR="007E618A">
        <w:t xml:space="preserve">that the lump sum was never intended to fully fund the cost of converting </w:t>
      </w:r>
      <w:r w:rsidR="00DF4E71">
        <w:t xml:space="preserve">to </w:t>
      </w:r>
      <w:r w:rsidRPr="007E618A" w:rsidR="007E618A">
        <w:t>fiber,</w:t>
      </w:r>
      <w:r>
        <w:rPr>
          <w:vertAlign w:val="superscript"/>
        </w:rPr>
        <w:footnoteReference w:id="97"/>
      </w:r>
      <w:r w:rsidRPr="007E618A" w:rsidR="007E618A">
        <w:t xml:space="preserve"> and we do not believe that excluding </w:t>
      </w:r>
      <w:r w:rsidR="004836B9">
        <w:t>integrated receiver/decoder</w:t>
      </w:r>
      <w:r w:rsidRPr="007E618A" w:rsidR="007E618A">
        <w:t xml:space="preserve"> costs from the lump sum</w:t>
      </w:r>
      <w:r w:rsidR="004836B9">
        <w:t xml:space="preserve"> </w:t>
      </w:r>
      <w:r w:rsidRPr="007E618A" w:rsidR="007E618A">
        <w:t>will deprive those MVPD earth stations of the flexibility to convert their facilities to fiber.</w:t>
      </w:r>
      <w:r>
        <w:rPr>
          <w:rStyle w:val="FootnoteReference"/>
        </w:rPr>
        <w:footnoteReference w:id="98"/>
      </w:r>
      <w:r w:rsidRPr="007E618A" w:rsidR="007E618A">
        <w:t xml:space="preserve">  </w:t>
      </w:r>
      <w:r>
        <w:t>As we have explained, we have determined that coordination of content delivery and selection of any necessary compression equipment fall within the satellite operators’ transition rather than that of the earth station operators</w:t>
      </w:r>
      <w:r w:rsidR="00855EAF">
        <w:t xml:space="preserve"> </w:t>
      </w:r>
      <w:r w:rsidRPr="00855EAF" w:rsidR="00855EAF">
        <w:t xml:space="preserve">because programmers and satellite companies are best positioned to coordinate efficiently in selecting the </w:t>
      </w:r>
      <w:r w:rsidRPr="00855EAF" w:rsidR="00855EAF">
        <w:t>appropriate integrated receivers/decoders and transcoder equipment</w:t>
      </w:r>
      <w:r>
        <w:t>.</w:t>
      </w:r>
      <w:r>
        <w:rPr>
          <w:rStyle w:val="FootnoteReference"/>
        </w:rPr>
        <w:footnoteReference w:id="99"/>
      </w:r>
    </w:p>
    <w:p w:rsidR="00D26239" w:rsidP="00B969B1" w14:paraId="2532631F" w14:textId="2F5DDDBE">
      <w:pPr>
        <w:pStyle w:val="ParaNum"/>
      </w:pPr>
      <w:r>
        <w:t>The lump sum for MVPD earth stations that we identify today</w:t>
      </w:r>
      <w:r w:rsidR="006D2726">
        <w:t>,</w:t>
      </w:r>
      <w:r>
        <w:t xml:space="preserve"> </w:t>
      </w:r>
      <w:r w:rsidRPr="00D06EF6" w:rsidR="006D2726">
        <w:t xml:space="preserve">including the installation of technology upgrades, </w:t>
      </w:r>
      <w:r>
        <w:t xml:space="preserve">reflects the average, estimated costs of MVPD earth station transitions, as supported by the record. </w:t>
      </w:r>
      <w:r w:rsidRPr="002B7D95" w:rsidR="002B7D95">
        <w:t xml:space="preserve"> For </w:t>
      </w:r>
      <w:r w:rsidR="00165077">
        <w:t>this</w:t>
      </w:r>
      <w:r w:rsidRPr="002B7D95" w:rsidR="002B7D95">
        <w:t xml:space="preserve"> reason, we disagree with SES that such an approach conflicts with the “clearing obligations” or “the respective roles and obligations of C-band stakeholders” contemplated in the </w:t>
      </w:r>
      <w:r w:rsidRPr="002B7D95" w:rsidR="002B7D95">
        <w:rPr>
          <w:i/>
          <w:iCs/>
        </w:rPr>
        <w:t>3.7 GHz Report and Order</w:t>
      </w:r>
      <w:r w:rsidRPr="002B7D95" w:rsidR="002B7D95">
        <w:t>.</w:t>
      </w:r>
      <w:r>
        <w:rPr>
          <w:rStyle w:val="FootnoteReference"/>
        </w:rPr>
        <w:footnoteReference w:id="100"/>
      </w:r>
      <w:r w:rsidRPr="002B7D95" w:rsidR="002B7D95">
        <w:t xml:space="preserve">  </w:t>
      </w:r>
      <w:r w:rsidRPr="00B75DA5" w:rsidR="00B75DA5">
        <w:t>The approach adopted here</w:t>
      </w:r>
      <w:r>
        <w:t>, which</w:t>
      </w:r>
      <w:r w:rsidRPr="002B7D95" w:rsidR="002B7D95">
        <w:t xml:space="preserve"> clarifies th</w:t>
      </w:r>
      <w:r>
        <w:t xml:space="preserve">at selection and purchase of compression equipment are not part of an </w:t>
      </w:r>
      <w:r w:rsidRPr="00C16B33" w:rsidR="00C16B33">
        <w:t xml:space="preserve">average MVPD </w:t>
      </w:r>
      <w:r>
        <w:t>transition, does not</w:t>
      </w:r>
      <w:r w:rsidRPr="002B7D95" w:rsidR="002B7D95">
        <w:t xml:space="preserve"> disrupt the </w:t>
      </w:r>
      <w:r>
        <w:t xml:space="preserve">roles of stakeholders or the </w:t>
      </w:r>
      <w:r w:rsidRPr="002B7D95" w:rsidR="002B7D95">
        <w:t xml:space="preserve">clearing obligations set forth in the </w:t>
      </w:r>
      <w:r w:rsidRPr="002B7D95" w:rsidR="002B7D95">
        <w:rPr>
          <w:i/>
          <w:iCs/>
        </w:rPr>
        <w:t>3.7 GHz Report and Or</w:t>
      </w:r>
      <w:r>
        <w:rPr>
          <w:i/>
          <w:iCs/>
        </w:rPr>
        <w:t>der</w:t>
      </w:r>
      <w:r w:rsidRPr="002B7D95" w:rsidR="002B7D95">
        <w:t>.</w:t>
      </w:r>
      <w:r>
        <w:rPr>
          <w:rStyle w:val="FootnoteReference"/>
        </w:rPr>
        <w:footnoteReference w:id="101"/>
      </w:r>
      <w:r w:rsidRPr="002B7D95" w:rsidR="002B7D95">
        <w:t xml:space="preserve">  </w:t>
      </w:r>
      <w:bookmarkStart w:id="88" w:name="_Hlk46735359"/>
      <w:r w:rsidRPr="0025546A" w:rsidR="0025546A">
        <w:t xml:space="preserve">In fact, as the Content </w:t>
      </w:r>
      <w:r w:rsidR="0025546A">
        <w:t>Companies</w:t>
      </w:r>
      <w:r w:rsidRPr="0025546A" w:rsidR="0025546A">
        <w:t xml:space="preserve"> observe, inclusion of </w:t>
      </w:r>
      <w:r w:rsidR="00414D71">
        <w:t>integrated receiver/decoder</w:t>
      </w:r>
      <w:r w:rsidRPr="0025546A" w:rsidR="0025546A">
        <w:t xml:space="preserve"> equipment costs in the lump sum could endanger the entire transition, because compression technology “will not function properly unless it is uniform across a programmer’s network.”</w:t>
      </w:r>
      <w:r>
        <w:rPr>
          <w:vertAlign w:val="superscript"/>
        </w:rPr>
        <w:footnoteReference w:id="102"/>
      </w:r>
      <w:bookmarkEnd w:id="88"/>
      <w:r w:rsidR="0025546A">
        <w:t xml:space="preserve">  </w:t>
      </w:r>
      <w:r w:rsidRPr="006E5C5B" w:rsidR="006E5C5B">
        <w:t xml:space="preserve">As explained above, the determination that the purchase </w:t>
      </w:r>
      <w:r w:rsidRPr="003F4A49" w:rsidR="006E5C5B">
        <w:t xml:space="preserve">of </w:t>
      </w:r>
      <w:r w:rsidR="00795E34">
        <w:t>integrated receiver/decoder</w:t>
      </w:r>
      <w:r w:rsidRPr="006E5C5B" w:rsidR="006E5C5B">
        <w:t xml:space="preserve"> equipment should be coordinated on a national basis by the satellite operators, while acknowledging the role of earth stations in installing such equipment, reflects exactly those respective roles and obligations that SES highlights.  </w:t>
      </w:r>
    </w:p>
    <w:p w:rsidR="00322D0C" w:rsidP="00B969B1" w14:paraId="30B13FE0" w14:textId="0F3F6787">
      <w:pPr>
        <w:pStyle w:val="ParaNum"/>
      </w:pPr>
      <w:r w:rsidRPr="002D7BE3">
        <w:t xml:space="preserve">Because </w:t>
      </w:r>
      <w:r w:rsidR="00CD72F5">
        <w:t xml:space="preserve">nationwide coordination of content delivery, including </w:t>
      </w:r>
      <w:r w:rsidRPr="002D7BE3">
        <w:t xml:space="preserve">selection of </w:t>
      </w:r>
      <w:r w:rsidR="00CD72F5">
        <w:t xml:space="preserve">appropriate </w:t>
      </w:r>
      <w:r w:rsidRPr="002D7BE3">
        <w:t>compression equipment</w:t>
      </w:r>
      <w:r w:rsidR="00DF7071">
        <w:t>,</w:t>
      </w:r>
      <w:r w:rsidRPr="002D7BE3">
        <w:t xml:space="preserve"> </w:t>
      </w:r>
      <w:r w:rsidR="00DF7071">
        <w:t>is</w:t>
      </w:r>
      <w:r w:rsidRPr="002D7BE3" w:rsidR="00DF7071">
        <w:t xml:space="preserve"> </w:t>
      </w:r>
      <w:r w:rsidRPr="002D7BE3">
        <w:t>part of a satellite operator’s transition—and not part of an MVPD earth station transition—we also decline to adopt SES’s proposal to make the Relocation Coordinator responsible for purchasing compression equipment where an earth station operator elects the lump sum</w:t>
      </w:r>
      <w:r w:rsidR="002B7D95">
        <w:t>.</w:t>
      </w:r>
      <w:r>
        <w:rPr>
          <w:rStyle w:val="FootnoteReference"/>
        </w:rPr>
        <w:footnoteReference w:id="103"/>
      </w:r>
      <w:r w:rsidR="002B7D95">
        <w:t xml:space="preserve">  The </w:t>
      </w:r>
      <w:r w:rsidRPr="00C1295C" w:rsidR="002B7D95">
        <w:rPr>
          <w:i/>
          <w:iCs/>
        </w:rPr>
        <w:t xml:space="preserve">3.7 GHz Report and Order </w:t>
      </w:r>
      <w:r w:rsidR="002B7D95">
        <w:t>sets forth the Relocation Coordinator’s responsibilities, which include</w:t>
      </w:r>
      <w:r w:rsidR="00D26239">
        <w:t xml:space="preserve"> “establish[ing] a timeline and </w:t>
      </w:r>
      <w:r w:rsidR="002B7D95">
        <w:t>tak</w:t>
      </w:r>
      <w:r w:rsidR="00D26239">
        <w:t>[</w:t>
      </w:r>
      <w:r w:rsidR="002B7D95">
        <w:t>ing</w:t>
      </w:r>
      <w:r w:rsidR="00D26239">
        <w:t>]</w:t>
      </w:r>
      <w:r w:rsidR="002B7D95">
        <w:t xml:space="preserve"> actions </w:t>
      </w:r>
      <w:r w:rsidRPr="002B7D95" w:rsidR="002B7D95">
        <w:t>necessary to migrate and filter</w:t>
      </w:r>
      <w:r w:rsidR="002B7D95">
        <w:t xml:space="preserve"> </w:t>
      </w:r>
      <w:r w:rsidRPr="002B7D95" w:rsidR="002B7D95">
        <w:t>incumbent earth stations</w:t>
      </w:r>
      <w:r w:rsidR="00D26239">
        <w:t>.</w:t>
      </w:r>
      <w:r w:rsidR="002B7D95">
        <w:t>”</w:t>
      </w:r>
      <w:r>
        <w:rPr>
          <w:rStyle w:val="FootnoteReference"/>
        </w:rPr>
        <w:footnoteReference w:id="104"/>
      </w:r>
      <w:r w:rsidRPr="002B7D95" w:rsidR="002B7D95">
        <w:t xml:space="preserve"> </w:t>
      </w:r>
      <w:r w:rsidR="00D26239">
        <w:t xml:space="preserve"> While the </w:t>
      </w:r>
      <w:r w:rsidRPr="00C1295C" w:rsidR="00D26239">
        <w:rPr>
          <w:i/>
          <w:iCs/>
        </w:rPr>
        <w:t>3.7 GHz Report and Order</w:t>
      </w:r>
      <w:r w:rsidR="00D26239">
        <w:t xml:space="preserve"> indicates that the Relocation Coordinator may</w:t>
      </w:r>
      <w:r w:rsidR="002B7D95">
        <w:t xml:space="preserve"> “</w:t>
      </w:r>
      <w:r w:rsidR="00D26239">
        <w:t xml:space="preserve">assist </w:t>
      </w:r>
      <w:r w:rsidR="002B7D95">
        <w:t xml:space="preserve">incumbent </w:t>
      </w:r>
      <w:r w:rsidRPr="00C1295C" w:rsidR="002B7D95">
        <w:rPr>
          <w:i/>
          <w:iCs/>
        </w:rPr>
        <w:t>earth stations</w:t>
      </w:r>
      <w:r w:rsidR="002B7D95">
        <w:t xml:space="preserve"> in transitioning</w:t>
      </w:r>
      <w:r w:rsidR="00D26239">
        <w:t>,</w:t>
      </w:r>
      <w:r w:rsidR="002B7D95">
        <w:t>”</w:t>
      </w:r>
      <w:r w:rsidR="00D26239">
        <w:t xml:space="preserve"> it does not contemplate that the Relocation Coordinator would assist satellite operators with transition actions.</w:t>
      </w:r>
      <w:r>
        <w:rPr>
          <w:rStyle w:val="FootnoteReference"/>
        </w:rPr>
        <w:footnoteReference w:id="105"/>
      </w:r>
      <w:r w:rsidR="00D26239">
        <w:t xml:space="preserve">  Accordingly, the </w:t>
      </w:r>
      <w:r w:rsidRPr="00C1295C" w:rsidR="00D26239">
        <w:rPr>
          <w:i/>
          <w:iCs/>
        </w:rPr>
        <w:t>3.7 GHz Report and Order</w:t>
      </w:r>
      <w:r w:rsidR="00D26239">
        <w:t xml:space="preserve"> does </w:t>
      </w:r>
      <w:r w:rsidR="00FB1EA1">
        <w:t xml:space="preserve">not </w:t>
      </w:r>
      <w:r w:rsidR="00D26239">
        <w:t>support SES’s proposed approach to assign the selection and purchase of compression equipment—which are part of the satellite operator’s responsibility—to the Relocation Coordinator.  Further, w</w:t>
      </w:r>
      <w:r w:rsidR="002B7D95">
        <w:t xml:space="preserve">e do not believe that such an approach would meet the needs of satellite operators </w:t>
      </w:r>
      <w:r w:rsidR="00C162C8">
        <w:t xml:space="preserve">(in cooperation with </w:t>
      </w:r>
      <w:r w:rsidR="00835B6D">
        <w:t>their customers, the content providers)</w:t>
      </w:r>
      <w:r w:rsidR="00C162C8">
        <w:t xml:space="preserve"> to </w:t>
      </w:r>
      <w:r w:rsidR="006578BC">
        <w:t xml:space="preserve">accomplish a </w:t>
      </w:r>
      <w:r w:rsidR="00BD6D99">
        <w:t>timely</w:t>
      </w:r>
      <w:r w:rsidR="00C162C8">
        <w:t xml:space="preserve"> transition</w:t>
      </w:r>
      <w:r w:rsidR="002B7D95">
        <w:t xml:space="preserve">, given that </w:t>
      </w:r>
      <w:r w:rsidR="00C07F8E">
        <w:t xml:space="preserve">commenters have stated that </w:t>
      </w:r>
      <w:r w:rsidR="002B7D95">
        <w:t>both must be involved in selecting and overseeing that portion of the transition.</w:t>
      </w:r>
      <w:r>
        <w:rPr>
          <w:rStyle w:val="FootnoteReference"/>
        </w:rPr>
        <w:footnoteReference w:id="106"/>
      </w:r>
      <w:r w:rsidR="002B7D95">
        <w:t xml:space="preserve"> </w:t>
      </w:r>
      <w:r w:rsidR="00D26239">
        <w:t xml:space="preserve"> </w:t>
      </w:r>
      <w:r w:rsidRPr="00D26239" w:rsidR="00D26239">
        <w:t>Indeed, SES acknowledges the need for centralized selection of compression equipment and the</w:t>
      </w:r>
      <w:r w:rsidR="009C1B03">
        <w:t xml:space="preserve"> central</w:t>
      </w:r>
      <w:r w:rsidRPr="00D26239" w:rsidR="00D26239">
        <w:t xml:space="preserve"> role that satellite operators</w:t>
      </w:r>
      <w:r w:rsidR="002C3C43">
        <w:t>, in cooperation wi</w:t>
      </w:r>
      <w:r w:rsidR="002B3F17">
        <w:t xml:space="preserve">th </w:t>
      </w:r>
      <w:r w:rsidRPr="00D26239" w:rsidR="00D26239">
        <w:t>programmers</w:t>
      </w:r>
      <w:r w:rsidR="002B3F17">
        <w:t>,</w:t>
      </w:r>
      <w:r w:rsidRPr="00D26239" w:rsidR="00D26239">
        <w:t xml:space="preserve"> must play to determine whether such equipment is necessary and then to select the appropriate equipment.</w:t>
      </w:r>
      <w:r>
        <w:rPr>
          <w:rStyle w:val="FootnoteReference"/>
        </w:rPr>
        <w:footnoteReference w:id="107"/>
      </w:r>
      <w:r w:rsidR="00D26239">
        <w:t xml:space="preserve">  </w:t>
      </w:r>
      <w:r w:rsidRPr="00D26239" w:rsidR="00D26239">
        <w:t xml:space="preserve">SES cannot have it both ways—maintaining centralized selection of </w:t>
      </w:r>
      <w:r w:rsidRPr="00D26239" w:rsidR="00D26239">
        <w:t xml:space="preserve">compression equipment without taking responsibility for such equipment.  </w:t>
      </w:r>
    </w:p>
    <w:p w:rsidR="00322D0C" w:rsidP="00B969B1" w14:paraId="64D0C585" w14:textId="7628ACFA">
      <w:pPr>
        <w:pStyle w:val="ParaNum"/>
      </w:pPr>
      <w:r>
        <w:t xml:space="preserve">The </w:t>
      </w:r>
      <w:r w:rsidRPr="282C584A">
        <w:rPr>
          <w:i/>
          <w:iCs/>
        </w:rPr>
        <w:t>3.7 GHz Report and Order</w:t>
      </w:r>
      <w:r>
        <w:t xml:space="preserve"> also makes clear that once an earth station operator elects the lump sum, it becomes responsible both “for performing any necessary transition actions . . . consistent with the space station operator’s deadlines</w:t>
      </w:r>
      <w:r w:rsidR="004B7A2B">
        <w:t xml:space="preserve"> </w:t>
      </w:r>
      <w:r>
        <w:t>. . . for transition”</w:t>
      </w:r>
      <w:r>
        <w:rPr>
          <w:rStyle w:val="FootnoteReference"/>
        </w:rPr>
        <w:footnoteReference w:id="108"/>
      </w:r>
      <w:r>
        <w:t xml:space="preserve"> and “for coordinating with the relevant space station operator as necessary and performing all relocation actions on its own.”</w:t>
      </w:r>
      <w:r>
        <w:rPr>
          <w:rStyle w:val="FootnoteReference"/>
        </w:rPr>
        <w:footnoteReference w:id="109"/>
      </w:r>
      <w:r w:rsidR="00E12551">
        <w:t xml:space="preserve"> </w:t>
      </w:r>
      <w:r>
        <w:t xml:space="preserve"> </w:t>
      </w:r>
      <w:r w:rsidR="00F26DF0">
        <w:t xml:space="preserve">The Commission </w:t>
      </w:r>
      <w:r w:rsidR="00911D20">
        <w:t>mandated that the lump sum election is irrevocable, and e</w:t>
      </w:r>
      <w:r w:rsidR="006B6E59">
        <w:t xml:space="preserve">arth station operators that elect the lump sum </w:t>
      </w:r>
      <w:r w:rsidR="00604704">
        <w:t>will be responsible for covering any</w:t>
      </w:r>
      <w:r w:rsidR="002B2DA5">
        <w:t xml:space="preserve"> </w:t>
      </w:r>
      <w:r w:rsidR="00FE6EC0">
        <w:t xml:space="preserve">additional </w:t>
      </w:r>
      <w:r w:rsidRPr="007229DF" w:rsidR="007229DF">
        <w:t xml:space="preserve">unexpected </w:t>
      </w:r>
      <w:r w:rsidR="00FE6EC0">
        <w:t>expenses</w:t>
      </w:r>
      <w:r w:rsidR="002B2DA5">
        <w:t xml:space="preserve"> </w:t>
      </w:r>
      <w:r w:rsidR="00FE6EC0">
        <w:t>in the event that the costs of the</w:t>
      </w:r>
      <w:r w:rsidR="002B2DA5">
        <w:t xml:space="preserve"> transition may exceed the lump sum amount.</w:t>
      </w:r>
      <w:r>
        <w:rPr>
          <w:rStyle w:val="FootnoteReference"/>
        </w:rPr>
        <w:footnoteReference w:id="110"/>
      </w:r>
      <w:r w:rsidR="002B2DA5">
        <w:t xml:space="preserve">  </w:t>
      </w:r>
      <w:r>
        <w:t xml:space="preserve">Accordingly, </w:t>
      </w:r>
      <w:r w:rsidR="00C638F0">
        <w:t xml:space="preserve">as with any </w:t>
      </w:r>
      <w:r w:rsidR="00AD1B11">
        <w:t>other operator that accepts the lump sum</w:t>
      </w:r>
      <w:r>
        <w:t>, an MVPD earth station operator electing the lump sum would be responsible for coordinating with space station operators and installing any necessary technology upgrades at its earth station locations (rather than satellite operators) within the transition deadlines where such an upgrade is necessary to the transition.  MVPD earth station operators electing the lump sum take on the risk that their lump sum will not be sufficient to install such equipment and must cover the difference to install such equipment, should it be necessary to their transition.</w:t>
      </w:r>
    </w:p>
    <w:p w:rsidR="00C81360" w:rsidP="00B969B1" w14:paraId="577530AA" w14:textId="05FB7D70">
      <w:pPr>
        <w:pStyle w:val="ParaNum"/>
      </w:pPr>
      <w:r>
        <w:t xml:space="preserve">To further clarify the division of responsibilities for </w:t>
      </w:r>
      <w:r w:rsidR="00665311">
        <w:t>compression/</w:t>
      </w:r>
      <w:r w:rsidR="00DA1B01">
        <w:t xml:space="preserve">transcoding </w:t>
      </w:r>
      <w:r>
        <w:t>technology upgrades</w:t>
      </w:r>
      <w:r w:rsidR="00326A94">
        <w:t xml:space="preserve"> (e.g., </w:t>
      </w:r>
      <w:r w:rsidR="00DE5855">
        <w:t>the</w:t>
      </w:r>
      <w:r w:rsidR="00326A94">
        <w:t xml:space="preserve"> installation and associated equipment costs </w:t>
      </w:r>
      <w:r w:rsidR="00DE5855">
        <w:t>for which</w:t>
      </w:r>
      <w:r w:rsidR="00326A94">
        <w:t xml:space="preserve"> MVPD earth station operators</w:t>
      </w:r>
      <w:r w:rsidR="00DE5855">
        <w:t xml:space="preserve"> </w:t>
      </w:r>
      <w:r w:rsidR="00545226">
        <w:t xml:space="preserve">that elect the lump sum </w:t>
      </w:r>
      <w:r w:rsidR="00DE5855">
        <w:t>will be responsible)</w:t>
      </w:r>
      <w:r w:rsidR="00A91680">
        <w:t>—</w:t>
      </w:r>
      <w:r w:rsidR="00FA1440">
        <w:t xml:space="preserve">and because the record </w:t>
      </w:r>
      <w:r w:rsidR="006E225D">
        <w:t xml:space="preserve">reflects vastly different suggested approaches </w:t>
      </w:r>
      <w:r w:rsidR="00A91680">
        <w:t xml:space="preserve">for </w:t>
      </w:r>
      <w:r w:rsidR="00665311">
        <w:t xml:space="preserve">such </w:t>
      </w:r>
      <w:r w:rsidR="00A91680">
        <w:t>technology upgrades</w:t>
      </w:r>
      <w:r w:rsidR="00545226">
        <w:t xml:space="preserve"> in the lump sum</w:t>
      </w:r>
      <w:r w:rsidR="00F14BBC">
        <w:t>—</w:t>
      </w:r>
      <w:r w:rsidR="00B62A1C">
        <w:t xml:space="preserve">we </w:t>
      </w:r>
      <w:r w:rsidR="00D72ACD">
        <w:t>make clear which costs are included in the</w:t>
      </w:r>
      <w:r w:rsidRPr="00581C0D" w:rsidR="00FA1440">
        <w:rPr>
          <w:rFonts w:eastAsia="Calibri"/>
          <w:snapToGrid/>
          <w:kern w:val="0"/>
          <w:szCs w:val="22"/>
          <w:lang w:bidi="en-US"/>
        </w:rPr>
        <w:t xml:space="preserve"> “</w:t>
      </w:r>
      <w:r w:rsidRPr="00FA1440" w:rsidR="00FA1440">
        <w:rPr>
          <w:lang w:bidi="en-US"/>
        </w:rPr>
        <w:t>MVPD Per Site Technology Upgrade Installation Lump Sum Payment</w:t>
      </w:r>
      <w:r w:rsidR="00665311">
        <w:rPr>
          <w:lang w:bidi="en-US"/>
        </w:rPr>
        <w:t>.</w:t>
      </w:r>
      <w:r w:rsidR="00FA1440">
        <w:rPr>
          <w:lang w:bidi="en-US"/>
        </w:rPr>
        <w:t>”</w:t>
      </w:r>
      <w:r w:rsidR="00D72ACD">
        <w:t xml:space="preserve"> </w:t>
      </w:r>
      <w:r w:rsidR="00B62A1C">
        <w:t xml:space="preserve"> </w:t>
      </w:r>
      <w:r w:rsidR="00FB1EA1">
        <w:t xml:space="preserve">We include the </w:t>
      </w:r>
      <w:r w:rsidR="00A66ADE">
        <w:t xml:space="preserve">average, estimated </w:t>
      </w:r>
      <w:r w:rsidR="00FB1EA1">
        <w:t xml:space="preserve">cost of installing </w:t>
      </w:r>
      <w:r w:rsidR="008A3AED">
        <w:t xml:space="preserve">any necessary </w:t>
      </w:r>
      <w:r w:rsidR="00FB1EA1">
        <w:t xml:space="preserve">integrated receivers/decoders and </w:t>
      </w:r>
      <w:r w:rsidR="00DA1B01">
        <w:t xml:space="preserve">transcoders </w:t>
      </w:r>
      <w:r w:rsidR="00603B41">
        <w:t>(including spare</w:t>
      </w:r>
      <w:r w:rsidR="009C1298">
        <w:t xml:space="preserve"> equipment for sudden equipment failure</w:t>
      </w:r>
      <w:r w:rsidR="00603B41">
        <w:t>s)</w:t>
      </w:r>
      <w:r w:rsidR="002E414A">
        <w:t xml:space="preserve"> </w:t>
      </w:r>
      <w:r w:rsidR="00987F1D">
        <w:t xml:space="preserve">per </w:t>
      </w:r>
      <w:r w:rsidR="008A3AED">
        <w:t xml:space="preserve">MVPD earth station </w:t>
      </w:r>
      <w:r w:rsidR="00987F1D">
        <w:t xml:space="preserve">site.  </w:t>
      </w:r>
      <w:r w:rsidR="00583B09">
        <w:t xml:space="preserve">We recognize commenters’ concerns that compression-related technology upgrades </w:t>
      </w:r>
      <w:r w:rsidRPr="00E549AE" w:rsidR="00583B09">
        <w:t xml:space="preserve">do not </w:t>
      </w:r>
      <w:r w:rsidRPr="005224E5" w:rsidR="005224E5">
        <w:t xml:space="preserve">directly </w:t>
      </w:r>
      <w:r w:rsidRPr="00E549AE" w:rsidR="00583B09">
        <w:t>correlate to the number of antennas at an earth station</w:t>
      </w:r>
      <w:r w:rsidR="00583B09">
        <w:t xml:space="preserve"> site, but instead are associated with the number of </w:t>
      </w:r>
      <w:r w:rsidRPr="00DF3490" w:rsidR="00DF3490">
        <w:t xml:space="preserve">satellite </w:t>
      </w:r>
      <w:r w:rsidR="00583B09">
        <w:t>transponders using higher order modulation</w:t>
      </w:r>
      <w:r w:rsidRPr="008974AA" w:rsidR="00583B09">
        <w:t xml:space="preserve"> that are received by </w:t>
      </w:r>
      <w:r w:rsidRPr="008A2C12" w:rsidR="008A2C12">
        <w:t xml:space="preserve">various antennas associated with </w:t>
      </w:r>
      <w:r w:rsidRPr="008974AA" w:rsidR="00583B09">
        <w:t>the earth station</w:t>
      </w:r>
      <w:r w:rsidR="00583B09">
        <w:t xml:space="preserve"> site</w:t>
      </w:r>
      <w:r w:rsidRPr="008974AA" w:rsidR="00583B09">
        <w:t>.</w:t>
      </w:r>
      <w:r>
        <w:rPr>
          <w:vertAlign w:val="superscript"/>
        </w:rPr>
        <w:footnoteReference w:id="111"/>
      </w:r>
      <w:r w:rsidR="00583B09">
        <w:t xml:space="preserve">  Accordingly, rather than calculate installation costs on a per antenna basis, as we proposed in the </w:t>
      </w:r>
      <w:r w:rsidRPr="00FB246C" w:rsidR="00583B09">
        <w:rPr>
          <w:i/>
          <w:iCs/>
        </w:rPr>
        <w:t>Lump Sum Comment Public Notice</w:t>
      </w:r>
      <w:r w:rsidR="00583B09">
        <w:t xml:space="preserve">, </w:t>
      </w:r>
      <w:r w:rsidRPr="00FB246C" w:rsidR="00583B09">
        <w:t>we</w:t>
      </w:r>
      <w:r w:rsidR="00583B09">
        <w:t xml:space="preserve"> have calculated the installation costs on a per-site basis, accounting for the average number of </w:t>
      </w:r>
      <w:r w:rsidR="008877AA">
        <w:t xml:space="preserve">integrated receivers/decoders and </w:t>
      </w:r>
      <w:r w:rsidR="00DA1B01">
        <w:t xml:space="preserve">transcoders </w:t>
      </w:r>
      <w:r w:rsidR="00395DF3">
        <w:t xml:space="preserve">that </w:t>
      </w:r>
      <w:r w:rsidR="004F2EBE">
        <w:t>may</w:t>
      </w:r>
      <w:r w:rsidR="00395DF3">
        <w:t xml:space="preserve"> be necessary at each site (based on the </w:t>
      </w:r>
      <w:r w:rsidR="004F2EBE">
        <w:t xml:space="preserve">average number of </w:t>
      </w:r>
      <w:r w:rsidR="00583B09">
        <w:t>transponders delivering video programming channels that will require upgrades</w:t>
      </w:r>
      <w:r w:rsidR="00395DF3">
        <w:t>)</w:t>
      </w:r>
      <w:r w:rsidR="00583B09">
        <w:t>, to better reflect a typical MVPD earth station transition</w:t>
      </w:r>
      <w:r w:rsidRPr="00034AD8" w:rsidR="00583B09">
        <w:t>.</w:t>
      </w:r>
      <w:r>
        <w:rPr>
          <w:vertAlign w:val="superscript"/>
        </w:rPr>
        <w:footnoteReference w:id="112"/>
      </w:r>
      <w:r w:rsidRPr="005D5607" w:rsidR="00583B09">
        <w:t xml:space="preserve"> </w:t>
      </w:r>
      <w:r w:rsidR="00583B09">
        <w:t xml:space="preserve"> </w:t>
      </w:r>
      <w:r w:rsidR="001C48A5">
        <w:t>We also</w:t>
      </w:r>
      <w:r w:rsidR="00FB1EA1">
        <w:t xml:space="preserve"> </w:t>
      </w:r>
      <w:r w:rsidR="000F4014">
        <w:t>include</w:t>
      </w:r>
      <w:r w:rsidR="00FB1EA1">
        <w:t xml:space="preserve"> the cost of any necessary equipment for installation, such as </w:t>
      </w:r>
      <w:r w:rsidR="00AE4589">
        <w:t xml:space="preserve">line cards, </w:t>
      </w:r>
      <w:r w:rsidR="00FB1EA1">
        <w:t>equipment racks, cables, and related hardware</w:t>
      </w:r>
      <w:r w:rsidR="00A66ADE">
        <w:t xml:space="preserve">, multiplied by the probability that </w:t>
      </w:r>
      <w:r w:rsidR="008C57C3">
        <w:t>such equipment will be needed</w:t>
      </w:r>
      <w:r w:rsidR="00AA64A1">
        <w:t xml:space="preserve"> in the </w:t>
      </w:r>
      <w:r w:rsidR="007975AA">
        <w:t xml:space="preserve">integrated receiver/decoder and </w:t>
      </w:r>
      <w:r w:rsidR="00B05DF0">
        <w:t xml:space="preserve">transcoder </w:t>
      </w:r>
      <w:r w:rsidR="00AA64A1">
        <w:t>upgrade and replacement process</w:t>
      </w:r>
      <w:r w:rsidR="005458E0">
        <w:t xml:space="preserve"> for</w:t>
      </w:r>
      <w:r w:rsidR="00871048">
        <w:t xml:space="preserve"> each site</w:t>
      </w:r>
      <w:r w:rsidR="00FB1EA1">
        <w:t>.</w:t>
      </w:r>
      <w:r>
        <w:rPr>
          <w:rStyle w:val="FootnoteReference"/>
        </w:rPr>
        <w:footnoteReference w:id="113"/>
      </w:r>
      <w:r w:rsidR="00A66ADE">
        <w:t xml:space="preserve"> </w:t>
      </w:r>
      <w:r w:rsidRPr="005D5607" w:rsidR="005D5607">
        <w:t xml:space="preserve"> </w:t>
      </w:r>
    </w:p>
    <w:p w:rsidR="00D92B1E" w:rsidP="00B969B1" w14:paraId="246D1E8D" w14:textId="3DE08432">
      <w:pPr>
        <w:pStyle w:val="ParaNum"/>
      </w:pPr>
      <w:r>
        <w:t xml:space="preserve">We </w:t>
      </w:r>
      <w:r w:rsidR="00D13F4E">
        <w:t>i</w:t>
      </w:r>
      <w:r w:rsidRPr="008E7E04" w:rsidR="008E7E04">
        <w:t>nclud</w:t>
      </w:r>
      <w:r w:rsidR="00D13F4E">
        <w:t>e</w:t>
      </w:r>
      <w:r w:rsidRPr="008E7E04" w:rsidR="008E7E04">
        <w:t xml:space="preserve"> the estimated installation costs for technology upgrades in the lump sum amounts for </w:t>
      </w:r>
      <w:r w:rsidRPr="007320B6" w:rsidR="008E7E04">
        <w:rPr>
          <w:i/>
          <w:iCs/>
        </w:rPr>
        <w:t>all</w:t>
      </w:r>
      <w:r w:rsidRPr="008E7E04" w:rsidR="008E7E04">
        <w:t xml:space="preserve"> MVPD incumbent earth station locations</w:t>
      </w:r>
      <w:r w:rsidR="00E5122A">
        <w:t xml:space="preserve"> </w:t>
      </w:r>
      <w:r w:rsidR="00CB4FB7">
        <w:t xml:space="preserve">because the record </w:t>
      </w:r>
      <w:r w:rsidR="006C78E3">
        <w:t xml:space="preserve">clearly </w:t>
      </w:r>
      <w:r w:rsidR="00CB4FB7">
        <w:t xml:space="preserve">supports that </w:t>
      </w:r>
      <w:r w:rsidR="006C78E3">
        <w:t xml:space="preserve">the average </w:t>
      </w:r>
      <w:r w:rsidR="00DA4BDC">
        <w:t xml:space="preserve">MVPD </w:t>
      </w:r>
      <w:r w:rsidR="006C78E3">
        <w:t xml:space="preserve">earth station </w:t>
      </w:r>
      <w:r w:rsidR="00DA4BDC">
        <w:t>site</w:t>
      </w:r>
      <w:r w:rsidR="00C20EED">
        <w:t xml:space="preserve"> </w:t>
      </w:r>
      <w:r w:rsidR="00EF7190">
        <w:t>will require</w:t>
      </w:r>
      <w:r w:rsidR="00DA4BDC">
        <w:t xml:space="preserve"> </w:t>
      </w:r>
      <w:r w:rsidR="00B429F7">
        <w:t xml:space="preserve">upgrade of </w:t>
      </w:r>
      <w:r w:rsidRPr="007C2002" w:rsidR="007C2002">
        <w:t xml:space="preserve">at least </w:t>
      </w:r>
      <w:r w:rsidR="00B429F7">
        <w:t>some of its video programming channels.</w:t>
      </w:r>
      <w:r>
        <w:rPr>
          <w:rStyle w:val="FootnoteReference"/>
        </w:rPr>
        <w:footnoteReference w:id="114"/>
      </w:r>
      <w:r w:rsidR="00EF7190">
        <w:t xml:space="preserve"> </w:t>
      </w:r>
      <w:r w:rsidR="001136BB">
        <w:t xml:space="preserve"> </w:t>
      </w:r>
      <w:r w:rsidR="00C716BC">
        <w:t xml:space="preserve">Accordingly, we </w:t>
      </w:r>
      <w:r w:rsidR="00AB473F">
        <w:t>determine that</w:t>
      </w:r>
      <w:r w:rsidR="00C716BC">
        <w:t xml:space="preserve"> </w:t>
      </w:r>
      <w:r w:rsidR="00AB473F">
        <w:t xml:space="preserve">installation costs </w:t>
      </w:r>
      <w:r w:rsidR="005C3A4F">
        <w:t>for those technology upgrades constitute part of the “average, estimated costs”</w:t>
      </w:r>
      <w:r>
        <w:rPr>
          <w:rStyle w:val="FootnoteReference"/>
        </w:rPr>
        <w:footnoteReference w:id="115"/>
      </w:r>
      <w:r w:rsidR="005C3A4F">
        <w:t xml:space="preserve"> of relocating all of an MVPD earth station operator’s incumbent earth stations.  </w:t>
      </w:r>
      <w:r w:rsidR="004D6AAE">
        <w:t xml:space="preserve">Because </w:t>
      </w:r>
      <w:r w:rsidR="00697400">
        <w:t>the average MVPD earth station site would</w:t>
      </w:r>
      <w:r w:rsidR="001317ED">
        <w:t xml:space="preserve"> incur installation costs </w:t>
      </w:r>
      <w:r w:rsidR="00F9056E">
        <w:t xml:space="preserve">for </w:t>
      </w:r>
      <w:r w:rsidR="00DB7DA1">
        <w:t xml:space="preserve">compression </w:t>
      </w:r>
      <w:r w:rsidR="00AF657E">
        <w:t xml:space="preserve">technology upgrades, we </w:t>
      </w:r>
      <w:r w:rsidR="0001008D">
        <w:t xml:space="preserve">also </w:t>
      </w:r>
      <w:r w:rsidR="00AF657E">
        <w:t xml:space="preserve">determine that </w:t>
      </w:r>
      <w:r w:rsidR="00A97EA4">
        <w:t xml:space="preserve">it is unnecessary to </w:t>
      </w:r>
      <w:r w:rsidR="008645D4">
        <w:t xml:space="preserve">limit </w:t>
      </w:r>
      <w:r w:rsidR="00B73852">
        <w:t xml:space="preserve">the distribution of installation costs only to those MVPDs that </w:t>
      </w:r>
      <w:r w:rsidR="0080273C">
        <w:t>can demonstrate</w:t>
      </w:r>
      <w:r w:rsidR="00A25EB7">
        <w:t xml:space="preserve"> that technology upgrades are necessary to their transition, as we had initially proposed in the </w:t>
      </w:r>
      <w:r w:rsidRPr="007320B6" w:rsidR="00A25EB7">
        <w:rPr>
          <w:i/>
          <w:iCs/>
        </w:rPr>
        <w:t>Lump Sum Comment Public Notice.</w:t>
      </w:r>
      <w:r>
        <w:rPr>
          <w:rStyle w:val="FootnoteReference"/>
        </w:rPr>
        <w:footnoteReference w:id="116"/>
      </w:r>
      <w:r w:rsidRPr="007B4C8D" w:rsidR="00A25EB7">
        <w:t xml:space="preserve">  </w:t>
      </w:r>
      <w:r w:rsidR="00270260">
        <w:t>B</w:t>
      </w:r>
      <w:r w:rsidR="00AF15DA">
        <w:t xml:space="preserve">ecause </w:t>
      </w:r>
      <w:r w:rsidR="00A816E8">
        <w:t xml:space="preserve">satellite operators are responsible for purchasing technology upgrade equipment and </w:t>
      </w:r>
      <w:r w:rsidR="00D2721F">
        <w:t xml:space="preserve">because </w:t>
      </w:r>
      <w:r w:rsidR="00D30264">
        <w:t xml:space="preserve">the average MVPD incumbent earth station </w:t>
      </w:r>
      <w:r w:rsidRPr="00627C1F" w:rsidR="00627C1F">
        <w:t xml:space="preserve">transitioning to the upper 200 megahertz of the C-band </w:t>
      </w:r>
      <w:r w:rsidR="00D30264">
        <w:t xml:space="preserve">will incur </w:t>
      </w:r>
      <w:r w:rsidR="00A816E8">
        <w:t>installation costs for such equipment</w:t>
      </w:r>
      <w:r w:rsidR="0006390E">
        <w:t xml:space="preserve">, verifying the need for a technology upgrade as part of an MVPD operator’s lump sum </w:t>
      </w:r>
      <w:r w:rsidR="00F92E74">
        <w:t xml:space="preserve">is </w:t>
      </w:r>
      <w:r w:rsidR="00016F56">
        <w:t>un</w:t>
      </w:r>
      <w:r w:rsidR="0006390E">
        <w:t>necessary</w:t>
      </w:r>
      <w:r w:rsidR="00A816E8">
        <w:t xml:space="preserve">.  </w:t>
      </w:r>
      <w:r w:rsidR="00F92E74">
        <w:t>As noted, w</w:t>
      </w:r>
      <w:r w:rsidR="00603FAC">
        <w:t xml:space="preserve">e believe that including the </w:t>
      </w:r>
      <w:r w:rsidR="00966D8F">
        <w:t xml:space="preserve">average, estimated </w:t>
      </w:r>
      <w:r w:rsidR="00603FAC">
        <w:t xml:space="preserve">costs </w:t>
      </w:r>
      <w:r w:rsidR="00966D8F">
        <w:t>to install</w:t>
      </w:r>
      <w:r w:rsidR="005A6379">
        <w:t xml:space="preserve"> technology upgrade equipment</w:t>
      </w:r>
      <w:r w:rsidR="00603FAC">
        <w:t xml:space="preserve"> in the lump sum amount for all MVPD incumbent earth stations best approximates the cost of an </w:t>
      </w:r>
      <w:r w:rsidR="000822E4">
        <w:t xml:space="preserve">average </w:t>
      </w:r>
      <w:r w:rsidR="00603FAC">
        <w:t>MV</w:t>
      </w:r>
      <w:r w:rsidR="0361353F">
        <w:t>P</w:t>
      </w:r>
      <w:r w:rsidR="00603FAC">
        <w:t>D incumbent earth station transition, without placing the burden of proving the need for technology upgrades on the MVPD operator</w:t>
      </w:r>
      <w:r w:rsidR="0006237E">
        <w:t>.</w:t>
      </w:r>
      <w:r w:rsidR="00603FAC">
        <w:t xml:space="preserve">  </w:t>
      </w:r>
      <w:r w:rsidR="00741781">
        <w:t>This approach</w:t>
      </w:r>
      <w:r w:rsidR="00D74B8C">
        <w:t xml:space="preserve"> will </w:t>
      </w:r>
      <w:r w:rsidR="00741781">
        <w:t>allow</w:t>
      </w:r>
      <w:r>
        <w:t xml:space="preserve"> MVPD incumbent earth station operators to determine whether the lump sum amount is sufficient for their own transition needs, without the uncertainty created by a post-election verification process.</w:t>
      </w:r>
      <w:r>
        <w:rPr>
          <w:vertAlign w:val="superscript"/>
        </w:rPr>
        <w:footnoteReference w:id="117"/>
      </w:r>
      <w:r>
        <w:t xml:space="preserve">  </w:t>
      </w:r>
      <w:r w:rsidR="00AD2B73">
        <w:t>We also</w:t>
      </w:r>
      <w:r w:rsidR="00367B7A">
        <w:t xml:space="preserve"> note that our approach</w:t>
      </w:r>
      <w:r w:rsidR="002242B8">
        <w:t>, which does not include a verification process for the installation costs of technology upgrades,</w:t>
      </w:r>
      <w:r w:rsidR="00367B7A">
        <w:t xml:space="preserve"> </w:t>
      </w:r>
      <w:r w:rsidR="0099645E">
        <w:t>addresses</w:t>
      </w:r>
      <w:r w:rsidRPr="008E7E04" w:rsidR="00367B7A">
        <w:t xml:space="preserve"> commenters’ concerns </w:t>
      </w:r>
      <w:r w:rsidR="00AD2B73">
        <w:t>specific to the verification requirement proposed</w:t>
      </w:r>
      <w:r w:rsidRPr="008E7E04" w:rsidR="00367B7A">
        <w:t xml:space="preserve"> in the </w:t>
      </w:r>
      <w:r w:rsidRPr="007320B6" w:rsidR="00367B7A">
        <w:rPr>
          <w:i/>
          <w:iCs/>
        </w:rPr>
        <w:t>Lump Sum Comment Public Notice</w:t>
      </w:r>
      <w:r w:rsidR="0018026E">
        <w:t>.</w:t>
      </w:r>
      <w:r>
        <w:rPr>
          <w:rStyle w:val="FootnoteReference"/>
        </w:rPr>
        <w:footnoteReference w:id="118"/>
      </w:r>
      <w:r w:rsidR="00E459D8">
        <w:t xml:space="preserve">  </w:t>
      </w:r>
      <w:r w:rsidR="0018026E">
        <w:t xml:space="preserve">  </w:t>
      </w:r>
    </w:p>
    <w:p w:rsidR="00611227" w:rsidP="00B969B1" w14:paraId="18C35BE0" w14:textId="307D27E4">
      <w:pPr>
        <w:pStyle w:val="ParaNum"/>
      </w:pPr>
      <w:r>
        <w:t xml:space="preserve">Finally, </w:t>
      </w:r>
      <w:r w:rsidR="00C40B0E">
        <w:t xml:space="preserve">we </w:t>
      </w:r>
      <w:r w:rsidR="004549E4">
        <w:t xml:space="preserve">have removed the proposed “Program Source Uplink Technology Upgrades” category, including associated installation costs, from the MVPD lump sum.  Based on the record and our reasoned judgment, we determine that the typical MVPD earth station transition will incur </w:t>
      </w:r>
      <w:r w:rsidR="005C3823">
        <w:t xml:space="preserve">installation </w:t>
      </w:r>
      <w:r w:rsidR="005C3823">
        <w:t xml:space="preserve">costs for </w:t>
      </w:r>
      <w:r w:rsidR="004549E4">
        <w:t xml:space="preserve">downlink </w:t>
      </w:r>
      <w:r w:rsidR="005C3823">
        <w:t xml:space="preserve">technology </w:t>
      </w:r>
      <w:r w:rsidR="004549E4">
        <w:t>upgrade</w:t>
      </w:r>
      <w:r w:rsidR="005C3823">
        <w:t xml:space="preserve">s (i.e., </w:t>
      </w:r>
      <w:r w:rsidR="006F178C">
        <w:t>integrated receivers/decoder</w:t>
      </w:r>
      <w:r w:rsidR="005C3823">
        <w:t>s and transcoders)</w:t>
      </w:r>
      <w:r w:rsidR="004549E4">
        <w:t xml:space="preserve"> rather than uplink upgrade costs</w:t>
      </w:r>
      <w:r w:rsidR="005C3823">
        <w:t xml:space="preserve"> (i.e., </w:t>
      </w:r>
      <w:r w:rsidR="00212AE3">
        <w:t>encoder and modulator equipment)</w:t>
      </w:r>
      <w:r w:rsidR="004549E4">
        <w:t xml:space="preserve">.  </w:t>
      </w:r>
      <w:bookmarkStart w:id="89" w:name="_Hlk43728135"/>
      <w:r w:rsidRPr="00DD04FA" w:rsidR="00DD04FA">
        <w:t xml:space="preserve">Because the installation costs for uplink technology upgrades are not typical of an MVPD earth station transition and are more likely to be costs incurred at a programmer’s uplink site, we do not include those costs in the MVPD lump sum amount.  We would expect satellite operators or programmers (as surrogates of satellite operators, where appropriate) to purchase and install any necessary upgrades at programmer’s uplink sites. </w:t>
      </w:r>
    </w:p>
    <w:p w:rsidR="008355C5" w:rsidP="00544EB2" w14:paraId="55D2FE2C" w14:textId="77777777">
      <w:pPr>
        <w:pStyle w:val="Heading2"/>
      </w:pPr>
      <w:bookmarkStart w:id="90" w:name="_Toc45030698"/>
      <w:bookmarkStart w:id="91" w:name="_Toc45031208"/>
      <w:bookmarkStart w:id="92" w:name="_Toc45031300"/>
      <w:bookmarkStart w:id="93" w:name="_Toc45031355"/>
      <w:bookmarkStart w:id="94" w:name="_Toc45031408"/>
      <w:bookmarkStart w:id="95" w:name="_Toc45117420"/>
      <w:bookmarkStart w:id="96" w:name="_Toc46160564"/>
      <w:bookmarkStart w:id="97" w:name="_Toc46503221"/>
      <w:bookmarkStart w:id="98" w:name="_Toc46744210"/>
      <w:bookmarkStart w:id="99" w:name="_Toc46935650"/>
      <w:bookmarkEnd w:id="89"/>
      <w:r>
        <w:t>Updates to the Lump Sum Categories</w:t>
      </w:r>
      <w:bookmarkEnd w:id="90"/>
      <w:bookmarkEnd w:id="91"/>
      <w:bookmarkEnd w:id="92"/>
      <w:bookmarkEnd w:id="93"/>
      <w:bookmarkEnd w:id="94"/>
      <w:bookmarkEnd w:id="95"/>
      <w:bookmarkEnd w:id="96"/>
      <w:bookmarkEnd w:id="97"/>
      <w:bookmarkEnd w:id="98"/>
      <w:bookmarkEnd w:id="99"/>
    </w:p>
    <w:p w:rsidR="003D5548" w:rsidRPr="00FE0335" w:rsidP="00CB4667" w14:paraId="2F69D912" w14:textId="2CCDE33F">
      <w:pPr>
        <w:pStyle w:val="ParaNum"/>
        <w:rPr>
          <w:sz w:val="24"/>
          <w:szCs w:val="24"/>
        </w:rPr>
      </w:pPr>
      <w:r>
        <w:t>We make further updates to the lump sum categories</w:t>
      </w:r>
      <w:r w:rsidR="00B6679B">
        <w:t>, which are included in the Lump Sum Table,</w:t>
      </w:r>
      <w:r>
        <w:t xml:space="preserve"> to address additional information and arguments that commenters raise regarding the expected transition process.  </w:t>
      </w:r>
      <w:r w:rsidR="004640BA">
        <w:t>W</w:t>
      </w:r>
      <w:r>
        <w:t xml:space="preserve">e </w:t>
      </w:r>
      <w:r w:rsidR="31F6CF29">
        <w:t>clarify</w:t>
      </w:r>
      <w:r w:rsidR="004640BA">
        <w:t xml:space="preserve"> </w:t>
      </w:r>
      <w:r>
        <w:t xml:space="preserve">that </w:t>
      </w:r>
      <w:r w:rsidR="00E167AB">
        <w:t xml:space="preserve">the </w:t>
      </w:r>
      <w:r>
        <w:t xml:space="preserve">lump sum base </w:t>
      </w:r>
      <w:r w:rsidR="006201A5">
        <w:t xml:space="preserve">payments </w:t>
      </w:r>
      <w:r>
        <w:t xml:space="preserve">in the </w:t>
      </w:r>
      <w:r w:rsidR="006201A5">
        <w:t>Lump Sum Table</w:t>
      </w:r>
      <w:r>
        <w:t xml:space="preserve"> </w:t>
      </w:r>
      <w:r w:rsidR="00E167AB">
        <w:t>refer to</w:t>
      </w:r>
      <w:r>
        <w:t xml:space="preserve"> </w:t>
      </w:r>
      <w:r w:rsidR="00E167AB">
        <w:t xml:space="preserve">each </w:t>
      </w:r>
      <w:r w:rsidR="00FB37A4">
        <w:t xml:space="preserve">operational and </w:t>
      </w:r>
      <w:r>
        <w:t>registered antenna or dish</w:t>
      </w:r>
      <w:r w:rsidR="004640BA">
        <w:t xml:space="preserve"> at </w:t>
      </w:r>
      <w:r w:rsidR="00E167AB">
        <w:t>an</w:t>
      </w:r>
      <w:r w:rsidR="004640BA">
        <w:t xml:space="preserve"> </w:t>
      </w:r>
      <w:r w:rsidR="00B93F2D">
        <w:t>incumbent earth station</w:t>
      </w:r>
      <w:r w:rsidR="00863BBE">
        <w:t xml:space="preserve"> site (i.e., </w:t>
      </w:r>
      <w:r w:rsidR="00E167AB">
        <w:t xml:space="preserve">each </w:t>
      </w:r>
      <w:r w:rsidR="00A630B2">
        <w:t xml:space="preserve">operational and </w:t>
      </w:r>
      <w:r w:rsidR="00E167AB">
        <w:t xml:space="preserve">registered antenna </w:t>
      </w:r>
      <w:r w:rsidRPr="00C622CB" w:rsidR="00C622CB">
        <w:t xml:space="preserve">or dish </w:t>
      </w:r>
      <w:r w:rsidR="00852DA9">
        <w:t>included in an earth station IBFS</w:t>
      </w:r>
      <w:r w:rsidR="00863BBE">
        <w:t xml:space="preserve"> registration</w:t>
      </w:r>
      <w:r w:rsidR="00523E48">
        <w:t xml:space="preserve">, consistent with the requirements in the </w:t>
      </w:r>
      <w:r w:rsidR="00523E48">
        <w:rPr>
          <w:i/>
          <w:iCs/>
        </w:rPr>
        <w:t>3.7 GHz Report and Order</w:t>
      </w:r>
      <w:r w:rsidRPr="00750B82" w:rsidR="00750B82">
        <w:t>), with the above-described exception for MVPD t</w:t>
      </w:r>
      <w:r w:rsidRPr="00750B82" w:rsidR="00750B82">
        <w:rPr>
          <w:lang w:bidi="en-US"/>
        </w:rPr>
        <w:t>echnology upgrade installation lump sum claims (which are available on a per-site basis)</w:t>
      </w:r>
      <w:r>
        <w:t>.</w:t>
      </w:r>
      <w:r>
        <w:rPr>
          <w:rStyle w:val="FootnoteReference"/>
        </w:rPr>
        <w:footnoteReference w:id="119"/>
      </w:r>
      <w:r>
        <w:t xml:space="preserve">  </w:t>
      </w:r>
      <w:r w:rsidR="00B93F2D">
        <w:t xml:space="preserve">Accordingly, </w:t>
      </w:r>
      <w:r w:rsidR="00A01131">
        <w:t>an incumbent earth station operator’s lump sum payment</w:t>
      </w:r>
      <w:r w:rsidR="00C632B7">
        <w:t xml:space="preserve">s </w:t>
      </w:r>
      <w:r w:rsidR="00987761">
        <w:t xml:space="preserve">for each </w:t>
      </w:r>
      <w:r w:rsidR="00A4470B">
        <w:t xml:space="preserve">incumbent earth station site </w:t>
      </w:r>
      <w:r w:rsidR="00B93F2D">
        <w:t>will be</w:t>
      </w:r>
      <w:r w:rsidR="00554D72">
        <w:t xml:space="preserve"> </w:t>
      </w:r>
      <w:r w:rsidR="00C71B6E">
        <w:t xml:space="preserve">calculated </w:t>
      </w:r>
      <w:r w:rsidR="00A92CB6">
        <w:t xml:space="preserve">by </w:t>
      </w:r>
      <w:r w:rsidR="00554D72">
        <w:t xml:space="preserve">the amount listed in the </w:t>
      </w:r>
      <w:r w:rsidR="00C03FDA">
        <w:t xml:space="preserve">Lump Sum Table </w:t>
      </w:r>
      <w:r w:rsidR="00F41B80">
        <w:t xml:space="preserve">for the relevant antenna </w:t>
      </w:r>
      <w:r w:rsidR="00554D72">
        <w:t xml:space="preserve">multiplied by the number </w:t>
      </w:r>
      <w:r w:rsidR="007701DE">
        <w:t>and type</w:t>
      </w:r>
      <w:r w:rsidR="00554D72">
        <w:t xml:space="preserve"> of antennas </w:t>
      </w:r>
      <w:r w:rsidRPr="005D2CEA" w:rsidR="005D2CEA">
        <w:t xml:space="preserve">or dishes </w:t>
      </w:r>
      <w:r w:rsidR="00E72333">
        <w:t xml:space="preserve">properly </w:t>
      </w:r>
      <w:r w:rsidR="00DA2462">
        <w:t>included in that</w:t>
      </w:r>
      <w:r w:rsidR="00554D72">
        <w:t xml:space="preserve"> incumbent earth station</w:t>
      </w:r>
      <w:r w:rsidR="005551CA">
        <w:t xml:space="preserve"> site</w:t>
      </w:r>
      <w:r w:rsidR="00DA2462">
        <w:t>’s registration</w:t>
      </w:r>
      <w:r w:rsidR="008D5EE2">
        <w:t xml:space="preserve"> (and for MVPDs, will include the per-site technology upgrade </w:t>
      </w:r>
      <w:r w:rsidR="002F2E52">
        <w:t>installation</w:t>
      </w:r>
      <w:r w:rsidR="008D5EE2">
        <w:t xml:space="preserve"> amount)</w:t>
      </w:r>
      <w:r w:rsidR="00554D72">
        <w:t>.</w:t>
      </w:r>
      <w:r>
        <w:rPr>
          <w:rStyle w:val="FootnoteReference"/>
        </w:rPr>
        <w:footnoteReference w:id="120"/>
      </w:r>
      <w:r w:rsidR="00554D72">
        <w:t xml:space="preserve">  </w:t>
      </w:r>
      <w:r>
        <w:t xml:space="preserve">For </w:t>
      </w:r>
      <w:r>
        <w:t xml:space="preserve">example, if an incumbent earth station </w:t>
      </w:r>
      <w:r w:rsidR="00F41B80">
        <w:t xml:space="preserve">registration </w:t>
      </w:r>
      <w:r>
        <w:t>has two registered antennas</w:t>
      </w:r>
      <w:r>
        <w:rPr>
          <w:lang w:bidi="en-US"/>
        </w:rPr>
        <w:t xml:space="preserve"> that are “r</w:t>
      </w:r>
      <w:r w:rsidRPr="009D2C0D">
        <w:rPr>
          <w:lang w:bidi="en-US"/>
        </w:rPr>
        <w:t xml:space="preserve">eceive </w:t>
      </w:r>
      <w:r>
        <w:rPr>
          <w:lang w:bidi="en-US"/>
        </w:rPr>
        <w:t>o</w:t>
      </w:r>
      <w:r w:rsidRPr="009D2C0D">
        <w:rPr>
          <w:lang w:bidi="en-US"/>
        </w:rPr>
        <w:t xml:space="preserve">nly ES </w:t>
      </w:r>
      <w:r>
        <w:rPr>
          <w:lang w:bidi="en-US"/>
        </w:rPr>
        <w:t>s</w:t>
      </w:r>
      <w:r w:rsidRPr="009D2C0D">
        <w:rPr>
          <w:lang w:bidi="en-US"/>
        </w:rPr>
        <w:t>ingle-feed</w:t>
      </w:r>
      <w:r>
        <w:t xml:space="preserve">,” an incumbent earth station operator would be eligible to receive </w:t>
      </w:r>
      <w:r w:rsidRPr="00577916" w:rsidR="00577916">
        <w:t xml:space="preserve">the lump sum listed in the </w:t>
      </w:r>
      <w:r w:rsidR="008A50E2">
        <w:t>Lump Sum T</w:t>
      </w:r>
      <w:r w:rsidRPr="00577916" w:rsidR="008A50E2">
        <w:t xml:space="preserve">able </w:t>
      </w:r>
      <w:r w:rsidRPr="00577916" w:rsidR="00577916">
        <w:t>for</w:t>
      </w:r>
      <w:r w:rsidR="00577916">
        <w:t xml:space="preserve"> both registered antennas associated with</w:t>
      </w:r>
      <w:r w:rsidRPr="00577916" w:rsidR="00577916">
        <w:t xml:space="preserve"> that particular earth station</w:t>
      </w:r>
      <w:r w:rsidR="00E2240A">
        <w:t xml:space="preserve"> site</w:t>
      </w:r>
      <w:r w:rsidR="0037273C">
        <w:t xml:space="preserve"> (or </w:t>
      </w:r>
      <w:r w:rsidR="00E2240A">
        <w:t>registration</w:t>
      </w:r>
      <w:r w:rsidR="0037273C">
        <w:t>)</w:t>
      </w:r>
      <w:r w:rsidRPr="00EF32DA" w:rsidR="00EF32DA">
        <w:t xml:space="preserve">, although only one technology </w:t>
      </w:r>
      <w:r w:rsidRPr="00D05A8C" w:rsidR="00EF32DA">
        <w:t>upgr</w:t>
      </w:r>
      <w:r w:rsidRPr="00581C0D" w:rsidR="00EF32DA">
        <w:t>ade</w:t>
      </w:r>
      <w:r w:rsidR="00625C92">
        <w:t xml:space="preserve"> installation payment (if the earth station operator is an MVPD)</w:t>
      </w:r>
      <w:r w:rsidRPr="00D05A8C" w:rsidR="00E2240A">
        <w:t>.</w:t>
      </w:r>
      <w:r>
        <w:t xml:space="preserve"> </w:t>
      </w:r>
      <w:r w:rsidRPr="05C4D809" w:rsidR="000251B8">
        <w:rPr>
          <w:sz w:val="24"/>
          <w:szCs w:val="24"/>
        </w:rPr>
        <w:t xml:space="preserve"> </w:t>
      </w:r>
    </w:p>
    <w:p w:rsidR="00CB7A62" w:rsidP="00CB4667" w14:paraId="0C15A848" w14:textId="78920ABB">
      <w:pPr>
        <w:pStyle w:val="ParaNum"/>
      </w:pPr>
      <w:r>
        <w:t xml:space="preserve">We decline to create </w:t>
      </w:r>
      <w:r w:rsidR="00AD4619">
        <w:t xml:space="preserve">additional lump sum categories for </w:t>
      </w:r>
      <w:r w:rsidR="000E638A">
        <w:t xml:space="preserve">incumbent </w:t>
      </w:r>
      <w:r w:rsidR="00AD4619">
        <w:t>MVPD</w:t>
      </w:r>
      <w:r w:rsidR="0071687F">
        <w:t xml:space="preserve"> earth stations </w:t>
      </w:r>
      <w:r w:rsidR="00AE4DCA">
        <w:t xml:space="preserve">for the base amounts, </w:t>
      </w:r>
      <w:r w:rsidR="0071687F">
        <w:t>as some commenters</w:t>
      </w:r>
      <w:r w:rsidR="000E638A">
        <w:t xml:space="preserve"> request</w:t>
      </w:r>
      <w:r w:rsidR="0071687F">
        <w:t>.</w:t>
      </w:r>
      <w:r>
        <w:rPr>
          <w:rStyle w:val="FootnoteReference"/>
        </w:rPr>
        <w:footnoteReference w:id="121"/>
      </w:r>
      <w:r w:rsidR="0071687F">
        <w:t xml:space="preserve">  </w:t>
      </w:r>
      <w:r w:rsidRPr="00701647" w:rsidR="00701647">
        <w:t xml:space="preserve">We believe that our approach for MVPDs </w:t>
      </w:r>
      <w:r w:rsidR="008F5CC2">
        <w:t>addresses concerns that MVPD earth station sites incur higher costs than non-MVPD sites</w:t>
      </w:r>
      <w:r w:rsidRPr="009D2224" w:rsidR="009D2224">
        <w:t xml:space="preserve"> while staying within the requirements established in the </w:t>
      </w:r>
      <w:r w:rsidR="00B61FFD">
        <w:rPr>
          <w:i/>
          <w:iCs/>
        </w:rPr>
        <w:t xml:space="preserve">3.7 GHz Report and </w:t>
      </w:r>
      <w:r w:rsidRPr="00581C0D" w:rsidR="009D2224">
        <w:rPr>
          <w:i/>
          <w:iCs/>
        </w:rPr>
        <w:t>O</w:t>
      </w:r>
      <w:r w:rsidRPr="009D2224" w:rsidR="009D2224">
        <w:rPr>
          <w:i/>
          <w:iCs/>
        </w:rPr>
        <w:t>rder</w:t>
      </w:r>
      <w:r w:rsidR="008F5CC2">
        <w:t>.  First, our</w:t>
      </w:r>
      <w:r w:rsidR="00E52634">
        <w:t xml:space="preserve"> </w:t>
      </w:r>
      <w:r>
        <w:t xml:space="preserve">inclusion of </w:t>
      </w:r>
      <w:r w:rsidR="00974AF4">
        <w:t xml:space="preserve">the installation costs </w:t>
      </w:r>
      <w:r w:rsidR="00E811E7">
        <w:t xml:space="preserve">of </w:t>
      </w:r>
      <w:r w:rsidR="006862D0">
        <w:t>technology upgrade</w:t>
      </w:r>
      <w:r>
        <w:t>s</w:t>
      </w:r>
      <w:r w:rsidR="00E811E7">
        <w:t xml:space="preserve"> </w:t>
      </w:r>
      <w:r>
        <w:t xml:space="preserve">for MVPDs </w:t>
      </w:r>
      <w:r w:rsidR="008F5CC2">
        <w:t xml:space="preserve">addresses the increased costs they are likely to incur for </w:t>
      </w:r>
      <w:r w:rsidR="00A404CA">
        <w:t>installing</w:t>
      </w:r>
      <w:r w:rsidR="008F5CC2">
        <w:t xml:space="preserve"> compression and modulation</w:t>
      </w:r>
      <w:r w:rsidR="00A404CA">
        <w:t xml:space="preserve"> equipment</w:t>
      </w:r>
      <w:r w:rsidR="008F5CC2">
        <w:t>.  Second</w:t>
      </w:r>
      <w:r>
        <w:t>,</w:t>
      </w:r>
      <w:r w:rsidR="00B369E1">
        <w:t xml:space="preserve"> our approach that calculates the lump sum base amounts on a per antenna approach, rather than </w:t>
      </w:r>
      <w:r w:rsidR="009B4017">
        <w:t>per</w:t>
      </w:r>
      <w:r w:rsidR="00B369E1">
        <w:t xml:space="preserve"> site without </w:t>
      </w:r>
      <w:r w:rsidR="00A23823">
        <w:t>considering the</w:t>
      </w:r>
      <w:r w:rsidR="00B369E1">
        <w:t xml:space="preserve"> number of antennas</w:t>
      </w:r>
      <w:r w:rsidR="00A23823">
        <w:t xml:space="preserve"> at each site</w:t>
      </w:r>
      <w:r w:rsidR="00B369E1">
        <w:t xml:space="preserve">, </w:t>
      </w:r>
      <w:r w:rsidR="00B245AE">
        <w:t xml:space="preserve">addresses MVPD operators’ concerns that they typically </w:t>
      </w:r>
      <w:r w:rsidR="00BF602F">
        <w:t xml:space="preserve">incur higher costs because they </w:t>
      </w:r>
      <w:r w:rsidR="00B245AE">
        <w:t xml:space="preserve">have more antennas than non-MVPD operators.  </w:t>
      </w:r>
      <w:r w:rsidR="00F153E3">
        <w:t>MVPD operators’ lump sum amounts will reflect the number of antennas at each incumbent earth station site, which more accurately approximates their average estimated transition costs tha</w:t>
      </w:r>
      <w:r w:rsidR="00DA01C1">
        <w:t>n</w:t>
      </w:r>
      <w:r w:rsidR="00F153E3">
        <w:t xml:space="preserve"> a per site approach.</w:t>
      </w:r>
      <w:r w:rsidR="00E94C70">
        <w:t xml:space="preserve">  </w:t>
      </w:r>
    </w:p>
    <w:p w:rsidR="00764009" w:rsidP="00D654CE" w14:paraId="44F731E0" w14:textId="504D77D6">
      <w:pPr>
        <w:pStyle w:val="ParaNum"/>
      </w:pPr>
      <w:r>
        <w:t xml:space="preserve">In light of </w:t>
      </w:r>
      <w:r w:rsidR="00563FA6">
        <w:t>concer</w:t>
      </w:r>
      <w:r w:rsidR="00B6443F">
        <w:t>n</w:t>
      </w:r>
      <w:r w:rsidR="00563FA6">
        <w:t>s</w:t>
      </w:r>
      <w:r>
        <w:t xml:space="preserve"> that MVPDs may not know which </w:t>
      </w:r>
      <w:r w:rsidR="00407295">
        <w:t xml:space="preserve">lump sum base </w:t>
      </w:r>
      <w:r>
        <w:t>category is appropriate for their particular earth station</w:t>
      </w:r>
      <w:r w:rsidR="00407295">
        <w:t>s</w:t>
      </w:r>
      <w:r>
        <w:t>,</w:t>
      </w:r>
      <w:r>
        <w:rPr>
          <w:rStyle w:val="FootnoteReference"/>
        </w:rPr>
        <w:footnoteReference w:id="122"/>
      </w:r>
      <w:r>
        <w:t xml:space="preserve"> we clarify some terminology used in the Cost Catalog to assist with selecting the appropriate </w:t>
      </w:r>
      <w:r w:rsidR="0034176F">
        <w:t xml:space="preserve">lump sum </w:t>
      </w:r>
      <w:r>
        <w:t>category</w:t>
      </w:r>
      <w:r w:rsidR="00AC1178">
        <w:t xml:space="preserve">.  </w:t>
      </w:r>
      <w:r w:rsidR="006B25B6">
        <w:t xml:space="preserve">Reference to “single-feed” in </w:t>
      </w:r>
      <w:r w:rsidR="004C27BB">
        <w:t xml:space="preserve">the </w:t>
      </w:r>
      <w:r w:rsidR="004C4819">
        <w:t xml:space="preserve">Lump Sum Table </w:t>
      </w:r>
      <w:r w:rsidR="00024DFE">
        <w:t>refers to single polarization.</w:t>
      </w:r>
      <w:r w:rsidR="005C6B66">
        <w:t xml:space="preserve">  Reference to “multi-feed” in the Lump Sum Table refers</w:t>
      </w:r>
      <w:r w:rsidR="00D40220">
        <w:t xml:space="preserve"> to dual polarization.  </w:t>
      </w:r>
      <w:r w:rsidR="00AC079A">
        <w:t xml:space="preserve">Both single-feed and multi-feed </w:t>
      </w:r>
      <w:r w:rsidR="00E64878">
        <w:t xml:space="preserve">antennas </w:t>
      </w:r>
      <w:r w:rsidR="00AC079A">
        <w:t>would look at one orbital slot.</w:t>
      </w:r>
      <w:r w:rsidR="00ED3850">
        <w:t xml:space="preserve">  Reference to “multi beam” in the Lump Sum Table </w:t>
      </w:r>
      <w:r w:rsidR="00D2413C">
        <w:t>refers to a</w:t>
      </w:r>
      <w:r w:rsidR="00ED3850">
        <w:t xml:space="preserve"> torus antenna that has visibility into large portions of the geo arc and can look at multiple satellite</w:t>
      </w:r>
      <w:r w:rsidR="00F31BD0">
        <w:t>s</w:t>
      </w:r>
      <w:r w:rsidR="00ED3850">
        <w:t xml:space="preserve"> at the same time.  W</w:t>
      </w:r>
      <w:r w:rsidR="00CB59CE">
        <w:t xml:space="preserve">hile each incumbent earth station operator should select the </w:t>
      </w:r>
      <w:r w:rsidR="005E5CB7">
        <w:t xml:space="preserve">most relevant lump sum category for each of its </w:t>
      </w:r>
      <w:r w:rsidRPr="008E62D4" w:rsidR="008E62D4">
        <w:t xml:space="preserve">licensed or </w:t>
      </w:r>
      <w:r w:rsidR="00385457">
        <w:t xml:space="preserve">registered antennas </w:t>
      </w:r>
      <w:r w:rsidR="00D56039">
        <w:t>at</w:t>
      </w:r>
      <w:r w:rsidR="00C67EE6">
        <w:t xml:space="preserve"> an </w:t>
      </w:r>
      <w:r w:rsidR="00D56039">
        <w:t>incumbent earth station</w:t>
      </w:r>
      <w:r w:rsidR="00C67EE6">
        <w:t xml:space="preserve"> site</w:t>
      </w:r>
      <w:r w:rsidR="00D56039">
        <w:t>, w</w:t>
      </w:r>
      <w:r w:rsidR="00ED3850">
        <w:t xml:space="preserve">e expect that MVPDs most likely use multi-feed </w:t>
      </w:r>
      <w:r w:rsidR="00B0797E">
        <w:t xml:space="preserve">(dual polarization) </w:t>
      </w:r>
      <w:r w:rsidR="00476A8B">
        <w:t xml:space="preserve">or multi-beam (torus) </w:t>
      </w:r>
      <w:r w:rsidR="00ED3850">
        <w:t>antennas</w:t>
      </w:r>
      <w:r w:rsidR="00834620">
        <w:t>, where</w:t>
      </w:r>
      <w:r w:rsidR="005C5371">
        <w:t>as non-</w:t>
      </w:r>
      <w:r w:rsidRPr="0022795A" w:rsidR="0022795A">
        <w:t xml:space="preserve">MVPDs typically are likely to use </w:t>
      </w:r>
      <w:r w:rsidR="005C5371">
        <w:t>single-feed antennas</w:t>
      </w:r>
      <w:r w:rsidR="00B0797E">
        <w:t xml:space="preserve"> (single polarization)</w:t>
      </w:r>
      <w:r w:rsidR="005C5371">
        <w:t xml:space="preserve">.  </w:t>
      </w:r>
      <w:r w:rsidR="000D01CB">
        <w:t xml:space="preserve">  </w:t>
      </w:r>
    </w:p>
    <w:p w:rsidR="00C25CB7" w:rsidP="00544EB2" w14:paraId="062FFFFA" w14:textId="429D5679">
      <w:pPr>
        <w:pStyle w:val="Heading2"/>
      </w:pPr>
      <w:bookmarkStart w:id="101" w:name="_Toc45030699"/>
      <w:bookmarkStart w:id="102" w:name="_Toc45031209"/>
      <w:bookmarkStart w:id="103" w:name="_Toc45031301"/>
      <w:bookmarkStart w:id="104" w:name="_Toc45031356"/>
      <w:bookmarkStart w:id="105" w:name="_Toc45031409"/>
      <w:bookmarkStart w:id="106" w:name="_Toc45117421"/>
      <w:bookmarkStart w:id="107" w:name="_Toc46160565"/>
      <w:bookmarkStart w:id="108" w:name="_Toc46503222"/>
      <w:bookmarkStart w:id="109" w:name="_Toc46744211"/>
      <w:bookmarkStart w:id="110" w:name="_Toc46935651"/>
      <w:r>
        <w:t>Updates to the Lump Sum Amounts</w:t>
      </w:r>
      <w:bookmarkEnd w:id="101"/>
      <w:bookmarkEnd w:id="102"/>
      <w:bookmarkEnd w:id="103"/>
      <w:bookmarkEnd w:id="104"/>
      <w:bookmarkEnd w:id="105"/>
      <w:bookmarkEnd w:id="106"/>
      <w:bookmarkEnd w:id="107"/>
      <w:bookmarkEnd w:id="108"/>
      <w:bookmarkEnd w:id="109"/>
      <w:bookmarkEnd w:id="110"/>
    </w:p>
    <w:p w:rsidR="00342E7E" w:rsidP="00CB4667" w14:paraId="08B27A2B" w14:textId="77777777">
      <w:pPr>
        <w:pStyle w:val="ParaNum"/>
      </w:pPr>
      <w:r>
        <w:t xml:space="preserve">Commenters also raise </w:t>
      </w:r>
      <w:r w:rsidR="00AE5E84">
        <w:t>concern</w:t>
      </w:r>
      <w:r w:rsidR="00B477A4">
        <w:t>s</w:t>
      </w:r>
      <w:r w:rsidR="00AE5E84">
        <w:t xml:space="preserve"> that the </w:t>
      </w:r>
      <w:r w:rsidR="002D1771">
        <w:t xml:space="preserve">proposed </w:t>
      </w:r>
      <w:r w:rsidR="00AE5E84">
        <w:t xml:space="preserve">lump sum amounts were </w:t>
      </w:r>
      <w:r w:rsidR="00EF2872">
        <w:t>too low</w:t>
      </w:r>
      <w:r w:rsidRPr="00225F5D" w:rsidR="00225F5D">
        <w:t xml:space="preserve">, and </w:t>
      </w:r>
      <w:r w:rsidRPr="00225F5D" w:rsidR="00225F5D">
        <w:t xml:space="preserve">they </w:t>
      </w:r>
      <w:r w:rsidR="00B477A4">
        <w:t>identif</w:t>
      </w:r>
      <w:r w:rsidR="00F64FBC">
        <w:t>y</w:t>
      </w:r>
      <w:r w:rsidR="00B477A4">
        <w:t xml:space="preserve"> certain </w:t>
      </w:r>
      <w:r w:rsidR="008355C5">
        <w:t xml:space="preserve">cost items </w:t>
      </w:r>
      <w:r w:rsidR="00B477A4">
        <w:t xml:space="preserve">that </w:t>
      </w:r>
      <w:r w:rsidR="00F46C09">
        <w:t>they argue should be included in calculating the lump sum amounts.</w:t>
      </w:r>
      <w:r>
        <w:rPr>
          <w:rStyle w:val="FootnoteReference"/>
        </w:rPr>
        <w:footnoteReference w:id="123"/>
      </w:r>
      <w:r w:rsidR="00C00672">
        <w:t xml:space="preserve"> </w:t>
      </w:r>
      <w:r w:rsidR="00E713E7">
        <w:t xml:space="preserve"> </w:t>
      </w:r>
      <w:r w:rsidR="00856F5B">
        <w:t>We include additional cost items in the lump sum amounts where we determine those cost items to be part of a typical transition for the relevant earth station class.  For example</w:t>
      </w:r>
      <w:r w:rsidR="00F31670">
        <w:t>,</w:t>
      </w:r>
      <w:r w:rsidR="00856F5B">
        <w:t xml:space="preserve"> </w:t>
      </w:r>
      <w:r w:rsidR="00E713E7">
        <w:t xml:space="preserve">in response to information </w:t>
      </w:r>
      <w:r w:rsidR="00FE52AD">
        <w:t xml:space="preserve">from commenters, </w:t>
      </w:r>
      <w:r w:rsidR="00DC7875">
        <w:t>we</w:t>
      </w:r>
      <w:r w:rsidR="00F31670">
        <w:t xml:space="preserve"> update the lump sum </w:t>
      </w:r>
      <w:r w:rsidR="00D776AA">
        <w:t xml:space="preserve">base </w:t>
      </w:r>
      <w:r w:rsidR="00F31670">
        <w:t xml:space="preserve">amounts to </w:t>
      </w:r>
      <w:r w:rsidR="00B17913">
        <w:t>include application modification fees</w:t>
      </w:r>
      <w:r w:rsidR="007375B6">
        <w:t>,</w:t>
      </w:r>
      <w:r>
        <w:rPr>
          <w:rStyle w:val="FootnoteReference"/>
        </w:rPr>
        <w:footnoteReference w:id="124"/>
      </w:r>
      <w:r w:rsidR="00B17913">
        <w:t xml:space="preserve"> the cost to purchase and install new feed horns on some dishes</w:t>
      </w:r>
      <w:r w:rsidR="00C21CA3">
        <w:t>,</w:t>
      </w:r>
      <w:r>
        <w:rPr>
          <w:rStyle w:val="FootnoteReference"/>
        </w:rPr>
        <w:footnoteReference w:id="125"/>
      </w:r>
      <w:r w:rsidR="00B17913">
        <w:t xml:space="preserve"> as well as costs associated with system integration of modified earth stations</w:t>
      </w:r>
      <w:r w:rsidR="003A414D">
        <w:t>.</w:t>
      </w:r>
      <w:r>
        <w:rPr>
          <w:rStyle w:val="FootnoteReference"/>
        </w:rPr>
        <w:footnoteReference w:id="126"/>
      </w:r>
      <w:r w:rsidR="00382581">
        <w:t xml:space="preserve">  </w:t>
      </w:r>
      <w:r w:rsidR="00426E65">
        <w:t>Consistent with ou</w:t>
      </w:r>
      <w:r w:rsidR="00F6109F">
        <w:t>r lump sum calculation methodology, we multipl</w:t>
      </w:r>
      <w:r w:rsidR="003B0FD7">
        <w:t>y</w:t>
      </w:r>
      <w:r w:rsidR="00F6109F">
        <w:t xml:space="preserve"> those average costs by the </w:t>
      </w:r>
      <w:r w:rsidR="00CF0741">
        <w:t>probability that a particular earth station class is likely to incur such a cost.</w:t>
      </w:r>
      <w:r>
        <w:rPr>
          <w:rStyle w:val="FootnoteReference"/>
        </w:rPr>
        <w:footnoteReference w:id="127"/>
      </w:r>
      <w:r w:rsidR="00CF0741">
        <w:t xml:space="preserve">  </w:t>
      </w:r>
      <w:r w:rsidR="00175794">
        <w:t>W</w:t>
      </w:r>
      <w:r w:rsidR="00382581">
        <w:t>e d</w:t>
      </w:r>
      <w:r w:rsidR="005416FE">
        <w:t>o</w:t>
      </w:r>
      <w:r w:rsidR="00382581">
        <w:t xml:space="preserve"> not always use the </w:t>
      </w:r>
      <w:r w:rsidR="008001CC">
        <w:t xml:space="preserve">exact cost </w:t>
      </w:r>
      <w:r w:rsidR="00DC6D5D">
        <w:t>that</w:t>
      </w:r>
      <w:r w:rsidR="008001CC">
        <w:t xml:space="preserve"> commenter</w:t>
      </w:r>
      <w:r w:rsidR="00DC6D5D">
        <w:t>s suggest</w:t>
      </w:r>
      <w:r w:rsidR="00383302">
        <w:t xml:space="preserve"> in the calculation</w:t>
      </w:r>
      <w:r w:rsidR="006D36E7">
        <w:t>, but instead use</w:t>
      </w:r>
      <w:r w:rsidR="00E60840">
        <w:t xml:space="preserve"> the average</w:t>
      </w:r>
      <w:r w:rsidR="00BA71F5">
        <w:t xml:space="preserve"> of the reasonable cost</w:t>
      </w:r>
      <w:r w:rsidR="00AE73BA">
        <w:t xml:space="preserve"> range </w:t>
      </w:r>
      <w:r w:rsidR="002704F1">
        <w:t xml:space="preserve">provided in the </w:t>
      </w:r>
      <w:r w:rsidR="00DC6D5D">
        <w:t>Cost C</w:t>
      </w:r>
      <w:r w:rsidR="00BD3648">
        <w:t>atalog</w:t>
      </w:r>
      <w:r w:rsidR="00330210">
        <w:t xml:space="preserve"> to be consistent with our calculation method</w:t>
      </w:r>
      <w:r w:rsidR="00BD3648">
        <w:t>.</w:t>
      </w:r>
      <w:r w:rsidR="00DB300B">
        <w:t xml:space="preserve">  </w:t>
      </w:r>
      <w:bookmarkStart w:id="111" w:name="_Hlk45872911"/>
    </w:p>
    <w:p w:rsidR="00084304" w:rsidP="00CB4667" w14:paraId="1CBC5200" w14:textId="43B6E7FF">
      <w:pPr>
        <w:pStyle w:val="ParaNum"/>
      </w:pPr>
      <w:r>
        <w:t>W</w:t>
      </w:r>
      <w:r>
        <w:t xml:space="preserve">e also </w:t>
      </w:r>
      <w:r w:rsidR="00F93DC9">
        <w:t xml:space="preserve">update the </w:t>
      </w:r>
      <w:r w:rsidR="008A4A2B">
        <w:t xml:space="preserve">base </w:t>
      </w:r>
      <w:r w:rsidR="00F93DC9">
        <w:t>lump sum amount</w:t>
      </w:r>
      <w:r w:rsidR="002B567A">
        <w:t>s</w:t>
      </w:r>
      <w:r w:rsidR="00F93DC9">
        <w:t xml:space="preserve"> for single-feed</w:t>
      </w:r>
      <w:r w:rsidR="002B567A">
        <w:t>, multi-feed, and multi-beam</w:t>
      </w:r>
      <w:r w:rsidR="00F93DC9">
        <w:t xml:space="preserve"> antennas </w:t>
      </w:r>
      <w:r w:rsidR="0081229A">
        <w:t>based on</w:t>
      </w:r>
      <w:r w:rsidR="00C03FCB">
        <w:t xml:space="preserve"> </w:t>
      </w:r>
      <w:r w:rsidR="002B567A">
        <w:t xml:space="preserve">additional information in the record </w:t>
      </w:r>
      <w:r w:rsidR="001F18B6">
        <w:t xml:space="preserve">that </w:t>
      </w:r>
      <w:r w:rsidR="007D4811">
        <w:t xml:space="preserve">demonstrates </w:t>
      </w:r>
      <w:r w:rsidR="00C03FCB">
        <w:t xml:space="preserve">the </w:t>
      </w:r>
      <w:r w:rsidR="00E314EC">
        <w:t>likelihood</w:t>
      </w:r>
      <w:r w:rsidR="00C03FCB">
        <w:t xml:space="preserve"> that those antennas </w:t>
      </w:r>
      <w:r w:rsidR="00E314EC">
        <w:t>may</w:t>
      </w:r>
      <w:r w:rsidR="00C03FCB">
        <w:t xml:space="preserve"> </w:t>
      </w:r>
      <w:r w:rsidR="00562956">
        <w:t>require</w:t>
      </w:r>
      <w:r w:rsidR="005A6289">
        <w:t xml:space="preserve"> </w:t>
      </w:r>
      <w:r w:rsidR="00CD7586">
        <w:t xml:space="preserve">repointing to a different satellite and </w:t>
      </w:r>
      <w:r w:rsidR="006C1AB4">
        <w:t>dual illumination during the transition</w:t>
      </w:r>
      <w:r w:rsidR="003F1137">
        <w:t xml:space="preserve">.  </w:t>
      </w:r>
      <w:r w:rsidR="008B3FB2">
        <w:t xml:space="preserve">First, we increase the </w:t>
      </w:r>
      <w:r w:rsidR="00376B01">
        <w:t>base lump amount for single-feed antennas to account for</w:t>
      </w:r>
      <w:r w:rsidR="008B3FB2">
        <w:t xml:space="preserve"> </w:t>
      </w:r>
      <w:r w:rsidR="00C9639C">
        <w:t>the costs of</w:t>
      </w:r>
      <w:r w:rsidR="00115A4A">
        <w:t xml:space="preserve"> </w:t>
      </w:r>
      <w:r w:rsidR="00B10B38">
        <w:t>repointing to a different satellite</w:t>
      </w:r>
      <w:r w:rsidR="00B87DAF">
        <w:t xml:space="preserve"> (including dual illumination costs)</w:t>
      </w:r>
      <w:r w:rsidR="00351BAD">
        <w:t xml:space="preserve">, </w:t>
      </w:r>
      <w:r w:rsidR="00F93DC9">
        <w:t xml:space="preserve">which </w:t>
      </w:r>
      <w:r w:rsidR="00C9639C">
        <w:t>were</w:t>
      </w:r>
      <w:r w:rsidR="00F93DC9">
        <w:t xml:space="preserve"> not previously included in the </w:t>
      </w:r>
      <w:r w:rsidR="006C22B6">
        <w:t xml:space="preserve">proposed </w:t>
      </w:r>
      <w:r w:rsidR="00F93DC9">
        <w:t>lump sum amount for that class of antennas</w:t>
      </w:r>
      <w:r w:rsidR="000C446F">
        <w:t xml:space="preserve">. </w:t>
      </w:r>
      <w:r>
        <w:t xml:space="preserve"> </w:t>
      </w:r>
      <w:r w:rsidR="000C446F">
        <w:t>We make this change du</w:t>
      </w:r>
      <w:r w:rsidR="00DC3B8D">
        <w:t xml:space="preserve">e to </w:t>
      </w:r>
      <w:r>
        <w:t xml:space="preserve">information </w:t>
      </w:r>
      <w:r w:rsidR="00DC3B8D">
        <w:t>from</w:t>
      </w:r>
      <w:r>
        <w:t xml:space="preserve"> the initial Transition Plans </w:t>
      </w:r>
      <w:r w:rsidR="00176205">
        <w:t xml:space="preserve">indicating that </w:t>
      </w:r>
      <w:r w:rsidR="00FC249E">
        <w:t>some</w:t>
      </w:r>
      <w:r w:rsidR="00F91AF3">
        <w:t xml:space="preserve"> single-feed antennas</w:t>
      </w:r>
      <w:r>
        <w:t xml:space="preserve"> </w:t>
      </w:r>
      <w:r w:rsidR="00CD2D39">
        <w:t>will incur</w:t>
      </w:r>
      <w:r w:rsidR="00FC0502">
        <w:t xml:space="preserve"> such costs</w:t>
      </w:r>
      <w:r w:rsidR="00420D9A">
        <w:t xml:space="preserve"> </w:t>
      </w:r>
      <w:r w:rsidR="001C5DAD">
        <w:t>so we adjusted</w:t>
      </w:r>
      <w:r w:rsidR="00943F3E">
        <w:t xml:space="preserve"> our assumptions based on this new information</w:t>
      </w:r>
      <w:r w:rsidR="00CE45E1">
        <w:t xml:space="preserve"> not previously available</w:t>
      </w:r>
      <w:r w:rsidR="00F93DC9">
        <w:t>.</w:t>
      </w:r>
      <w:r>
        <w:rPr>
          <w:rStyle w:val="FootnoteReference"/>
        </w:rPr>
        <w:footnoteReference w:id="128"/>
      </w:r>
      <w:bookmarkEnd w:id="111"/>
      <w:r w:rsidR="00B10B38">
        <w:t xml:space="preserve">  </w:t>
      </w:r>
      <w:r w:rsidRPr="00A77D41" w:rsidR="00A77D41">
        <w:t xml:space="preserve">Similarly, </w:t>
      </w:r>
      <w:r w:rsidR="0018049C">
        <w:t>based on information in the record</w:t>
      </w:r>
      <w:r w:rsidR="004F6778">
        <w:t>,</w:t>
      </w:r>
      <w:r w:rsidRPr="00A77D41" w:rsidR="00A77D41">
        <w:t xml:space="preserve"> we have </w:t>
      </w:r>
      <w:r w:rsidR="004F6778">
        <w:t>adjus</w:t>
      </w:r>
      <w:r w:rsidRPr="00A77D41" w:rsidR="00A77D41">
        <w:t>ted the lump sum amounts for multi-feed and multi-beam antennas to account for a lower percentage of those antennas needing dual illumination than we previously estimated</w:t>
      </w:r>
      <w:r w:rsidR="00AC0748">
        <w:t xml:space="preserve">. </w:t>
      </w:r>
      <w:r w:rsidR="007C4BC7">
        <w:t xml:space="preserve"> C</w:t>
      </w:r>
      <w:r w:rsidRPr="007C4BC7" w:rsidR="007C4BC7">
        <w:t xml:space="preserve">omments </w:t>
      </w:r>
      <w:r w:rsidR="007C4BC7">
        <w:t>in the record, as well as the Transition Plans,</w:t>
      </w:r>
      <w:r w:rsidRPr="007C4BC7" w:rsidR="007C4BC7">
        <w:t xml:space="preserve"> indicate that satellites delivering content to MVPD headends will largely stay in their current orbital locations</w:t>
      </w:r>
      <w:r w:rsidR="007E7018">
        <w:t xml:space="preserve"> or at locations currently</w:t>
      </w:r>
      <w:r w:rsidR="00F05375">
        <w:t xml:space="preserve"> covered by existing antennas</w:t>
      </w:r>
      <w:r w:rsidRPr="007C4BC7" w:rsidR="007C4BC7">
        <w:t xml:space="preserve"> because of coverage optimization </w:t>
      </w:r>
      <w:r w:rsidR="00F05375">
        <w:t>to</w:t>
      </w:r>
      <w:r w:rsidRPr="007C4BC7" w:rsidR="007C4BC7">
        <w:t xml:space="preserve"> those</w:t>
      </w:r>
      <w:r w:rsidR="00F05375">
        <w:t xml:space="preserve"> orbital</w:t>
      </w:r>
      <w:r w:rsidRPr="007C4BC7" w:rsidR="007C4BC7">
        <w:t xml:space="preserve"> locations </w:t>
      </w:r>
      <w:r w:rsidR="00D569C2">
        <w:t>currently covered in addition</w:t>
      </w:r>
      <w:r w:rsidR="00376E00">
        <w:t xml:space="preserve"> to</w:t>
      </w:r>
      <w:r w:rsidRPr="007C4BC7" w:rsidR="007C4BC7">
        <w:t xml:space="preserve"> efficient repacking of content using technology upgrades.</w:t>
      </w:r>
      <w:r>
        <w:rPr>
          <w:rStyle w:val="FootnoteReference"/>
        </w:rPr>
        <w:footnoteReference w:id="129"/>
      </w:r>
      <w:r w:rsidR="00351BAD">
        <w:t xml:space="preserve"> </w:t>
      </w:r>
      <w:r w:rsidR="00A7434B">
        <w:t xml:space="preserve"> </w:t>
      </w:r>
      <w:r w:rsidR="00091EC7">
        <w:t>This new information re</w:t>
      </w:r>
      <w:r w:rsidR="00EE3B41">
        <w:t>veals</w:t>
      </w:r>
      <w:r w:rsidR="003225A2">
        <w:t xml:space="preserve"> the work </w:t>
      </w:r>
      <w:r w:rsidR="00790F61">
        <w:t xml:space="preserve">that </w:t>
      </w:r>
      <w:r w:rsidR="003225A2">
        <w:t>satellite operat</w:t>
      </w:r>
      <w:r w:rsidR="000C1332">
        <w:t>ors are performing to repack</w:t>
      </w:r>
      <w:r w:rsidR="000B0205">
        <w:t xml:space="preserve"> content</w:t>
      </w:r>
      <w:r w:rsidR="000B2F82">
        <w:t xml:space="preserve"> </w:t>
      </w:r>
      <w:r w:rsidR="00790F61">
        <w:t xml:space="preserve">efficiently </w:t>
      </w:r>
      <w:r w:rsidR="000516AB">
        <w:t>at existing orbital locations</w:t>
      </w:r>
      <w:r w:rsidR="007B73DD">
        <w:t xml:space="preserve"> to minimize disruption</w:t>
      </w:r>
      <w:r w:rsidR="00DE4285">
        <w:t xml:space="preserve"> on earth station</w:t>
      </w:r>
      <w:r w:rsidR="00864103">
        <w:t xml:space="preserve"> operators and </w:t>
      </w:r>
      <w:r w:rsidR="00790F61">
        <w:t xml:space="preserve">to </w:t>
      </w:r>
      <w:r w:rsidR="00864103">
        <w:t>speed the transition</w:t>
      </w:r>
      <w:r w:rsidR="00790F61">
        <w:t>,</w:t>
      </w:r>
      <w:r w:rsidR="009976FF">
        <w:t xml:space="preserve"> and the </w:t>
      </w:r>
      <w:r w:rsidR="007E1B45">
        <w:t xml:space="preserve">information allows us to </w:t>
      </w:r>
      <w:r w:rsidR="00F2411F">
        <w:t>estimate</w:t>
      </w:r>
      <w:r w:rsidR="001646A7">
        <w:t xml:space="preserve"> </w:t>
      </w:r>
      <w:r w:rsidR="00790F61">
        <w:t xml:space="preserve">more accurately </w:t>
      </w:r>
      <w:r w:rsidR="001646A7">
        <w:t xml:space="preserve">the average transition for these </w:t>
      </w:r>
      <w:r w:rsidR="006B0C2A">
        <w:t>classes of antennas.</w:t>
      </w:r>
    </w:p>
    <w:p w:rsidR="004C63DE" w:rsidP="00D654CE" w14:paraId="29949380" w14:textId="5C76DD3F">
      <w:pPr>
        <w:pStyle w:val="ParaNum"/>
      </w:pPr>
      <w:r>
        <w:t xml:space="preserve">In addition, we do not include all of the cost items </w:t>
      </w:r>
      <w:r w:rsidR="00F227B7">
        <w:t xml:space="preserve">that commenters propose </w:t>
      </w:r>
      <w:r>
        <w:t>in the lump sum amounts.  Where we determine that a cost would not be incurred in a typical transition for a particular earth station class, we have excluded that cost item</w:t>
      </w:r>
      <w:r w:rsidR="007E41B2">
        <w:t>,</w:t>
      </w:r>
      <w:r>
        <w:rPr>
          <w:rStyle w:val="FootnoteReference"/>
        </w:rPr>
        <w:footnoteReference w:id="130"/>
      </w:r>
      <w:r w:rsidR="007E41B2">
        <w:t xml:space="preserve"> consistent with our </w:t>
      </w:r>
      <w:r w:rsidR="0021479A">
        <w:t xml:space="preserve">methodology for </w:t>
      </w:r>
      <w:r w:rsidR="0021479A">
        <w:t>calculating lump sum amounts, as discussed above</w:t>
      </w:r>
      <w:r>
        <w:t>.</w:t>
      </w:r>
      <w:r>
        <w:rPr>
          <w:rStyle w:val="FootnoteReference"/>
        </w:rPr>
        <w:footnoteReference w:id="131"/>
      </w:r>
      <w:r>
        <w:t xml:space="preserve">  </w:t>
      </w:r>
      <w:r w:rsidR="00807841">
        <w:t>For that reason, w</w:t>
      </w:r>
      <w:r w:rsidR="00CA2E3B">
        <w:t>e decline</w:t>
      </w:r>
      <w:r w:rsidR="0010443D">
        <w:t xml:space="preserve"> to </w:t>
      </w:r>
      <w:r w:rsidR="00FA4FFF">
        <w:t xml:space="preserve">include the cost of replacement </w:t>
      </w:r>
      <w:r w:rsidR="001D02D7">
        <w:t xml:space="preserve">antennas </w:t>
      </w:r>
      <w:r w:rsidR="00FA4FFF">
        <w:t xml:space="preserve">or new </w:t>
      </w:r>
      <w:r w:rsidR="00E46ECE">
        <w:t xml:space="preserve">additional </w:t>
      </w:r>
      <w:r w:rsidR="00FA4FFF">
        <w:t xml:space="preserve">antennas in the lump sum costs, </w:t>
      </w:r>
      <w:r w:rsidR="003E3535">
        <w:t xml:space="preserve">despite the fact that some commenters’ models include those costs in their </w:t>
      </w:r>
      <w:r w:rsidR="00F1192B">
        <w:t xml:space="preserve">proposed lump sum calculations.  </w:t>
      </w:r>
      <w:r w:rsidR="00B60B58">
        <w:t>JCLDS</w:t>
      </w:r>
      <w:r w:rsidR="007F6B82">
        <w:t xml:space="preserve">, for example, </w:t>
      </w:r>
      <w:r w:rsidR="003D5F26">
        <w:t>includes</w:t>
      </w:r>
      <w:r w:rsidR="007F6B82">
        <w:t xml:space="preserve"> </w:t>
      </w:r>
      <w:r w:rsidR="00182172">
        <w:t xml:space="preserve">in its proposed lump sum amount </w:t>
      </w:r>
      <w:r w:rsidR="008418B4">
        <w:t xml:space="preserve">the cost of </w:t>
      </w:r>
      <w:r w:rsidR="007F6B82">
        <w:t>replacement antenna</w:t>
      </w:r>
      <w:r w:rsidR="007F3F91">
        <w:t>s</w:t>
      </w:r>
      <w:r w:rsidR="00182172">
        <w:t xml:space="preserve"> (</w:t>
      </w:r>
      <w:r w:rsidR="007F3F91">
        <w:t>including installation and new foundation work</w:t>
      </w:r>
      <w:r w:rsidR="00182172">
        <w:t>)</w:t>
      </w:r>
      <w:r w:rsidR="007F3F91">
        <w:t xml:space="preserve"> </w:t>
      </w:r>
      <w:r w:rsidR="0085697C">
        <w:t xml:space="preserve">for a small percentage of its </w:t>
      </w:r>
      <w:r w:rsidR="00D92BE7">
        <w:t>transitions</w:t>
      </w:r>
      <w:r w:rsidR="00A44352">
        <w:t>.</w:t>
      </w:r>
      <w:r>
        <w:rPr>
          <w:rStyle w:val="FootnoteReference"/>
        </w:rPr>
        <w:footnoteReference w:id="132"/>
      </w:r>
      <w:r w:rsidR="006B1BFC">
        <w:t xml:space="preserve">  </w:t>
      </w:r>
      <w:r w:rsidR="00364577">
        <w:t>MVPD commenters</w:t>
      </w:r>
      <w:r w:rsidR="006B1BFC">
        <w:t xml:space="preserve"> such as Cox, ACA, </w:t>
      </w:r>
      <w:r w:rsidR="00364577">
        <w:t xml:space="preserve">and </w:t>
      </w:r>
      <w:r w:rsidR="006B1BFC">
        <w:t>NCTA</w:t>
      </w:r>
      <w:r w:rsidR="00364577">
        <w:t xml:space="preserve"> also </w:t>
      </w:r>
      <w:r w:rsidR="005914DD">
        <w:t xml:space="preserve">suggest that </w:t>
      </w:r>
      <w:r w:rsidR="00837F45">
        <w:t>additional</w:t>
      </w:r>
      <w:r w:rsidR="006B1BFC">
        <w:t xml:space="preserve"> antennas </w:t>
      </w:r>
      <w:r w:rsidR="00A37326">
        <w:t>will</w:t>
      </w:r>
      <w:r w:rsidR="006B1BFC">
        <w:t xml:space="preserve"> be necessary for MVPD earth stations to point to new orbital slots with the launch of new satellites.</w:t>
      </w:r>
      <w:r>
        <w:rPr>
          <w:rStyle w:val="FootnoteReference"/>
        </w:rPr>
        <w:footnoteReference w:id="133"/>
      </w:r>
      <w:r w:rsidR="006B1BFC">
        <w:t xml:space="preserve"> </w:t>
      </w:r>
      <w:r w:rsidR="00251E54">
        <w:t xml:space="preserve"> </w:t>
      </w:r>
      <w:r w:rsidR="00464A34">
        <w:t xml:space="preserve">In contrast, </w:t>
      </w:r>
      <w:r w:rsidR="00405DF2">
        <w:t xml:space="preserve">Intelsat </w:t>
      </w:r>
      <w:r w:rsidR="009E4C1A">
        <w:t>anticipates</w:t>
      </w:r>
      <w:r w:rsidR="00405DF2">
        <w:t xml:space="preserve"> that </w:t>
      </w:r>
      <w:r w:rsidR="00466BC1">
        <w:t xml:space="preserve">replacement or additional </w:t>
      </w:r>
      <w:r w:rsidR="00CB1FB7">
        <w:t xml:space="preserve">antenna feeds or </w:t>
      </w:r>
      <w:r w:rsidR="00466BC1">
        <w:t xml:space="preserve">antennas </w:t>
      </w:r>
      <w:r w:rsidR="00CB1FB7">
        <w:t>may be necessary</w:t>
      </w:r>
      <w:r w:rsidR="002523A8">
        <w:t xml:space="preserve"> </w:t>
      </w:r>
      <w:r w:rsidR="00466BC1">
        <w:t>“</w:t>
      </w:r>
      <w:r w:rsidR="00D64DD9">
        <w:t>[</w:t>
      </w:r>
      <w:r w:rsidR="00466BC1">
        <w:t>i</w:t>
      </w:r>
      <w:r w:rsidR="00D64DD9">
        <w:t>]</w:t>
      </w:r>
      <w:r w:rsidR="00466BC1">
        <w:t xml:space="preserve">n some cases” and SES </w:t>
      </w:r>
      <w:r w:rsidR="00EE188D">
        <w:t xml:space="preserve">indicates that, based on customer outreach it has conducted thus far, </w:t>
      </w:r>
      <w:r w:rsidR="00207ED3">
        <w:t>“</w:t>
      </w:r>
      <w:r w:rsidRPr="00207ED3" w:rsidR="00207ED3">
        <w:t>in the vast majority of cases</w:t>
      </w:r>
      <w:r w:rsidR="00207ED3">
        <w:t>,</w:t>
      </w:r>
      <w:r w:rsidRPr="00207ED3" w:rsidR="00207ED3">
        <w:t xml:space="preserve"> an antenna is already available at the Incumbent Earth Station to receive service from the new satellite.”</w:t>
      </w:r>
      <w:r>
        <w:rPr>
          <w:rStyle w:val="FootnoteReference"/>
        </w:rPr>
        <w:footnoteReference w:id="134"/>
      </w:r>
      <w:r w:rsidR="00207ED3">
        <w:t xml:space="preserve">  </w:t>
      </w:r>
      <w:r w:rsidR="00BE43DB">
        <w:t>Consistent with t</w:t>
      </w:r>
      <w:r w:rsidR="00D936B0">
        <w:t xml:space="preserve">he </w:t>
      </w:r>
      <w:r w:rsidRPr="05C4D809" w:rsidR="00D936B0">
        <w:rPr>
          <w:i/>
          <w:iCs/>
        </w:rPr>
        <w:t>3.7 GHz Report and Order</w:t>
      </w:r>
      <w:r w:rsidR="00D936B0">
        <w:t>, the lump sum amounts are “</w:t>
      </w:r>
      <w:r w:rsidR="00FC4AF9">
        <w:t>based on the average, estimated costs of relocating</w:t>
      </w:r>
      <w:r w:rsidR="005B7D09">
        <w:t>” incumbent earth stations</w:t>
      </w:r>
      <w:r w:rsidR="00FC4AF9">
        <w:t>.</w:t>
      </w:r>
      <w:r>
        <w:rPr>
          <w:rStyle w:val="FootnoteReference"/>
        </w:rPr>
        <w:footnoteReference w:id="135"/>
      </w:r>
      <w:r w:rsidR="00FC4AF9">
        <w:t xml:space="preserve">  </w:t>
      </w:r>
      <w:bookmarkStart w:id="112" w:name="_Hlk45029470"/>
      <w:r w:rsidRPr="00CA0941" w:rsidR="00CA0941">
        <w:t>While replacement or additional antennas may be needed in some cases to transition an earth station, we have not seen sufficient evidence that supports including such expenses in the lump sum as part of the average, estimated costs of transitioning</w:t>
      </w:r>
      <w:r w:rsidR="00A43F47">
        <w:t>.</w:t>
      </w:r>
      <w:r>
        <w:rPr>
          <w:rStyle w:val="FootnoteReference"/>
        </w:rPr>
        <w:footnoteReference w:id="136"/>
      </w:r>
      <w:r w:rsidR="00A43F47">
        <w:t xml:space="preserve"> </w:t>
      </w:r>
      <w:bookmarkEnd w:id="112"/>
      <w:r w:rsidR="00A43F47">
        <w:t xml:space="preserve"> </w:t>
      </w:r>
      <w:r w:rsidR="005B7D09">
        <w:t xml:space="preserve">We </w:t>
      </w:r>
      <w:r w:rsidR="0085781D">
        <w:t xml:space="preserve">remind </w:t>
      </w:r>
      <w:r w:rsidR="007F6196">
        <w:t>incumbent earth station ope</w:t>
      </w:r>
      <w:r w:rsidR="005B1918">
        <w:t>r</w:t>
      </w:r>
      <w:r w:rsidR="007F6196">
        <w:t xml:space="preserve">ators </w:t>
      </w:r>
      <w:r w:rsidR="0085781D">
        <w:t>that</w:t>
      </w:r>
      <w:bookmarkStart w:id="113" w:name="_Hlk46135724"/>
      <w:r w:rsidRPr="00833110" w:rsidR="00833110">
        <w:t>,</w:t>
      </w:r>
      <w:bookmarkEnd w:id="113"/>
      <w:r w:rsidR="0085781D">
        <w:t xml:space="preserve"> where their transitions are more complex, such that the “average, estimated costs” do not reflect their </w:t>
      </w:r>
      <w:r w:rsidR="007F6196">
        <w:t xml:space="preserve">particular transitions, </w:t>
      </w:r>
      <w:r w:rsidR="00293C6F">
        <w:t>they can choose to seek reimbursement for their actual relocation costs through the Clearinghouse, rather than elect the lump sum.</w:t>
      </w:r>
      <w:r>
        <w:rPr>
          <w:rStyle w:val="FootnoteReference"/>
        </w:rPr>
        <w:footnoteReference w:id="137"/>
      </w:r>
      <w:r w:rsidR="00D56541">
        <w:t xml:space="preserve"> </w:t>
      </w:r>
      <w:r w:rsidR="00CA2E3B">
        <w:t xml:space="preserve"> </w:t>
      </w:r>
    </w:p>
    <w:p w:rsidR="00330D7C" w:rsidP="007374F8" w14:paraId="2792D816" w14:textId="1A511F96">
      <w:pPr>
        <w:pStyle w:val="ParaNum"/>
      </w:pPr>
      <w:r>
        <w:t>We decline to</w:t>
      </w:r>
      <w:r w:rsidR="00F25FAB">
        <w:t xml:space="preserve"> adopt PSSI Global’</w:t>
      </w:r>
      <w:r w:rsidR="00A8798F">
        <w:t>s</w:t>
      </w:r>
      <w:r w:rsidR="00F25FAB">
        <w:t xml:space="preserve"> request to</w:t>
      </w:r>
      <w:r>
        <w:t xml:space="preserve"> </w:t>
      </w:r>
      <w:r w:rsidR="00EB2513">
        <w:t xml:space="preserve">increase the lump sum amount for </w:t>
      </w:r>
      <w:r w:rsidR="007D1E11">
        <w:t xml:space="preserve">all </w:t>
      </w:r>
      <w:r w:rsidR="003F5B2F">
        <w:t>temporary fixed</w:t>
      </w:r>
      <w:r w:rsidR="00EB2513">
        <w:t xml:space="preserve"> earth stations to include </w:t>
      </w:r>
      <w:r w:rsidR="00FB1EA1">
        <w:t xml:space="preserve">the MVPD-specific technology upgrade amounts </w:t>
      </w:r>
      <w:r w:rsidR="00F216F4">
        <w:t>and</w:t>
      </w:r>
      <w:r w:rsidRPr="00F216F4" w:rsidR="00F216F4">
        <w:t xml:space="preserve"> re-engineered feed systems</w:t>
      </w:r>
      <w:r w:rsidR="00F25FAB">
        <w:t>.</w:t>
      </w:r>
      <w:r>
        <w:rPr>
          <w:rStyle w:val="FootnoteReference"/>
        </w:rPr>
        <w:footnoteReference w:id="138"/>
      </w:r>
      <w:r w:rsidR="00AC35A8">
        <w:t xml:space="preserve"> </w:t>
      </w:r>
      <w:r w:rsidR="0031643D">
        <w:t xml:space="preserve"> </w:t>
      </w:r>
      <w:r w:rsidR="00A4677A">
        <w:t>We</w:t>
      </w:r>
      <w:r w:rsidR="00F7736A">
        <w:t xml:space="preserve"> note</w:t>
      </w:r>
      <w:r w:rsidR="00EF7EAA">
        <w:t xml:space="preserve"> that the</w:t>
      </w:r>
      <w:r w:rsidR="00D207AE">
        <w:t xml:space="preserve"> lump sum </w:t>
      </w:r>
      <w:r w:rsidR="00762257">
        <w:t>process</w:t>
      </w:r>
      <w:r w:rsidR="00D207AE">
        <w:t xml:space="preserve"> is intended to address the average typical transition</w:t>
      </w:r>
      <w:r w:rsidR="00865791">
        <w:t xml:space="preserve"> for different types of</w:t>
      </w:r>
      <w:r w:rsidR="00D43818">
        <w:t xml:space="preserve"> earth stations</w:t>
      </w:r>
      <w:r w:rsidR="00116ABA">
        <w:t xml:space="preserve">. </w:t>
      </w:r>
      <w:r w:rsidR="0025574B">
        <w:t xml:space="preserve"> </w:t>
      </w:r>
      <w:r w:rsidR="00E522CD">
        <w:t>Based on</w:t>
      </w:r>
      <w:r w:rsidR="00105DDC">
        <w:t xml:space="preserve"> our reasoned judgment</w:t>
      </w:r>
      <w:r w:rsidR="00DE400E">
        <w:t xml:space="preserve"> </w:t>
      </w:r>
      <w:r w:rsidR="00105DDC">
        <w:t xml:space="preserve">and the </w:t>
      </w:r>
      <w:r w:rsidR="00721D17">
        <w:t>record</w:t>
      </w:r>
      <w:r w:rsidR="00E522CD">
        <w:t>, the</w:t>
      </w:r>
      <w:r w:rsidR="00732741">
        <w:t xml:space="preserve"> cost</w:t>
      </w:r>
      <w:r w:rsidR="00B706A9">
        <w:t xml:space="preserve"> categories and amounts </w:t>
      </w:r>
      <w:r w:rsidR="003250DD">
        <w:t xml:space="preserve">that comprise the lump sum payment </w:t>
      </w:r>
      <w:r w:rsidR="00B706A9">
        <w:t xml:space="preserve">proposed by </w:t>
      </w:r>
      <w:r w:rsidR="00732741">
        <w:t xml:space="preserve">PSSI Global </w:t>
      </w:r>
      <w:r w:rsidR="00B706A9">
        <w:t xml:space="preserve">do not appear </w:t>
      </w:r>
      <w:r w:rsidR="00732741">
        <w:t xml:space="preserve">to </w:t>
      </w:r>
      <w:r w:rsidR="00E53419">
        <w:t>be essential</w:t>
      </w:r>
      <w:r w:rsidR="00AA013A">
        <w:t xml:space="preserve"> elements</w:t>
      </w:r>
      <w:r w:rsidR="00D25CF7">
        <w:t xml:space="preserve"> of the typical transportable </w:t>
      </w:r>
      <w:r w:rsidR="0063678E">
        <w:t>earth</w:t>
      </w:r>
      <w:r w:rsidR="00D25CF7">
        <w:t xml:space="preserve"> station transition</w:t>
      </w:r>
      <w:r w:rsidR="0063678E">
        <w:t xml:space="preserve">.  </w:t>
      </w:r>
      <w:r w:rsidR="008568D5">
        <w:t>Specifically, increasing the amount of a lump sum category to cover solutions that PSSI admits are</w:t>
      </w:r>
      <w:r w:rsidRPr="001316B8" w:rsidR="008568D5">
        <w:t xml:space="preserve"> </w:t>
      </w:r>
      <w:r w:rsidR="008568D5">
        <w:t>“</w:t>
      </w:r>
      <w:r w:rsidRPr="001316B8" w:rsidR="008568D5">
        <w:t>not yet even designed, built, tested and available</w:t>
      </w:r>
      <w:r w:rsidR="008568D5">
        <w:t>”</w:t>
      </w:r>
      <w:r>
        <w:rPr>
          <w:rStyle w:val="FootnoteReference"/>
        </w:rPr>
        <w:footnoteReference w:id="139"/>
      </w:r>
      <w:r w:rsidR="008568D5">
        <w:t xml:space="preserve"> would not be appropriate.  </w:t>
      </w:r>
      <w:r w:rsidR="00D80022">
        <w:t>W</w:t>
      </w:r>
      <w:r w:rsidR="000E2FD2">
        <w:t xml:space="preserve">e </w:t>
      </w:r>
      <w:r w:rsidR="00B3153F">
        <w:t xml:space="preserve">also clarify that, as with the other </w:t>
      </w:r>
      <w:r w:rsidR="000B7BEF">
        <w:t>earth station</w:t>
      </w:r>
      <w:r w:rsidR="002253EF">
        <w:t xml:space="preserve"> </w:t>
      </w:r>
      <w:r w:rsidR="000B7BEF">
        <w:t>types</w:t>
      </w:r>
      <w:r w:rsidR="002253EF">
        <w:t xml:space="preserve">, </w:t>
      </w:r>
      <w:r w:rsidR="00FB0B5A">
        <w:t xml:space="preserve">the cost of </w:t>
      </w:r>
      <w:r w:rsidR="004639A7">
        <w:t xml:space="preserve">equipment for </w:t>
      </w:r>
      <w:r w:rsidR="000E2FD2">
        <w:t xml:space="preserve">technology upgrades </w:t>
      </w:r>
      <w:r w:rsidR="006E2938">
        <w:t>are outside the scope of the lump sum process</w:t>
      </w:r>
      <w:r w:rsidR="000B7BEF">
        <w:t xml:space="preserve"> for </w:t>
      </w:r>
      <w:r w:rsidR="00AF1BBA">
        <w:t>temporary</w:t>
      </w:r>
      <w:r w:rsidR="00DF6F0A">
        <w:t xml:space="preserve"> fixed earth stations</w:t>
      </w:r>
      <w:r w:rsidR="006E2938">
        <w:t xml:space="preserve">.  </w:t>
      </w:r>
    </w:p>
    <w:p w:rsidR="00EF711E" w:rsidP="000B0155" w14:paraId="67532C71" w14:textId="4CD8938D">
      <w:pPr>
        <w:pStyle w:val="ParaNum"/>
      </w:pPr>
      <w:r>
        <w:t xml:space="preserve">We also </w:t>
      </w:r>
      <w:r w:rsidR="009A3276">
        <w:t>decline to</w:t>
      </w:r>
      <w:r>
        <w:t xml:space="preserve"> </w:t>
      </w:r>
      <w:r w:rsidR="009A3276">
        <w:t>designate</w:t>
      </w:r>
      <w:r w:rsidR="00E6669E">
        <w:t xml:space="preserve"> </w:t>
      </w:r>
      <w:r w:rsidR="00A472D0">
        <w:t>all</w:t>
      </w:r>
      <w:r w:rsidR="00E6669E">
        <w:t xml:space="preserve"> </w:t>
      </w:r>
      <w:r w:rsidR="00DC7C99">
        <w:t xml:space="preserve">temporary </w:t>
      </w:r>
      <w:r w:rsidR="009703F4">
        <w:t>fixed earth stations</w:t>
      </w:r>
      <w:r w:rsidR="00C204DB">
        <w:t xml:space="preserve"> as MVPD</w:t>
      </w:r>
      <w:r w:rsidR="00BE5BF6">
        <w:t xml:space="preserve"> earth station</w:t>
      </w:r>
      <w:r w:rsidR="00C204DB">
        <w:t>s</w:t>
      </w:r>
      <w:r w:rsidR="002B1090">
        <w:t xml:space="preserve">, as </w:t>
      </w:r>
      <w:r w:rsidR="005E00C5">
        <w:t>PSSI Global requests.</w:t>
      </w:r>
      <w:r>
        <w:rPr>
          <w:rStyle w:val="FootnoteReference"/>
        </w:rPr>
        <w:footnoteReference w:id="140"/>
      </w:r>
      <w:r w:rsidR="005E00C5">
        <w:t xml:space="preserve">  </w:t>
      </w:r>
      <w:r w:rsidRPr="00B87D50" w:rsidR="00B87D50">
        <w:t xml:space="preserve">It is unclear that all temporary fixed stations operate as PSSI contends and, in those limited instances where they do, the operator can choose to seek reimbursement from the Clearinghouse for its actual costs instead.  </w:t>
      </w:r>
      <w:r w:rsidR="009979D5">
        <w:t>In other words, t</w:t>
      </w:r>
      <w:r w:rsidR="006E2938">
        <w:t xml:space="preserve">o the extent that </w:t>
      </w:r>
      <w:r w:rsidR="00DA25DA">
        <w:t xml:space="preserve">parties such as </w:t>
      </w:r>
      <w:r w:rsidR="007219C1">
        <w:t>P</w:t>
      </w:r>
      <w:r w:rsidR="008B6672">
        <w:t xml:space="preserve">SSI Global </w:t>
      </w:r>
      <w:r w:rsidR="006E2938">
        <w:t xml:space="preserve">find the lump sum amount for </w:t>
      </w:r>
      <w:r w:rsidR="00EE7705">
        <w:t>temporary fixed</w:t>
      </w:r>
      <w:r w:rsidR="006E2938">
        <w:t xml:space="preserve"> earth stations to be insufficient for </w:t>
      </w:r>
      <w:r w:rsidR="007219C1">
        <w:t>their</w:t>
      </w:r>
      <w:r w:rsidR="006E2938">
        <w:t xml:space="preserve"> particular transition,</w:t>
      </w:r>
      <w:r>
        <w:rPr>
          <w:rStyle w:val="FootnoteReference"/>
        </w:rPr>
        <w:footnoteReference w:id="141"/>
      </w:r>
      <w:r w:rsidR="006E2938">
        <w:t xml:space="preserve"> </w:t>
      </w:r>
      <w:r w:rsidR="00DA25DA">
        <w:t xml:space="preserve">they can </w:t>
      </w:r>
      <w:r w:rsidR="009304CB">
        <w:t>choose</w:t>
      </w:r>
      <w:r w:rsidR="00DA25DA">
        <w:t xml:space="preserve"> not to </w:t>
      </w:r>
      <w:r w:rsidR="00D71065">
        <w:t>receive</w:t>
      </w:r>
      <w:r w:rsidR="00DA25DA">
        <w:t xml:space="preserve"> the lump sum and can </w:t>
      </w:r>
      <w:r w:rsidR="007219C1">
        <w:t xml:space="preserve">instead </w:t>
      </w:r>
      <w:r w:rsidR="00DA25DA">
        <w:t>seek reimbursement for their actual, reasonable costs</w:t>
      </w:r>
      <w:r w:rsidR="002E1673">
        <w:t xml:space="preserve"> for each earth station</w:t>
      </w:r>
      <w:r w:rsidR="00205D27">
        <w:t xml:space="preserve"> that must be transitioned</w:t>
      </w:r>
      <w:r w:rsidR="00DA25DA">
        <w:t>.</w:t>
      </w:r>
      <w:r>
        <w:rPr>
          <w:rStyle w:val="FootnoteReference"/>
        </w:rPr>
        <w:footnoteReference w:id="142"/>
      </w:r>
      <w:r w:rsidR="00DA25DA">
        <w:t xml:space="preserve">  </w:t>
      </w:r>
      <w:r w:rsidR="007468F0">
        <w:t xml:space="preserve">Finally, to the extent PSSI Global </w:t>
      </w:r>
      <w:r w:rsidR="008E1FC9">
        <w:t xml:space="preserve">raises concerns regarding </w:t>
      </w:r>
      <w:r w:rsidR="00667E4D">
        <w:t>protections for transportables and fixed FSS earth stations</w:t>
      </w:r>
      <w:r w:rsidR="008A4D23">
        <w:t xml:space="preserve"> in the context of its comments to the </w:t>
      </w:r>
      <w:r w:rsidRPr="282C584A" w:rsidR="005346D6">
        <w:rPr>
          <w:i/>
          <w:iCs/>
        </w:rPr>
        <w:t>Lump Sum Comment Public Notice</w:t>
      </w:r>
      <w:r w:rsidR="00667E4D">
        <w:t>,</w:t>
      </w:r>
      <w:r>
        <w:rPr>
          <w:rStyle w:val="FootnoteReference"/>
        </w:rPr>
        <w:footnoteReference w:id="143"/>
      </w:r>
      <w:r w:rsidR="00667E4D">
        <w:t xml:space="preserve"> </w:t>
      </w:r>
      <w:r w:rsidR="00527A09">
        <w:t xml:space="preserve">we note that </w:t>
      </w:r>
      <w:r w:rsidR="00667E4D">
        <w:t xml:space="preserve">such arguments are outside the scope of </w:t>
      </w:r>
      <w:r w:rsidR="005346D6">
        <w:t>our consideration for the Cost Catalog and</w:t>
      </w:r>
      <w:r w:rsidR="00527A09">
        <w:t xml:space="preserve"> the lump sums contained therein</w:t>
      </w:r>
      <w:r w:rsidR="008A4D23">
        <w:t xml:space="preserve">. </w:t>
      </w:r>
    </w:p>
    <w:p w:rsidR="00C25CB7" w:rsidP="00544EB2" w14:paraId="715E3AC0" w14:textId="21F823EC">
      <w:pPr>
        <w:pStyle w:val="Heading2"/>
      </w:pPr>
      <w:bookmarkStart w:id="114" w:name="_Toc45030700"/>
      <w:bookmarkStart w:id="115" w:name="_Toc45031210"/>
      <w:bookmarkStart w:id="116" w:name="_Toc45031302"/>
      <w:bookmarkStart w:id="117" w:name="_Toc45031357"/>
      <w:bookmarkStart w:id="118" w:name="_Toc45031410"/>
      <w:bookmarkStart w:id="119" w:name="_Toc45117422"/>
      <w:bookmarkStart w:id="120" w:name="_Toc46160566"/>
      <w:bookmarkStart w:id="121" w:name="_Toc46503223"/>
      <w:bookmarkStart w:id="122" w:name="_Toc46744212"/>
      <w:bookmarkStart w:id="123" w:name="_Toc46935652"/>
      <w:r>
        <w:t>Lump Sum Election Process</w:t>
      </w:r>
      <w:bookmarkEnd w:id="114"/>
      <w:bookmarkEnd w:id="115"/>
      <w:bookmarkEnd w:id="116"/>
      <w:bookmarkEnd w:id="117"/>
      <w:bookmarkEnd w:id="118"/>
      <w:bookmarkEnd w:id="119"/>
      <w:bookmarkEnd w:id="120"/>
      <w:bookmarkEnd w:id="121"/>
      <w:bookmarkEnd w:id="122"/>
      <w:bookmarkEnd w:id="123"/>
      <w:r>
        <w:t xml:space="preserve">  </w:t>
      </w:r>
    </w:p>
    <w:p w:rsidR="00471BF5" w:rsidP="00CB4667" w14:paraId="3425CD47" w14:textId="68CC3C56">
      <w:pPr>
        <w:pStyle w:val="ParaNum"/>
      </w:pPr>
      <w:bookmarkStart w:id="124" w:name="_Hlk46776215"/>
      <w:r>
        <w:t>In this Public Notice, we establish</w:t>
      </w:r>
      <w:r w:rsidRPr="0010361A">
        <w:t xml:space="preserve"> the process for electing lump sum payments</w:t>
      </w:r>
      <w:r w:rsidR="00E466B0">
        <w:t>.</w:t>
      </w:r>
      <w:r>
        <w:rPr>
          <w:rStyle w:val="FootnoteReference"/>
        </w:rPr>
        <w:footnoteReference w:id="144"/>
      </w:r>
      <w:r w:rsidR="00E466B0">
        <w:t xml:space="preserve">  </w:t>
      </w:r>
      <w:r w:rsidR="00C16DF3">
        <w:t>Consistent with</w:t>
      </w:r>
      <w:r>
        <w:t xml:space="preserve"> the </w:t>
      </w:r>
      <w:r w:rsidRPr="05C4D809" w:rsidR="00587591">
        <w:rPr>
          <w:i/>
          <w:iCs/>
        </w:rPr>
        <w:t xml:space="preserve">3.7 GHz </w:t>
      </w:r>
      <w:r w:rsidRPr="05C4D809">
        <w:rPr>
          <w:i/>
          <w:iCs/>
        </w:rPr>
        <w:t>Report and Order</w:t>
      </w:r>
      <w:r>
        <w:t>, i</w:t>
      </w:r>
      <w:r w:rsidRPr="0010361A">
        <w:t>ncumbent earth station owners must make the</w:t>
      </w:r>
      <w:r>
        <w:t>ir</w:t>
      </w:r>
      <w:r w:rsidRPr="0010361A">
        <w:t xml:space="preserve"> lump sum payment election </w:t>
      </w:r>
      <w:r>
        <w:t xml:space="preserve">no later than </w:t>
      </w:r>
      <w:r w:rsidR="001D7C62">
        <w:t>August 31, 2020</w:t>
      </w:r>
      <w:r>
        <w:t>.</w:t>
      </w:r>
      <w:bookmarkEnd w:id="124"/>
      <w:r>
        <w:rPr>
          <w:rStyle w:val="FootnoteReference"/>
        </w:rPr>
        <w:footnoteReference w:id="145"/>
      </w:r>
      <w:r w:rsidRPr="0010361A">
        <w:t xml:space="preserve"> </w:t>
      </w:r>
      <w:r>
        <w:t xml:space="preserve"> </w:t>
      </w:r>
      <w:r w:rsidR="00F40AAB">
        <w:t>We remind i</w:t>
      </w:r>
      <w:r w:rsidRPr="0010361A">
        <w:t xml:space="preserve">ncumbent earth station owners </w:t>
      </w:r>
      <w:r w:rsidR="00F40AAB">
        <w:t>that they “</w:t>
      </w:r>
      <w:r w:rsidRPr="0010361A">
        <w:t>must indicate whether each incumbent earth station for which</w:t>
      </w:r>
      <w:r w:rsidR="00C522E0">
        <w:t>” they</w:t>
      </w:r>
      <w:r w:rsidRPr="0010361A">
        <w:t xml:space="preserve"> elect </w:t>
      </w:r>
      <w:r w:rsidR="00903C79">
        <w:t>“</w:t>
      </w:r>
      <w:r w:rsidRPr="0010361A">
        <w:t>the lump sum payment will be transitioned to the upper 200 megahertz in order to maintain C-band services or will discontinue C-band services</w:t>
      </w:r>
      <w:r w:rsidR="00F40AAB">
        <w:t>.”</w:t>
      </w:r>
      <w:r>
        <w:rPr>
          <w:rStyle w:val="FootnoteReference"/>
        </w:rPr>
        <w:footnoteReference w:id="146"/>
      </w:r>
      <w:r w:rsidR="00F40AAB">
        <w:t xml:space="preserve">  </w:t>
      </w:r>
      <w:bookmarkEnd w:id="76"/>
    </w:p>
    <w:p w:rsidR="00DC2C74" w:rsidP="00CB4667" w14:paraId="2B890B13" w14:textId="0F2D8F54">
      <w:pPr>
        <w:pStyle w:val="ParaNum"/>
      </w:pPr>
      <w:r>
        <w:t xml:space="preserve">Because IBFS registrations do not contain sufficient information to determine </w:t>
      </w:r>
      <w:r w:rsidR="0000708D">
        <w:t>the</w:t>
      </w:r>
      <w:r>
        <w:t xml:space="preserve"> </w:t>
      </w:r>
      <w:r w:rsidR="0000708D">
        <w:t xml:space="preserve">classes </w:t>
      </w:r>
      <w:r w:rsidR="002A5FC8">
        <w:t xml:space="preserve">of </w:t>
      </w:r>
      <w:r w:rsidR="0000708D">
        <w:t>earth stations/</w:t>
      </w:r>
      <w:r>
        <w:t xml:space="preserve">antennas </w:t>
      </w:r>
      <w:r w:rsidR="0000708D">
        <w:t xml:space="preserve">that </w:t>
      </w:r>
      <w:r>
        <w:t>are registered at each</w:t>
      </w:r>
      <w:r w:rsidR="002A5FC8">
        <w:t xml:space="preserve"> earth station site </w:t>
      </w:r>
      <w:r w:rsidR="00182A50">
        <w:t>or to determine</w:t>
      </w:r>
      <w:r w:rsidR="002A5FC8">
        <w:t xml:space="preserve"> whether an earth station site is an MVPD earth station, w</w:t>
      </w:r>
      <w:r>
        <w:t>e require earth station owners to certify that the information they provide</w:t>
      </w:r>
      <w:r w:rsidR="00182A50">
        <w:t xml:space="preserve"> in their lump sum election</w:t>
      </w:r>
      <w:r>
        <w:t xml:space="preserve">—including the </w:t>
      </w:r>
      <w:r w:rsidR="00E55D28">
        <w:t xml:space="preserve">antenna type and </w:t>
      </w:r>
      <w:r w:rsidR="00176720">
        <w:t>class</w:t>
      </w:r>
      <w:r>
        <w:t xml:space="preserve"> of </w:t>
      </w:r>
      <w:r w:rsidR="0099619F">
        <w:t>earth station</w:t>
      </w:r>
      <w:r>
        <w:t>—is accurate to the best of their knowledge.  Such information will be subject to verification as part of the Clearinghouse’s role to prevent waste, fraud, and abuse.</w:t>
      </w:r>
      <w:r>
        <w:rPr>
          <w:rStyle w:val="FootnoteReference"/>
        </w:rPr>
        <w:footnoteReference w:id="147"/>
      </w:r>
      <w:r>
        <w:t xml:space="preserve">  </w:t>
      </w:r>
    </w:p>
    <w:p w:rsidR="00716858" w:rsidP="00D654CE" w14:paraId="25FBA0EA" w14:textId="728B4870">
      <w:pPr>
        <w:pStyle w:val="ParaNum"/>
      </w:pPr>
      <w:r>
        <w:t xml:space="preserve">Incumbent earth station </w:t>
      </w:r>
      <w:r w:rsidR="004C4983">
        <w:t xml:space="preserve">owners </w:t>
      </w:r>
      <w:r w:rsidR="00F94187">
        <w:t>choosing</w:t>
      </w:r>
      <w:r>
        <w:t xml:space="preserve"> the lump sum election must file </w:t>
      </w:r>
      <w:r>
        <w:t xml:space="preserve">in IB Docket No. </w:t>
      </w:r>
      <w:r w:rsidRPr="003F657B" w:rsidR="003F657B">
        <w:rPr>
          <w:bCs/>
        </w:rPr>
        <w:t>20-205</w:t>
      </w:r>
      <w:r>
        <w:t>, with the following information</w:t>
      </w:r>
      <w:r w:rsidR="00C5451F">
        <w:t xml:space="preserve"> </w:t>
      </w:r>
      <w:r w:rsidR="00E97EC2">
        <w:t xml:space="preserve">for </w:t>
      </w:r>
      <w:r w:rsidR="0015197B">
        <w:t xml:space="preserve">each </w:t>
      </w:r>
      <w:r w:rsidR="009638BF">
        <w:t>of that operator’s</w:t>
      </w:r>
      <w:r w:rsidR="00E97EC2">
        <w:t xml:space="preserve"> </w:t>
      </w:r>
      <w:r w:rsidR="009638BF">
        <w:t>incumbent earth station</w:t>
      </w:r>
      <w:r w:rsidR="002961FE">
        <w:t xml:space="preserve"> site</w:t>
      </w:r>
      <w:r w:rsidR="009638BF">
        <w:t>s</w:t>
      </w:r>
      <w:r>
        <w:t>:</w:t>
      </w:r>
    </w:p>
    <w:p w:rsidR="002F1257" w:rsidRPr="008F7BAE" w:rsidP="003A579B" w14:paraId="06ADDA13" w14:textId="43A1F566">
      <w:pPr>
        <w:pStyle w:val="Paranum0"/>
        <w:widowControl/>
        <w:numPr>
          <w:ilvl w:val="0"/>
          <w:numId w:val="10"/>
        </w:numPr>
        <w:spacing w:after="120"/>
        <w:jc w:val="left"/>
        <w:rPr>
          <w:szCs w:val="22"/>
        </w:rPr>
      </w:pPr>
      <w:r w:rsidRPr="008F7BAE">
        <w:rPr>
          <w:szCs w:val="22"/>
        </w:rPr>
        <w:t>Licensee/Registrant/Applicant Name</w:t>
      </w:r>
      <w:r w:rsidRPr="008F7BAE" w:rsidR="0038442D">
        <w:rPr>
          <w:szCs w:val="22"/>
        </w:rPr>
        <w:t>,</w:t>
      </w:r>
    </w:p>
    <w:p w:rsidR="0015197B" w:rsidRPr="008F7BAE" w:rsidP="003A579B" w14:paraId="686B67BB" w14:textId="37501728">
      <w:pPr>
        <w:pStyle w:val="Paranum0"/>
        <w:widowControl/>
        <w:numPr>
          <w:ilvl w:val="0"/>
          <w:numId w:val="10"/>
        </w:numPr>
        <w:spacing w:after="120"/>
        <w:jc w:val="left"/>
        <w:rPr>
          <w:szCs w:val="22"/>
        </w:rPr>
      </w:pPr>
      <w:r w:rsidRPr="008F7BAE">
        <w:rPr>
          <w:szCs w:val="22"/>
        </w:rPr>
        <w:t>Earth Station Callsign</w:t>
      </w:r>
      <w:r w:rsidRPr="008F7BAE" w:rsidR="0038442D">
        <w:rPr>
          <w:szCs w:val="22"/>
        </w:rPr>
        <w:t>,</w:t>
      </w:r>
    </w:p>
    <w:p w:rsidR="0015197B" w:rsidRPr="008F7BAE" w:rsidP="003A579B" w14:paraId="359F578E" w14:textId="16952FDA">
      <w:pPr>
        <w:pStyle w:val="Paranum0"/>
        <w:widowControl/>
        <w:numPr>
          <w:ilvl w:val="0"/>
          <w:numId w:val="10"/>
        </w:numPr>
        <w:spacing w:after="120"/>
        <w:jc w:val="left"/>
        <w:rPr>
          <w:szCs w:val="22"/>
        </w:rPr>
      </w:pPr>
      <w:r w:rsidRPr="008F7BAE">
        <w:rPr>
          <w:szCs w:val="22"/>
        </w:rPr>
        <w:t>Site ID</w:t>
      </w:r>
      <w:r w:rsidRPr="008F7BAE" w:rsidR="0038442D">
        <w:rPr>
          <w:szCs w:val="22"/>
        </w:rPr>
        <w:t>,</w:t>
      </w:r>
    </w:p>
    <w:p w:rsidR="0015197B" w:rsidRPr="008F7BAE" w:rsidP="003A579B" w14:paraId="1FE87CC7" w14:textId="74597B42">
      <w:pPr>
        <w:pStyle w:val="Paranum0"/>
        <w:widowControl/>
        <w:numPr>
          <w:ilvl w:val="0"/>
          <w:numId w:val="10"/>
        </w:numPr>
        <w:spacing w:after="120"/>
        <w:jc w:val="left"/>
        <w:rPr>
          <w:szCs w:val="22"/>
        </w:rPr>
      </w:pPr>
      <w:r w:rsidRPr="008F7BAE">
        <w:rPr>
          <w:szCs w:val="22"/>
        </w:rPr>
        <w:t>Antenna ID</w:t>
      </w:r>
      <w:r w:rsidRPr="008F7BAE" w:rsidR="0038442D">
        <w:rPr>
          <w:szCs w:val="22"/>
        </w:rPr>
        <w:t>,</w:t>
      </w:r>
    </w:p>
    <w:p w:rsidR="0015197B" w:rsidRPr="008F7BAE" w:rsidP="003A579B" w14:paraId="60D72AE3" w14:textId="5A23445F">
      <w:pPr>
        <w:pStyle w:val="Paranum0"/>
        <w:widowControl/>
        <w:numPr>
          <w:ilvl w:val="0"/>
          <w:numId w:val="10"/>
        </w:numPr>
        <w:spacing w:after="120"/>
        <w:jc w:val="left"/>
        <w:rPr>
          <w:szCs w:val="22"/>
        </w:rPr>
      </w:pPr>
      <w:r w:rsidRPr="008F7BAE">
        <w:rPr>
          <w:szCs w:val="22"/>
        </w:rPr>
        <w:t>Number of antennas associated with that Antenna ID</w:t>
      </w:r>
      <w:r w:rsidRPr="008F7BAE" w:rsidR="0038442D">
        <w:rPr>
          <w:szCs w:val="22"/>
        </w:rPr>
        <w:t>,</w:t>
      </w:r>
    </w:p>
    <w:p w:rsidR="0015197B" w:rsidRPr="008F7BAE" w:rsidP="003A579B" w14:paraId="460CD790" w14:textId="0783BB14">
      <w:pPr>
        <w:pStyle w:val="Paranum0"/>
        <w:widowControl/>
        <w:numPr>
          <w:ilvl w:val="0"/>
          <w:numId w:val="10"/>
        </w:numPr>
        <w:spacing w:after="120"/>
        <w:jc w:val="left"/>
        <w:rPr>
          <w:szCs w:val="22"/>
        </w:rPr>
      </w:pPr>
      <w:r w:rsidRPr="008F7BAE">
        <w:rPr>
          <w:szCs w:val="22"/>
        </w:rPr>
        <w:t>Site address</w:t>
      </w:r>
      <w:r w:rsidRPr="008F7BAE" w:rsidR="0038442D">
        <w:rPr>
          <w:szCs w:val="22"/>
        </w:rPr>
        <w:t>,</w:t>
      </w:r>
    </w:p>
    <w:p w:rsidR="0015197B" w:rsidRPr="008F7BAE" w:rsidP="003A579B" w14:paraId="00B10099" w14:textId="53517C35">
      <w:pPr>
        <w:pStyle w:val="Paranum0"/>
        <w:widowControl/>
        <w:numPr>
          <w:ilvl w:val="0"/>
          <w:numId w:val="10"/>
        </w:numPr>
        <w:spacing w:after="120"/>
        <w:jc w:val="left"/>
        <w:rPr>
          <w:szCs w:val="22"/>
        </w:rPr>
      </w:pPr>
      <w:r w:rsidRPr="008F7BAE">
        <w:rPr>
          <w:szCs w:val="22"/>
        </w:rPr>
        <w:t xml:space="preserve">GPS coordinates </w:t>
      </w:r>
      <w:r w:rsidRPr="008F7BAE" w:rsidR="007B7E4C">
        <w:rPr>
          <w:szCs w:val="22"/>
        </w:rPr>
        <w:t xml:space="preserve">of </w:t>
      </w:r>
      <w:r w:rsidR="00AF3C38">
        <w:rPr>
          <w:szCs w:val="22"/>
        </w:rPr>
        <w:t>the earth station</w:t>
      </w:r>
      <w:r w:rsidRPr="008F7BAE" w:rsidR="0038442D">
        <w:rPr>
          <w:szCs w:val="22"/>
        </w:rPr>
        <w:t>,</w:t>
      </w:r>
    </w:p>
    <w:p w:rsidR="0015197B" w:rsidRPr="008F7BAE" w:rsidP="003A579B" w14:paraId="48C56150" w14:textId="728ED321">
      <w:pPr>
        <w:pStyle w:val="Paranum0"/>
        <w:widowControl/>
        <w:numPr>
          <w:ilvl w:val="0"/>
          <w:numId w:val="10"/>
        </w:numPr>
        <w:spacing w:after="120"/>
        <w:jc w:val="left"/>
        <w:rPr>
          <w:szCs w:val="22"/>
        </w:rPr>
      </w:pPr>
      <w:r w:rsidRPr="008F7BAE">
        <w:rPr>
          <w:szCs w:val="22"/>
        </w:rPr>
        <w:t>File Number(s) of current authorization and/or pending application</w:t>
      </w:r>
      <w:r w:rsidRPr="008F7BAE" w:rsidR="0038442D">
        <w:rPr>
          <w:szCs w:val="22"/>
        </w:rPr>
        <w:t>,</w:t>
      </w:r>
    </w:p>
    <w:p w:rsidR="0015197B" w:rsidRPr="008F7BAE" w:rsidP="003A579B" w14:paraId="37FAFCE1" w14:textId="0A8EF0CD">
      <w:pPr>
        <w:pStyle w:val="Paranum0"/>
        <w:widowControl/>
        <w:numPr>
          <w:ilvl w:val="0"/>
          <w:numId w:val="10"/>
        </w:numPr>
        <w:spacing w:after="120"/>
        <w:jc w:val="left"/>
        <w:rPr>
          <w:szCs w:val="22"/>
        </w:rPr>
      </w:pPr>
      <w:r w:rsidRPr="00FB6E05">
        <w:rPr>
          <w:szCs w:val="22"/>
        </w:rPr>
        <w:t>Confirmation that the earth station meets the definition of incumbent earth station under 47 CFR §§ 27.1411(b)(3) and 25.138(c)</w:t>
      </w:r>
      <w:r w:rsidR="00AB1721">
        <w:rPr>
          <w:szCs w:val="22"/>
        </w:rPr>
        <w:t>, including indication of whether</w:t>
      </w:r>
      <w:r w:rsidR="00D25744">
        <w:rPr>
          <w:szCs w:val="22"/>
        </w:rPr>
        <w:t xml:space="preserve"> </w:t>
      </w:r>
      <w:r w:rsidR="00AB1721">
        <w:rPr>
          <w:szCs w:val="22"/>
        </w:rPr>
        <w:t>earth station appears on the International Bureau’s final list of eligible earth stations</w:t>
      </w:r>
      <w:r w:rsidRPr="00FB6E05">
        <w:rPr>
          <w:szCs w:val="22"/>
        </w:rPr>
        <w:t>,</w:t>
      </w:r>
      <w:r>
        <w:rPr>
          <w:rStyle w:val="FootnoteReference"/>
          <w:szCs w:val="22"/>
        </w:rPr>
        <w:footnoteReference w:id="148"/>
      </w:r>
    </w:p>
    <w:p w:rsidR="0015197B" w:rsidRPr="008F7BAE" w:rsidP="003A579B" w14:paraId="184B24F4" w14:textId="5D7A6BC9">
      <w:pPr>
        <w:pStyle w:val="Paranum0"/>
        <w:widowControl/>
        <w:numPr>
          <w:ilvl w:val="0"/>
          <w:numId w:val="10"/>
        </w:numPr>
        <w:spacing w:after="120"/>
        <w:jc w:val="left"/>
        <w:rPr>
          <w:szCs w:val="22"/>
        </w:rPr>
      </w:pPr>
      <w:r w:rsidRPr="008F7BAE">
        <w:rPr>
          <w:szCs w:val="22"/>
        </w:rPr>
        <w:t>Category of lump sum election</w:t>
      </w:r>
      <w:r w:rsidRPr="008F7BAE" w:rsidR="008F7FAA">
        <w:rPr>
          <w:szCs w:val="22"/>
        </w:rPr>
        <w:t xml:space="preserve"> for each </w:t>
      </w:r>
      <w:r w:rsidRPr="008F7BAE" w:rsidR="00D54B8D">
        <w:rPr>
          <w:szCs w:val="22"/>
        </w:rPr>
        <w:t xml:space="preserve">registered </w:t>
      </w:r>
      <w:r w:rsidRPr="008F7BAE" w:rsidR="008F7FAA">
        <w:rPr>
          <w:szCs w:val="22"/>
        </w:rPr>
        <w:t>antenna</w:t>
      </w:r>
      <w:r w:rsidRPr="008F7BAE" w:rsidR="00275578">
        <w:rPr>
          <w:szCs w:val="22"/>
        </w:rPr>
        <w:t xml:space="preserve"> at that </w:t>
      </w:r>
      <w:r w:rsidR="00EC4C99">
        <w:rPr>
          <w:szCs w:val="22"/>
        </w:rPr>
        <w:t xml:space="preserve">registered </w:t>
      </w:r>
      <w:r w:rsidRPr="008F7BAE" w:rsidR="00275578">
        <w:rPr>
          <w:szCs w:val="22"/>
        </w:rPr>
        <w:t>earth station</w:t>
      </w:r>
      <w:r w:rsidRPr="008F7BAE" w:rsidR="006F3346">
        <w:rPr>
          <w:szCs w:val="22"/>
        </w:rPr>
        <w:t xml:space="preserve"> </w:t>
      </w:r>
      <w:r w:rsidRPr="008F7BAE" w:rsidR="00561006">
        <w:rPr>
          <w:szCs w:val="22"/>
        </w:rPr>
        <w:t>site</w:t>
      </w:r>
      <w:r w:rsidRPr="008F7BAE" w:rsidR="006F3346">
        <w:rPr>
          <w:szCs w:val="22"/>
        </w:rPr>
        <w:t xml:space="preserve"> (e.g. </w:t>
      </w:r>
      <w:r w:rsidRPr="008F7BAE" w:rsidR="003042C0">
        <w:rPr>
          <w:szCs w:val="22"/>
          <w:lang w:bidi="en-US"/>
        </w:rPr>
        <w:t xml:space="preserve">Receive Only ES Single-feed; </w:t>
      </w:r>
      <w:r w:rsidRPr="008F7BAE" w:rsidR="002E4B36">
        <w:rPr>
          <w:szCs w:val="22"/>
          <w:lang w:bidi="en-US"/>
        </w:rPr>
        <w:t>Receive Only ES Multi-feed</w:t>
      </w:r>
      <w:r w:rsidRPr="008F7BAE" w:rsidR="00F715D6">
        <w:rPr>
          <w:szCs w:val="22"/>
          <w:lang w:bidi="en-US"/>
        </w:rPr>
        <w:t>; Small Multi-beam (2-4 beams) ES</w:t>
      </w:r>
      <w:r w:rsidRPr="008F7BAE" w:rsidR="00CE5946">
        <w:rPr>
          <w:szCs w:val="22"/>
          <w:lang w:bidi="en-US"/>
        </w:rPr>
        <w:t>, etc.</w:t>
      </w:r>
      <w:r w:rsidRPr="008F7BAE" w:rsidR="006F3346">
        <w:rPr>
          <w:szCs w:val="22"/>
        </w:rPr>
        <w:t>)</w:t>
      </w:r>
      <w:r w:rsidRPr="008F7BAE" w:rsidR="0038442D">
        <w:rPr>
          <w:szCs w:val="22"/>
        </w:rPr>
        <w:t>,</w:t>
      </w:r>
    </w:p>
    <w:p w:rsidR="00CE5946" w:rsidRPr="008F7BAE" w:rsidP="003A579B" w14:paraId="65C3A4DD" w14:textId="3982C5D9">
      <w:pPr>
        <w:pStyle w:val="Paranum0"/>
        <w:widowControl/>
        <w:numPr>
          <w:ilvl w:val="0"/>
          <w:numId w:val="10"/>
        </w:numPr>
        <w:spacing w:after="120"/>
        <w:jc w:val="left"/>
      </w:pPr>
      <w:r>
        <w:t>Whether</w:t>
      </w:r>
      <w:r>
        <w:t xml:space="preserve"> earth station site is an MVPD earth station site</w:t>
      </w:r>
      <w:r>
        <w:t xml:space="preserve"> (to claim the per-site technology upgrade </w:t>
      </w:r>
      <w:r w:rsidR="00714542">
        <w:t xml:space="preserve">installation </w:t>
      </w:r>
      <w:r>
        <w:t>amount)</w:t>
      </w:r>
      <w:r w:rsidR="006140FB">
        <w:t>,</w:t>
      </w:r>
      <w:r>
        <w:t xml:space="preserve"> </w:t>
      </w:r>
    </w:p>
    <w:p w:rsidR="00424775" w:rsidRPr="008F7BAE" w:rsidP="003A579B" w14:paraId="22C30F97" w14:textId="26287731">
      <w:pPr>
        <w:pStyle w:val="Paranum0"/>
        <w:widowControl/>
        <w:numPr>
          <w:ilvl w:val="0"/>
          <w:numId w:val="10"/>
        </w:numPr>
        <w:spacing w:after="120"/>
        <w:jc w:val="left"/>
      </w:pPr>
      <w:r>
        <w:t xml:space="preserve">Total lump sum amount </w:t>
      </w:r>
      <w:r w:rsidR="004E0BFC">
        <w:t xml:space="preserve">claimed </w:t>
      </w:r>
      <w:r>
        <w:t>for that earth station (</w:t>
      </w:r>
      <w:r w:rsidR="004E0BFC">
        <w:t>calculated by the</w:t>
      </w:r>
      <w:r>
        <w:t xml:space="preserve"> number of registered antennas at that incumbent earth station</w:t>
      </w:r>
      <w:r w:rsidR="008355C5">
        <w:t xml:space="preserve"> </w:t>
      </w:r>
      <w:r w:rsidR="004E0BFC">
        <w:t>multiplied by</w:t>
      </w:r>
      <w:r w:rsidR="008355C5">
        <w:t xml:space="preserve"> the </w:t>
      </w:r>
      <w:r w:rsidR="004E0BFC">
        <w:t xml:space="preserve">relevant </w:t>
      </w:r>
      <w:r w:rsidR="008355C5">
        <w:t>lump sum base amount</w:t>
      </w:r>
      <w:r w:rsidR="006140FB">
        <w:t xml:space="preserve">, plus technology upgrade </w:t>
      </w:r>
      <w:r w:rsidR="006B394F">
        <w:t xml:space="preserve">installation </w:t>
      </w:r>
      <w:r w:rsidR="006140FB">
        <w:t>amount if MVPD</w:t>
      </w:r>
      <w:r>
        <w:t>)</w:t>
      </w:r>
      <w:r w:rsidR="0038442D">
        <w:t xml:space="preserve">, </w:t>
      </w:r>
      <w:r w:rsidR="00F7400D">
        <w:t>and</w:t>
      </w:r>
    </w:p>
    <w:p w:rsidR="0015197B" w:rsidRPr="008F7BAE" w:rsidP="003A579B" w14:paraId="238E30FF" w14:textId="317C3926">
      <w:pPr>
        <w:pStyle w:val="Paranum0"/>
        <w:widowControl/>
        <w:numPr>
          <w:ilvl w:val="0"/>
          <w:numId w:val="10"/>
        </w:numPr>
        <w:spacing w:after="120"/>
        <w:jc w:val="left"/>
      </w:pPr>
      <w:r>
        <w:t xml:space="preserve">Whether </w:t>
      </w:r>
      <w:r w:rsidR="00CB1A88">
        <w:t xml:space="preserve">the </w:t>
      </w:r>
      <w:r>
        <w:t>incumbent earth station will be transitioned to the upper 200 megahertz in order to maintain C-band services or will discontinue C-band services</w:t>
      </w:r>
      <w:r w:rsidR="00F7400D">
        <w:t>.</w:t>
      </w:r>
    </w:p>
    <w:p w:rsidR="007D193A" w:rsidRPr="008F7BAE" w:rsidP="00CB4667" w14:paraId="1B4A2C2D" w14:textId="4EEDCE22">
      <w:pPr>
        <w:pStyle w:val="ParaNum"/>
      </w:pPr>
      <w:r w:rsidRPr="004379A0">
        <w:t xml:space="preserve">The lump sum election must include a certification from </w:t>
      </w:r>
      <w:r w:rsidRPr="00AE1E5B" w:rsidR="00AE1E5B">
        <w:t>the incumbent earth station owner (if an individual) or a duly authorized representative with authority to bind the station, which certifies to the following</w:t>
      </w:r>
      <w:r>
        <w:t>:</w:t>
      </w:r>
    </w:p>
    <w:p w:rsidR="0086174F" w:rsidRPr="008F7BAE" w:rsidP="0086174F" w14:paraId="3FB4E7E0" w14:textId="61CF6030">
      <w:pPr>
        <w:pStyle w:val="Paranum0"/>
        <w:widowControl/>
        <w:numPr>
          <w:ilvl w:val="0"/>
          <w:numId w:val="13"/>
        </w:numPr>
        <w:jc w:val="left"/>
        <w:rPr>
          <w:szCs w:val="22"/>
        </w:rPr>
      </w:pPr>
      <w:r w:rsidRPr="008F7BAE">
        <w:rPr>
          <w:szCs w:val="22"/>
        </w:rPr>
        <w:t>T</w:t>
      </w:r>
      <w:r w:rsidRPr="008F7BAE" w:rsidR="004E0BFC">
        <w:rPr>
          <w:szCs w:val="22"/>
        </w:rPr>
        <w:t>hat the information contained in the lump sum election is true and accurate</w:t>
      </w:r>
      <w:r w:rsidRPr="008F7BAE" w:rsidR="00887F92">
        <w:rPr>
          <w:szCs w:val="22"/>
        </w:rPr>
        <w:t xml:space="preserve"> to the best of the </w:t>
      </w:r>
      <w:r w:rsidRPr="00AE1E5B" w:rsidR="00B03550">
        <w:t>incumbent earth station owner (if an individual) or duly authorized representative</w:t>
      </w:r>
      <w:r w:rsidRPr="008F7BAE" w:rsidR="00887F92">
        <w:rPr>
          <w:szCs w:val="22"/>
        </w:rPr>
        <w:t xml:space="preserve"> knowledge</w:t>
      </w:r>
      <w:r w:rsidRPr="008F7BAE">
        <w:rPr>
          <w:szCs w:val="22"/>
        </w:rPr>
        <w:t>;</w:t>
      </w:r>
    </w:p>
    <w:p w:rsidR="00496479" w:rsidP="0086174F" w14:paraId="7FC5C95C" w14:textId="1E98B31D">
      <w:pPr>
        <w:pStyle w:val="Paranum0"/>
        <w:widowControl/>
        <w:numPr>
          <w:ilvl w:val="0"/>
          <w:numId w:val="13"/>
        </w:numPr>
        <w:jc w:val="left"/>
        <w:rPr>
          <w:szCs w:val="22"/>
        </w:rPr>
      </w:pPr>
      <w:bookmarkStart w:id="126" w:name="_Hlk46735496"/>
      <w:r w:rsidRPr="00C87DEC">
        <w:rPr>
          <w:szCs w:val="22"/>
        </w:rPr>
        <w:t>That all earth stations for which the lump sum is being elected will not have ceased operation more than 90 days before the deadline for the lump sum election</w:t>
      </w:r>
      <w:r w:rsidR="00CB5348">
        <w:rPr>
          <w:szCs w:val="22"/>
        </w:rPr>
        <w:t>;</w:t>
      </w:r>
      <w:bookmarkEnd w:id="126"/>
    </w:p>
    <w:p w:rsidR="003625BF" w:rsidRPr="008F7BAE" w:rsidP="0086174F" w14:paraId="3D683E6C" w14:textId="32158CC2">
      <w:pPr>
        <w:pStyle w:val="Paranum0"/>
        <w:widowControl/>
        <w:numPr>
          <w:ilvl w:val="0"/>
          <w:numId w:val="13"/>
        </w:numPr>
        <w:jc w:val="left"/>
        <w:rPr>
          <w:szCs w:val="22"/>
        </w:rPr>
      </w:pPr>
      <w:r w:rsidRPr="00642B89">
        <w:rPr>
          <w:szCs w:val="22"/>
        </w:rPr>
        <w:t>That</w:t>
      </w:r>
      <w:r w:rsidRPr="0034058D" w:rsidR="0034058D">
        <w:rPr>
          <w:szCs w:val="22"/>
        </w:rPr>
        <w:t>, if</w:t>
      </w:r>
      <w:r w:rsidRPr="00642B89">
        <w:rPr>
          <w:szCs w:val="22"/>
        </w:rPr>
        <w:t xml:space="preserve"> the incumbent earth station owner </w:t>
      </w:r>
      <w:r w:rsidRPr="00606053" w:rsidR="00606053">
        <w:rPr>
          <w:szCs w:val="22"/>
        </w:rPr>
        <w:t>intends to continue to receive content from a satellite operator after the transition</w:t>
      </w:r>
      <w:r w:rsidR="00150A48">
        <w:rPr>
          <w:szCs w:val="22"/>
        </w:rPr>
        <w:t xml:space="preserve"> </w:t>
      </w:r>
      <w:r w:rsidRPr="00150A48" w:rsidR="00150A48">
        <w:rPr>
          <w:szCs w:val="22"/>
        </w:rPr>
        <w:t>at any of its earth station</w:t>
      </w:r>
      <w:r w:rsidR="00485D21">
        <w:rPr>
          <w:szCs w:val="22"/>
        </w:rPr>
        <w:t xml:space="preserve"> antennas</w:t>
      </w:r>
      <w:r w:rsidRPr="00606053" w:rsidR="00606053">
        <w:rPr>
          <w:szCs w:val="22"/>
        </w:rPr>
        <w:t xml:space="preserve">, it </w:t>
      </w:r>
      <w:r w:rsidRPr="00642B89">
        <w:rPr>
          <w:szCs w:val="22"/>
        </w:rPr>
        <w:t xml:space="preserve">accepts responsibility for </w:t>
      </w:r>
      <w:r w:rsidRPr="00A37629" w:rsidR="00A37629">
        <w:rPr>
          <w:szCs w:val="22"/>
        </w:rPr>
        <w:t xml:space="preserve">undertaking the </w:t>
      </w:r>
      <w:r w:rsidRPr="00642B89">
        <w:rPr>
          <w:szCs w:val="22"/>
        </w:rPr>
        <w:t xml:space="preserve">necessary transition actions </w:t>
      </w:r>
      <w:r w:rsidR="00C80C72">
        <w:rPr>
          <w:szCs w:val="22"/>
        </w:rPr>
        <w:t>in accordance with the timelines set forth in the satellite operators’ Transition Plans</w:t>
      </w:r>
      <w:r w:rsidRPr="00642B89">
        <w:rPr>
          <w:szCs w:val="22"/>
        </w:rPr>
        <w:t>;</w:t>
      </w:r>
    </w:p>
    <w:p w:rsidR="00402FA2" w:rsidP="0086174F" w14:paraId="1C65A0BB" w14:textId="2039C4BC">
      <w:pPr>
        <w:pStyle w:val="Paranum0"/>
        <w:widowControl/>
        <w:numPr>
          <w:ilvl w:val="0"/>
          <w:numId w:val="13"/>
        </w:numPr>
        <w:jc w:val="left"/>
        <w:rPr>
          <w:szCs w:val="22"/>
        </w:rPr>
      </w:pPr>
      <w:r w:rsidRPr="008F7BAE">
        <w:rPr>
          <w:szCs w:val="22"/>
        </w:rPr>
        <w:t xml:space="preserve">That the incumbent earth station owner </w:t>
      </w:r>
      <w:r>
        <w:rPr>
          <w:szCs w:val="22"/>
        </w:rPr>
        <w:t>agrees to coordinate with the relevant space station operator as necessary to complete the transition;</w:t>
      </w:r>
      <w:r>
        <w:rPr>
          <w:szCs w:val="22"/>
          <w:vertAlign w:val="superscript"/>
        </w:rPr>
        <w:footnoteReference w:id="149"/>
      </w:r>
      <w:r>
        <w:rPr>
          <w:szCs w:val="22"/>
        </w:rPr>
        <w:t xml:space="preserve"> </w:t>
      </w:r>
    </w:p>
    <w:p w:rsidR="00677E56" w:rsidRPr="008F7BAE" w:rsidP="0086174F" w14:paraId="1D3EDE32" w14:textId="1660D94A">
      <w:pPr>
        <w:pStyle w:val="Paranum0"/>
        <w:widowControl/>
        <w:numPr>
          <w:ilvl w:val="0"/>
          <w:numId w:val="13"/>
        </w:numPr>
        <w:jc w:val="left"/>
        <w:rPr>
          <w:szCs w:val="22"/>
        </w:rPr>
      </w:pPr>
      <w:r w:rsidRPr="008F7BAE">
        <w:rPr>
          <w:szCs w:val="22"/>
        </w:rPr>
        <w:t xml:space="preserve">An irrevocable release of claims for reimbursement </w:t>
      </w:r>
      <w:r w:rsidRPr="008F7BAE" w:rsidR="0018298F">
        <w:rPr>
          <w:szCs w:val="22"/>
        </w:rPr>
        <w:t>for actual reasonable relocation costs</w:t>
      </w:r>
      <w:r w:rsidRPr="008F7BAE" w:rsidR="001E2768">
        <w:rPr>
          <w:szCs w:val="22"/>
        </w:rPr>
        <w:t xml:space="preserve"> from the Relocation Payment Clearinghous</w:t>
      </w:r>
      <w:r w:rsidRPr="008F7BAE" w:rsidR="002E3BD3">
        <w:rPr>
          <w:szCs w:val="22"/>
        </w:rPr>
        <w:t>e, eligible satellite operators, or video program</w:t>
      </w:r>
      <w:r w:rsidRPr="008F7BAE" w:rsidR="00974362">
        <w:rPr>
          <w:szCs w:val="22"/>
        </w:rPr>
        <w:t>m</w:t>
      </w:r>
      <w:r w:rsidRPr="008F7BAE" w:rsidR="002E3BD3">
        <w:rPr>
          <w:szCs w:val="22"/>
        </w:rPr>
        <w:t>ers</w:t>
      </w:r>
      <w:r w:rsidRPr="008F7BAE">
        <w:rPr>
          <w:szCs w:val="22"/>
        </w:rPr>
        <w:t>;</w:t>
      </w:r>
      <w:r w:rsidRPr="008F7BAE" w:rsidR="007C4340">
        <w:rPr>
          <w:szCs w:val="22"/>
        </w:rPr>
        <w:t xml:space="preserve"> and</w:t>
      </w:r>
    </w:p>
    <w:p w:rsidR="004E0BFC" w:rsidRPr="008F7BAE" w:rsidP="00193A7B" w14:paraId="2D7B2900" w14:textId="4A31F197">
      <w:pPr>
        <w:pStyle w:val="Paranum0"/>
        <w:widowControl/>
        <w:numPr>
          <w:ilvl w:val="0"/>
          <w:numId w:val="13"/>
        </w:numPr>
        <w:jc w:val="left"/>
        <w:rPr>
          <w:szCs w:val="22"/>
        </w:rPr>
      </w:pPr>
      <w:r w:rsidRPr="008F7BAE">
        <w:rPr>
          <w:szCs w:val="22"/>
        </w:rPr>
        <w:t>An irrevocable release of claims against the payor and/or Commission with respect to any dispute about the amount received</w:t>
      </w:r>
      <w:r w:rsidRPr="008F7BAE">
        <w:rPr>
          <w:szCs w:val="22"/>
        </w:rPr>
        <w:t xml:space="preserve">. </w:t>
      </w:r>
    </w:p>
    <w:p w:rsidR="00D33283" w:rsidRPr="008F7BAE" w:rsidP="00D33283" w14:paraId="3D1B2942" w14:textId="77777777">
      <w:pPr>
        <w:pStyle w:val="Paranum0"/>
        <w:widowControl/>
        <w:ind w:firstLine="720"/>
        <w:jc w:val="center"/>
        <w:rPr>
          <w:szCs w:val="22"/>
        </w:rPr>
      </w:pPr>
      <w:r w:rsidRPr="008F7BAE">
        <w:rPr>
          <w:szCs w:val="22"/>
        </w:rPr>
        <w:t>***</w:t>
      </w:r>
    </w:p>
    <w:p w:rsidR="00706873" w:rsidRPr="008F7BAE" w:rsidP="00706873" w14:paraId="02BB4102" w14:textId="119725F1">
      <w:pPr>
        <w:spacing w:after="120"/>
        <w:ind w:firstLine="720"/>
        <w:rPr>
          <w:szCs w:val="22"/>
        </w:rPr>
      </w:pPr>
      <w:r w:rsidRPr="008F7BAE">
        <w:rPr>
          <w:i/>
          <w:szCs w:val="22"/>
        </w:rPr>
        <w:t xml:space="preserve">Filing Requirements.  </w:t>
      </w:r>
      <w:r w:rsidRPr="008F7BAE" w:rsidR="00CC5AD7">
        <w:rPr>
          <w:szCs w:val="22"/>
        </w:rPr>
        <w:t xml:space="preserve">Incumbent earth station </w:t>
      </w:r>
      <w:r w:rsidRPr="008F7BAE" w:rsidR="0003459E">
        <w:rPr>
          <w:szCs w:val="22"/>
        </w:rPr>
        <w:t>owners</w:t>
      </w:r>
      <w:r w:rsidRPr="008F7BAE" w:rsidR="00CC5AD7">
        <w:rPr>
          <w:szCs w:val="22"/>
        </w:rPr>
        <w:t xml:space="preserve"> electing the lump sum must file</w:t>
      </w:r>
      <w:r w:rsidRPr="008F7BAE">
        <w:rPr>
          <w:szCs w:val="22"/>
        </w:rPr>
        <w:t xml:space="preserve"> </w:t>
      </w:r>
      <w:r w:rsidRPr="008F7BAE" w:rsidR="00901672">
        <w:rPr>
          <w:szCs w:val="22"/>
        </w:rPr>
        <w:t xml:space="preserve">their elections </w:t>
      </w:r>
      <w:r w:rsidRPr="008F7BAE">
        <w:rPr>
          <w:szCs w:val="22"/>
        </w:rPr>
        <w:t xml:space="preserve">on or before the date indicated </w:t>
      </w:r>
      <w:r w:rsidRPr="008F7BAE" w:rsidR="00096575">
        <w:rPr>
          <w:szCs w:val="22"/>
        </w:rPr>
        <w:t>in</w:t>
      </w:r>
      <w:r w:rsidRPr="008F7BAE">
        <w:rPr>
          <w:szCs w:val="22"/>
        </w:rPr>
        <w:t xml:space="preserve"> </w:t>
      </w:r>
      <w:r w:rsidRPr="008F7BAE" w:rsidR="00096575">
        <w:rPr>
          <w:szCs w:val="22"/>
        </w:rPr>
        <w:t xml:space="preserve">the “Lump </w:t>
      </w:r>
      <w:r w:rsidRPr="008F7BAE" w:rsidR="004A62EB">
        <w:rPr>
          <w:szCs w:val="22"/>
        </w:rPr>
        <w:t>S</w:t>
      </w:r>
      <w:r w:rsidRPr="008F7BAE" w:rsidR="00096575">
        <w:rPr>
          <w:szCs w:val="22"/>
        </w:rPr>
        <w:t>um Election Process” section of this document</w:t>
      </w:r>
      <w:r w:rsidRPr="008F7BAE">
        <w:rPr>
          <w:szCs w:val="22"/>
        </w:rPr>
        <w:t xml:space="preserve">.  </w:t>
      </w:r>
      <w:r w:rsidRPr="008F7BAE">
        <w:rPr>
          <w:iCs/>
          <w:szCs w:val="22"/>
        </w:rPr>
        <w:t xml:space="preserve">All filings must reference </w:t>
      </w:r>
      <w:r w:rsidRPr="008F7BAE" w:rsidR="0092792E">
        <w:rPr>
          <w:iCs/>
          <w:szCs w:val="22"/>
        </w:rPr>
        <w:t xml:space="preserve">IB </w:t>
      </w:r>
      <w:r w:rsidRPr="008F7BAE">
        <w:rPr>
          <w:iCs/>
          <w:szCs w:val="22"/>
        </w:rPr>
        <w:t xml:space="preserve">Docket No. </w:t>
      </w:r>
      <w:r w:rsidRPr="003F657B" w:rsidR="003F657B">
        <w:rPr>
          <w:iCs/>
          <w:szCs w:val="22"/>
        </w:rPr>
        <w:t>20-205</w:t>
      </w:r>
      <w:r w:rsidRPr="008F7BAE">
        <w:rPr>
          <w:iCs/>
          <w:szCs w:val="22"/>
        </w:rPr>
        <w:t xml:space="preserve">.  </w:t>
      </w:r>
      <w:r w:rsidRPr="008F7BAE" w:rsidR="0092792E">
        <w:rPr>
          <w:szCs w:val="22"/>
        </w:rPr>
        <w:t xml:space="preserve">Elections </w:t>
      </w:r>
      <w:r w:rsidRPr="008F7BAE">
        <w:rPr>
          <w:szCs w:val="22"/>
        </w:rPr>
        <w:t xml:space="preserve">may be filed using the Commission’s Electronic Comment Filing System (ECFS). </w:t>
      </w:r>
    </w:p>
    <w:p w:rsidR="00706873" w:rsidRPr="008F7BAE" w:rsidP="00706873" w14:paraId="64B994A9" w14:textId="77777777">
      <w:pPr>
        <w:numPr>
          <w:ilvl w:val="0"/>
          <w:numId w:val="8"/>
        </w:numPr>
        <w:spacing w:after="120"/>
        <w:ind w:left="720"/>
        <w:rPr>
          <w:szCs w:val="22"/>
        </w:rPr>
      </w:pPr>
      <w:r w:rsidRPr="008F7BAE">
        <w:rPr>
          <w:szCs w:val="22"/>
        </w:rPr>
        <w:t xml:space="preserve">Electronic Filers:  Comments may be filed electronically using the internet by accessing the ECFS: </w:t>
      </w:r>
      <w:hyperlink r:id="rId5" w:history="1">
        <w:r w:rsidRPr="008F7BAE">
          <w:rPr>
            <w:rStyle w:val="Hyperlink"/>
            <w:szCs w:val="22"/>
          </w:rPr>
          <w:t>https://www.fcc.gov/ecfs/</w:t>
        </w:r>
      </w:hyperlink>
      <w:r w:rsidRPr="008F7BAE">
        <w:rPr>
          <w:szCs w:val="22"/>
        </w:rPr>
        <w:t xml:space="preserve">. </w:t>
      </w:r>
    </w:p>
    <w:p w:rsidR="00706873" w:rsidRPr="008F7BAE" w:rsidP="00706873" w14:paraId="3E88F44F" w14:textId="77777777">
      <w:pPr>
        <w:numPr>
          <w:ilvl w:val="0"/>
          <w:numId w:val="8"/>
        </w:numPr>
        <w:spacing w:after="120"/>
        <w:ind w:left="720"/>
        <w:rPr>
          <w:szCs w:val="22"/>
        </w:rPr>
      </w:pPr>
      <w:r w:rsidRPr="008F7BAE">
        <w:rPr>
          <w:szCs w:val="22"/>
        </w:rPr>
        <w:t xml:space="preserve">Paper Filers:  Parties who choose to file by paper must file an original and one copy of each filing.  </w:t>
      </w:r>
    </w:p>
    <w:p w:rsidR="00706873" w:rsidRPr="008F7BAE" w:rsidP="00706873" w14:paraId="27114E2C" w14:textId="77777777">
      <w:pPr>
        <w:spacing w:after="120"/>
        <w:ind w:left="720"/>
        <w:rPr>
          <w:szCs w:val="22"/>
        </w:rPr>
      </w:pPr>
      <w:r w:rsidRPr="008F7BAE">
        <w:rPr>
          <w:szCs w:val="22"/>
        </w:rPr>
        <w:t>Filings can be sent by commercial courier or by the U.S. Postal Service.  All filings must be addressed to the Commission’s Secretary, Office of the Secretary, Federal Communications Commission.</w:t>
      </w:r>
    </w:p>
    <w:p w:rsidR="00706873" w:rsidRPr="008F7BAE" w:rsidP="00706873" w14:paraId="5DF0AECC" w14:textId="77777777">
      <w:pPr>
        <w:numPr>
          <w:ilvl w:val="0"/>
          <w:numId w:val="8"/>
        </w:numPr>
        <w:spacing w:after="120"/>
        <w:rPr>
          <w:szCs w:val="22"/>
        </w:rPr>
      </w:pPr>
      <w:r w:rsidRPr="008F7BAE">
        <w:rPr>
          <w:szCs w:val="22"/>
        </w:rPr>
        <w:t xml:space="preserve">Commercial deliveries (other than U.S. Postal Service Express Mail and Priority Mail) must be sent to 9050 Junction Drive, Annapolis Junction, MD 20701. </w:t>
      </w:r>
    </w:p>
    <w:p w:rsidR="00706873" w:rsidRPr="008F7BAE" w:rsidP="00706873" w14:paraId="756EA684" w14:textId="77777777">
      <w:pPr>
        <w:numPr>
          <w:ilvl w:val="0"/>
          <w:numId w:val="8"/>
        </w:numPr>
        <w:spacing w:after="120"/>
        <w:rPr>
          <w:szCs w:val="22"/>
        </w:rPr>
      </w:pPr>
      <w:r w:rsidRPr="008F7BAE">
        <w:rPr>
          <w:szCs w:val="22"/>
        </w:rPr>
        <w:t>U.S. Postal Service First-Class, Express, and Priority mail must be addressed to 445 12</w:t>
      </w:r>
      <w:r w:rsidRPr="008F7BAE">
        <w:rPr>
          <w:szCs w:val="22"/>
          <w:vertAlign w:val="superscript"/>
        </w:rPr>
        <w:t>th</w:t>
      </w:r>
      <w:r w:rsidRPr="008F7BAE">
        <w:rPr>
          <w:szCs w:val="22"/>
        </w:rPr>
        <w:t xml:space="preserve"> Street, SW, Washington, DC 20554. </w:t>
      </w:r>
    </w:p>
    <w:p w:rsidR="00706873" w:rsidRPr="008F7BAE" w:rsidP="00706873" w14:paraId="30F71110" w14:textId="77777777">
      <w:pPr>
        <w:pStyle w:val="ListParagraph"/>
        <w:numPr>
          <w:ilvl w:val="0"/>
          <w:numId w:val="8"/>
        </w:numPr>
        <w:rPr>
          <w:rStyle w:val="Hyperlink"/>
          <w:rFonts w:ascii="Times New Roman" w:hAnsi="Times New Roman"/>
          <w:color w:val="auto"/>
        </w:rPr>
      </w:pPr>
      <w:r w:rsidRPr="008F7BAE">
        <w:rPr>
          <w:rFonts w:ascii="Times New Roman" w:hAnsi="Times New Roman"/>
          <w:b/>
          <w:bCs/>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w:t>
      </w:r>
      <w:r w:rsidRPr="008F7BAE">
        <w:rPr>
          <w:rFonts w:ascii="Times New Roman" w:hAnsi="Times New Roman"/>
          <w:b/>
          <w:bCs/>
          <w:i/>
          <w:iCs/>
        </w:rPr>
        <w:t>FCC Announces Closure of FCC Headquarters Open Window and Change in Hand-Delivery Policy</w:t>
      </w:r>
      <w:r w:rsidRPr="008F7BAE">
        <w:rPr>
          <w:rFonts w:ascii="Times New Roman" w:hAnsi="Times New Roman"/>
          <w:b/>
          <w:bCs/>
        </w:rPr>
        <w:t xml:space="preserve">, Public Notice, DA 20-304 (March 19, 2020).  </w:t>
      </w:r>
      <w:hyperlink r:id="rId6" w:history="1">
        <w:r w:rsidRPr="008F7BAE">
          <w:rPr>
            <w:rStyle w:val="Hyperlink"/>
            <w:rFonts w:ascii="Times New Roman" w:hAnsi="Times New Roman"/>
            <w:b/>
            <w:bCs/>
          </w:rPr>
          <w:t>https://www.fcc.gov/document/fcc-closes-headquarters-open-window-and-changes-hand-delivery-policy</w:t>
        </w:r>
      </w:hyperlink>
    </w:p>
    <w:p w:rsidR="00133D80" w:rsidRPr="008F7BAE" w:rsidP="004B47E0" w14:paraId="7CD6F26A" w14:textId="11565713">
      <w:pPr>
        <w:numPr>
          <w:ilvl w:val="0"/>
          <w:numId w:val="8"/>
        </w:numPr>
        <w:spacing w:after="120"/>
        <w:rPr>
          <w:i/>
          <w:iCs/>
          <w:szCs w:val="22"/>
        </w:rPr>
      </w:pPr>
      <w:r w:rsidRPr="008F7BAE">
        <w:rPr>
          <w:b/>
          <w:bCs/>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8C4517" w:rsidRPr="008F7BAE" w:rsidP="008C4517" w14:paraId="560AA1EA" w14:textId="1017D1C3">
      <w:pPr>
        <w:spacing w:after="120"/>
        <w:ind w:firstLine="720"/>
        <w:rPr>
          <w:szCs w:val="22"/>
        </w:rPr>
      </w:pPr>
      <w:r w:rsidRPr="008F7BAE">
        <w:rPr>
          <w:i/>
          <w:iCs/>
          <w:szCs w:val="22"/>
        </w:rPr>
        <w:t>People with Disabilities</w:t>
      </w:r>
      <w:r w:rsidRPr="008F7BAE">
        <w:rPr>
          <w:szCs w:val="22"/>
        </w:rPr>
        <w:t xml:space="preserve">:  To request materials in accessible formats for people with disabilities (braille, large print, electronic files, audio format), send an e-mail to </w:t>
      </w:r>
      <w:hyperlink r:id="rId7" w:history="1">
        <w:r w:rsidRPr="008F7BAE">
          <w:rPr>
            <w:rStyle w:val="Hyperlink"/>
            <w:szCs w:val="22"/>
          </w:rPr>
          <w:t>fcc504@fcc.gov</w:t>
        </w:r>
      </w:hyperlink>
      <w:r w:rsidRPr="008F7BAE">
        <w:rPr>
          <w:szCs w:val="22"/>
        </w:rPr>
        <w:t xml:space="preserve"> or call the Consumer &amp; Government Affairs Bureau at 202-418-0530 (voice, 202-418-0432 (tty). </w:t>
      </w:r>
    </w:p>
    <w:p w:rsidR="00D33283" w:rsidRPr="008F7BAE" w:rsidP="00D33283" w14:paraId="2204B949" w14:textId="77777777">
      <w:pPr>
        <w:ind w:firstLine="720"/>
        <w:rPr>
          <w:szCs w:val="22"/>
        </w:rPr>
      </w:pPr>
      <w:r w:rsidRPr="008F7BAE">
        <w:rPr>
          <w:i/>
          <w:szCs w:val="22"/>
        </w:rPr>
        <w:t xml:space="preserve">Additional Information.  </w:t>
      </w:r>
      <w:r w:rsidRPr="008F7BAE">
        <w:rPr>
          <w:szCs w:val="22"/>
        </w:rPr>
        <w:t xml:space="preserve">For further information regarding this Public Notice, please contact </w:t>
      </w:r>
      <w:r w:rsidRPr="008F7BAE" w:rsidR="004E4655">
        <w:rPr>
          <w:szCs w:val="22"/>
        </w:rPr>
        <w:t>Susan Mort</w:t>
      </w:r>
      <w:r w:rsidRPr="008F7BAE" w:rsidR="00E466B0">
        <w:rPr>
          <w:szCs w:val="22"/>
        </w:rPr>
        <w:t xml:space="preserve">, Wireless Telecommunications Bureau, at </w:t>
      </w:r>
      <w:hyperlink r:id="rId8" w:history="1">
        <w:r w:rsidRPr="008F7BAE" w:rsidR="004E4655">
          <w:rPr>
            <w:rStyle w:val="Hyperlink"/>
            <w:szCs w:val="22"/>
          </w:rPr>
          <w:t>Susan.Mort@fcc.gov</w:t>
        </w:r>
      </w:hyperlink>
      <w:r w:rsidRPr="008F7BAE" w:rsidR="00E466B0">
        <w:rPr>
          <w:szCs w:val="22"/>
        </w:rPr>
        <w:t xml:space="preserve"> or 202-418-</w:t>
      </w:r>
      <w:r w:rsidRPr="008F7BAE" w:rsidR="004E4655">
        <w:rPr>
          <w:szCs w:val="22"/>
        </w:rPr>
        <w:t>2429</w:t>
      </w:r>
      <w:r w:rsidRPr="008F7BAE">
        <w:rPr>
          <w:szCs w:val="22"/>
        </w:rPr>
        <w:t>.</w:t>
      </w: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1A8" w:rsidP="0055614C" w14:paraId="2B502E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2071A8" w14:paraId="3E168B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1A8" w:rsidP="00910F12" w14:paraId="5FC7911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1A8" w14:paraId="7BB712D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586C" w14:paraId="5E291566" w14:textId="77777777">
      <w:r>
        <w:separator/>
      </w:r>
    </w:p>
  </w:footnote>
  <w:footnote w:type="continuationSeparator" w:id="1">
    <w:p w:rsidR="00EA586C" w14:paraId="140A0242" w14:textId="77777777">
      <w:pPr>
        <w:rPr>
          <w:sz w:val="20"/>
        </w:rPr>
      </w:pPr>
      <w:r>
        <w:rPr>
          <w:sz w:val="20"/>
        </w:rPr>
        <w:t xml:space="preserve">(Continued from previous page)  </w:t>
      </w:r>
      <w:r>
        <w:rPr>
          <w:sz w:val="20"/>
        </w:rPr>
        <w:separator/>
      </w:r>
    </w:p>
  </w:footnote>
  <w:footnote w:type="continuationNotice" w:id="2">
    <w:p w:rsidR="00EA586C" w:rsidP="00910F12" w14:paraId="68E7AE43" w14:textId="77777777">
      <w:pPr>
        <w:jc w:val="right"/>
        <w:rPr>
          <w:sz w:val="20"/>
        </w:rPr>
      </w:pPr>
      <w:r>
        <w:rPr>
          <w:sz w:val="20"/>
        </w:rPr>
        <w:t>(continued….)</w:t>
      </w:r>
    </w:p>
  </w:footnote>
  <w:footnote w:id="3">
    <w:p w:rsidR="002071A8" w:rsidRPr="00B95F55" w:rsidP="00D33283" w14:paraId="07176C7D" w14:textId="77777777">
      <w:pPr>
        <w:pStyle w:val="FootnoteText"/>
      </w:pPr>
      <w:r>
        <w:rPr>
          <w:rStyle w:val="FootnoteReference"/>
        </w:rPr>
        <w:footnoteRef/>
      </w:r>
      <w:r>
        <w:t xml:space="preserve"> </w:t>
      </w:r>
      <w:r w:rsidRPr="00B95F55">
        <w:rPr>
          <w:i/>
          <w:iCs/>
        </w:rPr>
        <w:t>Expanding Flexible Use of the 3.7 to 4.2 GHz Band</w:t>
      </w:r>
      <w:r>
        <w:t xml:space="preserve">, GN Docket No. 18-122, Report and Order and Order of Proposed Modification, </w:t>
      </w:r>
      <w:r w:rsidRPr="008E618F">
        <w:t>35 FCC Rcd 2343, 2345</w:t>
      </w:r>
      <w:r>
        <w:t>, para. 4 (2020) (</w:t>
      </w:r>
      <w:r w:rsidRPr="000F48DE">
        <w:rPr>
          <w:i/>
          <w:iCs/>
        </w:rPr>
        <w:t xml:space="preserve">3.7 GHz </w:t>
      </w:r>
      <w:r>
        <w:rPr>
          <w:i/>
          <w:iCs/>
        </w:rPr>
        <w:t>Report and Order</w:t>
      </w:r>
      <w:r>
        <w:t>).</w:t>
      </w:r>
    </w:p>
  </w:footnote>
  <w:footnote w:id="4">
    <w:p w:rsidR="002071A8" w:rsidP="00F00C2B" w14:paraId="47CD897C" w14:textId="62A2C83D">
      <w:pPr>
        <w:pStyle w:val="FootnoteText"/>
      </w:pPr>
      <w:r w:rsidRPr="005A61AE">
        <w:rPr>
          <w:rStyle w:val="FootnoteReference"/>
        </w:rPr>
        <w:footnoteRef/>
      </w:r>
      <w:r w:rsidRPr="005A61AE">
        <w:t xml:space="preserve"> </w:t>
      </w:r>
      <w:r w:rsidRPr="005A61AE">
        <w:rPr>
          <w:i/>
          <w:iCs/>
        </w:rPr>
        <w:t xml:space="preserve">Id. </w:t>
      </w:r>
      <w:r w:rsidRPr="005A61AE">
        <w:t xml:space="preserve">at 2391, 2465-66, paras. 111, 326; 47 CFR § 27.4.  The </w:t>
      </w:r>
      <w:r w:rsidRPr="005A61AE">
        <w:rPr>
          <w:i/>
          <w:iCs/>
        </w:rPr>
        <w:t xml:space="preserve">3.7 GHz Band Report and Order </w:t>
      </w:r>
      <w:r w:rsidRPr="005A61AE">
        <w:t xml:space="preserve">defines the incumbents that will be eligible to </w:t>
      </w:r>
      <w:bookmarkStart w:id="10" w:name="_Hlk43828054"/>
      <w:r w:rsidRPr="005A61AE">
        <w:t>be reimbursed for</w:t>
      </w:r>
      <w:bookmarkEnd w:id="10"/>
      <w:r w:rsidRPr="005A61AE">
        <w:t xml:space="preserve"> their reasonable relocation costs.  </w:t>
      </w:r>
      <w:r w:rsidRPr="005A61AE">
        <w:rPr>
          <w:i/>
          <w:iCs/>
        </w:rPr>
        <w:t xml:space="preserve">See </w:t>
      </w:r>
      <w:bookmarkStart w:id="11" w:name="_Hlk37840202"/>
      <w:r w:rsidRPr="005A61AE">
        <w:rPr>
          <w:i/>
          <w:iCs/>
        </w:rPr>
        <w:t xml:space="preserve">id. </w:t>
      </w:r>
      <w:r w:rsidRPr="005A61AE">
        <w:t>at 2426, para. 200 (</w:t>
      </w:r>
      <w:r>
        <w:t xml:space="preserve">defining an eligible space station operator as </w:t>
      </w:r>
      <w:r w:rsidRPr="005A61AE">
        <w:t>“an incumbent space station operator</w:t>
      </w:r>
      <w:r>
        <w:t>”</w:t>
      </w:r>
      <w:r w:rsidRPr="005A61AE">
        <w:t xml:space="preserve"> </w:t>
      </w:r>
      <w:r>
        <w:t>that “</w:t>
      </w:r>
      <w:r w:rsidRPr="005A61AE">
        <w:t xml:space="preserve">must have demonstrated, no later than February 1, 2020, that it has an existing relationship to provide service via C-band satellite transmission to one or more incumbent earth stations in the contiguous United States”); </w:t>
      </w:r>
      <w:bookmarkStart w:id="12" w:name="_Hlk38620848"/>
      <w:r w:rsidRPr="005A61AE">
        <w:t>47 CFR § 27.1411(b)(1)-(2) (defining eligible space station operators and incumbent space station operators)</w:t>
      </w:r>
      <w:bookmarkEnd w:id="12"/>
      <w:r w:rsidRPr="005A61AE">
        <w:t xml:space="preserve">; </w:t>
      </w:r>
      <w:r w:rsidRPr="005A61AE">
        <w:rPr>
          <w:i/>
          <w:iCs/>
        </w:rPr>
        <w:t>3.7 GHz Report and Order</w:t>
      </w:r>
      <w:r w:rsidRPr="005A61AE">
        <w:t>, 35 FCC Rcd</w:t>
      </w:r>
      <w:r w:rsidRPr="005A61AE">
        <w:rPr>
          <w:i/>
          <w:iCs/>
        </w:rPr>
        <w:t xml:space="preserve"> </w:t>
      </w:r>
      <w:r w:rsidRPr="005A61AE">
        <w:t>at 2392, para. 116 (</w:t>
      </w:r>
      <w:r>
        <w:t xml:space="preserve">defining </w:t>
      </w:r>
      <w:r w:rsidRPr="005A61AE">
        <w:t xml:space="preserve">incumbent earth stations </w:t>
      </w:r>
      <w:r>
        <w:t>as</w:t>
      </w:r>
      <w:r w:rsidRPr="005A61AE">
        <w:t xml:space="preserve"> those Fixed Satellite Service earth stations that: “(1) were operational as of April 19, 2018; (2) are licensed or registered (or had a pending application for license or registration) in the IBFS database as of November 7, 2018; and (3) have timely certified, to the extent required by the Order adopted in FCC 18-91 (as we clarify . . . to include certain renewal applications and license and registration applications filed through November 7, 2018), the accuracy of information on file with the Commission”); 47 CFR § 27.1411(b)(3) (defining incumbent earth stations); </w:t>
      </w:r>
      <w:r w:rsidRPr="005A61AE">
        <w:rPr>
          <w:i/>
          <w:iCs/>
        </w:rPr>
        <w:t>3.7 GHz Report and Order</w:t>
      </w:r>
      <w:r w:rsidRPr="005A61AE">
        <w:t>, 35 FCC Rcd</w:t>
      </w:r>
      <w:r w:rsidRPr="005A61AE">
        <w:rPr>
          <w:i/>
          <w:iCs/>
        </w:rPr>
        <w:t xml:space="preserve"> </w:t>
      </w:r>
      <w:r w:rsidRPr="005A61AE">
        <w:t>at 2465, para. 326 (</w:t>
      </w:r>
      <w:r>
        <w:t xml:space="preserve">defining incumbent Fixed Service licensees as </w:t>
      </w:r>
      <w:r w:rsidRPr="005A61AE">
        <w:t>“</w:t>
      </w:r>
      <w:r>
        <w:t>[i]</w:t>
      </w:r>
      <w:r w:rsidRPr="005A61AE">
        <w:t xml:space="preserve">ncumbent licensees of point-to-point Fixed Service links that relocate out of the 3.7-4.2 GHz band by December 5, 2023”).  </w:t>
      </w:r>
      <w:bookmarkEnd w:id="11"/>
      <w:r>
        <w:t xml:space="preserve">The </w:t>
      </w:r>
      <w:r w:rsidRPr="005A61AE">
        <w:rPr>
          <w:i/>
          <w:iCs/>
        </w:rPr>
        <w:t xml:space="preserve">3.7 GHz Band Report and Order </w:t>
      </w:r>
      <w:r>
        <w:t xml:space="preserve">provides limited instances in which earth stations outside of the contiguous United States are eligible for reimbursement.  </w:t>
      </w:r>
      <w:r w:rsidRPr="005A61AE">
        <w:rPr>
          <w:i/>
          <w:iCs/>
        </w:rPr>
        <w:t>See id.</w:t>
      </w:r>
      <w:r w:rsidRPr="005A61AE">
        <w:t xml:space="preserve"> at 2428, para. 204 (providing for reimbursement for expenses of earth stations located outside of the contiguous United States to the extent it can be demonstrated that the system modifications for which reimbursement is sought is a direct result of the C-band transition).  The process by which costs will be determined to be reimbursable is defined in 47 CFR § 25.1416.</w:t>
      </w:r>
    </w:p>
  </w:footnote>
  <w:footnote w:id="5">
    <w:p w:rsidR="002071A8" w:rsidP="00D33283" w14:paraId="121300DC" w14:textId="3E7DEC05">
      <w:pPr>
        <w:pStyle w:val="FootnoteText"/>
      </w:pPr>
      <w:r>
        <w:rPr>
          <w:rStyle w:val="FootnoteReference"/>
        </w:rPr>
        <w:footnoteRef/>
      </w:r>
      <w:r>
        <w:t xml:space="preserve"> </w:t>
      </w:r>
      <w:bookmarkStart w:id="13" w:name="_Hlk37840494"/>
      <w:r>
        <w:rPr>
          <w:i/>
          <w:iCs/>
        </w:rPr>
        <w:t xml:space="preserve">See </w:t>
      </w:r>
      <w:r w:rsidRPr="00587591">
        <w:rPr>
          <w:i/>
          <w:iCs/>
        </w:rPr>
        <w:t xml:space="preserve">3.7 GHz </w:t>
      </w:r>
      <w:r>
        <w:rPr>
          <w:i/>
          <w:iCs/>
        </w:rPr>
        <w:t>Report and Order</w:t>
      </w:r>
      <w:r>
        <w:t xml:space="preserve">, </w:t>
      </w:r>
      <w:r w:rsidRPr="008E618F">
        <w:t>35 FCC Rcd</w:t>
      </w:r>
      <w:r>
        <w:rPr>
          <w:i/>
          <w:iCs/>
        </w:rPr>
        <w:t xml:space="preserve"> </w:t>
      </w:r>
      <w:r>
        <w:t xml:space="preserve">at 2448, para. 262 (directing Wireless Telecommunications Bureau to approve a cost category schedule); 47 CFR </w:t>
      </w:r>
      <w:r w:rsidRPr="005A61AE">
        <w:t>§ </w:t>
      </w:r>
      <w:r>
        <w:t>27.1416(a).</w:t>
      </w:r>
      <w:bookmarkEnd w:id="13"/>
    </w:p>
  </w:footnote>
  <w:footnote w:id="6">
    <w:p w:rsidR="002071A8" w:rsidRPr="0036324F" w14:paraId="7E14C46C" w14:textId="7FD458B9">
      <w:pPr>
        <w:pStyle w:val="FootnoteText"/>
      </w:pPr>
      <w:r>
        <w:rPr>
          <w:rStyle w:val="FootnoteReference"/>
        </w:rPr>
        <w:footnoteRef/>
      </w:r>
      <w:r>
        <w:t xml:space="preserve"> </w:t>
      </w:r>
      <w:r w:rsidRPr="00587591">
        <w:rPr>
          <w:i/>
          <w:iCs/>
        </w:rPr>
        <w:t xml:space="preserve">3.7 GHz </w:t>
      </w:r>
      <w:r>
        <w:rPr>
          <w:i/>
          <w:iCs/>
        </w:rPr>
        <w:t>Report and Order</w:t>
      </w:r>
      <w:r>
        <w:t xml:space="preserve">, </w:t>
      </w:r>
      <w:r w:rsidRPr="008E618F">
        <w:t>35 FCC Rcd</w:t>
      </w:r>
      <w:r>
        <w:t xml:space="preserve"> at 2446, para. 255.</w:t>
      </w:r>
    </w:p>
  </w:footnote>
  <w:footnote w:id="7">
    <w:p w:rsidR="002071A8" w14:paraId="7DC04E87" w14:textId="38BC702E">
      <w:pPr>
        <w:pStyle w:val="FootnoteText"/>
      </w:pPr>
      <w:r>
        <w:rPr>
          <w:rStyle w:val="FootnoteReference"/>
        </w:rPr>
        <w:footnoteRef/>
      </w:r>
      <w:r>
        <w:t xml:space="preserve"> </w:t>
      </w:r>
      <w:r>
        <w:rPr>
          <w:i/>
          <w:iCs/>
        </w:rPr>
        <w:t xml:space="preserve">Id. </w:t>
      </w:r>
      <w:r>
        <w:t>at 2448, para. 262</w:t>
      </w:r>
      <w:r w:rsidRPr="006F2E2B">
        <w:t xml:space="preserve">; 47 CFR </w:t>
      </w:r>
      <w:r w:rsidRPr="005A61AE">
        <w:t>§ </w:t>
      </w:r>
      <w:r w:rsidRPr="006F2E2B">
        <w:t>27.1416(a)</w:t>
      </w:r>
      <w:r>
        <w:t>.</w:t>
      </w:r>
    </w:p>
  </w:footnote>
  <w:footnote w:id="8">
    <w:p w:rsidR="002071A8" w:rsidRPr="008B7C93" w14:paraId="5F2CDCAF" w14:textId="72AD29DF">
      <w:pPr>
        <w:pStyle w:val="FootnoteText"/>
      </w:pPr>
      <w:r>
        <w:rPr>
          <w:rStyle w:val="FootnoteReference"/>
        </w:rPr>
        <w:footnoteRef/>
      </w:r>
      <w:r>
        <w:t xml:space="preserve"> </w:t>
      </w:r>
      <w:r>
        <w:rPr>
          <w:i/>
          <w:iCs/>
        </w:rPr>
        <w:t xml:space="preserve">See </w:t>
      </w:r>
      <w:r w:rsidRPr="00587591">
        <w:rPr>
          <w:i/>
          <w:iCs/>
        </w:rPr>
        <w:t xml:space="preserve">3.7 GHz </w:t>
      </w:r>
      <w:r>
        <w:rPr>
          <w:i/>
          <w:iCs/>
        </w:rPr>
        <w:t>Report and Order</w:t>
      </w:r>
      <w:r>
        <w:t xml:space="preserve">, </w:t>
      </w:r>
      <w:r w:rsidRPr="008E618F">
        <w:t>35 FCC Rcd</w:t>
      </w:r>
      <w:r>
        <w:rPr>
          <w:i/>
          <w:iCs/>
        </w:rPr>
        <w:t xml:space="preserve"> </w:t>
      </w:r>
      <w:r>
        <w:t>at 2447-48, paras. 260-62.</w:t>
      </w:r>
    </w:p>
  </w:footnote>
  <w:footnote w:id="9">
    <w:p w:rsidR="002071A8" w:rsidP="00112B50" w14:paraId="5BB64063" w14:textId="1ADA7D15">
      <w:pPr>
        <w:pStyle w:val="FootnoteText"/>
      </w:pPr>
      <w:r>
        <w:rPr>
          <w:rStyle w:val="FootnoteReference"/>
        </w:rPr>
        <w:footnoteRef/>
      </w:r>
      <w:r>
        <w:t xml:space="preserve"> </w:t>
      </w:r>
      <w:r>
        <w:rPr>
          <w:i/>
          <w:iCs/>
        </w:rPr>
        <w:t>Id.</w:t>
      </w:r>
      <w:r>
        <w:t xml:space="preserve"> at 2427-28, paras. 202-203.  </w:t>
      </w:r>
      <w:r>
        <w:rPr>
          <w:i/>
          <w:iCs/>
        </w:rPr>
        <w:t xml:space="preserve">But see id. </w:t>
      </w:r>
      <w:r>
        <w:t>at 2428, para. 204, n.550 (noting that “incumbent earth stations owners may not elect a lump sum payment for earth stations outside of the contiguous United States”).</w:t>
      </w:r>
    </w:p>
  </w:footnote>
  <w:footnote w:id="10">
    <w:p w:rsidR="002071A8" w:rsidP="006E7F2B" w14:paraId="37882FF8" w14:textId="155758C2">
      <w:pPr>
        <w:pStyle w:val="FootnoteText"/>
      </w:pPr>
      <w:r>
        <w:rPr>
          <w:rStyle w:val="FootnoteReference"/>
        </w:rPr>
        <w:footnoteRef/>
      </w:r>
      <w:r>
        <w:t xml:space="preserve"> </w:t>
      </w:r>
      <w:r>
        <w:rPr>
          <w:i/>
          <w:iCs/>
        </w:rPr>
        <w:t xml:space="preserve">See </w:t>
      </w:r>
      <w:r w:rsidRPr="00587591">
        <w:rPr>
          <w:i/>
          <w:iCs/>
        </w:rPr>
        <w:t>3.7 GHz</w:t>
      </w:r>
      <w:r>
        <w:rPr>
          <w:i/>
          <w:iCs/>
        </w:rPr>
        <w:t xml:space="preserve"> Report and Order</w:t>
      </w:r>
      <w:r>
        <w:t xml:space="preserve">, </w:t>
      </w:r>
      <w:r w:rsidRPr="008E618F">
        <w:t>35 FCC Rcd</w:t>
      </w:r>
      <w:r>
        <w:rPr>
          <w:i/>
          <w:iCs/>
        </w:rPr>
        <w:t xml:space="preserve"> </w:t>
      </w:r>
      <w:r>
        <w:t>at 2428, para. 203.</w:t>
      </w:r>
    </w:p>
  </w:footnote>
  <w:footnote w:id="11">
    <w:p w:rsidR="002071A8" w:rsidP="001B2C77" w14:paraId="35C62416" w14:textId="77777777">
      <w:pPr>
        <w:pStyle w:val="FootnoteText"/>
      </w:pPr>
      <w:r>
        <w:rPr>
          <w:rStyle w:val="FootnoteReference"/>
        </w:rPr>
        <w:footnoteRef/>
      </w:r>
      <w:r>
        <w:t xml:space="preserve"> </w:t>
      </w:r>
      <w:r w:rsidRPr="00830EB0">
        <w:rPr>
          <w:i/>
        </w:rPr>
        <w:t xml:space="preserve">See </w:t>
      </w:r>
      <w:r>
        <w:rPr>
          <w:i/>
        </w:rPr>
        <w:t>id.</w:t>
      </w:r>
      <w:r w:rsidRPr="00830EB0">
        <w:rPr>
          <w:i/>
        </w:rPr>
        <w:t xml:space="preserve"> </w:t>
      </w:r>
      <w:r w:rsidRPr="00830EB0">
        <w:rPr>
          <w:iCs/>
        </w:rPr>
        <w:t xml:space="preserve">at </w:t>
      </w:r>
      <w:r>
        <w:rPr>
          <w:iCs/>
        </w:rPr>
        <w:t>2428-30</w:t>
      </w:r>
      <w:r w:rsidRPr="00830EB0">
        <w:rPr>
          <w:iCs/>
        </w:rPr>
        <w:t xml:space="preserve">, </w:t>
      </w:r>
      <w:r>
        <w:rPr>
          <w:iCs/>
        </w:rPr>
        <w:t xml:space="preserve">2465-66, </w:t>
      </w:r>
      <w:r w:rsidRPr="00830EB0">
        <w:rPr>
          <w:iCs/>
        </w:rPr>
        <w:t>paras. 206-10, 326-27</w:t>
      </w:r>
      <w:r w:rsidRPr="00830EB0">
        <w:t>.</w:t>
      </w:r>
    </w:p>
  </w:footnote>
  <w:footnote w:id="12">
    <w:p w:rsidR="002071A8" w14:paraId="0D633F14" w14:textId="67375FB7">
      <w:pPr>
        <w:pStyle w:val="FootnoteText"/>
      </w:pPr>
      <w:r>
        <w:rPr>
          <w:rStyle w:val="FootnoteReference"/>
        </w:rPr>
        <w:footnoteRef/>
      </w:r>
      <w:r>
        <w:t xml:space="preserve"> </w:t>
      </w:r>
      <w:r>
        <w:rPr>
          <w:i/>
          <w:iCs/>
        </w:rPr>
        <w:t xml:space="preserve">See </w:t>
      </w:r>
      <w:r w:rsidRPr="006A425A">
        <w:rPr>
          <w:i/>
          <w:iCs/>
        </w:rPr>
        <w:t xml:space="preserve">Wireless Telecommunications Bureau </w:t>
      </w:r>
      <w:r>
        <w:rPr>
          <w:i/>
          <w:iCs/>
        </w:rPr>
        <w:t>Seeks Comment on Preliminary Cost Category Schedule for</w:t>
      </w:r>
      <w:r w:rsidRPr="006A425A">
        <w:rPr>
          <w:i/>
          <w:iCs/>
        </w:rPr>
        <w:t xml:space="preserve"> 3.7-4.2 GHz Band</w:t>
      </w:r>
      <w:r>
        <w:rPr>
          <w:i/>
          <w:iCs/>
        </w:rPr>
        <w:t xml:space="preserve"> Relocation Expenses</w:t>
      </w:r>
      <w:r w:rsidRPr="006A425A">
        <w:t xml:space="preserve">, </w:t>
      </w:r>
      <w:r>
        <w:t xml:space="preserve">GN Docket No. 18-122, </w:t>
      </w:r>
      <w:r w:rsidRPr="006A425A">
        <w:t xml:space="preserve">Public Notice, </w:t>
      </w:r>
      <w:r>
        <w:t>35 FCC Rcd 4440, 4441</w:t>
      </w:r>
      <w:r w:rsidRPr="006A425A">
        <w:t xml:space="preserve"> (WTB 2020) (</w:t>
      </w:r>
      <w:r>
        <w:rPr>
          <w:i/>
          <w:iCs/>
        </w:rPr>
        <w:t xml:space="preserve">Cost Catalog Comment </w:t>
      </w:r>
      <w:r w:rsidRPr="006A425A">
        <w:rPr>
          <w:i/>
          <w:iCs/>
        </w:rPr>
        <w:t xml:space="preserve">Public </w:t>
      </w:r>
      <w:r w:rsidRPr="00C46F4D">
        <w:rPr>
          <w:i/>
          <w:iCs/>
        </w:rPr>
        <w:t>Notice</w:t>
      </w:r>
      <w:r w:rsidRPr="00C46F4D">
        <w:t>).</w:t>
      </w:r>
    </w:p>
  </w:footnote>
  <w:footnote w:id="13">
    <w:p w:rsidR="002071A8" w:rsidRPr="006A425A" w:rsidP="00C46F4D" w14:paraId="109B2A76" w14:textId="3C4A3037">
      <w:pPr>
        <w:pStyle w:val="FootnoteText"/>
      </w:pPr>
      <w:r>
        <w:rPr>
          <w:rStyle w:val="FootnoteReference"/>
        </w:rPr>
        <w:footnoteRef/>
      </w:r>
      <w:r>
        <w:t xml:space="preserve"> </w:t>
      </w:r>
      <w:r>
        <w:rPr>
          <w:i/>
          <w:iCs/>
        </w:rPr>
        <w:t xml:space="preserve">Cost Catalog Comment </w:t>
      </w:r>
      <w:r w:rsidRPr="006A425A">
        <w:rPr>
          <w:i/>
          <w:iCs/>
        </w:rPr>
        <w:t>Public Notic</w:t>
      </w:r>
      <w:r>
        <w:rPr>
          <w:i/>
          <w:iCs/>
        </w:rPr>
        <w:t>e</w:t>
      </w:r>
      <w:r>
        <w:t>, Attach., 35 FCC Rcd at 4444 (3.7 GHz Transition Preliminary Cost Category Schedule of Potential Expenses and Estimated Costs).</w:t>
      </w:r>
    </w:p>
  </w:footnote>
  <w:footnote w:id="14">
    <w:p w:rsidR="002071A8" w14:paraId="2BB8B2F5" w14:textId="77777777">
      <w:pPr>
        <w:pStyle w:val="FootnoteText"/>
      </w:pPr>
      <w:r>
        <w:rPr>
          <w:rStyle w:val="FootnoteReference"/>
        </w:rPr>
        <w:footnoteRef/>
      </w:r>
      <w:r>
        <w:t xml:space="preserve"> </w:t>
      </w:r>
      <w:r w:rsidRPr="006A425A">
        <w:rPr>
          <w:i/>
          <w:iCs/>
        </w:rPr>
        <w:t>Wireless Telecommunications Bureau Seeks Comment on Optional Lump Sum Payments for 3.7-4.2 GHz Band Incumbent Earth Station Relocation</w:t>
      </w:r>
      <w:r>
        <w:t>,</w:t>
      </w:r>
      <w:r w:rsidRPr="006A425A">
        <w:t xml:space="preserve"> Public Notice, DA 20-</w:t>
      </w:r>
      <w:r w:rsidRPr="002D66F4">
        <w:t>586, at 1</w:t>
      </w:r>
      <w:r>
        <w:t>-5</w:t>
      </w:r>
      <w:r w:rsidRPr="002D66F4">
        <w:t xml:space="preserve"> (</w:t>
      </w:r>
      <w:r w:rsidRPr="006A425A">
        <w:t xml:space="preserve">WTB </w:t>
      </w:r>
      <w:r>
        <w:t>June 4</w:t>
      </w:r>
      <w:r w:rsidRPr="006A425A">
        <w:t>, 2020) (</w:t>
      </w:r>
      <w:r>
        <w:rPr>
          <w:i/>
          <w:iCs/>
        </w:rPr>
        <w:t xml:space="preserve">Lump Sum Comment </w:t>
      </w:r>
      <w:r w:rsidRPr="006A425A">
        <w:rPr>
          <w:i/>
          <w:iCs/>
        </w:rPr>
        <w:t>Public Notice</w:t>
      </w:r>
      <w:r w:rsidRPr="006A425A">
        <w:t>)</w:t>
      </w:r>
      <w:r>
        <w:t>.</w:t>
      </w:r>
    </w:p>
  </w:footnote>
  <w:footnote w:id="15">
    <w:p w:rsidR="002071A8" w:rsidP="005B3EB3" w14:paraId="05FF94AC" w14:textId="7C267508">
      <w:pPr>
        <w:pStyle w:val="FootnoteText"/>
      </w:pPr>
      <w:r>
        <w:rPr>
          <w:rStyle w:val="FootnoteReference"/>
        </w:rPr>
        <w:footnoteRef/>
      </w:r>
      <w:r>
        <w:t xml:space="preserve"> To the extent relevant, the Bureau </w:t>
      </w:r>
      <w:r w:rsidRPr="00083E8A">
        <w:t xml:space="preserve">also has </w:t>
      </w:r>
      <w:r>
        <w:t xml:space="preserve">considered the preliminary Transition Plans filed by eligible satellite operators in assessing reasonable costs and lump sum amounts for the Cost Catalog.  </w:t>
      </w:r>
      <w:r>
        <w:rPr>
          <w:i/>
          <w:iCs/>
        </w:rPr>
        <w:t>See, e.g.</w:t>
      </w:r>
      <w:r>
        <w:t xml:space="preserve">, Letter from </w:t>
      </w:r>
      <w:r w:rsidRPr="005B3EB3">
        <w:t>Michelle V. Bryan</w:t>
      </w:r>
      <w:r>
        <w:t>,</w:t>
      </w:r>
      <w:r w:rsidRPr="005B3EB3">
        <w:t xml:space="preserve"> </w:t>
      </w:r>
      <w:r>
        <w:t xml:space="preserve">Secretary, Intelsat License LLC, and Executive Vice President, General Counsel, and Chief Administrative Officer, Intelsat US LLC (Intelsat), to Marlene H. Dortch, Secretary, FCC, </w:t>
      </w:r>
      <w:r w:rsidRPr="005B3EB3">
        <w:t>GN Docket Nos. 18-122</w:t>
      </w:r>
      <w:r>
        <w:t xml:space="preserve"> and</w:t>
      </w:r>
      <w:r w:rsidRPr="005B3EB3">
        <w:t xml:space="preserve"> 20-173</w:t>
      </w:r>
      <w:r>
        <w:t xml:space="preserve">, Attach. (filed June 19, 2020) (Intelsat Transition Plan); Letter from Brian D. Weimer, Counsel to SES Americom, Inc. (SES), to Marlene H. Dortch, Secretary, FCC, </w:t>
      </w:r>
      <w:r w:rsidRPr="005B3EB3">
        <w:t>GN Docket Nos. 18-122</w:t>
      </w:r>
      <w:r>
        <w:t xml:space="preserve"> and</w:t>
      </w:r>
      <w:r w:rsidRPr="005B3EB3">
        <w:t xml:space="preserve"> 20-173</w:t>
      </w:r>
      <w:r>
        <w:t xml:space="preserve">, Attach. (filed June 19, 2020) (SES Transition Plan).  </w:t>
      </w:r>
    </w:p>
  </w:footnote>
  <w:footnote w:id="16">
    <w:p w:rsidR="002071A8" w14:paraId="1A62693C" w14:textId="14001243">
      <w:pPr>
        <w:pStyle w:val="FootnoteText"/>
      </w:pPr>
      <w:r>
        <w:rPr>
          <w:rStyle w:val="FootnoteReference"/>
        </w:rPr>
        <w:footnoteRef/>
      </w:r>
      <w:r>
        <w:t xml:space="preserve"> </w:t>
      </w:r>
      <w:r w:rsidRPr="00A746CA">
        <w:rPr>
          <w:i/>
          <w:iCs/>
        </w:rPr>
        <w:t>See</w:t>
      </w:r>
      <w:r>
        <w:rPr>
          <w:i/>
          <w:iCs/>
        </w:rPr>
        <w:t>,</w:t>
      </w:r>
      <w:r w:rsidRPr="00A746CA">
        <w:rPr>
          <w:i/>
          <w:iCs/>
        </w:rPr>
        <w:t xml:space="preserve"> e.g.</w:t>
      </w:r>
      <w:r w:rsidRPr="003F657B">
        <w:t>,</w:t>
      </w:r>
      <w:r>
        <w:t xml:space="preserve"> Intelsat May 14, 2020 Comments at</w:t>
      </w:r>
      <w:r w:rsidRPr="007C6109">
        <w:t xml:space="preserve"> 9 (</w:t>
      </w:r>
      <w:r>
        <w:t xml:space="preserve">asking for </w:t>
      </w:r>
      <w:r w:rsidRPr="002B4960">
        <w:t xml:space="preserve">clarification that the </w:t>
      </w:r>
      <w:r w:rsidRPr="007C6109">
        <w:t>lump sum will be calculated on a per earth station type basis)</w:t>
      </w:r>
      <w:r>
        <w:t xml:space="preserve">; </w:t>
      </w:r>
      <w:r>
        <w:rPr>
          <w:i/>
          <w:iCs/>
        </w:rPr>
        <w:t xml:space="preserve">id. </w:t>
      </w:r>
      <w:r>
        <w:t xml:space="preserve">at </w:t>
      </w:r>
      <w:r w:rsidRPr="007C6109">
        <w:t>13 (</w:t>
      </w:r>
      <w:r>
        <w:t xml:space="preserve">asking for </w:t>
      </w:r>
      <w:r w:rsidRPr="007C6109">
        <w:t>clarif</w:t>
      </w:r>
      <w:r>
        <w:t>ication that</w:t>
      </w:r>
      <w:r w:rsidRPr="007C6109">
        <w:t xml:space="preserve"> a cost value </w:t>
      </w:r>
      <w:r>
        <w:t>applies</w:t>
      </w:r>
      <w:r w:rsidRPr="007C6109">
        <w:t xml:space="preserve"> per </w:t>
      </w:r>
      <w:r>
        <w:t>integrated receiver/decoder</w:t>
      </w:r>
      <w:r w:rsidRPr="007C6109">
        <w:t xml:space="preserve"> or modem, not per transponder</w:t>
      </w:r>
      <w:r>
        <w:t xml:space="preserve">); </w:t>
      </w:r>
      <w:r w:rsidRPr="00FB1F88">
        <w:t>NCTA – The Internet &amp; Television Association</w:t>
      </w:r>
      <w:r w:rsidRPr="00FB1F88">
        <w:t xml:space="preserve"> </w:t>
      </w:r>
      <w:r>
        <w:t xml:space="preserve">(NCTA) May 14, 2020 Comments at </w:t>
      </w:r>
      <w:r w:rsidRPr="00CB3A47">
        <w:t>13</w:t>
      </w:r>
      <w:r>
        <w:t xml:space="preserve"> </w:t>
      </w:r>
      <w:r w:rsidRPr="00CB3A47">
        <w:t>(</w:t>
      </w:r>
      <w:r>
        <w:t>asking for clarification</w:t>
      </w:r>
      <w:r w:rsidRPr="00CB3A47">
        <w:t xml:space="preserve"> that parties can seek reimbursement for actual transition costs from anywhere in the catalog and not specific tables)</w:t>
      </w:r>
      <w:r>
        <w:t>;</w:t>
      </w:r>
      <w:r w:rsidRPr="00CB3A47">
        <w:t xml:space="preserve"> </w:t>
      </w:r>
      <w:r>
        <w:rPr>
          <w:i/>
          <w:iCs/>
        </w:rPr>
        <w:t xml:space="preserve">id. </w:t>
      </w:r>
      <w:r>
        <w:t xml:space="preserve">at </w:t>
      </w:r>
      <w:r w:rsidRPr="00CB3A47">
        <w:t>13-15</w:t>
      </w:r>
      <w:r>
        <w:t xml:space="preserve"> </w:t>
      </w:r>
      <w:r w:rsidRPr="00CB3A47">
        <w:t>(</w:t>
      </w:r>
      <w:r>
        <w:t>arguing that c</w:t>
      </w:r>
      <w:r w:rsidRPr="00CB3A47">
        <w:t>atalog should specif</w:t>
      </w:r>
      <w:r>
        <w:t>y</w:t>
      </w:r>
      <w:r w:rsidRPr="00CB3A47">
        <w:t xml:space="preserve"> the units in which costs will apply and that multiple units can </w:t>
      </w:r>
      <w:r>
        <w:t>b</w:t>
      </w:r>
      <w:r w:rsidRPr="00CB3A47">
        <w:t>e sought where needed)</w:t>
      </w:r>
      <w:r>
        <w:t>.</w:t>
      </w:r>
    </w:p>
  </w:footnote>
  <w:footnote w:id="17">
    <w:p w:rsidR="002071A8" w:rsidRPr="001D77F2" w:rsidP="001C562A" w14:paraId="1E921624" w14:textId="28A8D904">
      <w:pPr>
        <w:pStyle w:val="FootnoteText"/>
      </w:pPr>
      <w:r w:rsidRPr="001D77F2">
        <w:rPr>
          <w:rStyle w:val="FootnoteReference"/>
        </w:rPr>
        <w:footnoteRef/>
      </w:r>
      <w:r w:rsidRPr="001D77F2">
        <w:t xml:space="preserve"> </w:t>
      </w:r>
      <w:r w:rsidRPr="001D77F2">
        <w:rPr>
          <w:i/>
          <w:iCs/>
        </w:rPr>
        <w:t xml:space="preserve">See </w:t>
      </w:r>
      <w:r w:rsidRPr="001D77F2">
        <w:t xml:space="preserve">NCTA </w:t>
      </w:r>
      <w:r>
        <w:t xml:space="preserve">May 14, 2020 </w:t>
      </w:r>
      <w:r w:rsidRPr="001D77F2">
        <w:t>Comments at 13-14 (asking Bureau to clarify that costs are per unit).</w:t>
      </w:r>
    </w:p>
  </w:footnote>
  <w:footnote w:id="18">
    <w:p w:rsidR="002071A8" w:rsidP="007D1EAE" w14:paraId="669530D9" w14:textId="55918383">
      <w:pPr>
        <w:pStyle w:val="FootnoteText"/>
      </w:pPr>
      <w:r>
        <w:rPr>
          <w:rStyle w:val="FootnoteReference"/>
        </w:rPr>
        <w:footnoteRef/>
      </w:r>
      <w:r>
        <w:t xml:space="preserve"> </w:t>
      </w:r>
      <w:r>
        <w:rPr>
          <w:i/>
          <w:iCs/>
        </w:rPr>
        <w:t xml:space="preserve">See </w:t>
      </w:r>
      <w:r w:rsidRPr="00FC48FD">
        <w:rPr>
          <w:i/>
          <w:iCs/>
        </w:rPr>
        <w:t>3.7 GHz</w:t>
      </w:r>
      <w:r w:rsidRPr="00FC48FD">
        <w:rPr>
          <w:i/>
        </w:rPr>
        <w:t xml:space="preserve"> </w:t>
      </w:r>
      <w:r w:rsidRPr="00FC48FD">
        <w:rPr>
          <w:i/>
          <w:iCs/>
        </w:rPr>
        <w:t>Report and Order</w:t>
      </w:r>
      <w:r>
        <w:t xml:space="preserve">, </w:t>
      </w:r>
      <w:r w:rsidRPr="008E618F">
        <w:t>35 FCC Rcd</w:t>
      </w:r>
      <w:r>
        <w:t xml:space="preserve"> at 2426, para. 201, n. 539 (“Consistent with our definition of ‘incumbent earth stations,’ we clarify that, in order to qualify for reimbursement, any antenna at an incumbent earth station must also have been operational and registered in IBFS as of the relevant dates required by the </w:t>
      </w:r>
      <w:r w:rsidRPr="007D1EAE">
        <w:rPr>
          <w:i/>
          <w:iCs/>
        </w:rPr>
        <w:t>Freeze and 90-Day Earth Station Filing Window Public Notice</w:t>
      </w:r>
      <w:r>
        <w:t xml:space="preserve">.”).  To qualify for reimbursement, incumbent earth stations must have met the following qualifications:  (1) Operational as of April 18, 2018 filing freeze and remain operational; and registered (receive-only) or licensed (transmit/receive) in the 3700-4200 MHz band; (2) If </w:t>
      </w:r>
      <w:r w:rsidRPr="005D504E">
        <w:t>unregistered or unlicensed before April 18, 2018, registration or license applications must have been filed by November 7, 2018</w:t>
      </w:r>
      <w:r>
        <w:t xml:space="preserve">;  (3) If registered </w:t>
      </w:r>
      <w:r w:rsidRPr="004F5DD4">
        <w:t>or licensed before April 18, 2018, the registrant or licensee must have:</w:t>
      </w:r>
      <w:r>
        <w:t xml:space="preserve"> (a) </w:t>
      </w:r>
      <w:r w:rsidRPr="00E70846">
        <w:t>Certified the accuracy of the registration/license information in the International Bureau Filing System (IBFS) by May 28, 2019;</w:t>
      </w:r>
      <w:r>
        <w:t xml:space="preserve"> (b) Filed a modification/update to the registration or license in IBFS during the April 19, 2018 – November 7, 2018 filing window; or (c) Filed a timely renewal application for the existing registration or license by May 28, 2019.  </w:t>
      </w:r>
      <w:r w:rsidRPr="00FC48FD">
        <w:rPr>
          <w:i/>
          <w:iCs/>
        </w:rPr>
        <w:t>3.7 GHz</w:t>
      </w:r>
      <w:r w:rsidRPr="00FC48FD">
        <w:rPr>
          <w:i/>
        </w:rPr>
        <w:t xml:space="preserve"> </w:t>
      </w:r>
      <w:r w:rsidRPr="00FC48FD">
        <w:rPr>
          <w:i/>
          <w:iCs/>
        </w:rPr>
        <w:t>Report and Order</w:t>
      </w:r>
      <w:r w:rsidRPr="00FC48FD">
        <w:t>, 35 FCC Rcd</w:t>
      </w:r>
      <w:r w:rsidRPr="00FC48FD">
        <w:rPr>
          <w:i/>
          <w:iCs/>
        </w:rPr>
        <w:t xml:space="preserve"> </w:t>
      </w:r>
      <w:r w:rsidRPr="00FC48FD">
        <w:t>at</w:t>
      </w:r>
      <w:r>
        <w:t xml:space="preserve"> </w:t>
      </w:r>
      <w:r w:rsidRPr="004F08A7">
        <w:t>2392, para. 116; 47 CFR § 27.1411(b)(3) (defining incumbent earth stations); 47 CFR §</w:t>
      </w:r>
      <w:r>
        <w:t> </w:t>
      </w:r>
      <w:r w:rsidRPr="004F08A7">
        <w:t>25.121 (earth station renewal requirements).  In addition, an earth station must maintain a current authorization in IBFS</w:t>
      </w:r>
      <w:r>
        <w:t>.</w:t>
      </w:r>
    </w:p>
  </w:footnote>
  <w:footnote w:id="19">
    <w:p w:rsidR="002071A8" w:rsidP="009A7024" w14:paraId="5D186021" w14:textId="12F3E179">
      <w:pPr>
        <w:pStyle w:val="FootnoteText"/>
      </w:pPr>
      <w:r>
        <w:rPr>
          <w:rStyle w:val="FootnoteReference"/>
        </w:rPr>
        <w:footnoteRef/>
      </w:r>
      <w:r>
        <w:t xml:space="preserve"> </w:t>
      </w:r>
      <w:r w:rsidRPr="0050756A">
        <w:t>The International Bureau has released a Public Notice which reflects the information currently available in IBFS for incumbent earth stations, including the number of antennas at each site.  The International Bureau sought comment from stakeholders to ensure the accuracy of the list prior to the time for lump sum elections.</w:t>
      </w:r>
      <w:r>
        <w:t xml:space="preserve">  </w:t>
      </w:r>
      <w:r>
        <w:rPr>
          <w:i/>
          <w:iCs/>
        </w:rPr>
        <w:t>International Bureau Releases Preliminary List of Incumbent Earth Stations in the 3.7-4.2 GHz Band in the Contiguous United States</w:t>
      </w:r>
      <w:r>
        <w:t xml:space="preserve">, IB Docket No. 20-205, Public Notice, DA 20-703, at 1-2 (IB July 6, 2020). </w:t>
      </w:r>
    </w:p>
  </w:footnote>
  <w:footnote w:id="20">
    <w:p w:rsidR="002071A8" w:rsidRPr="000F02E1" w:rsidP="00FF4368" w14:paraId="73E7606D" w14:textId="12B67FB5">
      <w:pPr>
        <w:pStyle w:val="FootnoteText"/>
      </w:pPr>
      <w:r>
        <w:rPr>
          <w:rStyle w:val="FootnoteReference"/>
        </w:rPr>
        <w:footnoteRef/>
      </w:r>
      <w:r>
        <w:t xml:space="preserve"> </w:t>
      </w:r>
      <w:r>
        <w:rPr>
          <w:i/>
          <w:iCs/>
        </w:rPr>
        <w:t>See, e.g.</w:t>
      </w:r>
      <w:r>
        <w:t xml:space="preserve">, </w:t>
      </w:r>
      <w:r>
        <w:rPr>
          <w:i/>
          <w:iCs/>
        </w:rPr>
        <w:t xml:space="preserve">Lump Sum Comment </w:t>
      </w:r>
      <w:r w:rsidRPr="006A425A">
        <w:rPr>
          <w:i/>
          <w:iCs/>
        </w:rPr>
        <w:t>Public Notice</w:t>
      </w:r>
      <w:r>
        <w:rPr>
          <w:i/>
          <w:iCs/>
        </w:rPr>
        <w:t xml:space="preserve"> </w:t>
      </w:r>
      <w:r>
        <w:t xml:space="preserve">at 4-5.  For example, commenters have indicated confusion about whether the lump sum amounts in the </w:t>
      </w:r>
      <w:r>
        <w:rPr>
          <w:i/>
          <w:iCs/>
        </w:rPr>
        <w:t xml:space="preserve">Lump Sum Comment Public Notice </w:t>
      </w:r>
      <w:r>
        <w:t xml:space="preserve">apply per antenna or per earth station.  </w:t>
      </w:r>
      <w:r>
        <w:rPr>
          <w:i/>
          <w:iCs/>
        </w:rPr>
        <w:t>See, e.g.</w:t>
      </w:r>
      <w:r>
        <w:t xml:space="preserve">, ACA </w:t>
      </w:r>
      <w:r w:rsidRPr="003C54DB">
        <w:t>Connects – America’s Communications Association</w:t>
      </w:r>
      <w:r>
        <w:t xml:space="preserve"> (ACA) June 15, 2020 Comments at 7 (raising concern that the </w:t>
      </w:r>
      <w:r>
        <w:rPr>
          <w:i/>
          <w:iCs/>
        </w:rPr>
        <w:t xml:space="preserve">Lump Sum Comment Public Notice </w:t>
      </w:r>
      <w:r>
        <w:t>was “</w:t>
      </w:r>
      <w:r w:rsidRPr="007607A8">
        <w:t>vague with respect to the definitions of the proposed base lump sum categories, and whether they should apply on a per antenna or per earth station basis</w:t>
      </w:r>
      <w:r>
        <w:t>”); NCTA June 15, 2020 Comments at 5 (arguing that the proposed amounts “per earth station” are too low to reflect transition costs).  With respect to our prior use of “per earth station” to refer to “per antenna,” we note that the</w:t>
      </w:r>
      <w:r w:rsidRPr="00E12551">
        <w:t xml:space="preserve"> rules adopted in the </w:t>
      </w:r>
      <w:r w:rsidRPr="00E12551">
        <w:rPr>
          <w:i/>
          <w:iCs/>
        </w:rPr>
        <w:t xml:space="preserve">3.7 GHz Report and Order </w:t>
      </w:r>
      <w:r w:rsidRPr="00E12551">
        <w:t>su</w:t>
      </w:r>
      <w:r>
        <w:t>pport such an approach</w:t>
      </w:r>
      <w:r w:rsidRPr="00E12551">
        <w:t xml:space="preserve">.  Section 27.1411(b)(5), for example, says that “[a] passband filter must be installed at the site of </w:t>
      </w:r>
      <w:r w:rsidRPr="00E12551">
        <w:rPr>
          <w:i/>
          <w:iCs/>
        </w:rPr>
        <w:t>each incumbent earth station</w:t>
      </w:r>
      <w:r>
        <w:t>.</w:t>
      </w:r>
      <w:r w:rsidRPr="00E12551">
        <w:t>”</w:t>
      </w:r>
      <w:r>
        <w:t xml:space="preserve">  </w:t>
      </w:r>
      <w:r w:rsidRPr="00E12551">
        <w:t>47 CFR §</w:t>
      </w:r>
      <w:r w:rsidRPr="00581C0D">
        <w:t xml:space="preserve"> </w:t>
      </w:r>
      <w:r w:rsidRPr="00E12551">
        <w:t>27.1411(b)(5)</w:t>
      </w:r>
      <w:r>
        <w:t xml:space="preserve"> (emphasis added)</w:t>
      </w:r>
      <w:r w:rsidRPr="00E12551">
        <w:t xml:space="preserve">.  </w:t>
      </w:r>
      <w:r>
        <w:t>The only logical reading of this language is that “incumbent earth station” refers to an individual antenna, rather than a site with multiple antennas, as passband filters are necessary for each antenna.</w:t>
      </w:r>
    </w:p>
  </w:footnote>
  <w:footnote w:id="21">
    <w:p w:rsidR="002071A8" w:rsidRPr="001B4DF1" w14:paraId="3AAA5FDD" w14:textId="0DC91046">
      <w:pPr>
        <w:pStyle w:val="FootnoteText"/>
      </w:pPr>
      <w:r>
        <w:rPr>
          <w:rStyle w:val="FootnoteReference"/>
        </w:rPr>
        <w:footnoteRef/>
      </w:r>
      <w:r>
        <w:t xml:space="preserve"> As discussed in more detail in section II below, this applies to the “Base Lump Sum Payments,” but does not apply to the “MVPD Per Site </w:t>
      </w:r>
      <w:r w:rsidRPr="005D2939">
        <w:rPr>
          <w:lang w:bidi="en-US"/>
        </w:rPr>
        <w:t>Technology Upgrade Installation Lump Sum Payment</w:t>
      </w:r>
      <w:r>
        <w:t xml:space="preserve">.” </w:t>
      </w:r>
    </w:p>
  </w:footnote>
  <w:footnote w:id="22">
    <w:p w:rsidR="002071A8" w:rsidRPr="001D77F2" w:rsidP="006C3467" w14:paraId="7EAB79B7" w14:textId="1FBF52E6">
      <w:pPr>
        <w:pStyle w:val="FootnoteText"/>
      </w:pPr>
      <w:r w:rsidRPr="001D77F2">
        <w:rPr>
          <w:rStyle w:val="FootnoteReference"/>
        </w:rPr>
        <w:footnoteRef/>
      </w:r>
      <w:r w:rsidRPr="001D77F2">
        <w:t xml:space="preserve"> </w:t>
      </w:r>
      <w:r w:rsidRPr="001D77F2">
        <w:rPr>
          <w:i/>
          <w:iCs/>
        </w:rPr>
        <w:t>See 3.7 GHz Report and Order</w:t>
      </w:r>
      <w:r>
        <w:t xml:space="preserve">, </w:t>
      </w:r>
      <w:r w:rsidRPr="008E618F">
        <w:t>35 FCC Rcd</w:t>
      </w:r>
      <w:r w:rsidRPr="001D77F2">
        <w:t xml:space="preserve"> at 2422, para. 194 (defining reasonable relocation costs); NCTA </w:t>
      </w:r>
      <w:r>
        <w:t xml:space="preserve">May 14, 2020 </w:t>
      </w:r>
      <w:r w:rsidRPr="001D77F2">
        <w:t xml:space="preserve">Comments at 15 (asking </w:t>
      </w:r>
      <w:r>
        <w:t>for clarification</w:t>
      </w:r>
      <w:r w:rsidRPr="001D77F2">
        <w:t xml:space="preserve"> that </w:t>
      </w:r>
      <w:r w:rsidRPr="001D77F2">
        <w:rPr>
          <w:lang w:bidi="en-US"/>
        </w:rPr>
        <w:t>incumbents will be eligible for reimbursement for multiple units where this is required to maintain the level of service currently provided).</w:t>
      </w:r>
    </w:p>
  </w:footnote>
  <w:footnote w:id="23">
    <w:p w:rsidR="002071A8" w:rsidP="00BF06C9" w14:paraId="06D52BF7" w14:textId="43BCF7FE">
      <w:pPr>
        <w:pStyle w:val="FootnoteText"/>
      </w:pPr>
      <w:r>
        <w:rPr>
          <w:rStyle w:val="FootnoteReference"/>
        </w:rPr>
        <w:footnoteRef/>
      </w:r>
      <w:r>
        <w:t xml:space="preserve"> In some cases, registrants have registered multiple sites under </w:t>
      </w:r>
      <w:r w:rsidRPr="003A18E6">
        <w:t>a single</w:t>
      </w:r>
      <w:r>
        <w:t xml:space="preserve"> earth station registration.  Further, in a limited number of cases in which a single applicant sought to register a large number of sites, registration applications were permitted to be filed on a “batch” basis, including up to 50 sites (typically with one antenna per site) on a single application.  If more than one site is included on a registration, base lump sum payments </w:t>
      </w:r>
      <w:r w:rsidRPr="00B0610A">
        <w:t xml:space="preserve">will </w:t>
      </w:r>
      <w:r>
        <w:t xml:space="preserve">apply to the number of antennas at each site within that registration.  As we explain in more detail below, </w:t>
      </w:r>
      <w:r w:rsidRPr="00222003">
        <w:t>multichannel video programming distributor (MVPD) earth station</w:t>
      </w:r>
      <w:r>
        <w:t xml:space="preserve"> operator</w:t>
      </w:r>
      <w:r w:rsidRPr="00222003">
        <w:t>s will receive installation costs for technology upgrades on a per-site basis</w:t>
      </w:r>
      <w:r>
        <w:t xml:space="preserve"> for MVPD incumbent earth stations. </w:t>
      </w:r>
      <w:r w:rsidRPr="00222003">
        <w:t xml:space="preserve"> </w:t>
      </w:r>
      <w:r>
        <w:t>If more than one site is included in a registration, the MVPD technology upgrade installation cost will apply to the number of sites within that registration.</w:t>
      </w:r>
    </w:p>
  </w:footnote>
  <w:footnote w:id="24">
    <w:p w:rsidR="002071A8" w14:paraId="1CD6547F" w14:textId="75C1918E">
      <w:pPr>
        <w:pStyle w:val="FootnoteText"/>
      </w:pPr>
      <w:r>
        <w:rPr>
          <w:rStyle w:val="FootnoteReference"/>
        </w:rPr>
        <w:footnoteRef/>
      </w:r>
      <w:r>
        <w:t xml:space="preserve"> We explain the lump sum amounts available per incumbent earth station in greater deal in section II below.  In short, this approach allows us to develop lump sum amounts per incumbent earth station that best reflect </w:t>
      </w:r>
      <w:r w:rsidRPr="002D4B9F">
        <w:t>the</w:t>
      </w:r>
      <w:r>
        <w:t xml:space="preserve"> average, estimated costs of transition.</w:t>
      </w:r>
    </w:p>
  </w:footnote>
  <w:footnote w:id="25">
    <w:p w:rsidR="002071A8" w:rsidRPr="001D77F2" w:rsidP="004F5ADD" w14:paraId="1D7F4C84" w14:textId="5C8CC8FD">
      <w:pPr>
        <w:pStyle w:val="FootnoteText"/>
      </w:pPr>
      <w:r w:rsidRPr="001D77F2">
        <w:rPr>
          <w:rStyle w:val="FootnoteReference"/>
        </w:rPr>
        <w:footnoteRef/>
      </w:r>
      <w:r w:rsidRPr="001D77F2">
        <w:t xml:space="preserve"> </w:t>
      </w:r>
      <w:r w:rsidRPr="001D77F2">
        <w:rPr>
          <w:i/>
          <w:iCs/>
        </w:rPr>
        <w:t xml:space="preserve">See </w:t>
      </w:r>
      <w:r>
        <w:t>National Association of Broadcasters (</w:t>
      </w:r>
      <w:r w:rsidRPr="001D77F2">
        <w:t>NAB</w:t>
      </w:r>
      <w:r>
        <w:t>)</w:t>
      </w:r>
      <w:r w:rsidRPr="001D77F2">
        <w:t xml:space="preserve"> </w:t>
      </w:r>
      <w:r>
        <w:t xml:space="preserve">May 14, 2020 </w:t>
      </w:r>
      <w:r w:rsidRPr="001D77F2">
        <w:t>Comments at 7 (asking the Bureau to “make plain that parties may rely on line items included elsewhere in the Catalog if necessary and appropriate for the transition – that is, an earth station should be able to include a line item set forth in another category of expenses if that line item is appropriate and reasonably necessary for the earth station to migrate</w:t>
      </w:r>
      <w:r>
        <w:t>”</w:t>
      </w:r>
      <w:r w:rsidRPr="001D77F2">
        <w:t>).</w:t>
      </w:r>
    </w:p>
  </w:footnote>
  <w:footnote w:id="26">
    <w:p w:rsidR="002071A8" w:rsidRPr="001D77F2" w:rsidP="001C562A" w14:paraId="2227A3FF" w14:textId="6F0E916E">
      <w:pPr>
        <w:pStyle w:val="FootnoteText"/>
      </w:pPr>
      <w:r w:rsidRPr="001D77F2">
        <w:rPr>
          <w:rStyle w:val="FootnoteReference"/>
        </w:rPr>
        <w:footnoteRef/>
      </w:r>
      <w:r w:rsidRPr="001D77F2">
        <w:t xml:space="preserve"> </w:t>
      </w:r>
      <w:r w:rsidRPr="001D77F2">
        <w:rPr>
          <w:i/>
          <w:iCs/>
        </w:rPr>
        <w:t>3.7 GHz Report and Order</w:t>
      </w:r>
      <w:r>
        <w:t xml:space="preserve">, </w:t>
      </w:r>
      <w:r w:rsidRPr="008E618F">
        <w:t>35 FCC Rcd</w:t>
      </w:r>
      <w:r w:rsidRPr="001D77F2">
        <w:t xml:space="preserve"> at 2422, para. 194.</w:t>
      </w:r>
    </w:p>
  </w:footnote>
  <w:footnote w:id="27">
    <w:p w:rsidR="002071A8" w:rsidRPr="001D77F2" w:rsidP="001C562A" w14:paraId="65CB247B" w14:textId="74E0E7E5">
      <w:pPr>
        <w:pStyle w:val="FootnoteText"/>
      </w:pPr>
      <w:r w:rsidRPr="001D77F2">
        <w:rPr>
          <w:rStyle w:val="FootnoteReference"/>
        </w:rPr>
        <w:footnoteRef/>
      </w:r>
      <w:r w:rsidRPr="001D77F2">
        <w:t xml:space="preserve"> </w:t>
      </w:r>
      <w:r>
        <w:rPr>
          <w:i/>
          <w:iCs/>
        </w:rPr>
        <w:t>Id.</w:t>
      </w:r>
      <w:r w:rsidRPr="001D77F2">
        <w:t xml:space="preserve"> at 2422-23, paras. 194-95; </w:t>
      </w:r>
      <w:r w:rsidRPr="001D77F2">
        <w:rPr>
          <w:i/>
          <w:iCs/>
        </w:rPr>
        <w:t xml:space="preserve">see also </w:t>
      </w:r>
      <w:r w:rsidRPr="001D77F2">
        <w:t xml:space="preserve">Eutelsat </w:t>
      </w:r>
      <w:r>
        <w:t xml:space="preserve">S.A. (Eutelsat) May 14, 2020 </w:t>
      </w:r>
      <w:r w:rsidRPr="001D77F2">
        <w:t>Comments at 8 (arguing that cost catalog should clarify the basis for potential cost allocations to ensure that only costs that are necessary to the relocation process are reimbursable and to minimize gold-plating).</w:t>
      </w:r>
    </w:p>
  </w:footnote>
  <w:footnote w:id="28">
    <w:p w:rsidR="002071A8" w:rsidRPr="001D77F2" w:rsidP="001C562A" w14:paraId="3D438163" w14:textId="69288980">
      <w:pPr>
        <w:pStyle w:val="FootnoteText"/>
      </w:pPr>
      <w:r w:rsidRPr="001D77F2">
        <w:rPr>
          <w:rStyle w:val="FootnoteReference"/>
        </w:rPr>
        <w:footnoteRef/>
      </w:r>
      <w:r w:rsidRPr="001D77F2">
        <w:t xml:space="preserve"> </w:t>
      </w:r>
      <w:r w:rsidRPr="001D77F2">
        <w:rPr>
          <w:i/>
          <w:iCs/>
        </w:rPr>
        <w:t>3.7 GHz Report and Order</w:t>
      </w:r>
      <w:r>
        <w:t xml:space="preserve">, </w:t>
      </w:r>
      <w:r w:rsidRPr="008E618F">
        <w:t>35 FCC Rcd</w:t>
      </w:r>
      <w:r w:rsidRPr="001D77F2">
        <w:t xml:space="preserve"> at 2422-23, paras. 194-95.</w:t>
      </w:r>
    </w:p>
  </w:footnote>
  <w:footnote w:id="29">
    <w:p w:rsidR="002071A8" w:rsidRPr="001D77F2" w:rsidP="001C562A" w14:paraId="61C792B9" w14:textId="4C8C75B6">
      <w:pPr>
        <w:pStyle w:val="FootnoteText"/>
      </w:pPr>
      <w:r w:rsidRPr="001D77F2">
        <w:rPr>
          <w:rStyle w:val="FootnoteReference"/>
        </w:rPr>
        <w:footnoteRef/>
      </w:r>
      <w:r w:rsidRPr="001D77F2">
        <w:t xml:space="preserve"> Accordingly, we decline to adopt SES’s proposal to establish a requirement that earth station operators’ increased operating costs and service agreements for new equipment are covered for a period of five years, as such a requirement was not set forth in the </w:t>
      </w:r>
      <w:r w:rsidRPr="001D77F2">
        <w:rPr>
          <w:i/>
          <w:iCs/>
        </w:rPr>
        <w:t>3.7 GHz Report and Order</w:t>
      </w:r>
      <w:r w:rsidRPr="001D77F2">
        <w:t xml:space="preserve">.  SES </w:t>
      </w:r>
      <w:r>
        <w:t xml:space="preserve">May 14, 2020 </w:t>
      </w:r>
      <w:r w:rsidRPr="001D77F2">
        <w:t xml:space="preserve">Comments at 5-7.  </w:t>
      </w:r>
    </w:p>
  </w:footnote>
  <w:footnote w:id="30">
    <w:p w:rsidR="002071A8" w14:paraId="6957AD60" w14:textId="080A7D01">
      <w:pPr>
        <w:pStyle w:val="FootnoteText"/>
      </w:pPr>
      <w:r>
        <w:rPr>
          <w:rStyle w:val="FootnoteReference"/>
        </w:rPr>
        <w:footnoteRef/>
      </w:r>
      <w:r>
        <w:t xml:space="preserve"> </w:t>
      </w:r>
      <w:r w:rsidRPr="001D77F2">
        <w:rPr>
          <w:i/>
          <w:iCs/>
        </w:rPr>
        <w:t>See, e.g.</w:t>
      </w:r>
      <w:r w:rsidRPr="00B27CD4">
        <w:t>,</w:t>
      </w:r>
      <w:r w:rsidRPr="001D77F2">
        <w:t xml:space="preserve"> JC</w:t>
      </w:r>
      <w:r>
        <w:t>L</w:t>
      </w:r>
      <w:r w:rsidRPr="001D77F2">
        <w:t xml:space="preserve">DS Comments at </w:t>
      </w:r>
      <w:r>
        <w:t xml:space="preserve">May 14, 2020 at </w:t>
      </w:r>
      <w:r w:rsidRPr="001D77F2">
        <w:t>6 (</w:t>
      </w:r>
      <w:r>
        <w:t xml:space="preserve">asking Bureau to include costs of acquiring </w:t>
      </w:r>
      <w:r w:rsidRPr="001D77F2">
        <w:t xml:space="preserve">a </w:t>
      </w:r>
      <w:r>
        <w:t xml:space="preserve">ladder or </w:t>
      </w:r>
      <w:r w:rsidRPr="001D77F2">
        <w:t xml:space="preserve">bucket truck); Cox </w:t>
      </w:r>
      <w:r>
        <w:t xml:space="preserve">May 14, 2020 </w:t>
      </w:r>
      <w:r w:rsidRPr="001D77F2">
        <w:t>Comments at 12-13</w:t>
      </w:r>
      <w:r>
        <w:t xml:space="preserve"> </w:t>
      </w:r>
      <w:r w:rsidRPr="001D77F2">
        <w:t>(</w:t>
      </w:r>
      <w:r>
        <w:t xml:space="preserve">asking Bureau to include costs of acquiring </w:t>
      </w:r>
      <w:r w:rsidRPr="001D77F2">
        <w:t xml:space="preserve">a </w:t>
      </w:r>
      <w:r>
        <w:t xml:space="preserve">ladder or </w:t>
      </w:r>
      <w:r w:rsidRPr="001D77F2">
        <w:t>bucket truck</w:t>
      </w:r>
      <w:r>
        <w:t xml:space="preserve"> and to increase </w:t>
      </w:r>
      <w:r w:rsidRPr="001D77F2">
        <w:t>cost of rental antennas)</w:t>
      </w:r>
      <w:r>
        <w:t xml:space="preserve">; </w:t>
      </w:r>
      <w:r w:rsidRPr="001D77F2">
        <w:t xml:space="preserve">NCTA </w:t>
      </w:r>
      <w:r>
        <w:t xml:space="preserve">May 14, 2020 </w:t>
      </w:r>
      <w:r w:rsidRPr="001D77F2">
        <w:t xml:space="preserve">Comments at </w:t>
      </w:r>
      <w:r>
        <w:t xml:space="preserve">18 </w:t>
      </w:r>
      <w:r w:rsidRPr="001D77F2">
        <w:t>(</w:t>
      </w:r>
      <w:r>
        <w:t xml:space="preserve">asking Bureau to include daily cost of </w:t>
      </w:r>
      <w:r w:rsidRPr="001D77F2">
        <w:t>mobile truck rental)</w:t>
      </w:r>
      <w:r>
        <w:t>.</w:t>
      </w:r>
    </w:p>
  </w:footnote>
  <w:footnote w:id="31">
    <w:p w:rsidR="002071A8" w:rsidRPr="001D77F2" w:rsidP="001C562A" w14:paraId="4054A24B" w14:textId="676085B4">
      <w:pPr>
        <w:pStyle w:val="FootnoteText"/>
      </w:pPr>
      <w:r w:rsidRPr="001D77F2">
        <w:rPr>
          <w:rStyle w:val="FootnoteReference"/>
        </w:rPr>
        <w:footnoteRef/>
      </w:r>
      <w:r w:rsidRPr="001D77F2">
        <w:t xml:space="preserve"> </w:t>
      </w:r>
      <w:r w:rsidRPr="001D77F2">
        <w:rPr>
          <w:i/>
          <w:iCs/>
        </w:rPr>
        <w:t>See, e.g.</w:t>
      </w:r>
      <w:r w:rsidRPr="004B47E0">
        <w:t>,</w:t>
      </w:r>
      <w:r w:rsidRPr="001D77F2">
        <w:t xml:space="preserve"> SES </w:t>
      </w:r>
      <w:r>
        <w:t xml:space="preserve">May 14, 2020 </w:t>
      </w:r>
      <w:r w:rsidRPr="001D77F2">
        <w:t xml:space="preserve">Comments at </w:t>
      </w:r>
      <w:r>
        <w:t>3-</w:t>
      </w:r>
      <w:r w:rsidRPr="001D77F2">
        <w:t>4</w:t>
      </w:r>
      <w:r>
        <w:t xml:space="preserve"> </w:t>
      </w:r>
      <w:r w:rsidRPr="001D77F2">
        <w:t>(</w:t>
      </w:r>
      <w:r>
        <w:t xml:space="preserve">asking Bureau to include </w:t>
      </w:r>
      <w:r w:rsidRPr="001D77F2">
        <w:t xml:space="preserve">various dual illumination costs); NAB </w:t>
      </w:r>
      <w:r>
        <w:t xml:space="preserve">May 14, 2020 </w:t>
      </w:r>
      <w:r w:rsidRPr="001D77F2">
        <w:t>Comments at 5-6</w:t>
      </w:r>
      <w:r>
        <w:t xml:space="preserve"> </w:t>
      </w:r>
      <w:r w:rsidRPr="001D77F2">
        <w:t>(</w:t>
      </w:r>
      <w:r>
        <w:t xml:space="preserve">asking Bureau to establish weekly or </w:t>
      </w:r>
      <w:r w:rsidRPr="001D77F2">
        <w:t>monthly dual illumination expenses).</w:t>
      </w:r>
    </w:p>
  </w:footnote>
  <w:footnote w:id="32">
    <w:p w:rsidR="002071A8" w:rsidRPr="001D77F2" w:rsidP="001C562A" w14:paraId="09E2DDFB" w14:textId="780F39FF">
      <w:pPr>
        <w:pStyle w:val="FootnoteText"/>
      </w:pPr>
      <w:r w:rsidRPr="001D77F2">
        <w:rPr>
          <w:rStyle w:val="FootnoteReference"/>
        </w:rPr>
        <w:footnoteRef/>
      </w:r>
      <w:r w:rsidRPr="001D77F2">
        <w:t xml:space="preserve"> </w:t>
      </w:r>
      <w:r w:rsidRPr="001D77F2">
        <w:rPr>
          <w:i/>
          <w:iCs/>
        </w:rPr>
        <w:t>See, e.g.</w:t>
      </w:r>
      <w:r w:rsidRPr="001D77F2">
        <w:t xml:space="preserve">, Trinity </w:t>
      </w:r>
      <w:r>
        <w:t xml:space="preserve">May 14, 2020 </w:t>
      </w:r>
      <w:r w:rsidRPr="001D77F2">
        <w:t>Comments at 2</w:t>
      </w:r>
      <w:r>
        <w:t xml:space="preserve"> (asking Bureau to clarify travel costs)</w:t>
      </w:r>
      <w:r w:rsidRPr="001D77F2">
        <w:t>; JC</w:t>
      </w:r>
      <w:r>
        <w:t>L</w:t>
      </w:r>
      <w:r w:rsidRPr="001D77F2">
        <w:t xml:space="preserve">DS </w:t>
      </w:r>
      <w:r>
        <w:t xml:space="preserve">May 14, 2020 </w:t>
      </w:r>
      <w:r w:rsidRPr="001D77F2">
        <w:t>Comments at 3, 8</w:t>
      </w:r>
      <w:r>
        <w:t xml:space="preserve"> </w:t>
      </w:r>
      <w:r w:rsidRPr="001D77F2">
        <w:t>(outlining various travel costs)</w:t>
      </w:r>
      <w:r>
        <w:t>.</w:t>
      </w:r>
      <w:r w:rsidRPr="001D77F2">
        <w:t xml:space="preserve"> </w:t>
      </w:r>
    </w:p>
  </w:footnote>
  <w:footnote w:id="33">
    <w:p w:rsidR="002071A8" w:rsidRPr="001D77F2" w:rsidP="001C562A" w14:paraId="5F6AABA4" w14:textId="0F2F4973">
      <w:pPr>
        <w:pStyle w:val="FootnoteText"/>
      </w:pPr>
      <w:r w:rsidRPr="001D77F2">
        <w:rPr>
          <w:rStyle w:val="FootnoteReference"/>
        </w:rPr>
        <w:footnoteRef/>
      </w:r>
      <w:r w:rsidRPr="001D77F2">
        <w:t xml:space="preserve"> </w:t>
      </w:r>
      <w:r w:rsidRPr="001D77F2">
        <w:rPr>
          <w:i/>
          <w:iCs/>
        </w:rPr>
        <w:t>See, e.g.</w:t>
      </w:r>
      <w:r w:rsidRPr="001D77F2">
        <w:t xml:space="preserve">, SES </w:t>
      </w:r>
      <w:r>
        <w:t xml:space="preserve">May 14, 2020 </w:t>
      </w:r>
      <w:r w:rsidRPr="001D77F2">
        <w:t>Comments at 3 (</w:t>
      </w:r>
      <w:r>
        <w:t xml:space="preserve">seeking inclusion of </w:t>
      </w:r>
      <w:r w:rsidRPr="001D77F2">
        <w:t xml:space="preserve">fiber costs); Telesat </w:t>
      </w:r>
      <w:r>
        <w:t xml:space="preserve">May 14, 2020 Comments at 3 and Attach. </w:t>
      </w:r>
      <w:r w:rsidRPr="001D77F2">
        <w:t xml:space="preserve">at </w:t>
      </w:r>
      <w:r>
        <w:t xml:space="preserve">7 </w:t>
      </w:r>
      <w:r w:rsidRPr="001D77F2">
        <w:t>(</w:t>
      </w:r>
      <w:r>
        <w:t xml:space="preserve">proposing </w:t>
      </w:r>
      <w:r w:rsidRPr="001D77F2">
        <w:t>costs for trenching and cabling)</w:t>
      </w:r>
      <w:r>
        <w:t>.</w:t>
      </w:r>
    </w:p>
  </w:footnote>
  <w:footnote w:id="34">
    <w:p w:rsidR="002071A8" w:rsidRPr="001D77F2" w:rsidP="001C562A" w14:paraId="1A479B08" w14:textId="1E7273B5">
      <w:pPr>
        <w:pStyle w:val="FootnoteText"/>
      </w:pPr>
      <w:r w:rsidRPr="001D77F2">
        <w:rPr>
          <w:rStyle w:val="FootnoteReference"/>
        </w:rPr>
        <w:footnoteRef/>
      </w:r>
      <w:r w:rsidRPr="001D77F2">
        <w:t xml:space="preserve"> </w:t>
      </w:r>
      <w:r w:rsidRPr="001D77F2">
        <w:rPr>
          <w:i/>
          <w:iCs/>
        </w:rPr>
        <w:t>See, e.g.</w:t>
      </w:r>
      <w:r w:rsidRPr="004B47E0">
        <w:t>,</w:t>
      </w:r>
      <w:r w:rsidRPr="001D77F2">
        <w:t xml:space="preserve"> NCTA </w:t>
      </w:r>
      <w:r>
        <w:t xml:space="preserve">May 14, 2020 </w:t>
      </w:r>
      <w:r w:rsidRPr="001D77F2">
        <w:t xml:space="preserve">Comments at </w:t>
      </w:r>
      <w:r>
        <w:t xml:space="preserve">19 </w:t>
      </w:r>
      <w:r w:rsidRPr="001D77F2">
        <w:t>(</w:t>
      </w:r>
      <w:r>
        <w:t xml:space="preserve">seeking inclusion of </w:t>
      </w:r>
      <w:r w:rsidRPr="001D77F2">
        <w:t xml:space="preserve">landscaping costs); Telesat </w:t>
      </w:r>
      <w:r>
        <w:t>May 14, 2020</w:t>
      </w:r>
      <w:r w:rsidRPr="001D77F2">
        <w:t xml:space="preserve"> Comments at 3</w:t>
      </w:r>
      <w:r>
        <w:t xml:space="preserve"> and Attach. at 7 </w:t>
      </w:r>
      <w:r w:rsidRPr="001D77F2">
        <w:t>(</w:t>
      </w:r>
      <w:r>
        <w:t xml:space="preserve">proposing </w:t>
      </w:r>
      <w:r w:rsidRPr="001D77F2">
        <w:t>cost estimates for fencing, tree removal).</w:t>
      </w:r>
    </w:p>
  </w:footnote>
  <w:footnote w:id="35">
    <w:p w:rsidR="002071A8" w:rsidRPr="001D77F2" w:rsidP="001C562A" w14:paraId="48133D53" w14:textId="251E3323">
      <w:pPr>
        <w:pStyle w:val="FootnoteText"/>
      </w:pPr>
      <w:r w:rsidRPr="001D77F2">
        <w:rPr>
          <w:rStyle w:val="FootnoteReference"/>
        </w:rPr>
        <w:footnoteRef/>
      </w:r>
      <w:r w:rsidRPr="001D77F2">
        <w:t xml:space="preserve"> </w:t>
      </w:r>
      <w:r w:rsidRPr="001D77F2">
        <w:rPr>
          <w:i/>
          <w:iCs/>
        </w:rPr>
        <w:t>See</w:t>
      </w:r>
      <w:r>
        <w:rPr>
          <w:i/>
          <w:iCs/>
        </w:rPr>
        <w:t>,</w:t>
      </w:r>
      <w:r w:rsidRPr="001D77F2">
        <w:rPr>
          <w:i/>
          <w:iCs/>
        </w:rPr>
        <w:t xml:space="preserve"> e.g</w:t>
      </w:r>
      <w:r w:rsidRPr="001D77F2">
        <w:t xml:space="preserve">., ACA </w:t>
      </w:r>
      <w:r>
        <w:t xml:space="preserve">May 14, 2020 </w:t>
      </w:r>
      <w:r w:rsidRPr="001D77F2">
        <w:t>Comments, Attach. at 9, 10, 14, 18 (outlining various items like core network components, chassis, power splitters</w:t>
      </w:r>
      <w:r w:rsidR="0024077F">
        <w:t>,</w:t>
      </w:r>
      <w:r w:rsidRPr="001D77F2">
        <w:t xml:space="preserve"> and other items);</w:t>
      </w:r>
      <w:r>
        <w:t xml:space="preserve"> </w:t>
      </w:r>
      <w:r w:rsidRPr="001D77F2">
        <w:t xml:space="preserve">NCTA </w:t>
      </w:r>
      <w:r>
        <w:t xml:space="preserve">May 14, 2020 </w:t>
      </w:r>
      <w:r w:rsidRPr="001D77F2">
        <w:t>Comments at 18-21</w:t>
      </w:r>
      <w:r>
        <w:t xml:space="preserve"> (outlining various items like switches, power meters, dehydrators, RF loads</w:t>
      </w:r>
      <w:r w:rsidR="00B7490C">
        <w:t>,</w:t>
      </w:r>
      <w:r>
        <w:t xml:space="preserve"> and other components)</w:t>
      </w:r>
      <w:r w:rsidRPr="001D77F2">
        <w:t>.</w:t>
      </w:r>
    </w:p>
  </w:footnote>
  <w:footnote w:id="36">
    <w:p w:rsidR="002071A8" w:rsidRPr="001D77F2" w:rsidP="00875CB6" w14:paraId="7B2AC8EC" w14:textId="7EE1E517">
      <w:pPr>
        <w:pStyle w:val="FootnoteText"/>
      </w:pPr>
      <w:r w:rsidRPr="001D77F2">
        <w:rPr>
          <w:rStyle w:val="FootnoteReference"/>
        </w:rPr>
        <w:footnoteRef/>
      </w:r>
      <w:r w:rsidRPr="001D77F2">
        <w:t xml:space="preserve"> </w:t>
      </w:r>
      <w:r w:rsidRPr="001D77F2">
        <w:rPr>
          <w:i/>
          <w:iCs/>
        </w:rPr>
        <w:t>See, e.g</w:t>
      </w:r>
      <w:r w:rsidRPr="001D77F2">
        <w:t xml:space="preserve">., ACA </w:t>
      </w:r>
      <w:r>
        <w:t xml:space="preserve">May 14, 2020 </w:t>
      </w:r>
      <w:r w:rsidRPr="001D77F2">
        <w:t>Comments at 11, Attach. at 11-17</w:t>
      </w:r>
      <w:r>
        <w:t xml:space="preserve"> </w:t>
      </w:r>
      <w:r w:rsidRPr="001D77F2">
        <w:t>(outlining multiple items including surveying costs, permitting, coordination, HVAC installation</w:t>
      </w:r>
      <w:r>
        <w:t>,</w:t>
      </w:r>
      <w:r w:rsidRPr="001D77F2">
        <w:t xml:space="preserve"> and other expenses associated with new construction); NAB </w:t>
      </w:r>
      <w:r>
        <w:t xml:space="preserve">May 14, 2020 </w:t>
      </w:r>
      <w:r w:rsidRPr="001D77F2">
        <w:t>Comments at 5</w:t>
      </w:r>
      <w:r>
        <w:t xml:space="preserve"> </w:t>
      </w:r>
      <w:r w:rsidRPr="001D77F2">
        <w:t>(</w:t>
      </w:r>
      <w:r>
        <w:t xml:space="preserve">proposing </w:t>
      </w:r>
      <w:r w:rsidRPr="001D77F2">
        <w:t>foundation costs).</w:t>
      </w:r>
    </w:p>
  </w:footnote>
  <w:footnote w:id="37">
    <w:p w:rsidR="002071A8" w:rsidRPr="006C0AE3" w:rsidP="002F4C64" w14:paraId="36A7A57C" w14:textId="5D4C55BD">
      <w:pPr>
        <w:pStyle w:val="FootnoteText"/>
      </w:pPr>
      <w:r>
        <w:rPr>
          <w:rStyle w:val="FootnoteReference"/>
        </w:rPr>
        <w:footnoteRef/>
      </w:r>
      <w:r>
        <w:t xml:space="preserve"> </w:t>
      </w:r>
      <w:r w:rsidRPr="001D77F2">
        <w:rPr>
          <w:i/>
          <w:iCs/>
        </w:rPr>
        <w:t>See, e.g</w:t>
      </w:r>
      <w:r>
        <w:rPr>
          <w:i/>
          <w:iCs/>
        </w:rPr>
        <w:t>.</w:t>
      </w:r>
      <w:r>
        <w:t>,</w:t>
      </w:r>
      <w:r>
        <w:rPr>
          <w:i/>
          <w:iCs/>
        </w:rPr>
        <w:t xml:space="preserve"> </w:t>
      </w:r>
      <w:r>
        <w:t>NCTA May 14, 2020 Comments at 20-23 (outlining costs for project management, shipping, and various equipment components).</w:t>
      </w:r>
    </w:p>
  </w:footnote>
  <w:footnote w:id="38">
    <w:p w:rsidR="002071A8" w:rsidRPr="001D77F2" w:rsidP="006E1680" w14:paraId="73F7AA2F" w14:textId="07741272">
      <w:pPr>
        <w:pStyle w:val="FootnoteText"/>
      </w:pPr>
      <w:r w:rsidRPr="001D77F2">
        <w:rPr>
          <w:rStyle w:val="FootnoteReference"/>
        </w:rPr>
        <w:footnoteRef/>
      </w:r>
      <w:r w:rsidRPr="001D77F2">
        <w:t xml:space="preserve"> </w:t>
      </w:r>
      <w:r w:rsidRPr="001D77F2">
        <w:rPr>
          <w:i/>
          <w:iCs/>
        </w:rPr>
        <w:t>See</w:t>
      </w:r>
      <w:r w:rsidRPr="001D77F2">
        <w:t xml:space="preserve"> AT&amp;T </w:t>
      </w:r>
      <w:r>
        <w:t xml:space="preserve">May 14, 2020 </w:t>
      </w:r>
      <w:r w:rsidRPr="001D77F2">
        <w:t>Comments at 7</w:t>
      </w:r>
      <w:r>
        <w:t xml:space="preserve">; </w:t>
      </w:r>
      <w:r w:rsidRPr="004B47E0">
        <w:t xml:space="preserve">NAB </w:t>
      </w:r>
      <w:r>
        <w:t xml:space="preserve">May 14, 2020 </w:t>
      </w:r>
      <w:r w:rsidRPr="004B47E0">
        <w:t>Comments at 4</w:t>
      </w:r>
      <w:r>
        <w:t xml:space="preserve"> (asking Bureau to include estimates for 5.6- and 7.3-meter antennas or larger)</w:t>
      </w:r>
      <w:r w:rsidRPr="00826AA7">
        <w:t>.</w:t>
      </w:r>
      <w:r>
        <w:t xml:space="preserve">  B</w:t>
      </w:r>
      <w:r w:rsidRPr="000A53F7">
        <w:t xml:space="preserve">ecause </w:t>
      </w:r>
      <w:r>
        <w:t>parties</w:t>
      </w:r>
      <w:r w:rsidRPr="000A53F7">
        <w:t xml:space="preserve"> did not provide specific cost information</w:t>
      </w:r>
      <w:r>
        <w:t xml:space="preserve"> for the larger antenna sizes we included</w:t>
      </w:r>
      <w:r w:rsidRPr="000A53F7">
        <w:t>, the Burea</w:t>
      </w:r>
      <w:r>
        <w:t>u, in consultation with</w:t>
      </w:r>
      <w:r w:rsidRPr="000A53F7">
        <w:t xml:space="preserve"> RKF</w:t>
      </w:r>
      <w:r>
        <w:t>,</w:t>
      </w:r>
      <w:r w:rsidRPr="000A53F7">
        <w:t xml:space="preserve"> determined </w:t>
      </w:r>
      <w:r>
        <w:t xml:space="preserve">the </w:t>
      </w:r>
      <w:r w:rsidRPr="000A53F7">
        <w:t>presumptively reasonable costs for those items</w:t>
      </w:r>
      <w:r>
        <w:t xml:space="preserve"> based on information from vendors regarding commercial offerings</w:t>
      </w:r>
      <w:r w:rsidRPr="000A53F7">
        <w:t>.</w:t>
      </w:r>
    </w:p>
  </w:footnote>
  <w:footnote w:id="39">
    <w:p w:rsidR="002071A8" w:rsidRPr="001D77F2" w:rsidP="008C72E5" w14:paraId="566F9A52" w14:textId="5E5443F0">
      <w:pPr>
        <w:pStyle w:val="FootnoteText"/>
      </w:pPr>
      <w:r w:rsidRPr="001D77F2">
        <w:rPr>
          <w:rStyle w:val="FootnoteReference"/>
        </w:rPr>
        <w:footnoteRef/>
      </w:r>
      <w:r w:rsidRPr="001D77F2">
        <w:t xml:space="preserve"> </w:t>
      </w:r>
      <w:r w:rsidRPr="001D77F2">
        <w:rPr>
          <w:i/>
          <w:iCs/>
        </w:rPr>
        <w:t>See, e.g</w:t>
      </w:r>
      <w:r w:rsidRPr="001D77F2">
        <w:t>., Intelsat May 1</w:t>
      </w:r>
      <w:r>
        <w:t>4</w:t>
      </w:r>
      <w:r w:rsidRPr="001D77F2">
        <w:t>, 2020 Comments at 6, 7 (urging the relocation of tables III-A-3 and III-A-4 to another table and that certain costs be added to table III-B-5); SES May 14, 2020 Comments at 3-4, 12-13</w:t>
      </w:r>
      <w:r>
        <w:t xml:space="preserve"> </w:t>
      </w:r>
      <w:r w:rsidRPr="001D77F2">
        <w:t xml:space="preserve">(suggesting various items be added or moved to different tables); ACA </w:t>
      </w:r>
      <w:r>
        <w:t xml:space="preserve">May 14, 2020 </w:t>
      </w:r>
      <w:r w:rsidRPr="001D77F2">
        <w:t>Comments at 12 and Attach. at 7-9 (arguing that some of the cost elements associated with bi-directional earth stations or Fixed Services are also applicable to receive-only earth station migration).</w:t>
      </w:r>
    </w:p>
  </w:footnote>
  <w:footnote w:id="40">
    <w:p w:rsidR="002071A8" w:rsidRPr="001D77F2" w:rsidP="00A56F1A" w14:paraId="662B9999" w14:textId="07E0836B">
      <w:pPr>
        <w:pStyle w:val="FootnoteText"/>
      </w:pPr>
      <w:r w:rsidRPr="001D77F2">
        <w:rPr>
          <w:rStyle w:val="FootnoteReference"/>
        </w:rPr>
        <w:footnoteRef/>
      </w:r>
      <w:r w:rsidRPr="001D77F2">
        <w:t xml:space="preserve"> </w:t>
      </w:r>
      <w:r w:rsidRPr="001D77F2">
        <w:rPr>
          <w:i/>
          <w:iCs/>
        </w:rPr>
        <w:t>See, e.g.</w:t>
      </w:r>
      <w:r w:rsidRPr="001D77F2">
        <w:t xml:space="preserve">, AT&amp;T </w:t>
      </w:r>
      <w:r>
        <w:t xml:space="preserve">May 14, 2020 </w:t>
      </w:r>
      <w:r w:rsidRPr="001D77F2">
        <w:t xml:space="preserve">Comments at </w:t>
      </w:r>
      <w:r>
        <w:t>3-</w:t>
      </w:r>
      <w:r w:rsidRPr="001D77F2">
        <w:t xml:space="preserve">4 </w:t>
      </w:r>
      <w:r>
        <w:t>(</w:t>
      </w:r>
      <w:r w:rsidRPr="001D77F2">
        <w:t xml:space="preserve">asking to separate out soft costs specific to technology upgrades); Altice </w:t>
      </w:r>
      <w:r>
        <w:t xml:space="preserve">USA, Inc. </w:t>
      </w:r>
      <w:r w:rsidRPr="001D77F2">
        <w:t>Comments at 3</w:t>
      </w:r>
      <w:r>
        <w:t>-4</w:t>
      </w:r>
      <w:r w:rsidRPr="001D77F2">
        <w:t xml:space="preserve"> (noting that the Cost Catalog should include additional soft cost expenses that earth station operators will face as they transition)</w:t>
      </w:r>
      <w:r>
        <w:t>.</w:t>
      </w:r>
    </w:p>
  </w:footnote>
  <w:footnote w:id="41">
    <w:p w:rsidR="002071A8" w:rsidRPr="001D77F2" w:rsidP="008C72E5" w14:paraId="55F2FCDC" w14:textId="5AE4E02D">
      <w:pPr>
        <w:pStyle w:val="FootnoteText"/>
      </w:pPr>
      <w:r w:rsidRPr="001D77F2">
        <w:rPr>
          <w:rStyle w:val="FootnoteReference"/>
        </w:rPr>
        <w:footnoteRef/>
      </w:r>
      <w:r w:rsidRPr="001D77F2">
        <w:t xml:space="preserve"> </w:t>
      </w:r>
      <w:r w:rsidRPr="001D77F2">
        <w:rPr>
          <w:i/>
          <w:iCs/>
        </w:rPr>
        <w:t>3.7 GHz Report and Order</w:t>
      </w:r>
      <w:r>
        <w:t xml:space="preserve">, </w:t>
      </w:r>
      <w:r w:rsidRPr="008E618F">
        <w:t>35 FCC Rcd</w:t>
      </w:r>
      <w:r w:rsidRPr="001D77F2">
        <w:t xml:space="preserve"> at </w:t>
      </w:r>
      <w:r>
        <w:t>2424-25, para. 198.</w:t>
      </w:r>
    </w:p>
  </w:footnote>
  <w:footnote w:id="42">
    <w:p w:rsidR="002071A8" w:rsidRPr="006D58CD" w:rsidP="000C48F5" w14:paraId="18EF6F32" w14:textId="2550A613">
      <w:pPr>
        <w:pStyle w:val="FootnoteText"/>
      </w:pPr>
      <w:r>
        <w:rPr>
          <w:rStyle w:val="FootnoteReference"/>
        </w:rPr>
        <w:footnoteRef/>
      </w:r>
      <w:r>
        <w:t xml:space="preserve"> </w:t>
      </w:r>
      <w:r>
        <w:rPr>
          <w:i/>
          <w:iCs/>
        </w:rPr>
        <w:t>See, e.g.</w:t>
      </w:r>
      <w:r>
        <w:t xml:space="preserve">, SES May 14, 2020 Comments at 2-3 (seeking addition of certain gateway relocation costs such as those required to acquire a new facility); Intelsat May 14, 2020 Comments at 4-5 (seeking addition of itemized program management costs); A&amp;E Television Networks, LLC, Discovery, Inc., FOX Corporation, The Walt Disney Company, Univision Communications, Inc., and ViacomCBS Inc. (Content Companies) May 14, 2020 Comments at 5 (seeking inclusion of additional transition costs such as </w:t>
      </w:r>
      <w:r>
        <w:rPr>
          <w:lang w:bidi="en-US"/>
        </w:rPr>
        <w:t>p</w:t>
      </w:r>
      <w:r w:rsidRPr="007F1380">
        <w:rPr>
          <w:lang w:bidi="en-US"/>
        </w:rPr>
        <w:t>rogrammer affiliate coordination, integration, testing</w:t>
      </w:r>
      <w:r>
        <w:rPr>
          <w:lang w:bidi="en-US"/>
        </w:rPr>
        <w:t>,</w:t>
      </w:r>
      <w:r w:rsidRPr="007F1380">
        <w:rPr>
          <w:lang w:bidi="en-US"/>
        </w:rPr>
        <w:t xml:space="preserve"> and training costs</w:t>
      </w:r>
      <w:r>
        <w:rPr>
          <w:lang w:bidi="en-US"/>
        </w:rPr>
        <w:t>)</w:t>
      </w:r>
      <w:r>
        <w:t>.  We have</w:t>
      </w:r>
      <w:r w:rsidRPr="00657A4D">
        <w:t xml:space="preserve"> also removed the cost item for </w:t>
      </w:r>
      <w:r>
        <w:t>T</w:t>
      </w:r>
      <w:r w:rsidRPr="00657A4D">
        <w:t xml:space="preserve">ribal fees </w:t>
      </w:r>
      <w:r>
        <w:t>previously included in T</w:t>
      </w:r>
      <w:r w:rsidRPr="00923A96">
        <w:t xml:space="preserve">able IV-D-4 </w:t>
      </w:r>
      <w:r w:rsidRPr="00657A4D">
        <w:t xml:space="preserve">given the Commission’s clarification in 2018 that, consistent with the </w:t>
      </w:r>
      <w:r w:rsidRPr="00075B5B">
        <w:t>Advisory Council on Historic Preservation</w:t>
      </w:r>
      <w:r w:rsidRPr="00657A4D">
        <w:t xml:space="preserve">’s 2001 Fee Guidance, applicants are not required to pay a tribe for providing its views in the Section 106 process. </w:t>
      </w:r>
      <w:r>
        <w:t xml:space="preserve"> </w:t>
      </w:r>
      <w:r>
        <w:rPr>
          <w:i/>
          <w:iCs/>
        </w:rPr>
        <w:t xml:space="preserve">See </w:t>
      </w:r>
      <w:r w:rsidRPr="009F40A7">
        <w:rPr>
          <w:i/>
          <w:iCs/>
        </w:rPr>
        <w:t>Accelerating Wireless Broadband Deployment by Removing Barriers to Infrastructure Investment</w:t>
      </w:r>
      <w:r>
        <w:t xml:space="preserve">, WT Docket No. 17-79, Second Report and Order, </w:t>
      </w:r>
      <w:r w:rsidRPr="000B28C9">
        <w:t>33 FCC Rcd 3102</w:t>
      </w:r>
      <w:r>
        <w:t xml:space="preserve">, 3152, para. 114 (2018). </w:t>
      </w:r>
      <w:r w:rsidRPr="000B28C9">
        <w:t xml:space="preserve"> </w:t>
      </w:r>
      <w:r w:rsidRPr="00657A4D">
        <w:t xml:space="preserve">The Commission clarified “the circumstances under which an applicant may be required to retain an appropriately qualified expert, who may be a representative of a Tribal Nation or </w:t>
      </w:r>
      <w:r>
        <w:t>[Native Hawaiian Organization]</w:t>
      </w:r>
      <w:r w:rsidRPr="00657A4D">
        <w:t>, to perform consultant services for which that expert may reasonably expect to be compensated</w:t>
      </w:r>
      <w:r>
        <w:t>.</w:t>
      </w:r>
      <w:r w:rsidRPr="00657A4D">
        <w:t xml:space="preserve">”  </w:t>
      </w:r>
      <w:r>
        <w:rPr>
          <w:i/>
          <w:iCs/>
        </w:rPr>
        <w:t>Id.</w:t>
      </w:r>
      <w:r>
        <w:t xml:space="preserve"> </w:t>
      </w:r>
      <w:r w:rsidRPr="00657A4D">
        <w:t xml:space="preserve"> In light of this clarification, we determine that </w:t>
      </w:r>
      <w:r>
        <w:t>T</w:t>
      </w:r>
      <w:r w:rsidRPr="00657A4D">
        <w:t xml:space="preserve">ribal fees </w:t>
      </w:r>
      <w:r w:rsidRPr="00F8065F">
        <w:rPr>
          <w:i/>
          <w:iCs/>
        </w:rPr>
        <w:t>per se</w:t>
      </w:r>
      <w:r w:rsidRPr="00657A4D">
        <w:t xml:space="preserve"> would not be assumed in a typical transition</w:t>
      </w:r>
      <w:r>
        <w:t xml:space="preserve"> for Fixed Service licensees</w:t>
      </w:r>
      <w:r w:rsidRPr="00657A4D">
        <w:t>.</w:t>
      </w:r>
    </w:p>
  </w:footnote>
  <w:footnote w:id="43">
    <w:p w:rsidR="002071A8" w:rsidRPr="001D77F2" w:rsidP="00387B62" w14:paraId="40212A36" w14:textId="744A7E3B">
      <w:pPr>
        <w:pStyle w:val="FootnoteText"/>
      </w:pPr>
      <w:r w:rsidRPr="001D77F2">
        <w:rPr>
          <w:rStyle w:val="FootnoteReference"/>
        </w:rPr>
        <w:footnoteRef/>
      </w:r>
      <w:r w:rsidRPr="001D77F2">
        <w:t xml:space="preserve"> AT&amp;T </w:t>
      </w:r>
      <w:r>
        <w:t xml:space="preserve">May 14, 2020 </w:t>
      </w:r>
      <w:r w:rsidRPr="001D77F2">
        <w:t>Comments at 4-5</w:t>
      </w:r>
      <w:r>
        <w:t xml:space="preserve"> </w:t>
      </w:r>
      <w:r w:rsidRPr="001D77F2">
        <w:t>(requesting cost break</w:t>
      </w:r>
      <w:r>
        <w:t>-</w:t>
      </w:r>
      <w:r w:rsidRPr="001D77F2">
        <w:t>outs for occasional use to address different sized antennas and different filtering).</w:t>
      </w:r>
    </w:p>
  </w:footnote>
  <w:footnote w:id="44">
    <w:p w:rsidR="002071A8" w14:paraId="127BBD2A" w14:textId="1978FBF0">
      <w:pPr>
        <w:pStyle w:val="FootnoteText"/>
      </w:pPr>
      <w:r>
        <w:rPr>
          <w:rStyle w:val="FootnoteReference"/>
        </w:rPr>
        <w:footnoteRef/>
      </w:r>
      <w:r>
        <w:t xml:space="preserve"> Because the </w:t>
      </w:r>
      <w:r>
        <w:rPr>
          <w:i/>
          <w:iCs/>
        </w:rPr>
        <w:t xml:space="preserve">3.7 </w:t>
      </w:r>
      <w:r w:rsidRPr="001D77F2">
        <w:rPr>
          <w:i/>
          <w:iCs/>
        </w:rPr>
        <w:t>GHz Report and Order</w:t>
      </w:r>
      <w:r w:rsidRPr="001D77F2">
        <w:t xml:space="preserve"> </w:t>
      </w:r>
      <w:r>
        <w:t xml:space="preserve">provides that “[r]eimbursement submissions that fall within the estimated range of costs in the cost category schedule . . . shall be presumed reasonable,” the Bureau has only updated the cost estimates where it determines them to be reasonable.  </w:t>
      </w:r>
      <w:r w:rsidRPr="001D77F2">
        <w:rPr>
          <w:i/>
          <w:iCs/>
        </w:rPr>
        <w:t>3.7 GHz Report and Order</w:t>
      </w:r>
      <w:r>
        <w:t xml:space="preserve">, </w:t>
      </w:r>
      <w:r w:rsidRPr="008E618F">
        <w:t>35 FCC Rcd</w:t>
      </w:r>
      <w:r w:rsidRPr="001D77F2">
        <w:t xml:space="preserve"> at</w:t>
      </w:r>
      <w:r>
        <w:t xml:space="preserve"> 2448, para. 262; </w:t>
      </w:r>
      <w:r>
        <w:rPr>
          <w:i/>
          <w:iCs/>
        </w:rPr>
        <w:t xml:space="preserve">see also </w:t>
      </w:r>
      <w:r>
        <w:t>47 CFR § 2</w:t>
      </w:r>
      <w:r w:rsidRPr="009B491A">
        <w:t>7.1416</w:t>
      </w:r>
      <w:r>
        <w:t xml:space="preserve">(a).  </w:t>
      </w:r>
    </w:p>
  </w:footnote>
  <w:footnote w:id="45">
    <w:p w:rsidR="002071A8" w:rsidRPr="004B47E0" w14:paraId="32E6A8CC" w14:textId="049E7C73">
      <w:pPr>
        <w:pStyle w:val="FootnoteText"/>
        <w:rPr>
          <w:i/>
          <w:iCs/>
        </w:rPr>
      </w:pPr>
      <w:r>
        <w:rPr>
          <w:rStyle w:val="FootnoteReference"/>
        </w:rPr>
        <w:footnoteRef/>
      </w:r>
      <w:r>
        <w:t xml:space="preserve"> </w:t>
      </w:r>
      <w:r>
        <w:rPr>
          <w:i/>
          <w:iCs/>
        </w:rPr>
        <w:t xml:space="preserve">See </w:t>
      </w:r>
      <w:r w:rsidRPr="001D77F2">
        <w:t>Intelsat May 1</w:t>
      </w:r>
      <w:r>
        <w:t>4</w:t>
      </w:r>
      <w:r w:rsidRPr="001D77F2">
        <w:t>, 2020 Comments at</w:t>
      </w:r>
      <w:r>
        <w:t xml:space="preserve"> 3-4 (noting potential higher cost if satellite operators must use a higher cost launch provider); Letter from David Goldman, Director of Satellite Policy, Space Exploration Technologies Corp., to Marlene. H. Dortch, Secretary, FCC, at 1 (filed May 13, 2020) (noting lower cost for single launch).</w:t>
      </w:r>
    </w:p>
  </w:footnote>
  <w:footnote w:id="46">
    <w:p w:rsidR="002071A8" w14:paraId="0B80049F" w14:textId="6405E0BE">
      <w:pPr>
        <w:pStyle w:val="FootnoteText"/>
      </w:pPr>
      <w:r>
        <w:rPr>
          <w:rStyle w:val="FootnoteReference"/>
        </w:rPr>
        <w:footnoteRef/>
      </w:r>
      <w:r>
        <w:t xml:space="preserve"> </w:t>
      </w:r>
      <w:r>
        <w:rPr>
          <w:i/>
          <w:iCs/>
        </w:rPr>
        <w:t>See</w:t>
      </w:r>
      <w:r w:rsidRPr="005F7A8C">
        <w:t xml:space="preserve"> </w:t>
      </w:r>
      <w:r w:rsidRPr="001D77F2">
        <w:t xml:space="preserve">NAB </w:t>
      </w:r>
      <w:r>
        <w:t xml:space="preserve">May 14, 2020 </w:t>
      </w:r>
      <w:r w:rsidRPr="001D77F2">
        <w:t xml:space="preserve">Comments at </w:t>
      </w:r>
      <w:r>
        <w:t>4 (proposing increased cost for passband filter installation); NCTA May 14, 2020 Comments at 23 (proposing increased costs for fiber transmitters and receivers); Cox May 14, 2020 Comments at 13</w:t>
      </w:r>
      <w:r w:rsidRPr="005412FA">
        <w:t xml:space="preserve"> </w:t>
      </w:r>
      <w:r>
        <w:t>(proposing increased costs for replacing cabling from antenna to headend); Telesat May 14, 2020 Comments, Attach. at 4</w:t>
      </w:r>
      <w:r w:rsidRPr="005412FA">
        <w:t xml:space="preserve"> </w:t>
      </w:r>
      <w:r>
        <w:t xml:space="preserve">(proposing increased costs for repointing antennas). </w:t>
      </w:r>
    </w:p>
  </w:footnote>
  <w:footnote w:id="47">
    <w:p w:rsidR="002071A8" w14:paraId="57B7DA8B" w14:textId="7FF35266">
      <w:pPr>
        <w:pStyle w:val="FootnoteText"/>
      </w:pPr>
      <w:r>
        <w:rPr>
          <w:rStyle w:val="FootnoteReference"/>
        </w:rPr>
        <w:footnoteRef/>
      </w:r>
      <w:r>
        <w:t xml:space="preserve"> SES May 14, 2020 Comments at 8 (proposing increased cost for a 3.7-meter antenna with single-feed system); Telesat May 14, 2020 Comments, Attach. at 6-7 (proposing increased cost for antenna installation or move with foundation, trenching for cables, and mount upgrade options and clarification of what is included within those categories); Cox May 14, 2020 Comments at 12 (proposing increased cost for de-icing systems); NCTA May 14, 2020 Comments at 23 (proposing increased costs for foundation kits for small near full-arc multibeam antennas and for C-band dual polarity feed assembly full system installation for large near full-arc multibeam antenna); AT&amp;T</w:t>
      </w:r>
      <w:r w:rsidRPr="000567C1">
        <w:t xml:space="preserve"> </w:t>
      </w:r>
      <w:r>
        <w:t>May 14, 2020 Comments at 7 (proposing increased cost for C-band dual polarity feed assembly for large near full-arc multibeam antenna).</w:t>
      </w:r>
    </w:p>
  </w:footnote>
  <w:footnote w:id="48">
    <w:p w:rsidR="002071A8" w14:paraId="73D2E779" w14:textId="0F8AD812">
      <w:pPr>
        <w:pStyle w:val="FootnoteText"/>
      </w:pPr>
      <w:r>
        <w:rPr>
          <w:rStyle w:val="FootnoteReference"/>
        </w:rPr>
        <w:footnoteRef/>
      </w:r>
      <w:r>
        <w:t xml:space="preserve"> Telesat May 14, 2020 Comments at 3 and Attach. at 7 (proposing clarification of what is included within categories of antenna installation or move, trenching, and mount upgrade options).</w:t>
      </w:r>
    </w:p>
  </w:footnote>
  <w:footnote w:id="49">
    <w:p w:rsidR="002071A8" w14:paraId="2F2A4075" w14:textId="03673373">
      <w:pPr>
        <w:pStyle w:val="FootnoteText"/>
      </w:pPr>
      <w:r>
        <w:rPr>
          <w:rStyle w:val="FootnoteReference"/>
        </w:rPr>
        <w:footnoteRef/>
      </w:r>
      <w:r>
        <w:t xml:space="preserve"> SES </w:t>
      </w:r>
      <w:r w:rsidRPr="001D77F2">
        <w:t>May 1</w:t>
      </w:r>
      <w:r>
        <w:t>4</w:t>
      </w:r>
      <w:r w:rsidRPr="001D77F2">
        <w:t xml:space="preserve">, 2020 </w:t>
      </w:r>
      <w:r>
        <w:t>Comments at 2.</w:t>
      </w:r>
    </w:p>
  </w:footnote>
  <w:footnote w:id="50">
    <w:p w:rsidR="002071A8" w14:paraId="72927BD1" w14:textId="4EAB9DF8">
      <w:pPr>
        <w:pStyle w:val="FootnoteText"/>
      </w:pPr>
      <w:r>
        <w:rPr>
          <w:rStyle w:val="FootnoteReference"/>
        </w:rPr>
        <w:footnoteRef/>
      </w:r>
      <w:r>
        <w:t xml:space="preserve"> </w:t>
      </w:r>
      <w:r w:rsidRPr="001D77F2">
        <w:t>Intelsat May 1</w:t>
      </w:r>
      <w:r>
        <w:t>4</w:t>
      </w:r>
      <w:r w:rsidRPr="001D77F2">
        <w:t>, 2020 Comments at</w:t>
      </w:r>
      <w:r>
        <w:t xml:space="preserve"> 7.</w:t>
      </w:r>
    </w:p>
  </w:footnote>
  <w:footnote w:id="51">
    <w:p w:rsidR="002071A8" w14:paraId="1FA179E6" w14:textId="38A954C6">
      <w:pPr>
        <w:pStyle w:val="FootnoteText"/>
      </w:pPr>
      <w:r>
        <w:rPr>
          <w:rStyle w:val="FootnoteReference"/>
        </w:rPr>
        <w:footnoteRef/>
      </w:r>
      <w:r>
        <w:t xml:space="preserve"> </w:t>
      </w:r>
      <w:r w:rsidR="00AA6008">
        <w:rPr>
          <w:i/>
          <w:iCs/>
        </w:rPr>
        <w:t>Id.</w:t>
      </w:r>
      <w:r w:rsidRPr="001D77F2">
        <w:t xml:space="preserve"> at</w:t>
      </w:r>
      <w:r>
        <w:t xml:space="preserve"> 8.</w:t>
      </w:r>
    </w:p>
  </w:footnote>
  <w:footnote w:id="52">
    <w:p w:rsidR="002071A8" w14:paraId="6C3AB595" w14:textId="32997A2A">
      <w:pPr>
        <w:pStyle w:val="FootnoteText"/>
      </w:pPr>
      <w:r>
        <w:rPr>
          <w:rStyle w:val="FootnoteReference"/>
        </w:rPr>
        <w:footnoteRef/>
      </w:r>
      <w:r>
        <w:t xml:space="preserve"> Telesat May 14, 2020 Comments, Attach. at 16.</w:t>
      </w:r>
    </w:p>
  </w:footnote>
  <w:footnote w:id="53">
    <w:p w:rsidR="002071A8" w14:paraId="5B502322" w14:textId="52C5FA6F">
      <w:pPr>
        <w:pStyle w:val="FootnoteText"/>
      </w:pPr>
      <w:r>
        <w:rPr>
          <w:rStyle w:val="FootnoteReference"/>
        </w:rPr>
        <w:footnoteRef/>
      </w:r>
      <w:r>
        <w:t xml:space="preserve"> NAB May 14, 2020 Comments at 3-4 (proposing increased cost of encoding and statmux equipment); NCTA May 14, 2020 Comments at 21-22 (proposing clarification of what encoding/statmux equipment category includes).</w:t>
      </w:r>
    </w:p>
  </w:footnote>
  <w:footnote w:id="54">
    <w:p w:rsidR="002071A8" w:rsidRPr="001D77F2" w:rsidP="001F31C6" w14:paraId="168051D7" w14:textId="0128AB96">
      <w:pPr>
        <w:pStyle w:val="FootnoteText"/>
      </w:pPr>
      <w:r w:rsidRPr="001D77F2">
        <w:rPr>
          <w:rStyle w:val="FootnoteReference"/>
        </w:rPr>
        <w:footnoteRef/>
      </w:r>
      <w:r w:rsidRPr="001D77F2">
        <w:t xml:space="preserve"> </w:t>
      </w:r>
      <w:r w:rsidRPr="001D77F2">
        <w:rPr>
          <w:i/>
          <w:iCs/>
        </w:rPr>
        <w:t>See, e.g.</w:t>
      </w:r>
      <w:r w:rsidRPr="003F657B">
        <w:t>,</w:t>
      </w:r>
      <w:r w:rsidRPr="001D77F2">
        <w:t xml:space="preserve"> Intelsat May 18, 2020 Comments at 4-5 (</w:t>
      </w:r>
      <w:r>
        <w:t xml:space="preserve">proposing </w:t>
      </w:r>
      <w:r w:rsidRPr="001D77F2">
        <w:t>program management, staffing, and support expenses); NAB May 14, 2020 Comments at 4 (outlining costs for 5.6</w:t>
      </w:r>
      <w:r>
        <w:t>-</w:t>
      </w:r>
      <w:r w:rsidRPr="001D77F2">
        <w:t xml:space="preserve"> and 7.3</w:t>
      </w:r>
      <w:r>
        <w:t>-</w:t>
      </w:r>
      <w:r w:rsidRPr="001D77F2">
        <w:t>meter antennas); NCTA May 14, 2020 Comments at 23 (</w:t>
      </w:r>
      <w:r>
        <w:t xml:space="preserve">proposing </w:t>
      </w:r>
      <w:r w:rsidRPr="001D77F2">
        <w:t>costs for uplink filter, foundation kit</w:t>
      </w:r>
      <w:r w:rsidR="00381673">
        <w:t>,</w:t>
      </w:r>
      <w:r w:rsidRPr="001D77F2">
        <w:t xml:space="preserve"> and feed assembly).</w:t>
      </w:r>
    </w:p>
  </w:footnote>
  <w:footnote w:id="55">
    <w:p w:rsidR="002071A8" w:rsidRPr="001D77F2" w:rsidP="00887F92" w14:paraId="77A2CF71" w14:textId="34D28A04">
      <w:pPr>
        <w:pStyle w:val="FootnoteText"/>
      </w:pPr>
      <w:r w:rsidRPr="001D77F2">
        <w:rPr>
          <w:rStyle w:val="FootnoteReference"/>
        </w:rPr>
        <w:footnoteRef/>
      </w:r>
      <w:r w:rsidRPr="001D77F2">
        <w:t xml:space="preserve"> </w:t>
      </w:r>
      <w:r w:rsidRPr="001D77F2">
        <w:rPr>
          <w:i/>
          <w:iCs/>
        </w:rPr>
        <w:t>See, e.g.</w:t>
      </w:r>
      <w:r w:rsidRPr="003F657B">
        <w:t>,</w:t>
      </w:r>
      <w:r w:rsidRPr="00281990">
        <w:t xml:space="preserve"> </w:t>
      </w:r>
      <w:r w:rsidRPr="001D77F2">
        <w:t>NAB May 14, 202</w:t>
      </w:r>
      <w:r>
        <w:t>0</w:t>
      </w:r>
      <w:r w:rsidRPr="001D77F2">
        <w:t xml:space="preserve"> Comments at 6; NCTA May 14, 2020 Comments at 9.</w:t>
      </w:r>
    </w:p>
  </w:footnote>
  <w:footnote w:id="56">
    <w:p w:rsidR="002071A8" w:rsidRPr="001D77F2" w:rsidP="001C562A" w14:paraId="3D18D668" w14:textId="5165D4A4">
      <w:pPr>
        <w:pStyle w:val="FootnoteText"/>
      </w:pPr>
      <w:r w:rsidRPr="001D77F2">
        <w:rPr>
          <w:rStyle w:val="FootnoteReference"/>
        </w:rPr>
        <w:footnoteRef/>
      </w:r>
      <w:r w:rsidRPr="001D77F2">
        <w:t xml:space="preserve"> </w:t>
      </w:r>
      <w:r w:rsidRPr="001D77F2">
        <w:rPr>
          <w:i/>
          <w:iCs/>
        </w:rPr>
        <w:t>See 3.7 GHz Report and Order</w:t>
      </w:r>
      <w:r>
        <w:t xml:space="preserve">, </w:t>
      </w:r>
      <w:r w:rsidRPr="008E618F">
        <w:t>35 FCC Rcd</w:t>
      </w:r>
      <w:r w:rsidRPr="001D77F2">
        <w:t xml:space="preserve"> at 2447-48, paras. 261-62 (“All incumbents seeking reimbursement for their actual costs shall provide justification for those costs</w:t>
      </w:r>
      <w:r w:rsidRPr="001D77F2">
        <w:t>.</w:t>
      </w:r>
      <w:r w:rsidRPr="001D77F2">
        <w:t xml:space="preserve">”); 47 CFR </w:t>
      </w:r>
      <w:r>
        <w:t xml:space="preserve">§ </w:t>
      </w:r>
      <w:r w:rsidRPr="001D77F2">
        <w:t>27.2427(a).</w:t>
      </w:r>
    </w:p>
  </w:footnote>
  <w:footnote w:id="57">
    <w:p w:rsidR="002071A8" w:rsidRPr="001D77F2" w:rsidP="001C562A" w14:paraId="240C8E79" w14:textId="5A74CCAF">
      <w:pPr>
        <w:pStyle w:val="FootnoteText"/>
      </w:pPr>
      <w:r w:rsidRPr="001D77F2">
        <w:rPr>
          <w:rStyle w:val="FootnoteReference"/>
        </w:rPr>
        <w:footnoteRef/>
      </w:r>
      <w:r w:rsidRPr="001D77F2">
        <w:t xml:space="preserve"> </w:t>
      </w:r>
      <w:r w:rsidRPr="001D77F2">
        <w:rPr>
          <w:i/>
          <w:iCs/>
        </w:rPr>
        <w:t xml:space="preserve">Cost Catalog </w:t>
      </w:r>
      <w:r>
        <w:rPr>
          <w:i/>
          <w:iCs/>
        </w:rPr>
        <w:t xml:space="preserve">Comment </w:t>
      </w:r>
      <w:r w:rsidRPr="001D77F2">
        <w:rPr>
          <w:i/>
          <w:iCs/>
        </w:rPr>
        <w:t>Public Notice</w:t>
      </w:r>
      <w:r>
        <w:t>, 35 FCC Rcd</w:t>
      </w:r>
      <w:r w:rsidRPr="001D77F2">
        <w:t xml:space="preserve"> at </w:t>
      </w:r>
      <w:r>
        <w:t>4441</w:t>
      </w:r>
      <w:r w:rsidRPr="001D77F2">
        <w:t>.</w:t>
      </w:r>
    </w:p>
  </w:footnote>
  <w:footnote w:id="58">
    <w:p w:rsidR="002071A8" w:rsidRPr="001D77F2" w:rsidP="001C562A" w14:paraId="10C2776D" w14:textId="486B8CFF">
      <w:pPr>
        <w:pStyle w:val="FootnoteText"/>
      </w:pPr>
      <w:r w:rsidRPr="001D77F2">
        <w:rPr>
          <w:rStyle w:val="FootnoteReference"/>
        </w:rPr>
        <w:footnoteRef/>
      </w:r>
      <w:r w:rsidRPr="001D77F2">
        <w:t xml:space="preserve"> </w:t>
      </w:r>
      <w:r w:rsidRPr="001D77F2">
        <w:rPr>
          <w:i/>
          <w:iCs/>
        </w:rPr>
        <w:t>See, e.g.</w:t>
      </w:r>
      <w:r w:rsidRPr="001D77F2">
        <w:t xml:space="preserve">, </w:t>
      </w:r>
      <w:r w:rsidRPr="001D77F2">
        <w:rPr>
          <w:i/>
          <w:iCs/>
        </w:rPr>
        <w:t>id.</w:t>
      </w:r>
      <w:r>
        <w:t>, Attach.</w:t>
      </w:r>
      <w:r w:rsidRPr="001D77F2">
        <w:t xml:space="preserve"> at </w:t>
      </w:r>
      <w:r>
        <w:t>4445</w:t>
      </w:r>
      <w:r w:rsidRPr="001D77F2">
        <w:t xml:space="preserve"> (“While we believe the Catalog is relatively comprehensive, it does not cover every expense, for every situation, nor is it an exhaustive list of all expenses that may potentially qualify for reimbursement.”).</w:t>
      </w:r>
    </w:p>
  </w:footnote>
  <w:footnote w:id="59">
    <w:p w:rsidR="002071A8" w:rsidRPr="001D77F2" w:rsidP="001C562A" w14:paraId="0F6C3E4F" w14:textId="70E2249D">
      <w:pPr>
        <w:pStyle w:val="FootnoteText"/>
      </w:pPr>
      <w:r w:rsidRPr="001D77F2">
        <w:rPr>
          <w:rStyle w:val="FootnoteReference"/>
        </w:rPr>
        <w:footnoteRef/>
      </w:r>
      <w:r w:rsidRPr="001D77F2">
        <w:t xml:space="preserve"> For instance, we decline to adopt Eutelsat’s proposal that we establish in the Cost Catalog that reimbursements are limited to C-band only satellites, and accordingly, “hybrid satellites” (i.e., satellites that include non-C-band transponders) should not be permitted as part of the transition.  Eutelsat </w:t>
      </w:r>
      <w:r>
        <w:t xml:space="preserve">May 14, 2020 </w:t>
      </w:r>
      <w:r w:rsidRPr="001D77F2">
        <w:t xml:space="preserve">Comments at 2-6.  To the extent satellite operators’ </w:t>
      </w:r>
      <w:r>
        <w:t>T</w:t>
      </w:r>
      <w:r w:rsidRPr="001D77F2">
        <w:t xml:space="preserve">ransition </w:t>
      </w:r>
      <w:r>
        <w:t>P</w:t>
      </w:r>
      <w:r w:rsidRPr="001D77F2">
        <w:t xml:space="preserve">lans include satellites with non-C-band transponders, we would expect that such satellite operators would “reasonably allocate the incremental costs of” any functionalities “that are not needed to facilitate the swift transition of the band” to themselves and “only seek reimbursement for the costs reasonably allocated to the needed relocation.”  </w:t>
      </w:r>
      <w:r w:rsidRPr="001D77F2">
        <w:rPr>
          <w:i/>
          <w:iCs/>
        </w:rPr>
        <w:t>3.7 GHz Report and Order</w:t>
      </w:r>
      <w:r>
        <w:t>, 35 FCC Rcd</w:t>
      </w:r>
      <w:r w:rsidRPr="001D77F2">
        <w:rPr>
          <w:i/>
          <w:iCs/>
        </w:rPr>
        <w:t xml:space="preserve"> </w:t>
      </w:r>
      <w:r w:rsidRPr="001D77F2">
        <w:t xml:space="preserve">at 2423, para. 194; </w:t>
      </w:r>
      <w:r w:rsidRPr="001D77F2">
        <w:rPr>
          <w:i/>
          <w:iCs/>
        </w:rPr>
        <w:t xml:space="preserve">see also </w:t>
      </w:r>
      <w:r>
        <w:t>Letter from Laura H. Phillips, Counsel to Intelsat, to Marlene H. Dortch, Secretary, FCC,</w:t>
      </w:r>
      <w:r w:rsidRPr="001D77F2">
        <w:t xml:space="preserve"> at </w:t>
      </w:r>
      <w:r>
        <w:t>2 (filed May 26, 2020)</w:t>
      </w:r>
      <w:r w:rsidRPr="001D77F2">
        <w:t xml:space="preserve"> </w:t>
      </w:r>
      <w:r>
        <w:t xml:space="preserve">(Intelsat May 26, 2020 </w:t>
      </w:r>
      <w:r w:rsidRPr="00A746CA">
        <w:rPr>
          <w:i/>
          <w:iCs/>
        </w:rPr>
        <w:t>Ex Parte</w:t>
      </w:r>
      <w:r>
        <w:t>)</w:t>
      </w:r>
      <w:r w:rsidRPr="001D77F2">
        <w:t xml:space="preserve"> (“[T]</w:t>
      </w:r>
      <w:r>
        <w:t>o t</w:t>
      </w:r>
      <w:r w:rsidRPr="001D77F2">
        <w:t xml:space="preserve">he extent that any satellites necessary to achieve acceleration were to have additional frequencies beyond C-band, Intelsat would only seek reimbursement for the C-band payload costs.”). </w:t>
      </w:r>
    </w:p>
  </w:footnote>
  <w:footnote w:id="60">
    <w:p w:rsidR="002071A8" w:rsidRPr="001D77F2" w:rsidP="001C562A" w14:paraId="469F0888" w14:textId="677893A1">
      <w:pPr>
        <w:pStyle w:val="FootnoteText"/>
      </w:pPr>
      <w:r w:rsidRPr="001D77F2">
        <w:rPr>
          <w:rStyle w:val="FootnoteReference"/>
        </w:rPr>
        <w:footnoteRef/>
      </w:r>
      <w:r w:rsidRPr="001D77F2">
        <w:t xml:space="preserve"> </w:t>
      </w:r>
      <w:r w:rsidRPr="001D77F2">
        <w:rPr>
          <w:i/>
          <w:iCs/>
        </w:rPr>
        <w:t>See, e.g.</w:t>
      </w:r>
      <w:r w:rsidRPr="001D77F2">
        <w:t xml:space="preserve">, NCTA </w:t>
      </w:r>
      <w:r>
        <w:t xml:space="preserve">May 14, 2020 </w:t>
      </w:r>
      <w:r w:rsidRPr="001D77F2">
        <w:t xml:space="preserve">Comments at 8 (asking </w:t>
      </w:r>
      <w:r>
        <w:t>for clarification</w:t>
      </w:r>
      <w:r w:rsidRPr="001D77F2">
        <w:t xml:space="preserve"> that “MVPDs and content companies have the right to participate in the decision-making process regarding what equipment is necessary and appropriate to ensure a successful transition for them”); </w:t>
      </w:r>
      <w:r>
        <w:t>National Public Radio, Inc. (</w:t>
      </w:r>
      <w:r w:rsidRPr="001D77F2">
        <w:t>NPR</w:t>
      </w:r>
      <w:r>
        <w:t>)</w:t>
      </w:r>
      <w:r w:rsidRPr="001D77F2">
        <w:t xml:space="preserve"> </w:t>
      </w:r>
      <w:r>
        <w:t xml:space="preserve">May 14, 2020 </w:t>
      </w:r>
      <w:r w:rsidRPr="001D77F2">
        <w:t xml:space="preserve">Comments at 5 (asking </w:t>
      </w:r>
      <w:r>
        <w:t>for clarification</w:t>
      </w:r>
      <w:r w:rsidRPr="001D77F2">
        <w:t xml:space="preserve"> that network operators “may have flexibility to obtain reimbursement directly from the Clearinghouse for network technology upgrades and cost</w:t>
      </w:r>
      <w:r>
        <w:t>s</w:t>
      </w:r>
      <w:r w:rsidRPr="001D77F2">
        <w:t>”)</w:t>
      </w:r>
      <w:r>
        <w:t>; AT&amp;T May 14, 2020 Comments at 2-3 (asking for clarification that C-band customers and end users should have a role in decisions about technology upgrades and how these technology upgrades are implemented)</w:t>
      </w:r>
      <w:r w:rsidRPr="001D77F2">
        <w:t xml:space="preserve">. </w:t>
      </w:r>
    </w:p>
  </w:footnote>
  <w:footnote w:id="61">
    <w:p w:rsidR="002071A8" w:rsidRPr="001D77F2" w:rsidP="001C562A" w14:paraId="5E172D36" w14:textId="1A014735">
      <w:pPr>
        <w:pStyle w:val="FootnoteText"/>
      </w:pPr>
      <w:r w:rsidRPr="001D77F2">
        <w:rPr>
          <w:rStyle w:val="FootnoteReference"/>
        </w:rPr>
        <w:footnoteRef/>
      </w:r>
      <w:r w:rsidRPr="001D77F2">
        <w:t xml:space="preserve"> SES </w:t>
      </w:r>
      <w:r>
        <w:t xml:space="preserve">May 14, 2020 </w:t>
      </w:r>
      <w:r w:rsidRPr="001D77F2">
        <w:t xml:space="preserve">Comments at 11 (arguing that Commission should clarify that, where an earth station downlinks from multiple satellite operators, the space station operators may identify their own antennas and filter them, </w:t>
      </w:r>
      <w:r>
        <w:t>while the</w:t>
      </w:r>
      <w:r w:rsidRPr="001D77F2">
        <w:t xml:space="preserve"> remaining untended antennas on a site are the responsibility of the site operator); </w:t>
      </w:r>
      <w:r w:rsidRPr="001D77F2">
        <w:rPr>
          <w:i/>
          <w:iCs/>
        </w:rPr>
        <w:t xml:space="preserve">id. </w:t>
      </w:r>
      <w:r w:rsidRPr="001D77F2">
        <w:t xml:space="preserve">at </w:t>
      </w:r>
      <w:r>
        <w:t>11-12</w:t>
      </w:r>
      <w:r w:rsidRPr="001D77F2">
        <w:t xml:space="preserve"> (arguing that Commission should clarify satellite operators’ responsibility in tracking down inaccurate information in IBFS). </w:t>
      </w:r>
    </w:p>
  </w:footnote>
  <w:footnote w:id="62">
    <w:p w:rsidR="002071A8" w:rsidRPr="001D77F2" w:rsidP="001C562A" w14:paraId="3A2E485C" w14:textId="0478F7AB">
      <w:pPr>
        <w:pStyle w:val="FootnoteText"/>
      </w:pPr>
      <w:r w:rsidRPr="001D77F2">
        <w:rPr>
          <w:rStyle w:val="FootnoteReference"/>
        </w:rPr>
        <w:footnoteRef/>
      </w:r>
      <w:r w:rsidRPr="001D77F2">
        <w:t xml:space="preserve"> </w:t>
      </w:r>
      <w:r>
        <w:rPr>
          <w:i/>
          <w:iCs/>
        </w:rPr>
        <w:t>See, e.g.</w:t>
      </w:r>
      <w:r>
        <w:t xml:space="preserve">, </w:t>
      </w:r>
      <w:r w:rsidRPr="001D77F2">
        <w:rPr>
          <w:i/>
          <w:iCs/>
        </w:rPr>
        <w:t>3.7 GHz Report and Order</w:t>
      </w:r>
      <w:r>
        <w:t xml:space="preserve">, </w:t>
      </w:r>
      <w:r w:rsidRPr="008E618F">
        <w:t>35 FCC Rcd</w:t>
      </w:r>
      <w:r>
        <w:t xml:space="preserve"> at 2422, 2427, 2447-48, 2454-55, paras. 193, 202, 260-61, 287, 292-93.</w:t>
      </w:r>
    </w:p>
  </w:footnote>
  <w:footnote w:id="63">
    <w:p w:rsidR="002071A8" w:rsidRPr="00EF711E" w14:paraId="67B61C6C" w14:textId="009795E6">
      <w:pPr>
        <w:pStyle w:val="FootnoteText"/>
      </w:pPr>
      <w:r>
        <w:rPr>
          <w:rStyle w:val="FootnoteReference"/>
        </w:rPr>
        <w:footnoteRef/>
      </w:r>
      <w:r>
        <w:t xml:space="preserve"> </w:t>
      </w:r>
      <w:r w:rsidRPr="00264833">
        <w:rPr>
          <w:i/>
          <w:iCs/>
        </w:rPr>
        <w:t>Id.</w:t>
      </w:r>
      <w:r>
        <w:rPr>
          <w:i/>
          <w:iCs/>
        </w:rPr>
        <w:t xml:space="preserve"> </w:t>
      </w:r>
      <w:r>
        <w:t xml:space="preserve">at 2427-28, paras. 202-203.  </w:t>
      </w:r>
      <w:r w:rsidRPr="00ED161F">
        <w:t xml:space="preserve">The </w:t>
      </w:r>
      <w:r w:rsidRPr="00587591">
        <w:rPr>
          <w:i/>
          <w:iCs/>
        </w:rPr>
        <w:t xml:space="preserve">3.7 GHz </w:t>
      </w:r>
      <w:r>
        <w:rPr>
          <w:i/>
          <w:iCs/>
        </w:rPr>
        <w:t xml:space="preserve">Report and </w:t>
      </w:r>
      <w:r w:rsidRPr="00ED161F">
        <w:rPr>
          <w:i/>
          <w:iCs/>
        </w:rPr>
        <w:t xml:space="preserve">Order </w:t>
      </w:r>
      <w:r w:rsidRPr="00ED161F">
        <w:t>establishe</w:t>
      </w:r>
      <w:r>
        <w:t>d</w:t>
      </w:r>
      <w:r w:rsidRPr="00ED161F">
        <w:t xml:space="preserve"> that incumbent earth station operators may </w:t>
      </w:r>
      <w:r w:rsidRPr="00A81CCC">
        <w:t>accept either:</w:t>
      </w:r>
      <w:r w:rsidRPr="00ED161F">
        <w:t xml:space="preserve"> </w:t>
      </w:r>
      <w:r w:rsidR="00C34CC7">
        <w:t xml:space="preserve"> </w:t>
      </w:r>
      <w:r w:rsidRPr="00ED161F">
        <w:t>(1)</w:t>
      </w:r>
      <w:r>
        <w:t> </w:t>
      </w:r>
      <w:r w:rsidRPr="00ED161F">
        <w:t>reimbursement for the</w:t>
      </w:r>
      <w:r>
        <w:t>ir actual</w:t>
      </w:r>
      <w:r w:rsidRPr="00ED161F">
        <w:t xml:space="preserve"> reasonable relocation costs </w:t>
      </w:r>
      <w:r>
        <w:t>to</w:t>
      </w:r>
      <w:r w:rsidRPr="00ED161F">
        <w:t xml:space="preserve"> maintain satellite reception</w:t>
      </w:r>
      <w:r>
        <w:t>;</w:t>
      </w:r>
      <w:r w:rsidRPr="00ED161F">
        <w:t xml:space="preserve"> or (2) a lump sum reimbursement “based on the average, estimated costs of relocating all of their incumbent earth stations” to the upper 200 megahertz of the C-band</w:t>
      </w:r>
      <w:r>
        <w:t xml:space="preserve">. </w:t>
      </w:r>
      <w:r w:rsidRPr="00ED161F">
        <w:rPr>
          <w:i/>
          <w:iCs/>
        </w:rPr>
        <w:t xml:space="preserve"> </w:t>
      </w:r>
      <w:r w:rsidR="00F7200C">
        <w:rPr>
          <w:i/>
          <w:iCs/>
        </w:rPr>
        <w:t>Id.</w:t>
      </w:r>
      <w:r>
        <w:rPr>
          <w:i/>
          <w:iCs/>
        </w:rPr>
        <w:t xml:space="preserve"> </w:t>
      </w:r>
      <w:r>
        <w:t xml:space="preserve">at 2427, para. 202.  </w:t>
      </w:r>
      <w:r>
        <w:rPr>
          <w:i/>
          <w:iCs/>
        </w:rPr>
        <w:t>But see id.</w:t>
      </w:r>
      <w:r>
        <w:t xml:space="preserve"> at 2428, para. 204, n.550 (noting that “incumbent earth stations owners may not elect a lump sum payment for earth stations outside of the contiguous United States”).  </w:t>
      </w:r>
      <w:r w:rsidRPr="00ED161F">
        <w:t xml:space="preserve">The </w:t>
      </w:r>
      <w:r w:rsidRPr="00587591">
        <w:rPr>
          <w:i/>
          <w:iCs/>
        </w:rPr>
        <w:t xml:space="preserve">3.7 GHz </w:t>
      </w:r>
      <w:r>
        <w:rPr>
          <w:i/>
          <w:iCs/>
        </w:rPr>
        <w:t xml:space="preserve">Report and </w:t>
      </w:r>
      <w:r w:rsidRPr="00ED161F">
        <w:rPr>
          <w:i/>
          <w:iCs/>
        </w:rPr>
        <w:t>Order</w:t>
      </w:r>
      <w:r>
        <w:t xml:space="preserve"> directed the Bureau to announce the lump sum payment </w:t>
      </w:r>
      <w:r w:rsidRPr="00EF711E">
        <w:t>that will be available per incumbent earth station</w:t>
      </w:r>
      <w:r>
        <w:t xml:space="preserve">.  </w:t>
      </w:r>
      <w:r>
        <w:rPr>
          <w:i/>
          <w:iCs/>
        </w:rPr>
        <w:t xml:space="preserve">Id. </w:t>
      </w:r>
      <w:r>
        <w:t>at 2428, para. 203.</w:t>
      </w:r>
    </w:p>
  </w:footnote>
  <w:footnote w:id="64">
    <w:p w:rsidR="002071A8" w:rsidP="00A32450" w14:paraId="4B9471BA" w14:textId="77777777">
      <w:pPr>
        <w:pStyle w:val="FootnoteText"/>
      </w:pPr>
      <w:r>
        <w:rPr>
          <w:rStyle w:val="FootnoteReference"/>
        </w:rPr>
        <w:footnoteRef/>
      </w:r>
      <w:r>
        <w:t xml:space="preserve"> </w:t>
      </w:r>
      <w:r>
        <w:rPr>
          <w:i/>
          <w:iCs/>
        </w:rPr>
        <w:t xml:space="preserve">See Lump Sum Comment Public Notice </w:t>
      </w:r>
      <w:r>
        <w:t>at 4.</w:t>
      </w:r>
    </w:p>
  </w:footnote>
  <w:footnote w:id="65">
    <w:p w:rsidR="002071A8" w:rsidP="00F249E0" w14:paraId="574C7D42" w14:textId="5C1455F1">
      <w:pPr>
        <w:pStyle w:val="FootnoteText"/>
      </w:pPr>
      <w:r>
        <w:rPr>
          <w:rStyle w:val="FootnoteReference"/>
        </w:rPr>
        <w:footnoteRef/>
      </w:r>
      <w:r>
        <w:t xml:space="preserve"> For example, for purposes of the base lump sum calculations, we</w:t>
      </w:r>
      <w:r w:rsidRPr="00170509">
        <w:t xml:space="preserve"> </w:t>
      </w:r>
      <w:r>
        <w:t>estimat</w:t>
      </w:r>
      <w:r w:rsidRPr="00170509">
        <w:t xml:space="preserve">e that 95% of antennas would have filters installed, but </w:t>
      </w:r>
      <w:r>
        <w:t xml:space="preserve">that </w:t>
      </w:r>
      <w:r w:rsidRPr="00170509">
        <w:t xml:space="preserve">5% of antennas would need a new </w:t>
      </w:r>
      <w:r w:rsidRPr="004B637D">
        <w:t>low-noise block downconverter</w:t>
      </w:r>
      <w:r w:rsidRPr="00170509">
        <w:t xml:space="preserve"> installed that would already include the filter. </w:t>
      </w:r>
      <w:r>
        <w:t xml:space="preserve"> </w:t>
      </w:r>
      <w:r w:rsidRPr="00170509">
        <w:t>Accordin</w:t>
      </w:r>
      <w:r>
        <w:t>g</w:t>
      </w:r>
      <w:r w:rsidRPr="00170509">
        <w:t xml:space="preserve">ly, </w:t>
      </w:r>
      <w:r>
        <w:t xml:space="preserve">we multiply </w:t>
      </w:r>
      <w:r w:rsidRPr="00170509">
        <w:t xml:space="preserve">the </w:t>
      </w:r>
      <w:r>
        <w:t xml:space="preserve">average </w:t>
      </w:r>
      <w:r w:rsidRPr="00170509">
        <w:t>filter cost by 0.95 and</w:t>
      </w:r>
      <w:r>
        <w:t xml:space="preserve"> we multiply</w:t>
      </w:r>
      <w:r w:rsidRPr="00170509">
        <w:t xml:space="preserve"> the </w:t>
      </w:r>
      <w:r>
        <w:t xml:space="preserve">average </w:t>
      </w:r>
      <w:r w:rsidRPr="00170509">
        <w:t xml:space="preserve">cost of </w:t>
      </w:r>
      <w:r w:rsidRPr="004B637D">
        <w:t>low-noise block downconverter</w:t>
      </w:r>
      <w:r w:rsidRPr="00170509">
        <w:t xml:space="preserve"> by 0.05</w:t>
      </w:r>
      <w:r>
        <w:t>;</w:t>
      </w:r>
      <w:r w:rsidRPr="00170509">
        <w:t xml:space="preserve"> both costs are </w:t>
      </w:r>
      <w:r>
        <w:t xml:space="preserve">then </w:t>
      </w:r>
      <w:r w:rsidRPr="00170509">
        <w:t xml:space="preserve">added to the </w:t>
      </w:r>
      <w:r>
        <w:t xml:space="preserve">base </w:t>
      </w:r>
      <w:r w:rsidRPr="00170509">
        <w:t>lump sum amount</w:t>
      </w:r>
      <w:r>
        <w:t>s</w:t>
      </w:r>
      <w:r w:rsidRPr="00170509">
        <w:t>.</w:t>
      </w:r>
      <w:r>
        <w:t xml:space="preserve">  Where a cost is likely to be incurred only in outlier transitions for a particular antenna type or earth station class, we do not include the probability of incurring such a cost in the lump sum amount.</w:t>
      </w:r>
    </w:p>
  </w:footnote>
  <w:footnote w:id="66">
    <w:p w:rsidR="002071A8" w:rsidP="00F079D1" w14:paraId="743685E9" w14:textId="41F91B84">
      <w:pPr>
        <w:pStyle w:val="FootnoteText"/>
      </w:pPr>
      <w:r>
        <w:rPr>
          <w:rStyle w:val="FootnoteReference"/>
        </w:rPr>
        <w:footnoteRef/>
      </w:r>
      <w:r>
        <w:t xml:space="preserve"> Some commenters ask the Bureau to disclose additional detail on the methodology and assumptions for calculating the lump sum.  </w:t>
      </w:r>
      <w:r>
        <w:rPr>
          <w:i/>
          <w:iCs/>
        </w:rPr>
        <w:t>See, e.g.</w:t>
      </w:r>
      <w:r>
        <w:t xml:space="preserve">, NCTA June 15, 2020 Comments at 4; JCLDS June 15, 2020 Comments at 3 &amp; n.5; Letter from Danielle Piñeres, Vice President and Associate General Counsel, NCTA, to Marlene H. Dortch, Secretary, FCC, at 2-3 (filed July 9, 2020); </w:t>
      </w:r>
      <w:r>
        <w:rPr>
          <w:i/>
          <w:iCs/>
        </w:rPr>
        <w:t xml:space="preserve">see also </w:t>
      </w:r>
      <w:r>
        <w:t xml:space="preserve">ACA June 15, 2020 Comments at 7-8 (raising issue with amount of information disclosed in the </w:t>
      </w:r>
      <w:r>
        <w:rPr>
          <w:i/>
          <w:iCs/>
        </w:rPr>
        <w:t>Lump Sum Comment Public Notice</w:t>
      </w:r>
      <w:r>
        <w:t xml:space="preserve">).  Commenters previously requested release of additional information and we have rejected those requests.  </w:t>
      </w:r>
      <w:r>
        <w:rPr>
          <w:i/>
          <w:iCs/>
        </w:rPr>
        <w:t>See Expanding Flexible Use of the 3.7 to 4.2 GHz Band</w:t>
      </w:r>
      <w:r>
        <w:t xml:space="preserve">, GN Docket No 18-122, Order, DA 20-622, at 3, para. 7 (WTB June 12, 2020). </w:t>
      </w:r>
    </w:p>
  </w:footnote>
  <w:footnote w:id="67">
    <w:p w:rsidR="002071A8" w:rsidRPr="008337FC" w14:paraId="5D70326A" w14:textId="4AEFF94B">
      <w:pPr>
        <w:pStyle w:val="FootnoteText"/>
      </w:pPr>
      <w:r>
        <w:rPr>
          <w:rStyle w:val="FootnoteReference"/>
        </w:rPr>
        <w:footnoteRef/>
      </w:r>
      <w:r>
        <w:t xml:space="preserve"> Several commenters raise again the argument that we should wait to finalize the lump sum amounts until after satellite operators file their Transition Plans so that parties can provide additional comment on the lump sum amounts after they review</w:t>
      </w:r>
      <w:r w:rsidRPr="00046AF6">
        <w:t xml:space="preserve"> those Transition Plans</w:t>
      </w:r>
      <w:r>
        <w:t xml:space="preserve">.  </w:t>
      </w:r>
      <w:r>
        <w:rPr>
          <w:i/>
          <w:iCs/>
        </w:rPr>
        <w:t xml:space="preserve">See </w:t>
      </w:r>
      <w:r>
        <w:t xml:space="preserve">ACA June 15, 2020 Comments at 22-23; NCTA June 15, 2020 Comments at 2-3.  Satellite operators filed their initial Transition Plans in the Electronic Comment Filing System on June 19, 2020; those plans have been made available for public comment.  </w:t>
      </w:r>
      <w:r>
        <w:rPr>
          <w:i/>
          <w:iCs/>
        </w:rPr>
        <w:t xml:space="preserve">See </w:t>
      </w:r>
      <w:r>
        <w:t xml:space="preserve">GN Docket No. 20-173.  Satellite operators will file their final Transition Plans prior to the deadline for lump sum elections, </w:t>
      </w:r>
      <w:r w:rsidRPr="00F85FFE">
        <w:t xml:space="preserve">allowing earth station operators to consider the Transition Plans in making their lump sum elections should they choose to do so.  </w:t>
      </w:r>
    </w:p>
  </w:footnote>
  <w:footnote w:id="68">
    <w:p w:rsidR="002071A8" w:rsidP="00213195" w14:paraId="7B13D5D8" w14:textId="4FA20C58">
      <w:pPr>
        <w:pStyle w:val="FootnoteText"/>
      </w:pPr>
      <w:r>
        <w:rPr>
          <w:rStyle w:val="FootnoteReference"/>
        </w:rPr>
        <w:footnoteRef/>
      </w:r>
      <w:r>
        <w:t xml:space="preserve"> </w:t>
      </w:r>
      <w:r w:rsidRPr="00F247B2">
        <w:t xml:space="preserve">This reflects a change from the approach to technology upgrades for which we sought comment in the </w:t>
      </w:r>
      <w:r w:rsidRPr="00F247B2">
        <w:rPr>
          <w:i/>
          <w:iCs/>
        </w:rPr>
        <w:t>Lump Sum Comment Public Notice</w:t>
      </w:r>
      <w:r w:rsidRPr="00F247B2">
        <w:t xml:space="preserve">, </w:t>
      </w:r>
      <w:r>
        <w:t>which would have included</w:t>
      </w:r>
      <w:r w:rsidRPr="00F247B2">
        <w:t xml:space="preserve"> the cost and installation of technology upgrades (i.e., MVPD Downlink Technology Upgrades and Program Source Uplink Technology Upgrades) only for those MVPD incumbent earth stations that </w:t>
      </w:r>
      <w:r>
        <w:t>verified the need for</w:t>
      </w:r>
      <w:r w:rsidRPr="00F247B2">
        <w:t xml:space="preserve"> such upgrades</w:t>
      </w:r>
      <w:r>
        <w:t xml:space="preserve">.  </w:t>
      </w:r>
      <w:r>
        <w:rPr>
          <w:i/>
          <w:iCs/>
        </w:rPr>
        <w:t xml:space="preserve">See Lump Sum Comment Public Notice </w:t>
      </w:r>
      <w:r>
        <w:t>at 3, 5.</w:t>
      </w:r>
    </w:p>
  </w:footnote>
  <w:footnote w:id="69">
    <w:p w:rsidR="002071A8" w:rsidRPr="00124FAC" w14:paraId="530DF7A6" w14:textId="7C5744E0">
      <w:pPr>
        <w:pStyle w:val="FootnoteText"/>
      </w:pPr>
      <w:r>
        <w:rPr>
          <w:rStyle w:val="FootnoteReference"/>
        </w:rPr>
        <w:footnoteRef/>
      </w:r>
      <w:r>
        <w:t xml:space="preserve"> </w:t>
      </w:r>
      <w:r>
        <w:rPr>
          <w:i/>
          <w:iCs/>
        </w:rPr>
        <w:t>See, e.g.</w:t>
      </w:r>
      <w:r>
        <w:t>, Letter from Laura H. Phillips, Counsel to Intelsat, to Marlene H. Dortch, Secretary, FCC,</w:t>
      </w:r>
      <w:r w:rsidRPr="001D77F2">
        <w:t xml:space="preserve"> at </w:t>
      </w:r>
      <w:r>
        <w:t>2 (filed June 24, 2020)</w:t>
      </w:r>
      <w:r w:rsidRPr="001D77F2">
        <w:t xml:space="preserve"> </w:t>
      </w:r>
      <w:r>
        <w:t xml:space="preserve">(Intelsat June 24, 2020 </w:t>
      </w:r>
      <w:r w:rsidRPr="00A746CA">
        <w:rPr>
          <w:i/>
          <w:iCs/>
        </w:rPr>
        <w:t>Ex Parte</w:t>
      </w:r>
      <w:r>
        <w:t>)</w:t>
      </w:r>
      <w:r w:rsidRPr="001D77F2">
        <w:t xml:space="preserve"> </w:t>
      </w:r>
      <w:r>
        <w:t>(“[T]</w:t>
      </w:r>
      <w:r w:rsidRPr="00AC6AE2">
        <w:t xml:space="preserve">he decision to compress is made at the transponder level in concert with the programmers for whom compression is applicable, and </w:t>
      </w:r>
      <w:r>
        <w:t>. . .</w:t>
      </w:r>
      <w:r w:rsidRPr="00AC6AE2">
        <w:t xml:space="preserve"> the technology choice must as a practical matter be made by the programmer because the same technology necessarily must be implemented throughout the programmer’s distribution system to ensure continued reception of the programming</w:t>
      </w:r>
      <w:r>
        <w:t xml:space="preserve">.”); Letter from Michael P. Goggin, Assistant Vice President – Senior Legal Counsel, AT&amp;T, to Marlene H. Dortch, Secretary, FCC, at 2-3 (filed July 7, 2020) (AT&amp;T July 7, 2020 </w:t>
      </w:r>
      <w:r>
        <w:rPr>
          <w:i/>
          <w:iCs/>
        </w:rPr>
        <w:t>Ex Parte</w:t>
      </w:r>
      <w:r>
        <w:t>) (arguing that integrated receiver/decoder costs should be allocated as satellite expenses and explaining that “the acquisition of compatible IRDs” must be left in satellite companies’ hands because they will determine—with programmers—“which streams are compressed and how they are compressed”)</w:t>
      </w:r>
      <w:r w:rsidR="006701C9">
        <w:t xml:space="preserve">; </w:t>
      </w:r>
      <w:r w:rsidR="0068235B">
        <w:t>Letter from Laura H. Phillips, Counsel to Intelsat, to Marlene H. Dortch, Secretary, FCC,</w:t>
      </w:r>
      <w:r w:rsidRPr="001D77F2" w:rsidR="0068235B">
        <w:t xml:space="preserve"> at </w:t>
      </w:r>
      <w:r w:rsidR="00AA1597">
        <w:t>1</w:t>
      </w:r>
      <w:r w:rsidR="0068235B">
        <w:t xml:space="preserve"> (filed July 2</w:t>
      </w:r>
      <w:r w:rsidR="00057857">
        <w:t>7</w:t>
      </w:r>
      <w:r w:rsidR="0068235B">
        <w:t>, 2020)</w:t>
      </w:r>
      <w:r w:rsidRPr="001D77F2" w:rsidR="0068235B">
        <w:t xml:space="preserve"> </w:t>
      </w:r>
      <w:r w:rsidR="0068235B">
        <w:t>(Intelsat July 2</w:t>
      </w:r>
      <w:r w:rsidR="00057857">
        <w:t>7</w:t>
      </w:r>
      <w:r w:rsidR="0068235B">
        <w:t xml:space="preserve">, 2020 </w:t>
      </w:r>
      <w:r w:rsidRPr="00A746CA" w:rsidR="0068235B">
        <w:rPr>
          <w:i/>
          <w:iCs/>
        </w:rPr>
        <w:t>Ex Parte</w:t>
      </w:r>
      <w:r w:rsidR="0068235B">
        <w:t>)</w:t>
      </w:r>
      <w:r>
        <w:t>.</w:t>
      </w:r>
    </w:p>
  </w:footnote>
  <w:footnote w:id="70">
    <w:p w:rsidR="002071A8" w:rsidRPr="007F6DAE" w:rsidP="00BA77EE" w14:paraId="59E3F0E4" w14:textId="3AFA36E4">
      <w:pPr>
        <w:pStyle w:val="FootnoteText"/>
      </w:pPr>
      <w:r>
        <w:rPr>
          <w:rStyle w:val="FootnoteReference"/>
        </w:rPr>
        <w:footnoteRef/>
      </w:r>
      <w:r>
        <w:t xml:space="preserve"> </w:t>
      </w:r>
      <w:r>
        <w:rPr>
          <w:i/>
          <w:iCs/>
        </w:rPr>
        <w:t xml:space="preserve">See </w:t>
      </w:r>
      <w:r w:rsidRPr="000A6481">
        <w:rPr>
          <w:i/>
          <w:iCs/>
        </w:rPr>
        <w:t>3.7 GHz Report and Order</w:t>
      </w:r>
      <w:r>
        <w:t xml:space="preserve">, </w:t>
      </w:r>
      <w:r w:rsidRPr="008E618F">
        <w:t>35 FCC Rcd</w:t>
      </w:r>
      <w:r>
        <w:t xml:space="preserve"> at 2426, para. 201 (indicating that earth station migration may “require the </w:t>
      </w:r>
      <w:r w:rsidRPr="003A579B">
        <w:rPr>
          <w:i/>
          <w:iCs/>
        </w:rPr>
        <w:t>installation</w:t>
      </w:r>
      <w:r>
        <w:t xml:space="preserve"> of new equipment or software” at earth station locations “for customers identified for technology upgrades necessary to facilitate the repack, such as compression technology or modulation”) (emphasis added); </w:t>
      </w:r>
      <w:r>
        <w:rPr>
          <w:i/>
          <w:iCs/>
        </w:rPr>
        <w:t>see also</w:t>
      </w:r>
      <w:r>
        <w:t xml:space="preserve"> Intelsat June 24, 2020 </w:t>
      </w:r>
      <w:r>
        <w:rPr>
          <w:i/>
          <w:iCs/>
        </w:rPr>
        <w:t xml:space="preserve">Ex Parte </w:t>
      </w:r>
      <w:r>
        <w:t>at 3 (“[T]</w:t>
      </w:r>
      <w:r w:rsidRPr="00437530">
        <w:t xml:space="preserve">he lump sum amount to be specified for the various types of earth stations should be sufficient to cover the MVPD’s labor costs associated with installing the IRDs and related equipment provided by either satellite operators or by programmers. </w:t>
      </w:r>
      <w:r>
        <w:t xml:space="preserve"> </w:t>
      </w:r>
      <w:r w:rsidRPr="00437530">
        <w:t>This demarcation would assign compression-related costs to the appropriate entities.</w:t>
      </w:r>
      <w:r>
        <w:t xml:space="preserve">”); </w:t>
      </w:r>
      <w:r w:rsidRPr="00643283">
        <w:t xml:space="preserve">Letter from Matthew </w:t>
      </w:r>
      <w:r>
        <w:t xml:space="preserve">S. </w:t>
      </w:r>
      <w:r w:rsidRPr="00643283">
        <w:t>DelNero, Counsel</w:t>
      </w:r>
      <w:r w:rsidR="00D828E3">
        <w:t xml:space="preserve"> to</w:t>
      </w:r>
      <w:r w:rsidRPr="00643283">
        <w:t xml:space="preserve"> Content Companies, to Marlene H. Dortch, Secretary, FCC at </w:t>
      </w:r>
      <w:r>
        <w:t>2, 4</w:t>
      </w:r>
      <w:r w:rsidRPr="00643283">
        <w:t xml:space="preserve"> (filed July 6, 2020) (Content Companies and NAB July 6, 2020 </w:t>
      </w:r>
      <w:r w:rsidRPr="00670545">
        <w:rPr>
          <w:i/>
          <w:iCs/>
        </w:rPr>
        <w:t>Ex Parte</w:t>
      </w:r>
      <w:r w:rsidRPr="00643283">
        <w:t>)</w:t>
      </w:r>
      <w:r>
        <w:t xml:space="preserve"> (proposing approach that allocates installation costs for integrated receivers/decoders to MVPD lump sum, and noting that traditionally “MVPDs are indeed responsible for installing decoding equipment”); Letter from Laura H. Phillips, Counsel to Intelsat, to Marlene H. Dortch, Secretary, FCC, at 1-2, n. 2 (filed July 7, 2020) (Intelsat July 7, 2020 </w:t>
      </w:r>
      <w:r>
        <w:rPr>
          <w:i/>
          <w:iCs/>
        </w:rPr>
        <w:t>Ex Parte</w:t>
      </w:r>
      <w:r>
        <w:t>) (“</w:t>
      </w:r>
      <w:r w:rsidRPr="002432D8">
        <w:t xml:space="preserve">Technology upgrades such as compression are an ongoing part of normal business operations and the lump sum option should not upend these processes. </w:t>
      </w:r>
      <w:r>
        <w:t xml:space="preserve"> </w:t>
      </w:r>
      <w:r w:rsidRPr="002432D8">
        <w:t>Upgrades are initiated at the</w:t>
      </w:r>
      <w:r>
        <w:t xml:space="preserve"> </w:t>
      </w:r>
      <w:r w:rsidRPr="00BA502C">
        <w:t xml:space="preserve">discretion of the content provider because the content provider is the beneficiary of improved technology and reduced bandwidth consumption. </w:t>
      </w:r>
      <w:r>
        <w:t xml:space="preserve"> </w:t>
      </w:r>
      <w:r w:rsidRPr="00BA502C">
        <w:t xml:space="preserve">As such, in the vast majority of upgrades all equipment required at the headend is provided by the content provider and installed by the headend operator. </w:t>
      </w:r>
      <w:r>
        <w:t xml:space="preserve"> </w:t>
      </w:r>
      <w:r w:rsidRPr="00BA502C">
        <w:t>Bifurcating the equipment and the labor is the most natural and efficient outcome to speed the transition.</w:t>
      </w:r>
      <w:r>
        <w:t xml:space="preserve">”); Letter from Jennifer L. Oberhausen, Director, Regulatory Affairs, CTIA, to Marlene H. Dortch, Secretary, FCC, at 2 (filed July 9, 2020) (CTIA July 9, 2020 </w:t>
      </w:r>
      <w:r>
        <w:rPr>
          <w:i/>
          <w:iCs/>
        </w:rPr>
        <w:t>Ex Parte</w:t>
      </w:r>
      <w:r>
        <w:t xml:space="preserve">) (noting that allocating costs of “designing and procuring technology upgrades” to satellite operators (for Clearinghouse reimbursement), while treating “the labor </w:t>
      </w:r>
      <w:r w:rsidRPr="00A04AA0">
        <w:t>costs associated with installing the upgrades at each earth station</w:t>
      </w:r>
      <w:r>
        <w:t>”</w:t>
      </w:r>
      <w:r w:rsidRPr="00A04AA0">
        <w:t xml:space="preserve"> as earth station relocation costs</w:t>
      </w:r>
      <w:r>
        <w:t xml:space="preserve"> </w:t>
      </w:r>
      <w:r w:rsidRPr="005B6CE9">
        <w:t xml:space="preserve">will </w:t>
      </w:r>
      <w:r>
        <w:t>“</w:t>
      </w:r>
      <w:r w:rsidRPr="005B6CE9">
        <w:t>promote a centralized technology upgrade process that, in turn, will best achieve rapid and coordinated C-band clearing</w:t>
      </w:r>
      <w:r>
        <w:t xml:space="preserve">”). </w:t>
      </w:r>
    </w:p>
  </w:footnote>
  <w:footnote w:id="71">
    <w:p w:rsidR="002071A8" w:rsidP="009C5039" w14:paraId="4448FDAA" w14:textId="2C18A9DD">
      <w:pPr>
        <w:pStyle w:val="FootnoteText"/>
      </w:pPr>
      <w:r>
        <w:rPr>
          <w:rStyle w:val="FootnoteReference"/>
        </w:rPr>
        <w:footnoteRef/>
      </w:r>
      <w:r>
        <w:t xml:space="preserve"> </w:t>
      </w:r>
      <w:r>
        <w:rPr>
          <w:i/>
          <w:iCs/>
        </w:rPr>
        <w:t>See, e.g.</w:t>
      </w:r>
      <w:r>
        <w:t>,</w:t>
      </w:r>
      <w:r>
        <w:rPr>
          <w:i/>
          <w:iCs/>
        </w:rPr>
        <w:t xml:space="preserve"> </w:t>
      </w:r>
      <w:r>
        <w:t xml:space="preserve">Intelsat May 26, 2020 </w:t>
      </w:r>
      <w:r w:rsidRPr="00B27CD4">
        <w:rPr>
          <w:i/>
          <w:iCs/>
        </w:rPr>
        <w:t>Ex Parte</w:t>
      </w:r>
      <w:r>
        <w:t xml:space="preserve"> at 2-3 (“[C]</w:t>
      </w:r>
      <w:r w:rsidRPr="00DF6B69">
        <w:t xml:space="preserve">ompression equipment – such as </w:t>
      </w:r>
      <w:r>
        <w:t>integrated receivers/decoders (‘IRDs’)</w:t>
      </w:r>
      <w:r w:rsidRPr="00DF6B69">
        <w:t xml:space="preserve"> – should be tied to the satellite transponder because only the earth stations associated with the compressed transponder would need to install these IRDs (or similar compression equipment).  Moreover, all affiliates of the programmer being compressed must install the same equipment as the programmer; the affiliates cannot each select their own</w:t>
      </w:r>
      <w:r>
        <w:t xml:space="preserve"> </w:t>
      </w:r>
      <w:r w:rsidRPr="002A5AA4">
        <w:t>technology or the programmer will not have an acceptable compression solution and the acceleration timetable likely will not be met</w:t>
      </w:r>
      <w:r>
        <w:t>.”); Content Companies June 15, 2020 Comments at 2-4 (arguing that the integrated receiver/decoder upgrade process “requires careful management and coordination by programmers and their satellite operator vendors” and that in many cases, programmers bear the costs of compression upgrades); NCTA June 15, 2020 Comments at 12</w:t>
      </w:r>
      <w:r>
        <w:rPr>
          <w:i/>
          <w:iCs/>
        </w:rPr>
        <w:t xml:space="preserve"> </w:t>
      </w:r>
      <w:r>
        <w:t>(explaining that “choices about” deployment of technology upgrade equipment “</w:t>
      </w:r>
      <w:r w:rsidRPr="0091742A">
        <w:t>must be made at the national level and adopted across a programmer’s distribution chain to ensure that consumers receive high quality service</w:t>
      </w:r>
      <w:r>
        <w:t>”); AT&amp;T May 14, 2020 Comments at 2-3 (noting that “satellite operators are best positioned</w:t>
      </w:r>
      <w:r w:rsidRPr="009F03C5">
        <w:rPr>
          <w:color w:val="000000"/>
          <w:sz w:val="23"/>
          <w:szCs w:val="23"/>
        </w:rPr>
        <w:t xml:space="preserve"> </w:t>
      </w:r>
      <w:r w:rsidRPr="009F03C5">
        <w:t xml:space="preserve">to determine, on a customer-by-customer basis, where technology upgrades are </w:t>
      </w:r>
      <w:r w:rsidRPr="000838FF">
        <w:t>necessary to ensure that capacity needs are met post-migrat</w:t>
      </w:r>
      <w:r>
        <w:t xml:space="preserve">ion”); Letter from Matthew S. DelNero, Counsel to Content Companies, to Marlene H. Dortch, Secretary, FCC, at 2 (filed June 30, 2020) (Content Companies and NAB June 30, 2020 </w:t>
      </w:r>
      <w:r w:rsidRPr="003F657B">
        <w:rPr>
          <w:i/>
          <w:iCs/>
        </w:rPr>
        <w:t>Ex Parte</w:t>
      </w:r>
      <w:r>
        <w:t xml:space="preserve">) (“Allocating IRD costs to programmers and satellite operators would serve the transition by centralizing the compression upgrade process and enabling the coordinated installation of the correct IRDs across distribution networks consisting of thousands of earth stations.  Centralizing the upgrade process is critical because, prior to delivery, IRDs will need to be configured with the operating parameters of the networks whose signals they will decode.  Accordingly, any decentralized approach poses a risk of significant delay for an already accelerated transition timeline.”); </w:t>
      </w:r>
      <w:r w:rsidRPr="00643283">
        <w:t xml:space="preserve">Content Companies and NAB July 6, 2020 </w:t>
      </w:r>
      <w:r w:rsidRPr="00643283">
        <w:rPr>
          <w:i/>
          <w:iCs/>
        </w:rPr>
        <w:t>Ex Parte</w:t>
      </w:r>
      <w:r>
        <w:t xml:space="preserve"> at 3-4 (“</w:t>
      </w:r>
      <w:r w:rsidRPr="00643283">
        <w:t>Compression technology will not function properly unless it is uniform across a programmer’s network, and ensuring the timely installation of the necessary equipment at every connected earth station requires careful planning and coordination in the procurement, configuration, and distribution of this equipment. . . . [I]t is imperative that programmers play the central role in coordinating the various segments of the upgrade process</w:t>
      </w:r>
      <w:r>
        <w:t>.</w:t>
      </w:r>
      <w:r w:rsidRPr="00643283">
        <w:t>”</w:t>
      </w:r>
      <w:r>
        <w:t xml:space="preserve">); AT&amp;T July 7, 2020 </w:t>
      </w:r>
      <w:r>
        <w:rPr>
          <w:i/>
          <w:iCs/>
        </w:rPr>
        <w:t>Ex Parte</w:t>
      </w:r>
      <w:r>
        <w:t xml:space="preserve"> at 2 (arguing that the process for implementing integrated receivers/decoders “cannot be decentralized” and explaining that “different programmers will make different decisions” about compression that “have to be </w:t>
      </w:r>
      <w:r w:rsidRPr="00D85DB3">
        <w:t>made at the source, as the programmer uplinks a stream that must be decoded and decompressed by thousands of MVPDs</w:t>
      </w:r>
      <w:r>
        <w:t xml:space="preserve">”); CTIA July 9, 2020 </w:t>
      </w:r>
      <w:r>
        <w:rPr>
          <w:i/>
          <w:iCs/>
        </w:rPr>
        <w:t>Ex Parte</w:t>
      </w:r>
      <w:r>
        <w:t xml:space="preserve"> at 2 (“</w:t>
      </w:r>
      <w:r w:rsidRPr="000D2DD7">
        <w:t>To best ensure a successful transition, the prudent course would be for the Commission to determine that designing and procuring technology upgrades is primarily the obligation of the C-band satellite operators working with programmers.</w:t>
      </w:r>
      <w:r>
        <w:t>”)</w:t>
      </w:r>
      <w:r w:rsidR="00CA4DDE">
        <w:t>; Intelsat July 2</w:t>
      </w:r>
      <w:r w:rsidR="00057857">
        <w:t>7</w:t>
      </w:r>
      <w:r w:rsidR="00CA4DDE">
        <w:t xml:space="preserve">, 2020 </w:t>
      </w:r>
      <w:r w:rsidRPr="00A746CA" w:rsidR="00CA4DDE">
        <w:rPr>
          <w:i/>
          <w:iCs/>
        </w:rPr>
        <w:t>Ex Parte</w:t>
      </w:r>
      <w:r w:rsidR="00580976">
        <w:t xml:space="preserve"> at </w:t>
      </w:r>
      <w:r w:rsidR="004043DF">
        <w:t>1-2</w:t>
      </w:r>
      <w:r>
        <w:t>.</w:t>
      </w:r>
    </w:p>
  </w:footnote>
  <w:footnote w:id="72">
    <w:p w:rsidR="002071A8" w:rsidP="00643283" w14:paraId="71821444" w14:textId="1FF29F7D">
      <w:pPr>
        <w:pStyle w:val="FootnoteText"/>
      </w:pPr>
      <w:r>
        <w:rPr>
          <w:rStyle w:val="FootnoteReference"/>
        </w:rPr>
        <w:footnoteRef/>
      </w:r>
      <w:r>
        <w:t xml:space="preserve"> </w:t>
      </w:r>
      <w:r w:rsidRPr="00CB4165">
        <w:rPr>
          <w:i/>
          <w:iCs/>
        </w:rPr>
        <w:t xml:space="preserve">See </w:t>
      </w:r>
      <w:r w:rsidRPr="00194EB4">
        <w:t xml:space="preserve">Letter from Matthew S. DelNero, </w:t>
      </w:r>
      <w:r>
        <w:t>C</w:t>
      </w:r>
      <w:r w:rsidRPr="00194EB4">
        <w:t xml:space="preserve">ounsel </w:t>
      </w:r>
      <w:r>
        <w:t>to</w:t>
      </w:r>
      <w:r w:rsidRPr="00194EB4">
        <w:t xml:space="preserve"> Content Companies, to Marlene H. Dortch, </w:t>
      </w:r>
      <w:r>
        <w:t xml:space="preserve">Secretary, </w:t>
      </w:r>
      <w:r w:rsidRPr="00194EB4">
        <w:t>FCC</w:t>
      </w:r>
      <w:r>
        <w:t>,</w:t>
      </w:r>
      <w:r w:rsidRPr="00194EB4">
        <w:t xml:space="preserve"> at 4-5 (filed July 24, 2020) (Content Companies July 24, 2020 </w:t>
      </w:r>
      <w:r w:rsidRPr="004A4FF3">
        <w:rPr>
          <w:i/>
          <w:iCs/>
        </w:rPr>
        <w:t>Ex Parte</w:t>
      </w:r>
      <w:r w:rsidRPr="00194EB4">
        <w:t>);</w:t>
      </w:r>
      <w:r w:rsidRPr="00925300">
        <w:t xml:space="preserve"> </w:t>
      </w:r>
      <w:r w:rsidRPr="00DF2989">
        <w:t xml:space="preserve">Intelsat June 24, 2020 </w:t>
      </w:r>
      <w:r w:rsidRPr="00DF2989">
        <w:rPr>
          <w:i/>
          <w:iCs/>
        </w:rPr>
        <w:t>Ex Parte</w:t>
      </w:r>
      <w:r w:rsidRPr="00DF2989">
        <w:t xml:space="preserve"> at 2-3 (explaining that “Intelsat envisions that the necessary IRDs and related equipment would be procured centrally” rather than by individual MVPDs and that “there is no reason to include IRD costs</w:t>
      </w:r>
      <w:r w:rsidRPr="00CB4796">
        <w:t xml:space="preserve"> in any lump sum amount”); Intelsat May 26, 2020 </w:t>
      </w:r>
      <w:r w:rsidRPr="00CB4796">
        <w:rPr>
          <w:i/>
          <w:iCs/>
        </w:rPr>
        <w:t>Ex Parte</w:t>
      </w:r>
      <w:r w:rsidRPr="00CB4796">
        <w:t xml:space="preserve"> at 3 (“[I]f a programmer were to decide to employ compression technology today, that programmer would select its compression equipment and deliver that equipment to its affiliates, who would be obligated to install it pursuant to their affiliate agreements with the programmer. </w:t>
      </w:r>
      <w:r>
        <w:t xml:space="preserve"> </w:t>
      </w:r>
      <w:r w:rsidRPr="00CB4796">
        <w:t xml:space="preserve">There is no reason for the FCC to alter this long-standing process.”); </w:t>
      </w:r>
      <w:r w:rsidRPr="00643283">
        <w:t xml:space="preserve">Content Companies and NAB July 6, 2020 </w:t>
      </w:r>
      <w:r w:rsidRPr="00643283">
        <w:rPr>
          <w:i/>
          <w:iCs/>
        </w:rPr>
        <w:t>Ex Parte</w:t>
      </w:r>
      <w:r>
        <w:t xml:space="preserve"> at 4 (“</w:t>
      </w:r>
      <w:r w:rsidRPr="00643283">
        <w:t>In prior transitions,</w:t>
      </w:r>
      <w:r>
        <w:t xml:space="preserve"> </w:t>
      </w:r>
      <w:r w:rsidRPr="00643283">
        <w:t>programmers have coordinated bulk purchases of IRDs</w:t>
      </w:r>
      <w:r>
        <w:t xml:space="preserve"> . . . </w:t>
      </w:r>
      <w:r w:rsidRPr="00643283">
        <w:t>to not only secure a lower per-unit price, but also to ensure that</w:t>
      </w:r>
      <w:r>
        <w:t xml:space="preserve"> </w:t>
      </w:r>
      <w:r w:rsidRPr="00643283">
        <w:t xml:space="preserve">these sellers have sufficient notice to provide the large number of IRDs needed. </w:t>
      </w:r>
      <w:r>
        <w:t xml:space="preserve"> </w:t>
      </w:r>
      <w:r w:rsidRPr="00643283">
        <w:t>Equipment</w:t>
      </w:r>
      <w:r>
        <w:t xml:space="preserve"> </w:t>
      </w:r>
      <w:r w:rsidRPr="00643283">
        <w:t>manufacturers and vendors likely will not, without adequate notice, have on hand the number of</w:t>
      </w:r>
      <w:r>
        <w:t xml:space="preserve"> </w:t>
      </w:r>
      <w:r w:rsidRPr="00643283">
        <w:t>IRDs necessary to meet the aggregate demand of thousands of independent earth station</w:t>
      </w:r>
      <w:r>
        <w:t xml:space="preserve"> </w:t>
      </w:r>
      <w:r w:rsidRPr="00643283">
        <w:t xml:space="preserve">purchase orders. </w:t>
      </w:r>
      <w:r>
        <w:t xml:space="preserve"> </w:t>
      </w:r>
      <w:r w:rsidRPr="00643283">
        <w:t>The failure of a decentralized upgrade process to account for this supply-side</w:t>
      </w:r>
      <w:r>
        <w:t xml:space="preserve"> </w:t>
      </w:r>
      <w:r w:rsidRPr="00643283">
        <w:t>reality illustrates the potential for such decentralization to delay and disrupt the C-band</w:t>
      </w:r>
      <w:r>
        <w:t xml:space="preserve"> </w:t>
      </w:r>
      <w:r w:rsidRPr="00643283">
        <w:t>transition.</w:t>
      </w:r>
      <w:r>
        <w:t>”);</w:t>
      </w:r>
      <w:r w:rsidRPr="00643283">
        <w:t xml:space="preserve"> </w:t>
      </w:r>
      <w:r w:rsidRPr="00CB4796">
        <w:t>Content Companies June 15, 2020 Comments at 2-4</w:t>
      </w:r>
      <w:r>
        <w:t xml:space="preserve"> (explaining that the “preliminary Cost Catalog appropriately described the purchase and distribution of IRDs as a satellite and programmer expense” because the “IRD upgrade process . . . requires careful management and coordination by programmers and their satellite operator vendors,” which could be undermined if the Bureau includes integrated receiver/decoder costs in the lump sum payment); AT&amp;T July 7, 2020 </w:t>
      </w:r>
      <w:r>
        <w:rPr>
          <w:i/>
          <w:iCs/>
        </w:rPr>
        <w:t xml:space="preserve">Ex Parte </w:t>
      </w:r>
      <w:r>
        <w:t xml:space="preserve">at 2-3 (“Recognizing that the </w:t>
      </w:r>
      <w:r w:rsidRPr="000D3F43">
        <w:t>satellite companies will determine, in conjunction with the programmers, which streams are compressed and how they are compressed, the acquisition of</w:t>
      </w:r>
      <w:r>
        <w:t xml:space="preserve"> </w:t>
      </w:r>
      <w:r w:rsidRPr="00F5098A">
        <w:t>compatible IRDs must be left in their hands, regardless of how responsibility for installing the upgrades is ultimately apportioned.</w:t>
      </w:r>
      <w:r>
        <w:t>”).</w:t>
      </w:r>
    </w:p>
  </w:footnote>
  <w:footnote w:id="73">
    <w:p w:rsidR="002071A8" w:rsidP="00F6646B" w14:paraId="186072B5" w14:textId="284F3D3A">
      <w:pPr>
        <w:pStyle w:val="FootnoteText"/>
      </w:pPr>
      <w:r>
        <w:rPr>
          <w:rStyle w:val="FootnoteReference"/>
        </w:rPr>
        <w:footnoteRef/>
      </w:r>
      <w:r>
        <w:t xml:space="preserve"> The </w:t>
      </w:r>
      <w:r w:rsidRPr="000A6481">
        <w:rPr>
          <w:i/>
          <w:iCs/>
        </w:rPr>
        <w:t>3.7 GHz Report and Order</w:t>
      </w:r>
      <w:r>
        <w:t xml:space="preserve"> precludes earth stations electing the lump sum from submitting additional costs to the Clearinghouse for reimbursement.  </w:t>
      </w:r>
      <w:r w:rsidRPr="000A6481">
        <w:rPr>
          <w:i/>
          <w:iCs/>
        </w:rPr>
        <w:t>3.7 GHz Report and Order</w:t>
      </w:r>
      <w:r>
        <w:t xml:space="preserve">, </w:t>
      </w:r>
      <w:r w:rsidRPr="008E618F">
        <w:t>35 FCC Rcd</w:t>
      </w:r>
      <w:r>
        <w:t xml:space="preserve"> at 2427, para. 202 (“Incumbent earth station owners that elect the lump sum payment will not be eligible to submit estimated or actual reasonable relocation costs to the Clearinghouse.”); </w:t>
      </w:r>
      <w:r>
        <w:rPr>
          <w:i/>
          <w:iCs/>
        </w:rPr>
        <w:t>see also</w:t>
      </w:r>
      <w:r>
        <w:t xml:space="preserve"> 47 CFR § 27.1412(e). </w:t>
      </w:r>
    </w:p>
  </w:footnote>
  <w:footnote w:id="74">
    <w:p w:rsidR="002071A8" w14:paraId="74B82102" w14:textId="02ECAA2C">
      <w:pPr>
        <w:pStyle w:val="FootnoteText"/>
      </w:pPr>
      <w:r>
        <w:rPr>
          <w:rStyle w:val="FootnoteReference"/>
        </w:rPr>
        <w:footnoteRef/>
      </w:r>
      <w:r>
        <w:t xml:space="preserve"> </w:t>
      </w:r>
      <w:r w:rsidRPr="00587591">
        <w:rPr>
          <w:i/>
          <w:iCs/>
        </w:rPr>
        <w:t xml:space="preserve">3.7 GHz </w:t>
      </w:r>
      <w:r>
        <w:rPr>
          <w:i/>
          <w:iCs/>
        </w:rPr>
        <w:t>Report and Order</w:t>
      </w:r>
      <w:r>
        <w:t xml:space="preserve">, </w:t>
      </w:r>
      <w:r w:rsidRPr="008E618F">
        <w:t>35 FCC Rcd</w:t>
      </w:r>
      <w:r>
        <w:rPr>
          <w:i/>
          <w:iCs/>
        </w:rPr>
        <w:t xml:space="preserve"> </w:t>
      </w:r>
      <w:r>
        <w:t>at 2447, para. 260 (establishing when a programmer may seek reimbursement for costs from the Clearinghouse).</w:t>
      </w:r>
    </w:p>
  </w:footnote>
  <w:footnote w:id="75">
    <w:p w:rsidR="002071A8" w14:paraId="7EBFD3B5" w14:textId="65107A87">
      <w:pPr>
        <w:pStyle w:val="FootnoteText"/>
      </w:pPr>
      <w:r>
        <w:rPr>
          <w:rStyle w:val="FootnoteReference"/>
        </w:rPr>
        <w:footnoteRef/>
      </w:r>
      <w:r>
        <w:t xml:space="preserve"> Accordingly, we decline commenters’ requests to delete the following language from section V of the preliminary Cost Catalog: “[R]</w:t>
      </w:r>
      <w:r w:rsidRPr="006F0DDA">
        <w:rPr>
          <w:lang w:bidi="en-US"/>
        </w:rPr>
        <w:t>eimbursement for and distribution of [upgrade] equipment is anticipated to flow through the satellite operators and is not part of earth station costs (except for labor for installing said equipment).  In this way, the satellite operators are both responsible and accountable for the successful repacking of their operations into the upper 200 megahertz.”</w:t>
      </w:r>
      <w:r>
        <w:rPr>
          <w:lang w:bidi="en-US"/>
        </w:rPr>
        <w:t xml:space="preserve">  </w:t>
      </w:r>
      <w:r w:rsidRPr="004B47E0">
        <w:rPr>
          <w:i/>
        </w:rPr>
        <w:t xml:space="preserve">Cost Catalog </w:t>
      </w:r>
      <w:r>
        <w:rPr>
          <w:i/>
        </w:rPr>
        <w:t xml:space="preserve">Comment </w:t>
      </w:r>
      <w:r w:rsidRPr="004B47E0">
        <w:rPr>
          <w:i/>
        </w:rPr>
        <w:t>Public Notice</w:t>
      </w:r>
      <w:r w:rsidRPr="001D77F2">
        <w:t xml:space="preserve">, </w:t>
      </w:r>
      <w:r>
        <w:t xml:space="preserve">Attach., 35 FCC Rcd at 4464; </w:t>
      </w:r>
      <w:r>
        <w:rPr>
          <w:i/>
          <w:iCs/>
        </w:rPr>
        <w:t xml:space="preserve">see also </w:t>
      </w:r>
      <w:r w:rsidRPr="001D77F2">
        <w:t xml:space="preserve">NCTA </w:t>
      </w:r>
      <w:r>
        <w:t xml:space="preserve">May 14, 2020 </w:t>
      </w:r>
      <w:r w:rsidRPr="001D77F2">
        <w:t xml:space="preserve">Comments at 6 (asking to delete language from </w:t>
      </w:r>
      <w:r>
        <w:t>section V</w:t>
      </w:r>
      <w:r w:rsidRPr="001D77F2">
        <w:t xml:space="preserve"> of the Cost Catalog); NAB </w:t>
      </w:r>
      <w:r>
        <w:t xml:space="preserve">May 14, 2020 </w:t>
      </w:r>
      <w:r w:rsidRPr="001D77F2">
        <w:t xml:space="preserve">Comments at 9 (asking to ensure the language regarding satellite operators’ responsibility for the transition at </w:t>
      </w:r>
      <w:r>
        <w:t>section V of the catalog</w:t>
      </w:r>
      <w:r w:rsidRPr="001D77F2">
        <w:t xml:space="preserve"> does not cause confusion)</w:t>
      </w:r>
      <w:r>
        <w:t>; AT&amp;T May 14, 2020 Comments at 3 (arguing that the language at section V of the catalog seeks to limit the role of C-band customers and end users)</w:t>
      </w:r>
      <w:r w:rsidRPr="001D77F2">
        <w:t>.</w:t>
      </w:r>
      <w:r>
        <w:t xml:space="preserve">  </w:t>
      </w:r>
      <w:r>
        <w:rPr>
          <w:lang w:bidi="en-US"/>
        </w:rPr>
        <w:t xml:space="preserve">We believe this language, with some revisions to reflect the approach discussed in this section with respect to technology upgrade installation costs, addresses the role stakeholders will play in the technology upgrade process.  We also make clear that </w:t>
      </w:r>
      <w:r w:rsidRPr="00DE5D64">
        <w:rPr>
          <w:lang w:bidi="en-US"/>
        </w:rPr>
        <w:t xml:space="preserve">while the satellite operator will be in charge of directing the transition and choosing the compression technology equipment in the first instance, it is permissible—in cases where an earth station </w:t>
      </w:r>
      <w:r>
        <w:rPr>
          <w:lang w:bidi="en-US"/>
        </w:rPr>
        <w:t xml:space="preserve">operator </w:t>
      </w:r>
      <w:r w:rsidRPr="00DE5D64">
        <w:rPr>
          <w:lang w:bidi="en-US"/>
        </w:rPr>
        <w:t xml:space="preserve">opts to recover costs under the line-item approach—for the satellite operator </w:t>
      </w:r>
      <w:r>
        <w:rPr>
          <w:lang w:bidi="en-US"/>
        </w:rPr>
        <w:t xml:space="preserve">and the earth station operator </w:t>
      </w:r>
      <w:r w:rsidRPr="00DE5D64">
        <w:rPr>
          <w:lang w:bidi="en-US"/>
        </w:rPr>
        <w:t xml:space="preserve">to agree to leave the purchase of such equipment to </w:t>
      </w:r>
      <w:r>
        <w:rPr>
          <w:lang w:bidi="en-US"/>
        </w:rPr>
        <w:t>the</w:t>
      </w:r>
      <w:r w:rsidRPr="00DE5D64">
        <w:rPr>
          <w:lang w:bidi="en-US"/>
        </w:rPr>
        <w:t xml:space="preserve"> earth station</w:t>
      </w:r>
      <w:r>
        <w:rPr>
          <w:lang w:bidi="en-US"/>
        </w:rPr>
        <w:t xml:space="preserve"> operator</w:t>
      </w:r>
      <w:r w:rsidRPr="00DE5D64">
        <w:rPr>
          <w:lang w:bidi="en-US"/>
        </w:rPr>
        <w:t xml:space="preserve">, in which case the earth station </w:t>
      </w:r>
      <w:r>
        <w:rPr>
          <w:lang w:bidi="en-US"/>
        </w:rPr>
        <w:t xml:space="preserve">operator </w:t>
      </w:r>
      <w:r w:rsidRPr="00DE5D64">
        <w:rPr>
          <w:lang w:bidi="en-US"/>
        </w:rPr>
        <w:t>could obtain compensation by submitting its receipts to the Clearinghouse</w:t>
      </w:r>
      <w:r>
        <w:rPr>
          <w:lang w:bidi="en-US"/>
        </w:rPr>
        <w:t>.</w:t>
      </w:r>
    </w:p>
  </w:footnote>
  <w:footnote w:id="76">
    <w:p w:rsidR="002071A8" w:rsidP="007C437A" w14:paraId="0470D81F" w14:textId="59E648B4">
      <w:pPr>
        <w:pStyle w:val="FootnoteText"/>
      </w:pPr>
      <w:r>
        <w:rPr>
          <w:rStyle w:val="FootnoteReference"/>
        </w:rPr>
        <w:footnoteRef/>
      </w:r>
      <w:r>
        <w:t xml:space="preserve"> </w:t>
      </w:r>
      <w:r>
        <w:rPr>
          <w:i/>
          <w:iCs/>
        </w:rPr>
        <w:t>See, e.g.</w:t>
      </w:r>
      <w:r>
        <w:t>,</w:t>
      </w:r>
      <w:r>
        <w:rPr>
          <w:i/>
          <w:iCs/>
        </w:rPr>
        <w:t xml:space="preserve"> </w:t>
      </w:r>
      <w:r>
        <w:t>Cox May 14, 2020 Comments at 5 (“</w:t>
      </w:r>
      <w:r w:rsidRPr="005D5AA9">
        <w:t>In many</w:t>
      </w:r>
      <w:r>
        <w:t xml:space="preserve"> </w:t>
      </w:r>
      <w:r w:rsidRPr="005D5AA9">
        <w:t xml:space="preserve">instances, MVPDs like Cox are contractually required to bear costs for </w:t>
      </w:r>
      <w:r>
        <w:t>integrated receive decoders . . .</w:t>
      </w:r>
      <w:r w:rsidRPr="005D5AA9">
        <w:t xml:space="preserve"> and transcoders.</w:t>
      </w:r>
      <w:r>
        <w:t>”); ACA June 14, 2020 Comments at 9, n.23 (“</w:t>
      </w:r>
      <w:r w:rsidRPr="00D7779E">
        <w:t xml:space="preserve">ACA </w:t>
      </w:r>
      <w:r>
        <w:t xml:space="preserve">Connects </w:t>
      </w:r>
      <w:r w:rsidRPr="00D7779E">
        <w:t xml:space="preserve">disagrees with the suggestion that downlink receiver technology upgrades are not MVPD costs. </w:t>
      </w:r>
      <w:r>
        <w:t xml:space="preserve"> </w:t>
      </w:r>
      <w:r w:rsidRPr="00D7779E">
        <w:t xml:space="preserve">To begin with, ACA </w:t>
      </w:r>
      <w:r>
        <w:t xml:space="preserve">Connects </w:t>
      </w:r>
      <w:r w:rsidRPr="00D7779E">
        <w:t>notes that MVPDs and programmers have been managing technology changes in the distribution of programming feeds for decades, and the concerns being raised by the programmers seem to significantly overstate potential problems</w:t>
      </w:r>
      <w:r>
        <w:t xml:space="preserve"> . . . .  </w:t>
      </w:r>
      <w:r w:rsidRPr="00DF380C">
        <w:t xml:space="preserve">In most cases (at least with respect to ACA </w:t>
      </w:r>
      <w:r>
        <w:t xml:space="preserve">Connects </w:t>
      </w:r>
      <w:r w:rsidRPr="00DF380C">
        <w:t>members, who alone represent about half of all MVPD earth stations), programmers are under no contractual obligation to provide IRDs to them.</w:t>
      </w:r>
      <w:r>
        <w:t xml:space="preserve">”).  </w:t>
      </w:r>
      <w:r w:rsidRPr="00F57727">
        <w:t>Some MVPD operators also argue that they want to “maintain . . . control by taking the lump sum” because they do not want satellite operators to “make any technical, financial, or operational decisions with respect to” their earth stations’ transitions</w:t>
      </w:r>
      <w:r>
        <w:t xml:space="preserve">.  </w:t>
      </w:r>
      <w:r>
        <w:rPr>
          <w:i/>
          <w:iCs/>
        </w:rPr>
        <w:t xml:space="preserve">See </w:t>
      </w:r>
      <w:r>
        <w:t xml:space="preserve">Letter from Ross Lieberman, Senior Vice President of Government Affairs, ACA, to Marlene H. Dortch, Secretary, FCC, at 2 (filed June 30, 2020) (ACA June 30, 2020 </w:t>
      </w:r>
      <w:r>
        <w:rPr>
          <w:i/>
          <w:iCs/>
        </w:rPr>
        <w:t>Ex Parte</w:t>
      </w:r>
      <w:r>
        <w:t xml:space="preserve">); </w:t>
      </w:r>
      <w:r>
        <w:rPr>
          <w:i/>
          <w:iCs/>
        </w:rPr>
        <w:t xml:space="preserve">cf. </w:t>
      </w:r>
      <w:r w:rsidRPr="002B7D95">
        <w:t xml:space="preserve">Letter from Brian D. Weimer, Counsel to SES, to Marlene H. Dortch, Secretary, FCC, at </w:t>
      </w:r>
      <w:r>
        <w:t>3-5</w:t>
      </w:r>
      <w:r w:rsidRPr="002B7D95">
        <w:t xml:space="preserve"> (filed July 8, 2020) (SES July 8, 2020 </w:t>
      </w:r>
      <w:r w:rsidRPr="002B7D95">
        <w:rPr>
          <w:i/>
          <w:iCs/>
        </w:rPr>
        <w:t>Ex Parte</w:t>
      </w:r>
      <w:r w:rsidRPr="002B7D95">
        <w:t>)</w:t>
      </w:r>
      <w:r>
        <w:t xml:space="preserve"> (arguing that satellite operators should not be required to purchase and deliver technology upgrades where earth station operators have opted out of a satellite-operator led transition by electing the lump sum).</w:t>
      </w:r>
    </w:p>
  </w:footnote>
  <w:footnote w:id="77">
    <w:p w:rsidR="002071A8" w:rsidRPr="00787C8E" w:rsidP="006E6E7F" w14:paraId="7D50C462" w14:textId="7608D948">
      <w:pPr>
        <w:pStyle w:val="FootnoteText"/>
      </w:pPr>
      <w:r>
        <w:rPr>
          <w:rStyle w:val="FootnoteReference"/>
        </w:rPr>
        <w:footnoteRef/>
      </w:r>
      <w:r>
        <w:t xml:space="preserve"> </w:t>
      </w:r>
      <w:r>
        <w:rPr>
          <w:i/>
          <w:iCs/>
        </w:rPr>
        <w:t xml:space="preserve">See </w:t>
      </w:r>
      <w:r>
        <w:t xml:space="preserve">Letter from Barry J. Ohlson, Vice President, Regulatory Affairs, Cox, to Marlene H. Dortch, Secretary, FCC, Attach. at 1 (file June 19, 2020) (Cox June 19, 2020 </w:t>
      </w:r>
      <w:r>
        <w:rPr>
          <w:i/>
          <w:iCs/>
        </w:rPr>
        <w:t>Ex Parte</w:t>
      </w:r>
      <w:r>
        <w:t>) (“A</w:t>
      </w:r>
      <w:r w:rsidRPr="00096088">
        <w:t xml:space="preserve">lthough </w:t>
      </w:r>
      <w:r w:rsidRPr="00A746CA">
        <w:rPr>
          <w:i/>
          <w:iCs/>
        </w:rPr>
        <w:t>programmers will determine the technical standards for the delivery of programming to MVPD headends</w:t>
      </w:r>
      <w:r w:rsidRPr="00096088">
        <w:t>, MVPDs will in fact bear many of the technology costs necessary to receive such content.”</w:t>
      </w:r>
      <w:r>
        <w:t>) (emphasis added); ACA June 14, 2020 Comments at 9, n.23 (“</w:t>
      </w:r>
      <w:r w:rsidRPr="00787C8E">
        <w:t xml:space="preserve">ACA </w:t>
      </w:r>
      <w:r>
        <w:t xml:space="preserve">Connects </w:t>
      </w:r>
      <w:r w:rsidRPr="00787C8E">
        <w:t xml:space="preserve">does not dispute the programmers’ claim that they have control over what IRD devices MVPDs may utilize, ACA </w:t>
      </w:r>
      <w:r>
        <w:t xml:space="preserve">Connects </w:t>
      </w:r>
      <w:r w:rsidRPr="00787C8E">
        <w:t>agrees that this decision-making authority, as laid out in existing contracts, should not, and need not, be disturbed</w:t>
      </w:r>
      <w:r>
        <w:t xml:space="preserve">.”); SES July 8, 2020 </w:t>
      </w:r>
      <w:r w:rsidRPr="008C5DD9">
        <w:rPr>
          <w:i/>
          <w:iCs/>
        </w:rPr>
        <w:t>Ex Parte</w:t>
      </w:r>
      <w:r>
        <w:t xml:space="preserve"> at 2 (agreeing that the technology upgrade implementation process “</w:t>
      </w:r>
      <w:r w:rsidRPr="003B2494">
        <w:t>should remain centralized to ensure a smooth-running accelerated transition, even for electing earth station operators that continue C-band service</w:t>
      </w:r>
      <w:r>
        <w:t>”).</w:t>
      </w:r>
    </w:p>
  </w:footnote>
  <w:footnote w:id="78">
    <w:p w:rsidR="002071A8" w:rsidP="00E7451D" w14:paraId="5498924E" w14:textId="68A2DBE7">
      <w:pPr>
        <w:pStyle w:val="FootnoteText"/>
      </w:pPr>
      <w:r>
        <w:rPr>
          <w:rStyle w:val="FootnoteReference"/>
        </w:rPr>
        <w:footnoteRef/>
      </w:r>
      <w:r>
        <w:t xml:space="preserve"> </w:t>
      </w:r>
      <w:r>
        <w:rPr>
          <w:i/>
          <w:iCs/>
        </w:rPr>
        <w:t xml:space="preserve">Compare </w:t>
      </w:r>
      <w:r>
        <w:t>Content Companies June 15, 2020 Comments at 4 (noting that “</w:t>
      </w:r>
      <w:r w:rsidRPr="005803F8">
        <w:t>in many cases, programmers’ agreements with the MVPD earth stations that receive their signals specify that the programmer, not the MVPD, bears the costs of compression upgrades</w:t>
      </w:r>
      <w:r>
        <w:t xml:space="preserve">”); </w:t>
      </w:r>
      <w:r w:rsidRPr="00643283">
        <w:t xml:space="preserve">Content Companies and NAB July 6, 2020 </w:t>
      </w:r>
      <w:r w:rsidRPr="00643283">
        <w:rPr>
          <w:i/>
          <w:iCs/>
        </w:rPr>
        <w:t>Ex Parte</w:t>
      </w:r>
      <w:r>
        <w:t xml:space="preserve"> at 4 (noting that “a few cable operators have suggested that MVPDs, not programmers, bear the responsibility of acquiring compression technology during these transitions, but that approach is simply not reflective of common practice” and explaining that “[i]n reality, programmers direct virtually every stage of the upgrade process, from choosing the compression format and identifying the IRD and equipment needs of affiliate earth stations to ordering the appropriate equipment”); Intelsat May 26, 2020 </w:t>
      </w:r>
      <w:r>
        <w:rPr>
          <w:i/>
          <w:iCs/>
        </w:rPr>
        <w:t xml:space="preserve">Ex Parte </w:t>
      </w:r>
      <w:r>
        <w:t>at 3 (explaining that “</w:t>
      </w:r>
      <w:r w:rsidRPr="005019D6">
        <w:t>if a programmer were to decide to employ compression technology today, that programmer would select its compression equipment and deliver that equipment to its affiliates, who would be obligated to install it</w:t>
      </w:r>
      <w:r>
        <w:t>”); Intelsat</w:t>
      </w:r>
      <w:r>
        <w:rPr>
          <w:i/>
          <w:iCs/>
        </w:rPr>
        <w:t xml:space="preserve"> </w:t>
      </w:r>
      <w:r>
        <w:t xml:space="preserve">June 24, 2020 </w:t>
      </w:r>
      <w:r>
        <w:rPr>
          <w:i/>
          <w:iCs/>
        </w:rPr>
        <w:t xml:space="preserve">Ex Parte </w:t>
      </w:r>
      <w:r>
        <w:t>at 2 (“</w:t>
      </w:r>
      <w:r w:rsidRPr="00B66975">
        <w:t xml:space="preserve">Historically, the programmers have designed, procured and distributed the compression equipment to the headend, enabling them to bulk order IRDs to ensure their timely supply, as well </w:t>
      </w:r>
      <w:r>
        <w:t xml:space="preserve">as </w:t>
      </w:r>
      <w:r w:rsidRPr="00B66975">
        <w:t>to orchestrate the coordinated installation of the new program distribution network in thousands of MVPD locations.</w:t>
      </w:r>
      <w:r>
        <w:t>”);</w:t>
      </w:r>
      <w:r w:rsidRPr="00B66975">
        <w:t xml:space="preserve"> </w:t>
      </w:r>
      <w:r>
        <w:rPr>
          <w:i/>
          <w:iCs/>
        </w:rPr>
        <w:t xml:space="preserve">with </w:t>
      </w:r>
      <w:r>
        <w:t>Cox May 14, 2020 Comments at 5 (“</w:t>
      </w:r>
      <w:r w:rsidRPr="005D5AA9">
        <w:t>In many</w:t>
      </w:r>
      <w:r>
        <w:t xml:space="preserve"> </w:t>
      </w:r>
      <w:r w:rsidRPr="005D5AA9">
        <w:t xml:space="preserve">instances, MVPDs like Cox are contractually required to bear costs for </w:t>
      </w:r>
      <w:r>
        <w:t>integrated receive decoders . . .</w:t>
      </w:r>
      <w:r w:rsidRPr="005D5AA9">
        <w:t xml:space="preserve"> and transcoders.</w:t>
      </w:r>
      <w:r>
        <w:t xml:space="preserve">”); Cox June 19, 2020 </w:t>
      </w:r>
      <w:r>
        <w:rPr>
          <w:i/>
          <w:iCs/>
        </w:rPr>
        <w:t>Ex Parte</w:t>
      </w:r>
      <w:r>
        <w:t>, Attach. at 1 (“A</w:t>
      </w:r>
      <w:r w:rsidRPr="00096088">
        <w:t>lthough programmers will determine the technical standards for the delivery of programming to MVPD headends, MVPDs will in fact bear many of the technology costs necessary to receive such content.”</w:t>
      </w:r>
      <w:r>
        <w:t>); ACA June 14, 2020 Comments at 9, n.23 (“</w:t>
      </w:r>
      <w:r w:rsidRPr="00DF380C">
        <w:t xml:space="preserve">In most cases (at least with respect to ACA </w:t>
      </w:r>
      <w:r>
        <w:t xml:space="preserve">Connects </w:t>
      </w:r>
      <w:r w:rsidRPr="00DF380C">
        <w:t>members, who alone represent about half of all MVPD earth stations), programmers are under no contractual obligation to provide IRDs to them.</w:t>
      </w:r>
      <w:r>
        <w:t xml:space="preserve">”); ACA June 30, 2020 </w:t>
      </w:r>
      <w:r>
        <w:rPr>
          <w:i/>
          <w:iCs/>
        </w:rPr>
        <w:t>Ex Parte</w:t>
      </w:r>
      <w:r>
        <w:t xml:space="preserve"> at 3 (noting that in the experience of ACA members, “it is MVPDs that foot the bill” for replacement integrated receivers/decoders).  </w:t>
      </w:r>
    </w:p>
  </w:footnote>
  <w:footnote w:id="79">
    <w:p w:rsidR="002071A8" w14:paraId="1A10BEAD" w14:textId="66E6AB65">
      <w:pPr>
        <w:pStyle w:val="FootnoteText"/>
      </w:pPr>
      <w:r>
        <w:rPr>
          <w:rStyle w:val="FootnoteReference"/>
        </w:rPr>
        <w:footnoteRef/>
      </w:r>
      <w:r>
        <w:t xml:space="preserve"> </w:t>
      </w:r>
      <w:r w:rsidRPr="00A20161">
        <w:t xml:space="preserve">Consistent with the </w:t>
      </w:r>
      <w:r w:rsidRPr="00A20161">
        <w:rPr>
          <w:i/>
          <w:iCs/>
        </w:rPr>
        <w:t>3.7 GHz Report and Order</w:t>
      </w:r>
      <w:r w:rsidRPr="00A20161">
        <w:t>, our approach has no effect on the contractual responsibilities of the parties</w:t>
      </w:r>
      <w:r>
        <w:t xml:space="preserve">.  </w:t>
      </w:r>
      <w:r w:rsidRPr="00725A33">
        <w:rPr>
          <w:i/>
          <w:iCs/>
        </w:rPr>
        <w:t>See, e.g.</w:t>
      </w:r>
      <w:r w:rsidRPr="00725A33">
        <w:t xml:space="preserve">, </w:t>
      </w:r>
      <w:r w:rsidRPr="00725A33">
        <w:rPr>
          <w:i/>
          <w:iCs/>
        </w:rPr>
        <w:t>3.7 GHz Report and Order</w:t>
      </w:r>
      <w:r>
        <w:t xml:space="preserve">, </w:t>
      </w:r>
      <w:r w:rsidRPr="008E618F">
        <w:t>35 FCC Rcd</w:t>
      </w:r>
      <w:r w:rsidRPr="00725A33">
        <w:rPr>
          <w:i/>
          <w:iCs/>
        </w:rPr>
        <w:t xml:space="preserve"> </w:t>
      </w:r>
      <w:r w:rsidRPr="00725A33">
        <w:t xml:space="preserve">at 2447, </w:t>
      </w:r>
      <w:r w:rsidR="00B41A8A">
        <w:t xml:space="preserve">para. 260, </w:t>
      </w:r>
      <w:r w:rsidRPr="00725A33">
        <w:t xml:space="preserve">n. 654 (“We also clarify that nothing in this </w:t>
      </w:r>
      <w:r w:rsidRPr="00581C0D">
        <w:rPr>
          <w:i/>
          <w:iCs/>
        </w:rPr>
        <w:t>Report and Order</w:t>
      </w:r>
      <w:r w:rsidRPr="00725A33">
        <w:t xml:space="preserve"> is intended to affect or change the terms of any private contractual arrangement governing responsibility for such work.”).</w:t>
      </w:r>
    </w:p>
  </w:footnote>
  <w:footnote w:id="80">
    <w:p w:rsidR="002071A8" w14:paraId="7AA6A83A" w14:textId="49393F61">
      <w:pPr>
        <w:pStyle w:val="FootnoteText"/>
      </w:pPr>
      <w:r>
        <w:rPr>
          <w:rStyle w:val="FootnoteReference"/>
        </w:rPr>
        <w:footnoteRef/>
      </w:r>
      <w:r>
        <w:t xml:space="preserve"> </w:t>
      </w:r>
      <w:r>
        <w:rPr>
          <w:i/>
          <w:iCs/>
        </w:rPr>
        <w:t xml:space="preserve">See </w:t>
      </w:r>
      <w:r w:rsidR="00D81C18">
        <w:rPr>
          <w:i/>
          <w:iCs/>
        </w:rPr>
        <w:t>i</w:t>
      </w:r>
      <w:r w:rsidR="00831070">
        <w:rPr>
          <w:i/>
          <w:iCs/>
        </w:rPr>
        <w:t>d.</w:t>
      </w:r>
      <w:r w:rsidRPr="00725A33">
        <w:rPr>
          <w:i/>
          <w:iCs/>
        </w:rPr>
        <w:t xml:space="preserve"> </w:t>
      </w:r>
      <w:r w:rsidRPr="00725A33">
        <w:t xml:space="preserve">at 2447, </w:t>
      </w:r>
      <w:r w:rsidR="00B41A8A">
        <w:t xml:space="preserve">para. 260, </w:t>
      </w:r>
      <w:r w:rsidRPr="00725A33">
        <w:t>n. 654</w:t>
      </w:r>
      <w:r>
        <w:t>.</w:t>
      </w:r>
    </w:p>
  </w:footnote>
  <w:footnote w:id="81">
    <w:p w:rsidR="002071A8" w:rsidRPr="004E0BFC" w:rsidP="00FC75E0" w14:paraId="7C319FC9" w14:textId="4ADB1525">
      <w:pPr>
        <w:pStyle w:val="FootnoteText"/>
      </w:pPr>
      <w:r>
        <w:rPr>
          <w:rStyle w:val="FootnoteReference"/>
        </w:rPr>
        <w:footnoteRef/>
      </w:r>
      <w:r>
        <w:t xml:space="preserve"> Content Companies June 15, 2020 Comments at 1-4 (“[T]</w:t>
      </w:r>
      <w:r w:rsidRPr="003D54AD">
        <w:t xml:space="preserve">he Commission should not overlook the economic inefficiencies of including IRDs in lump sum payments to MVPDs. </w:t>
      </w:r>
      <w:r>
        <w:t xml:space="preserve"> </w:t>
      </w:r>
      <w:r w:rsidRPr="003D54AD">
        <w:t>Unlike individual MVPDs that would purchase a relatively small number of IRDs, satellite operators and/or programmers would be purchasing many thousands of IRDs at bulk rates that would reduce per-unit costs.</w:t>
      </w:r>
      <w:r>
        <w:t>”); Intelsat</w:t>
      </w:r>
      <w:r>
        <w:rPr>
          <w:i/>
          <w:iCs/>
        </w:rPr>
        <w:t xml:space="preserve"> </w:t>
      </w:r>
      <w:r>
        <w:t xml:space="preserve">June 24, 2020 </w:t>
      </w:r>
      <w:r>
        <w:rPr>
          <w:i/>
          <w:iCs/>
        </w:rPr>
        <w:t xml:space="preserve">Ex Parte </w:t>
      </w:r>
      <w:r>
        <w:t>at 3 (“[T]</w:t>
      </w:r>
      <w:r w:rsidRPr="00BC14C1">
        <w:t>he success of compression efforts relies on the IRD and related equipment costs being borne by the satellite operators that will be ordering equipment chosen by their programmer customers</w:t>
      </w:r>
      <w:r>
        <w:t xml:space="preserve">.”); Intelsat May 26, 2020 </w:t>
      </w:r>
      <w:r w:rsidRPr="00A746CA">
        <w:rPr>
          <w:i/>
          <w:iCs/>
        </w:rPr>
        <w:t>Ex Parte</w:t>
      </w:r>
      <w:r>
        <w:t xml:space="preserve"> at 2-3 (arguing that if affiliates of programmers can select their own equipment, transition timelines “likely will not be met”); NCTA June 15, 2020 Comments at 12</w:t>
      </w:r>
      <w:r>
        <w:rPr>
          <w:i/>
          <w:iCs/>
        </w:rPr>
        <w:t xml:space="preserve"> </w:t>
      </w:r>
      <w:r>
        <w:t>(explaining that “choices about” deployment of technology upgrade equipment “</w:t>
      </w:r>
      <w:r w:rsidRPr="0091742A">
        <w:t>must be made at the national level and adopted across a programmer’s distribution chain to ensure that consumers receive high quality service</w:t>
      </w:r>
      <w:r>
        <w:t>”); AT&amp;T May 14, 2020 Comments at 2-3 (noting that “satellite operators are best positioned</w:t>
      </w:r>
      <w:r w:rsidRPr="009F03C5">
        <w:rPr>
          <w:color w:val="000000"/>
          <w:sz w:val="23"/>
          <w:szCs w:val="23"/>
        </w:rPr>
        <w:t xml:space="preserve"> </w:t>
      </w:r>
      <w:r w:rsidRPr="009F03C5">
        <w:t xml:space="preserve">to determine, on a customer-by-customer basis, where technology upgrades are </w:t>
      </w:r>
      <w:r w:rsidRPr="000838FF">
        <w:t>necessary to ensure that capacity needs are met post-migrat</w:t>
      </w:r>
      <w:r>
        <w:t xml:space="preserve">ion”); </w:t>
      </w:r>
      <w:r w:rsidRPr="00643283">
        <w:t xml:space="preserve">Content Companies and NAB July 6, 2020 </w:t>
      </w:r>
      <w:r w:rsidRPr="00643283">
        <w:rPr>
          <w:i/>
          <w:iCs/>
        </w:rPr>
        <w:t>Ex Parte</w:t>
      </w:r>
      <w:r>
        <w:t xml:space="preserve"> at 3(“[U]nless cost-allocation decisions reflect and support the current industry practice of centralizing the compression upgrade process, there is significant risk of delay in the transition and disruption to the video delivery ecosystem.”); AT&amp;T July 7, 2020 </w:t>
      </w:r>
      <w:r>
        <w:rPr>
          <w:i/>
          <w:iCs/>
        </w:rPr>
        <w:t xml:space="preserve">Ex Parte </w:t>
      </w:r>
      <w:r>
        <w:t>at 2-3 (explaining that an approach that removes selection and acquisition of integrated receivers/decoders from the satellite companies and programmers “</w:t>
      </w:r>
      <w:r w:rsidRPr="00116147">
        <w:t>raises the possibility of significant impairments to the content distribution network or, at a minimum, unnecessary delay and expense</w:t>
      </w:r>
      <w:r>
        <w:t xml:space="preserve">”); Intelsat July 7, 2020 </w:t>
      </w:r>
      <w:r>
        <w:rPr>
          <w:i/>
          <w:iCs/>
        </w:rPr>
        <w:t>Ex Parte</w:t>
      </w:r>
      <w:r>
        <w:t xml:space="preserve"> at 1-2 (“[I]</w:t>
      </w:r>
      <w:r w:rsidRPr="00D12DF1">
        <w:t xml:space="preserve">t would be preferable to exclude any technology upgrade costs from the lump sum opt-out amount, while allowing for labor costs for equipment installation to be included in the earth station opt-out </w:t>
      </w:r>
      <w:r w:rsidRPr="001C5698">
        <w:t>amount</w:t>
      </w:r>
      <w:r>
        <w:t>. . . .  [T]</w:t>
      </w:r>
      <w:r w:rsidRPr="005664BF">
        <w:t>his remains the best overall option from Intelsat’s perspective to achieve the necessary compression within the accelerated timetable while still allowing for an opt-out lump sum payment option for MVPDs</w:t>
      </w:r>
      <w:r>
        <w:t>.”).</w:t>
      </w:r>
    </w:p>
  </w:footnote>
  <w:footnote w:id="82">
    <w:p w:rsidR="002071A8" w:rsidP="00581C0D" w14:paraId="66301942" w14:textId="7FD886C8">
      <w:pPr>
        <w:pStyle w:val="FootnoteText"/>
        <w:tabs>
          <w:tab w:val="left" w:pos="1710"/>
        </w:tabs>
      </w:pPr>
      <w:r>
        <w:rPr>
          <w:rStyle w:val="FootnoteReference"/>
        </w:rPr>
        <w:footnoteRef/>
      </w:r>
      <w:r>
        <w:t xml:space="preserve"> </w:t>
      </w:r>
      <w:r w:rsidRPr="002B7D95">
        <w:rPr>
          <w:i/>
          <w:iCs/>
        </w:rPr>
        <w:t>3.7 GHz Report and Order</w:t>
      </w:r>
      <w:r>
        <w:t xml:space="preserve">, </w:t>
      </w:r>
      <w:r w:rsidRPr="008E618F">
        <w:t>35 FCC Rcd</w:t>
      </w:r>
      <w:r w:rsidRPr="002B7D95">
        <w:t xml:space="preserve"> at 2427-28, paras. 202-203.  </w:t>
      </w:r>
      <w:r w:rsidRPr="00032C09">
        <w:t xml:space="preserve">ACA argues that in excluding the cost of </w:t>
      </w:r>
      <w:r>
        <w:t>integrated receiver/decoder</w:t>
      </w:r>
      <w:r w:rsidRPr="00032C09">
        <w:t xml:space="preserve"> equipment the Bureau is exceeding that authority delegated to it by the Commission in the </w:t>
      </w:r>
      <w:r w:rsidRPr="001C5799">
        <w:rPr>
          <w:i/>
          <w:iCs/>
        </w:rPr>
        <w:t>3.7 GHz Report and Orde</w:t>
      </w:r>
      <w:r w:rsidRPr="00032C09">
        <w:rPr>
          <w:i/>
          <w:iCs/>
        </w:rPr>
        <w:t>r</w:t>
      </w:r>
      <w:r w:rsidRPr="00032C09">
        <w:t xml:space="preserve">.  </w:t>
      </w:r>
      <w:r>
        <w:rPr>
          <w:i/>
          <w:iCs/>
        </w:rPr>
        <w:t>S</w:t>
      </w:r>
      <w:r w:rsidRPr="00032C09">
        <w:rPr>
          <w:i/>
          <w:iCs/>
        </w:rPr>
        <w:t xml:space="preserve">ee </w:t>
      </w:r>
      <w:r w:rsidRPr="00032C09">
        <w:t xml:space="preserve">Letter from </w:t>
      </w:r>
      <w:r w:rsidRPr="006C7B96">
        <w:t>Ray Hashem, Counsel to ACA</w:t>
      </w:r>
      <w:r w:rsidRPr="00032C09">
        <w:t xml:space="preserve">, to Marlene H. Dortch, Secretary, FCC, at 6-7 (filed July 17, 2020) (ACA July 17, 2020 </w:t>
      </w:r>
      <w:r w:rsidRPr="00032C09">
        <w:rPr>
          <w:i/>
          <w:iCs/>
        </w:rPr>
        <w:t>Ex Parte</w:t>
      </w:r>
      <w:r w:rsidRPr="00032C09">
        <w:t xml:space="preserve">). </w:t>
      </w:r>
      <w:r>
        <w:t xml:space="preserve"> </w:t>
      </w:r>
      <w:r w:rsidRPr="00032C09">
        <w:t xml:space="preserve">We disagree.  While, as ACA notes, in the </w:t>
      </w:r>
      <w:r w:rsidRPr="001C5799">
        <w:rPr>
          <w:i/>
          <w:iCs/>
        </w:rPr>
        <w:t xml:space="preserve">3.7 GHz Report and </w:t>
      </w:r>
      <w:r w:rsidRPr="00032C09">
        <w:rPr>
          <w:i/>
          <w:iCs/>
        </w:rPr>
        <w:t>Order</w:t>
      </w:r>
      <w:r w:rsidRPr="00032C09">
        <w:t xml:space="preserve"> the Commission delegates specific authority to the Bureau to “identify lump sum amounts for various classes of earth stations</w:t>
      </w:r>
      <w:r>
        <w:t>”</w:t>
      </w:r>
      <w:r w:rsidRPr="00032C09">
        <w:t xml:space="preserve"> and to “announce the lump sum that will be available,” it also broadly delegates authority to the Bureau “to make further determinations related to reimbursable costs, as necessary, throughout the transition process.” </w:t>
      </w:r>
      <w:r>
        <w:t xml:space="preserve"> </w:t>
      </w:r>
      <w:r w:rsidRPr="00032C09">
        <w:rPr>
          <w:i/>
          <w:iCs/>
        </w:rPr>
        <w:t>3.7 GHz Report and Order</w:t>
      </w:r>
      <w:r>
        <w:t xml:space="preserve">, </w:t>
      </w:r>
      <w:r w:rsidRPr="008E618F">
        <w:t>35 FCC Rcd</w:t>
      </w:r>
      <w:r w:rsidRPr="00032C09">
        <w:t xml:space="preserve"> at </w:t>
      </w:r>
      <w:r>
        <w:t>2428, 2448</w:t>
      </w:r>
      <w:r w:rsidRPr="00032C09">
        <w:t>, para</w:t>
      </w:r>
      <w:r>
        <w:t>s</w:t>
      </w:r>
      <w:r w:rsidRPr="00032C09">
        <w:t xml:space="preserve">. </w:t>
      </w:r>
      <w:r>
        <w:t xml:space="preserve">203, </w:t>
      </w:r>
      <w:r w:rsidRPr="00032C09">
        <w:t>262</w:t>
      </w:r>
      <w:r>
        <w:t>; 47 CFR</w:t>
      </w:r>
      <w:r w:rsidR="006F486B">
        <w:t xml:space="preserve"> </w:t>
      </w:r>
      <w:r>
        <w:t>§§ </w:t>
      </w:r>
      <w:r w:rsidRPr="00032C09">
        <w:t>27.1416</w:t>
      </w:r>
      <w:r>
        <w:t>(a)</w:t>
      </w:r>
      <w:r w:rsidR="00BC50B9">
        <w:t>,</w:t>
      </w:r>
      <w:r>
        <w:t xml:space="preserve"> 27.1419</w:t>
      </w:r>
      <w:r w:rsidRPr="00032C09">
        <w:t>.</w:t>
      </w:r>
    </w:p>
  </w:footnote>
  <w:footnote w:id="83">
    <w:p w:rsidR="002071A8" w:rsidP="0038273B" w14:paraId="5E45DC41" w14:textId="554EE049">
      <w:pPr>
        <w:pStyle w:val="FootnoteText"/>
      </w:pPr>
      <w:r>
        <w:rPr>
          <w:rStyle w:val="FootnoteReference"/>
        </w:rPr>
        <w:footnoteRef/>
      </w:r>
      <w:r>
        <w:t xml:space="preserve"> </w:t>
      </w:r>
      <w:r w:rsidRPr="002B7D95">
        <w:rPr>
          <w:i/>
          <w:iCs/>
        </w:rPr>
        <w:t>See</w:t>
      </w:r>
      <w:r>
        <w:rPr>
          <w:i/>
          <w:iCs/>
        </w:rPr>
        <w:t>, e.g.</w:t>
      </w:r>
      <w:r>
        <w:t>,</w:t>
      </w:r>
      <w:r w:rsidRPr="002B7D95">
        <w:rPr>
          <w:i/>
          <w:iCs/>
        </w:rPr>
        <w:t xml:space="preserve"> </w:t>
      </w:r>
      <w:r w:rsidRPr="002B7D95">
        <w:t xml:space="preserve">Content Companies and NAB July 6, 2020 </w:t>
      </w:r>
      <w:r w:rsidRPr="002B7D95">
        <w:rPr>
          <w:i/>
          <w:iCs/>
        </w:rPr>
        <w:t>Ex Parte</w:t>
      </w:r>
      <w:r w:rsidRPr="002B7D95">
        <w:t xml:space="preserve"> at 6; Intelsat June 24, 2020 </w:t>
      </w:r>
      <w:r w:rsidRPr="002B7D95">
        <w:rPr>
          <w:i/>
          <w:iCs/>
        </w:rPr>
        <w:t xml:space="preserve">Ex Parte </w:t>
      </w:r>
      <w:r w:rsidRPr="002B7D95">
        <w:t xml:space="preserve">at 2.  </w:t>
      </w:r>
    </w:p>
  </w:footnote>
  <w:footnote w:id="84">
    <w:p w:rsidR="002071A8" w14:paraId="41160CCB" w14:textId="4A5F8BC0">
      <w:pPr>
        <w:pStyle w:val="FootnoteText"/>
      </w:pPr>
      <w:r>
        <w:rPr>
          <w:rStyle w:val="FootnoteReference"/>
        </w:rPr>
        <w:footnoteRef/>
      </w:r>
      <w:r>
        <w:t xml:space="preserve"> </w:t>
      </w:r>
      <w:r w:rsidRPr="002B7D95">
        <w:rPr>
          <w:i/>
          <w:iCs/>
        </w:rPr>
        <w:t>3.7 GHz Report and Order</w:t>
      </w:r>
      <w:r>
        <w:t xml:space="preserve">, </w:t>
      </w:r>
      <w:r w:rsidRPr="008E618F">
        <w:t>35 FCC Rcd</w:t>
      </w:r>
      <w:r w:rsidRPr="002B7D95">
        <w:t xml:space="preserve"> at 2426, para. 201 (emphasis added).</w:t>
      </w:r>
    </w:p>
  </w:footnote>
  <w:footnote w:id="85">
    <w:p w:rsidR="002071A8" w14:paraId="6481E843" w14:textId="69C03FA4">
      <w:pPr>
        <w:pStyle w:val="FootnoteText"/>
      </w:pPr>
      <w:r>
        <w:rPr>
          <w:rStyle w:val="FootnoteReference"/>
        </w:rPr>
        <w:footnoteRef/>
      </w:r>
      <w:r>
        <w:t xml:space="preserve"> </w:t>
      </w:r>
      <w:r w:rsidRPr="002B7D95">
        <w:rPr>
          <w:i/>
          <w:iCs/>
        </w:rPr>
        <w:t>Id.</w:t>
      </w:r>
    </w:p>
  </w:footnote>
  <w:footnote w:id="86">
    <w:p w:rsidR="002071A8" w:rsidP="00A37137" w14:paraId="64B1D524" w14:textId="39DD4CC9">
      <w:pPr>
        <w:pStyle w:val="FootnoteText"/>
      </w:pPr>
      <w:r>
        <w:rPr>
          <w:rStyle w:val="FootnoteReference"/>
        </w:rPr>
        <w:footnoteRef/>
      </w:r>
      <w:r>
        <w:t xml:space="preserve"> </w:t>
      </w:r>
      <w:r>
        <w:rPr>
          <w:i/>
          <w:iCs/>
        </w:rPr>
        <w:t>See, e.g.</w:t>
      </w:r>
      <w:r>
        <w:t>,</w:t>
      </w:r>
      <w:r>
        <w:rPr>
          <w:i/>
          <w:iCs/>
        </w:rPr>
        <w:t xml:space="preserve"> </w:t>
      </w:r>
      <w:r w:rsidRPr="002B7D95">
        <w:rPr>
          <w:i/>
          <w:iCs/>
        </w:rPr>
        <w:t>3.7 GHz Report and Order</w:t>
      </w:r>
      <w:r>
        <w:t xml:space="preserve">, </w:t>
      </w:r>
      <w:r w:rsidRPr="008E618F">
        <w:t>35 FCC Rcd</w:t>
      </w:r>
      <w:r w:rsidRPr="002B7D95">
        <w:t xml:space="preserve"> at</w:t>
      </w:r>
      <w:r>
        <w:t xml:space="preserve"> 2410, para. 161 (indicating that it is in the public interest to ensure that FSS operations in the C-band are not disrupted); </w:t>
      </w:r>
      <w:r>
        <w:rPr>
          <w:i/>
          <w:iCs/>
        </w:rPr>
        <w:t xml:space="preserve">see also </w:t>
      </w:r>
      <w:r>
        <w:t xml:space="preserve">Content Companies July 6, 2020 </w:t>
      </w:r>
      <w:r w:rsidRPr="00231574">
        <w:rPr>
          <w:i/>
          <w:iCs/>
        </w:rPr>
        <w:t>Ex Parte</w:t>
      </w:r>
      <w:r>
        <w:t xml:space="preserve"> at 6-7 (noting that goal of the C-band proceeding is to ensure that the public interest is served by ensuring that FSS services currently provided in the 3.7-4.2 GHz band are able to continue uninterrupted).</w:t>
      </w:r>
    </w:p>
  </w:footnote>
  <w:footnote w:id="87">
    <w:p w:rsidR="002071A8" w:rsidRPr="00FB7E80" w:rsidP="00B53BE3" w14:paraId="77E2C64D" w14:textId="5C58C9B3">
      <w:pPr>
        <w:pStyle w:val="FootnoteText"/>
      </w:pPr>
      <w:r>
        <w:rPr>
          <w:rStyle w:val="FootnoteReference"/>
        </w:rPr>
        <w:footnoteRef/>
      </w:r>
      <w:r>
        <w:t xml:space="preserve"> </w:t>
      </w:r>
      <w:r w:rsidRPr="002B7D95">
        <w:t xml:space="preserve">Letter from Ross Lieberman, Senior Vice President of Government Affairs, ACA, to Marlene H. Dortch, </w:t>
      </w:r>
      <w:r w:rsidRPr="00FB7E80">
        <w:t xml:space="preserve">Secretary, FCC, at 5 (filed July 7, 2020) (ACA July 7, 2020 </w:t>
      </w:r>
      <w:r w:rsidRPr="00FB7E80">
        <w:rPr>
          <w:i/>
          <w:iCs/>
        </w:rPr>
        <w:t>Ex Parte</w:t>
      </w:r>
      <w:r w:rsidRPr="00FB7E80">
        <w:t>)</w:t>
      </w:r>
      <w:r>
        <w:t xml:space="preserve"> (</w:t>
      </w:r>
      <w:r w:rsidRPr="002B7D95">
        <w:t>argu</w:t>
      </w:r>
      <w:r>
        <w:t>ing</w:t>
      </w:r>
      <w:r w:rsidRPr="002B7D95">
        <w:t xml:space="preserve"> that “[e]xcluding IRD replacement costs from the lump sum reimbursement . . . would contravene the </w:t>
      </w:r>
      <w:r w:rsidRPr="002B7D95">
        <w:rPr>
          <w:i/>
          <w:iCs/>
        </w:rPr>
        <w:t>3.7 GHz Report and Order</w:t>
      </w:r>
      <w:r w:rsidRPr="002B7D95">
        <w:t xml:space="preserve">’s dictate for how the lump </w:t>
      </w:r>
      <w:r w:rsidRPr="006B1494">
        <w:t>sum is to be derived”</w:t>
      </w:r>
      <w:r>
        <w:t>)</w:t>
      </w:r>
      <w:r w:rsidRPr="00FB7E80">
        <w:t xml:space="preserve">; </w:t>
      </w:r>
      <w:r w:rsidRPr="00FB7E80">
        <w:rPr>
          <w:i/>
          <w:iCs/>
        </w:rPr>
        <w:t>see also</w:t>
      </w:r>
      <w:r w:rsidRPr="00FB7E80">
        <w:t xml:space="preserve"> ACA July 17, 2020 </w:t>
      </w:r>
      <w:r w:rsidRPr="00FB7E80">
        <w:rPr>
          <w:i/>
          <w:iCs/>
        </w:rPr>
        <w:t>Ex Parte</w:t>
      </w:r>
      <w:r w:rsidRPr="00FB7E80">
        <w:t xml:space="preserve"> at 4-5</w:t>
      </w:r>
      <w:r w:rsidR="009D0848">
        <w:t xml:space="preserve">; </w:t>
      </w:r>
      <w:r w:rsidR="006D5FE1">
        <w:t xml:space="preserve">Letter from </w:t>
      </w:r>
      <w:r w:rsidRPr="002B7D95" w:rsidR="009D0848">
        <w:t xml:space="preserve">Ross Lieberman, Senior Vice President of Government Affairs, ACA, to Marlene H. Dortch, </w:t>
      </w:r>
      <w:r w:rsidRPr="00FB7E80" w:rsidR="009D0848">
        <w:t xml:space="preserve">Secretary, FCC, at </w:t>
      </w:r>
      <w:r w:rsidR="009D0848">
        <w:t>2</w:t>
      </w:r>
      <w:r w:rsidRPr="00FB7E80" w:rsidR="009D0848">
        <w:t xml:space="preserve"> (filed July </w:t>
      </w:r>
      <w:r w:rsidR="009D0848">
        <w:t>2</w:t>
      </w:r>
      <w:r w:rsidRPr="00FB7E80" w:rsidR="009D0848">
        <w:t xml:space="preserve">7, 2020) (ACA July </w:t>
      </w:r>
      <w:r w:rsidR="008F1ECC">
        <w:t>2</w:t>
      </w:r>
      <w:r w:rsidRPr="00FB7E80" w:rsidR="009D0848">
        <w:t xml:space="preserve">7, 2020 </w:t>
      </w:r>
      <w:r w:rsidRPr="00FB7E80" w:rsidR="009D0848">
        <w:rPr>
          <w:i/>
          <w:iCs/>
        </w:rPr>
        <w:t>Ex Parte</w:t>
      </w:r>
      <w:r w:rsidRPr="00FB7E80" w:rsidR="009D0848">
        <w:t>)</w:t>
      </w:r>
      <w:r w:rsidRPr="00FB7E80">
        <w:t>.</w:t>
      </w:r>
    </w:p>
  </w:footnote>
  <w:footnote w:id="88">
    <w:p w:rsidR="002071A8" w:rsidP="001E79F4" w14:paraId="11C94A67" w14:textId="0C9E39D4">
      <w:pPr>
        <w:pStyle w:val="FootnoteText"/>
      </w:pPr>
      <w:r>
        <w:rPr>
          <w:rStyle w:val="FootnoteReference"/>
        </w:rPr>
        <w:footnoteRef/>
      </w:r>
      <w:r>
        <w:t xml:space="preserve"> ACA July 17, 2020 </w:t>
      </w:r>
      <w:r w:rsidRPr="002071A8">
        <w:rPr>
          <w:i/>
          <w:iCs/>
        </w:rPr>
        <w:t>Ex Parte</w:t>
      </w:r>
      <w:r>
        <w:t xml:space="preserve"> at 5.</w:t>
      </w:r>
    </w:p>
  </w:footnote>
  <w:footnote w:id="89">
    <w:p w:rsidR="002071A8" w:rsidRPr="006D19BD" w:rsidP="001E79F4" w14:paraId="7238142D" w14:textId="77777777">
      <w:pPr>
        <w:pStyle w:val="FootnoteText"/>
      </w:pPr>
      <w:r>
        <w:rPr>
          <w:rStyle w:val="FootnoteReference"/>
        </w:rPr>
        <w:footnoteRef/>
      </w:r>
      <w:r>
        <w:t xml:space="preserve"> </w:t>
      </w:r>
      <w:r w:rsidRPr="00FB7E80">
        <w:t xml:space="preserve">Content Companies July 24, 2020 </w:t>
      </w:r>
      <w:r w:rsidRPr="00FB7E80">
        <w:rPr>
          <w:i/>
          <w:iCs/>
        </w:rPr>
        <w:t>Ex Parte</w:t>
      </w:r>
      <w:r>
        <w:rPr>
          <w:i/>
          <w:iCs/>
        </w:rPr>
        <w:t xml:space="preserve"> </w:t>
      </w:r>
      <w:r>
        <w:t xml:space="preserve">at 1. </w:t>
      </w:r>
    </w:p>
  </w:footnote>
  <w:footnote w:id="90">
    <w:p w:rsidR="002071A8" w:rsidP="007D1270" w14:paraId="7B007A25" w14:textId="4DE1FCE3">
      <w:pPr>
        <w:pStyle w:val="FootnoteText"/>
      </w:pPr>
      <w:r>
        <w:rPr>
          <w:rStyle w:val="FootnoteReference"/>
        </w:rPr>
        <w:footnoteRef/>
      </w:r>
      <w:r>
        <w:t xml:space="preserve"> ACA July 17, 2020 </w:t>
      </w:r>
      <w:r w:rsidRPr="002071A8">
        <w:rPr>
          <w:i/>
          <w:iCs/>
        </w:rPr>
        <w:t>Ex Parte</w:t>
      </w:r>
      <w:r>
        <w:t xml:space="preserve"> at 4-5.</w:t>
      </w:r>
      <w:r>
        <w:t xml:space="preserve"> </w:t>
      </w:r>
    </w:p>
  </w:footnote>
  <w:footnote w:id="91">
    <w:p w:rsidR="002071A8" w:rsidRPr="00EB5B8C" w:rsidP="007D1270" w14:paraId="5C5AC79D" w14:textId="736FEDAE">
      <w:pPr>
        <w:pStyle w:val="FootnoteText"/>
        <w:rPr>
          <w:highlight w:val="green"/>
        </w:rPr>
      </w:pPr>
      <w:r w:rsidRPr="00FB7E80">
        <w:rPr>
          <w:rStyle w:val="FootnoteReference"/>
        </w:rPr>
        <w:footnoteRef/>
      </w:r>
      <w:r w:rsidRPr="00FB7E80">
        <w:t xml:space="preserve"> Content Companies July 24, 2020 </w:t>
      </w:r>
      <w:r w:rsidRPr="00FB7E80">
        <w:rPr>
          <w:i/>
          <w:iCs/>
        </w:rPr>
        <w:t>Ex Parte</w:t>
      </w:r>
      <w:r w:rsidRPr="00FB7E80">
        <w:t xml:space="preserve"> at 2</w:t>
      </w:r>
      <w:r>
        <w:t>-3</w:t>
      </w:r>
      <w:r w:rsidRPr="00FB7E80">
        <w:t xml:space="preserve">.  To extend ACA’s argument to its logical conclusion, if all earth stations elected to take the lump sum and transition to fiber no new satellites would be necessary, and the full $2.5B estimated cost of replacement satellites should be included in the lump sum.  </w:t>
      </w:r>
    </w:p>
  </w:footnote>
  <w:footnote w:id="92">
    <w:p w:rsidR="002071A8" w:rsidRPr="00FB7E80" w:rsidP="007D1270" w14:paraId="21A8BAB6" w14:textId="77777777">
      <w:pPr>
        <w:pStyle w:val="FootnoteText"/>
      </w:pPr>
      <w:r w:rsidRPr="00FB7E80">
        <w:rPr>
          <w:rStyle w:val="FootnoteReference"/>
        </w:rPr>
        <w:footnoteRef/>
      </w:r>
      <w:r w:rsidRPr="00FB7E80">
        <w:t xml:space="preserve"> Content Companies July 24, 2020 </w:t>
      </w:r>
      <w:r w:rsidRPr="00FB7E80">
        <w:rPr>
          <w:i/>
          <w:iCs/>
        </w:rPr>
        <w:t>Ex Parte</w:t>
      </w:r>
      <w:r w:rsidRPr="00FB7E80">
        <w:t xml:space="preserve"> at 2.</w:t>
      </w:r>
    </w:p>
  </w:footnote>
  <w:footnote w:id="93">
    <w:p w:rsidR="002071A8" w:rsidP="001411E1" w14:paraId="2DC06CE4" w14:textId="77777777">
      <w:pPr>
        <w:pStyle w:val="FootnoteText"/>
      </w:pPr>
      <w:r>
        <w:rPr>
          <w:rStyle w:val="FootnoteReference"/>
        </w:rPr>
        <w:footnoteRef/>
      </w:r>
      <w:r>
        <w:t xml:space="preserve"> Letter from Ross Lieberman, Senior Vice President of Government Affairs, ACA, to Marlene H. Dortch, Secretary, FCC, at 3 (filed July 2, 2020) (ACA July 2, 2020 </w:t>
      </w:r>
      <w:r>
        <w:rPr>
          <w:i/>
          <w:iCs/>
        </w:rPr>
        <w:t>Ex Parte</w:t>
      </w:r>
      <w:r>
        <w:t xml:space="preserve">); </w:t>
      </w:r>
      <w:r>
        <w:rPr>
          <w:i/>
          <w:iCs/>
        </w:rPr>
        <w:t xml:space="preserve">see also </w:t>
      </w:r>
      <w:r>
        <w:t xml:space="preserve">ACA July 7, 2020 </w:t>
      </w:r>
      <w:r>
        <w:rPr>
          <w:i/>
          <w:iCs/>
        </w:rPr>
        <w:t>Ex Parte</w:t>
      </w:r>
      <w:r>
        <w:t xml:space="preserve"> at 4-5; Letter from Bill Routt, President and COO, MobiTV, to Marlene H. Dortch, Secretary, FCC at 1-2 (filed July 13, 2020) (suggesting that MVPDs that replace their earth stations with fiber-based video delivery alternatives may not need integrated receivers/decoders at those sites and urging the Commission to “permit MVPDs to use money that would otherwise have been spent on them, including for replacement IRDs, on alternative, forward-looking technologies that do not require individual IRDs at local earth station sites”); Letter from Randy Clarke, Vice President Federal Regulatory Affairs, CenturyLink, to Marlene. H. Dortch, Secretary, FCC, at 1-2 (filed July 20, 2020) (indicating that MVPD earth stations that transition to fiber would not always need to install integrated receivers/decoders).  </w:t>
      </w:r>
    </w:p>
  </w:footnote>
  <w:footnote w:id="94">
    <w:p w:rsidR="002071A8" w:rsidP="001411E1" w14:paraId="4A1E4191" w14:textId="77777777">
      <w:pPr>
        <w:pStyle w:val="FootnoteText"/>
      </w:pPr>
      <w:r>
        <w:rPr>
          <w:rStyle w:val="FootnoteReference"/>
        </w:rPr>
        <w:footnoteRef/>
      </w:r>
      <w:r>
        <w:t xml:space="preserve"> ACA July 2, 2020 </w:t>
      </w:r>
      <w:r>
        <w:rPr>
          <w:i/>
          <w:iCs/>
        </w:rPr>
        <w:t>Ex Parte</w:t>
      </w:r>
      <w:r>
        <w:t xml:space="preserve"> at 3; </w:t>
      </w:r>
      <w:r>
        <w:rPr>
          <w:i/>
          <w:iCs/>
        </w:rPr>
        <w:t xml:space="preserve">see also </w:t>
      </w:r>
      <w:r>
        <w:t xml:space="preserve">ACA July 7, 2020 </w:t>
      </w:r>
      <w:r>
        <w:rPr>
          <w:i/>
          <w:iCs/>
        </w:rPr>
        <w:t>Ex Parte</w:t>
      </w:r>
      <w:r>
        <w:t xml:space="preserve"> at 5.</w:t>
      </w:r>
    </w:p>
  </w:footnote>
  <w:footnote w:id="95">
    <w:p w:rsidR="002071A8" w:rsidP="001411E1" w14:paraId="05C63DE2" w14:textId="77777777">
      <w:pPr>
        <w:pStyle w:val="FootnoteText"/>
      </w:pPr>
      <w:r>
        <w:rPr>
          <w:rStyle w:val="FootnoteReference"/>
        </w:rPr>
        <w:footnoteRef/>
      </w:r>
      <w:r>
        <w:t xml:space="preserve"> </w:t>
      </w:r>
      <w:r w:rsidRPr="00E459D8">
        <w:rPr>
          <w:i/>
          <w:iCs/>
        </w:rPr>
        <w:t>3</w:t>
      </w:r>
      <w:r w:rsidRPr="00587591">
        <w:rPr>
          <w:i/>
          <w:iCs/>
        </w:rPr>
        <w:t xml:space="preserve">.7 GHz </w:t>
      </w:r>
      <w:r>
        <w:rPr>
          <w:i/>
          <w:iCs/>
        </w:rPr>
        <w:t>Report and Order</w:t>
      </w:r>
      <w:r>
        <w:t xml:space="preserve">, </w:t>
      </w:r>
      <w:r w:rsidRPr="008E618F">
        <w:t>35 FCC Rcd</w:t>
      </w:r>
      <w:r>
        <w:rPr>
          <w:i/>
          <w:iCs/>
        </w:rPr>
        <w:t xml:space="preserve"> </w:t>
      </w:r>
      <w:r>
        <w:t>at 2427, para. 202 (emphasis added).</w:t>
      </w:r>
    </w:p>
  </w:footnote>
  <w:footnote w:id="96">
    <w:p w:rsidR="002071A8" w:rsidP="001411E1" w14:paraId="2140B14A" w14:textId="7451250C">
      <w:pPr>
        <w:pStyle w:val="FootnoteText"/>
      </w:pPr>
      <w:r>
        <w:rPr>
          <w:rStyle w:val="FootnoteReference"/>
        </w:rPr>
        <w:footnoteRef/>
      </w:r>
      <w:r>
        <w:t xml:space="preserve"> </w:t>
      </w:r>
      <w:r>
        <w:rPr>
          <w:i/>
          <w:iCs/>
        </w:rPr>
        <w:t xml:space="preserve">See </w:t>
      </w:r>
      <w:r w:rsidR="007A4649">
        <w:rPr>
          <w:i/>
          <w:iCs/>
        </w:rPr>
        <w:t>id.</w:t>
      </w:r>
      <w:r>
        <w:rPr>
          <w:i/>
          <w:iCs/>
        </w:rPr>
        <w:t xml:space="preserve"> </w:t>
      </w:r>
      <w:r>
        <w:t xml:space="preserve">at 2427-28, paras. 202-203 </w:t>
      </w:r>
      <w:r w:rsidRPr="006849ED">
        <w:t>&amp; n. 547</w:t>
      </w:r>
      <w:r>
        <w:t>.</w:t>
      </w:r>
    </w:p>
  </w:footnote>
  <w:footnote w:id="97">
    <w:p w:rsidR="002071A8" w:rsidP="007E618A" w14:paraId="57A48C8A" w14:textId="27FE1723">
      <w:pPr>
        <w:pStyle w:val="FootnoteText"/>
      </w:pPr>
      <w:r w:rsidRPr="00FB7E80">
        <w:rPr>
          <w:rStyle w:val="FootnoteReference"/>
        </w:rPr>
        <w:footnoteRef/>
      </w:r>
      <w:r w:rsidRPr="00FB7E80">
        <w:t xml:space="preserve"> Content </w:t>
      </w:r>
      <w:r>
        <w:t>Companies</w:t>
      </w:r>
      <w:r w:rsidRPr="00FB7E80">
        <w:t xml:space="preserve"> July 24, 2020 </w:t>
      </w:r>
      <w:r w:rsidRPr="002071A8">
        <w:rPr>
          <w:i/>
          <w:iCs/>
        </w:rPr>
        <w:t>Ex Parte</w:t>
      </w:r>
      <w:r w:rsidRPr="00FB7E80">
        <w:t xml:space="preserve"> at 3-4.</w:t>
      </w:r>
    </w:p>
  </w:footnote>
  <w:footnote w:id="98">
    <w:p w:rsidR="001602F0" w14:paraId="3CFFCF56" w14:textId="75287937">
      <w:pPr>
        <w:pStyle w:val="FootnoteText"/>
      </w:pPr>
      <w:r>
        <w:rPr>
          <w:rStyle w:val="FootnoteReference"/>
        </w:rPr>
        <w:footnoteRef/>
      </w:r>
      <w:r>
        <w:t xml:space="preserve"> </w:t>
      </w:r>
      <w:r w:rsidR="007A4649">
        <w:rPr>
          <w:i/>
          <w:iCs/>
        </w:rPr>
        <w:t>Id.</w:t>
      </w:r>
      <w:r w:rsidRPr="00FB7E80">
        <w:t xml:space="preserve"> at 3-4</w:t>
      </w:r>
      <w:r>
        <w:t>.</w:t>
      </w:r>
    </w:p>
  </w:footnote>
  <w:footnote w:id="99">
    <w:p w:rsidR="002071A8" w:rsidP="001411E1" w14:paraId="49DE2179" w14:textId="77777777">
      <w:pPr>
        <w:pStyle w:val="FootnoteText"/>
      </w:pPr>
      <w:r>
        <w:rPr>
          <w:rStyle w:val="FootnoteReference"/>
        </w:rPr>
        <w:footnoteRef/>
      </w:r>
      <w:r>
        <w:t xml:space="preserve"> </w:t>
      </w:r>
      <w:r w:rsidRPr="00587591">
        <w:rPr>
          <w:i/>
          <w:iCs/>
        </w:rPr>
        <w:t xml:space="preserve">3.7 GHz </w:t>
      </w:r>
      <w:r>
        <w:rPr>
          <w:i/>
          <w:iCs/>
        </w:rPr>
        <w:t>Report and Order</w:t>
      </w:r>
      <w:r>
        <w:t xml:space="preserve">, </w:t>
      </w:r>
      <w:r w:rsidRPr="008E618F">
        <w:t>35 FCC Rcd</w:t>
      </w:r>
      <w:r>
        <w:rPr>
          <w:i/>
          <w:iCs/>
        </w:rPr>
        <w:t xml:space="preserve"> </w:t>
      </w:r>
      <w:r>
        <w:t>at 2427-28, paras. 202-203 &amp; n.547.</w:t>
      </w:r>
    </w:p>
  </w:footnote>
  <w:footnote w:id="100">
    <w:p w:rsidR="002071A8" w14:paraId="0FE39FED" w14:textId="61E29B0A">
      <w:pPr>
        <w:pStyle w:val="FootnoteText"/>
      </w:pPr>
      <w:r>
        <w:rPr>
          <w:rStyle w:val="FootnoteReference"/>
        </w:rPr>
        <w:footnoteRef/>
      </w:r>
      <w:r>
        <w:t xml:space="preserve"> </w:t>
      </w:r>
      <w:r w:rsidRPr="002B7D95">
        <w:t xml:space="preserve">SES July 8, 2020 </w:t>
      </w:r>
      <w:r w:rsidRPr="002B7D95">
        <w:rPr>
          <w:i/>
          <w:iCs/>
        </w:rPr>
        <w:t>Ex Parte</w:t>
      </w:r>
      <w:r w:rsidRPr="002B7D95">
        <w:t xml:space="preserve"> at 4.  </w:t>
      </w:r>
    </w:p>
  </w:footnote>
  <w:footnote w:id="101">
    <w:p w:rsidR="002071A8" w14:paraId="5A4030F0" w14:textId="00A0D323">
      <w:pPr>
        <w:pStyle w:val="FootnoteText"/>
      </w:pPr>
      <w:r>
        <w:rPr>
          <w:rStyle w:val="FootnoteReference"/>
        </w:rPr>
        <w:footnoteRef/>
      </w:r>
      <w:r>
        <w:t xml:space="preserve"> </w:t>
      </w:r>
      <w:r w:rsidRPr="002B7D95">
        <w:rPr>
          <w:i/>
          <w:iCs/>
        </w:rPr>
        <w:t>See 3.7 GHz Report and Order</w:t>
      </w:r>
      <w:r>
        <w:t xml:space="preserve">, </w:t>
      </w:r>
      <w:r w:rsidRPr="008E618F">
        <w:t>35 FCC Rcd</w:t>
      </w:r>
      <w:r w:rsidRPr="002B7D95">
        <w:rPr>
          <w:i/>
          <w:iCs/>
        </w:rPr>
        <w:t xml:space="preserve"> </w:t>
      </w:r>
      <w:r w:rsidRPr="002B7D95">
        <w:t>at 2455, para. 293.</w:t>
      </w:r>
    </w:p>
  </w:footnote>
  <w:footnote w:id="102">
    <w:p w:rsidR="002071A8" w:rsidRPr="00FB7E80" w:rsidP="0025546A" w14:paraId="04FE6D22" w14:textId="77777777">
      <w:pPr>
        <w:pStyle w:val="FootnoteText"/>
      </w:pPr>
      <w:r w:rsidRPr="00FB7E80">
        <w:rPr>
          <w:rStyle w:val="FootnoteReference"/>
        </w:rPr>
        <w:footnoteRef/>
      </w:r>
      <w:r w:rsidRPr="00FB7E80">
        <w:t xml:space="preserve"> Content Companies July 24, 2020 </w:t>
      </w:r>
      <w:r w:rsidRPr="002071A8">
        <w:rPr>
          <w:i/>
          <w:iCs/>
        </w:rPr>
        <w:t>Ex Parte</w:t>
      </w:r>
      <w:r w:rsidRPr="00FB7E80">
        <w:t xml:space="preserve"> at 4.</w:t>
      </w:r>
    </w:p>
  </w:footnote>
  <w:footnote w:id="103">
    <w:p w:rsidR="002071A8" w:rsidRPr="00070A26" w:rsidP="002B7D95" w14:paraId="0AE5D6FA" w14:textId="5E160256">
      <w:pPr>
        <w:pStyle w:val="FootnoteText"/>
      </w:pPr>
      <w:r>
        <w:rPr>
          <w:rStyle w:val="FootnoteReference"/>
        </w:rPr>
        <w:footnoteRef/>
      </w:r>
      <w:r>
        <w:t xml:space="preserve"> </w:t>
      </w:r>
      <w:r>
        <w:rPr>
          <w:i/>
          <w:iCs/>
        </w:rPr>
        <w:t xml:space="preserve">See </w:t>
      </w:r>
      <w:r>
        <w:t xml:space="preserve">SES July 8, 2020 </w:t>
      </w:r>
      <w:r w:rsidRPr="009841B8">
        <w:rPr>
          <w:i/>
          <w:iCs/>
        </w:rPr>
        <w:t>Ex Parte</w:t>
      </w:r>
      <w:r>
        <w:t xml:space="preserve"> at 2.</w:t>
      </w:r>
    </w:p>
  </w:footnote>
  <w:footnote w:id="104">
    <w:p w:rsidR="002071A8" w14:paraId="07EA9765" w14:textId="34D0A6FA">
      <w:pPr>
        <w:pStyle w:val="FootnoteText"/>
      </w:pPr>
      <w:r>
        <w:rPr>
          <w:rStyle w:val="FootnoteReference"/>
        </w:rPr>
        <w:footnoteRef/>
      </w:r>
      <w:r>
        <w:t xml:space="preserve"> </w:t>
      </w:r>
      <w:r w:rsidRPr="002B7D95">
        <w:rPr>
          <w:i/>
          <w:iCs/>
        </w:rPr>
        <w:t>3.7 GHz Report and Order</w:t>
      </w:r>
      <w:r>
        <w:t xml:space="preserve">, </w:t>
      </w:r>
      <w:r w:rsidRPr="008E618F">
        <w:t>35 FCC Rcd</w:t>
      </w:r>
      <w:r w:rsidRPr="002B7D95">
        <w:rPr>
          <w:i/>
          <w:iCs/>
        </w:rPr>
        <w:t xml:space="preserve"> </w:t>
      </w:r>
      <w:r w:rsidRPr="002B7D95">
        <w:t>at</w:t>
      </w:r>
      <w:r>
        <w:t xml:space="preserve"> 2460, para. 313.</w:t>
      </w:r>
    </w:p>
  </w:footnote>
  <w:footnote w:id="105">
    <w:p w:rsidR="002071A8" w:rsidRPr="0038273B" w14:paraId="56EC991D" w14:textId="11E7D4E9">
      <w:pPr>
        <w:pStyle w:val="FootnoteText"/>
      </w:pPr>
      <w:r>
        <w:rPr>
          <w:rStyle w:val="FootnoteReference"/>
        </w:rPr>
        <w:footnoteRef/>
      </w:r>
      <w:r>
        <w:t xml:space="preserve"> </w:t>
      </w:r>
      <w:r>
        <w:rPr>
          <w:i/>
          <w:iCs/>
        </w:rPr>
        <w:t>Id.</w:t>
      </w:r>
      <w:r>
        <w:t xml:space="preserve"> (emphasis added).</w:t>
      </w:r>
    </w:p>
  </w:footnote>
  <w:footnote w:id="106">
    <w:p w:rsidR="002071A8" w:rsidRPr="00D566FE" w:rsidP="002B7D95" w14:paraId="2E74DC29" w14:textId="4C4A1646">
      <w:pPr>
        <w:pStyle w:val="FootnoteText"/>
      </w:pPr>
      <w:r>
        <w:rPr>
          <w:rStyle w:val="FootnoteReference"/>
        </w:rPr>
        <w:footnoteRef/>
      </w:r>
      <w:r>
        <w:t xml:space="preserve"> </w:t>
      </w:r>
      <w:r>
        <w:rPr>
          <w:i/>
          <w:iCs/>
        </w:rPr>
        <w:t>See, e.g.</w:t>
      </w:r>
      <w:r>
        <w:t>,</w:t>
      </w:r>
      <w:r>
        <w:rPr>
          <w:i/>
          <w:iCs/>
        </w:rPr>
        <w:t xml:space="preserve"> </w:t>
      </w:r>
      <w:r>
        <w:t>Intelsat</w:t>
      </w:r>
      <w:r>
        <w:rPr>
          <w:i/>
          <w:iCs/>
        </w:rPr>
        <w:t xml:space="preserve"> </w:t>
      </w:r>
      <w:r>
        <w:t xml:space="preserve">June 24, 2020 </w:t>
      </w:r>
      <w:r>
        <w:rPr>
          <w:i/>
          <w:iCs/>
        </w:rPr>
        <w:t xml:space="preserve">Ex Parte </w:t>
      </w:r>
      <w:r>
        <w:t xml:space="preserve">at 2; Intelsat May 26, 2020 </w:t>
      </w:r>
      <w:r w:rsidRPr="00A746CA">
        <w:rPr>
          <w:i/>
          <w:iCs/>
        </w:rPr>
        <w:t>Ex Parte</w:t>
      </w:r>
      <w:r>
        <w:t xml:space="preserve"> at 2-3; AT&amp;T May 14, 2020 Comments at 2-3; </w:t>
      </w:r>
      <w:r w:rsidRPr="00643283">
        <w:t xml:space="preserve">Content Companies and NAB July 6, 2020 </w:t>
      </w:r>
      <w:r w:rsidRPr="00643283">
        <w:rPr>
          <w:i/>
          <w:iCs/>
        </w:rPr>
        <w:t>Ex Parte</w:t>
      </w:r>
      <w:r>
        <w:t xml:space="preserve"> at 3.     </w:t>
      </w:r>
    </w:p>
  </w:footnote>
  <w:footnote w:id="107">
    <w:p w:rsidR="002071A8" w14:paraId="348D4BF9" w14:textId="065AEA5E">
      <w:pPr>
        <w:pStyle w:val="FootnoteText"/>
      </w:pPr>
      <w:r>
        <w:rPr>
          <w:rStyle w:val="FootnoteReference"/>
        </w:rPr>
        <w:footnoteRef/>
      </w:r>
      <w:r>
        <w:t xml:space="preserve"> </w:t>
      </w:r>
      <w:r>
        <w:rPr>
          <w:i/>
          <w:iCs/>
        </w:rPr>
        <w:t xml:space="preserve">See </w:t>
      </w:r>
      <w:r>
        <w:t xml:space="preserve">SES July 8, 2020 </w:t>
      </w:r>
      <w:r w:rsidRPr="009841B8">
        <w:rPr>
          <w:i/>
          <w:iCs/>
        </w:rPr>
        <w:t>Ex Parte</w:t>
      </w:r>
      <w:r>
        <w:rPr>
          <w:i/>
          <w:iCs/>
        </w:rPr>
        <w:t xml:space="preserve"> </w:t>
      </w:r>
      <w:r>
        <w:t xml:space="preserve">at 3 (“Once the satellite operator has confirmed that a </w:t>
      </w:r>
      <w:r w:rsidRPr="002F056B">
        <w:t>particular programmer should apply compression technology to achieve the optimal number of cleared transponders</w:t>
      </w:r>
      <w:r>
        <w:t xml:space="preserve"> . . . </w:t>
      </w:r>
      <w:r w:rsidRPr="002F056B">
        <w:t xml:space="preserve">the type of compression must be chosen by the programmer because the same technology must be implemented throughout the programmer’s distribution system to ensure service continuity. </w:t>
      </w:r>
      <w:r>
        <w:t xml:space="preserve"> </w:t>
      </w:r>
      <w:r w:rsidRPr="002F056B">
        <w:t>Indeed</w:t>
      </w:r>
      <w:r>
        <w:t xml:space="preserve"> . . . </w:t>
      </w:r>
      <w:r w:rsidRPr="002F056B">
        <w:t>technology upgrade costs (aside from labor) are not costs that earth station operators should incur.</w:t>
      </w:r>
      <w:r>
        <w:t>”).</w:t>
      </w:r>
    </w:p>
  </w:footnote>
  <w:footnote w:id="108">
    <w:p w:rsidR="002071A8" w:rsidP="00322D0C" w14:paraId="68F6D5EB" w14:textId="47D420A6">
      <w:pPr>
        <w:pStyle w:val="FootnoteText"/>
      </w:pPr>
      <w:r>
        <w:rPr>
          <w:rStyle w:val="FootnoteReference"/>
        </w:rPr>
        <w:footnoteRef/>
      </w:r>
      <w:r>
        <w:t xml:space="preserve"> </w:t>
      </w:r>
      <w:r w:rsidRPr="00587591">
        <w:rPr>
          <w:i/>
          <w:iCs/>
        </w:rPr>
        <w:t xml:space="preserve">3.7 GHz </w:t>
      </w:r>
      <w:r>
        <w:rPr>
          <w:i/>
          <w:iCs/>
        </w:rPr>
        <w:t>Report and Order</w:t>
      </w:r>
      <w:r>
        <w:t xml:space="preserve">, </w:t>
      </w:r>
      <w:r w:rsidRPr="008E618F">
        <w:t>35 FCC Rcd</w:t>
      </w:r>
      <w:r>
        <w:rPr>
          <w:i/>
          <w:iCs/>
        </w:rPr>
        <w:t xml:space="preserve"> </w:t>
      </w:r>
      <w:r>
        <w:t>at 2427, para. 202.</w:t>
      </w:r>
    </w:p>
  </w:footnote>
  <w:footnote w:id="109">
    <w:p w:rsidR="002071A8" w14:paraId="3166882F" w14:textId="3F323734">
      <w:pPr>
        <w:pStyle w:val="FootnoteText"/>
      </w:pPr>
      <w:r>
        <w:rPr>
          <w:rStyle w:val="FootnoteReference"/>
        </w:rPr>
        <w:footnoteRef/>
      </w:r>
      <w:r>
        <w:t xml:space="preserve"> </w:t>
      </w:r>
      <w:r w:rsidR="007E5285">
        <w:rPr>
          <w:i/>
          <w:iCs/>
        </w:rPr>
        <w:t>Id.</w:t>
      </w:r>
      <w:r>
        <w:rPr>
          <w:i/>
          <w:iCs/>
        </w:rPr>
        <w:t xml:space="preserve"> </w:t>
      </w:r>
      <w:r>
        <w:t>at 2455, para. 293.</w:t>
      </w:r>
    </w:p>
  </w:footnote>
  <w:footnote w:id="110">
    <w:p w:rsidR="002071A8" w14:paraId="16AE8A41" w14:textId="73424718">
      <w:pPr>
        <w:pStyle w:val="FootnoteText"/>
      </w:pPr>
      <w:r>
        <w:rPr>
          <w:rStyle w:val="FootnoteReference"/>
        </w:rPr>
        <w:footnoteRef/>
      </w:r>
      <w:r>
        <w:t xml:space="preserve"> </w:t>
      </w:r>
      <w:r w:rsidRPr="00587591">
        <w:rPr>
          <w:i/>
          <w:iCs/>
        </w:rPr>
        <w:t xml:space="preserve">3.7 GHz </w:t>
      </w:r>
      <w:r>
        <w:rPr>
          <w:i/>
          <w:iCs/>
        </w:rPr>
        <w:t>Report and Order</w:t>
      </w:r>
      <w:r>
        <w:t xml:space="preserve">, </w:t>
      </w:r>
      <w:r w:rsidRPr="008E618F">
        <w:t>35 FCC Rcd</w:t>
      </w:r>
      <w:r>
        <w:rPr>
          <w:i/>
          <w:iCs/>
        </w:rPr>
        <w:t xml:space="preserve"> </w:t>
      </w:r>
      <w:r>
        <w:t>at 2427, para. 202.</w:t>
      </w:r>
    </w:p>
  </w:footnote>
  <w:footnote w:id="111">
    <w:p w:rsidR="002071A8" w:rsidP="00583B09" w14:paraId="434077E7" w14:textId="7A535F7C">
      <w:pPr>
        <w:pStyle w:val="FootnoteText"/>
      </w:pPr>
      <w:r>
        <w:rPr>
          <w:rStyle w:val="FootnoteReference"/>
        </w:rPr>
        <w:footnoteRef/>
      </w:r>
      <w:r>
        <w:t xml:space="preserve"> </w:t>
      </w:r>
      <w:r>
        <w:rPr>
          <w:i/>
          <w:iCs/>
        </w:rPr>
        <w:t>See, e.g.</w:t>
      </w:r>
      <w:r>
        <w:t xml:space="preserve">, ACA July 2, 2020 </w:t>
      </w:r>
      <w:r>
        <w:rPr>
          <w:i/>
          <w:iCs/>
        </w:rPr>
        <w:t>Ex Parte</w:t>
      </w:r>
      <w:r>
        <w:t xml:space="preserve"> at 2 (“[A]n MVPD earth station’s technology upgrade costs would be generally the same whether it uses one antenna to receive beams from three satellites or uses three separate antennas to receive the same three beams.”); ACA July 7, 2020 </w:t>
      </w:r>
      <w:r>
        <w:rPr>
          <w:i/>
          <w:iCs/>
        </w:rPr>
        <w:t>Ex Parte</w:t>
      </w:r>
      <w:r>
        <w:t xml:space="preserve"> at 3 (“[S]</w:t>
      </w:r>
      <w:r w:rsidRPr="00021EEB">
        <w:t>ince one large antenna can be capable of receiving all the same programming networks as multiple smaller antennas, the number and type of antennas is not a logical way to determine the need for technology upgrades</w:t>
      </w:r>
      <w:r>
        <w:t xml:space="preserve">.”); </w:t>
      </w:r>
      <w:r w:rsidRPr="002B7D95">
        <w:t xml:space="preserve">Letter from Ross Lieberman, Senior Vice President of Government Affairs, ACA, to Marlene H. Dortch, Secretary, FCC, at </w:t>
      </w:r>
      <w:r>
        <w:t>3</w:t>
      </w:r>
      <w:r w:rsidRPr="002B7D95">
        <w:t xml:space="preserve"> (filed July </w:t>
      </w:r>
      <w:r>
        <w:t>21</w:t>
      </w:r>
      <w:r w:rsidRPr="002B7D95">
        <w:t xml:space="preserve">, 2020) (ACA July </w:t>
      </w:r>
      <w:r>
        <w:t>21</w:t>
      </w:r>
      <w:r w:rsidRPr="002B7D95">
        <w:t xml:space="preserve">, 2020 </w:t>
      </w:r>
      <w:r w:rsidRPr="002B7D95">
        <w:rPr>
          <w:i/>
          <w:iCs/>
        </w:rPr>
        <w:t>Ex Parte</w:t>
      </w:r>
      <w:r w:rsidRPr="002B7D95">
        <w:t>)</w:t>
      </w:r>
      <w:r>
        <w:t xml:space="preserve"> (explaining that “allocating technology upgrade costs on a per-antenna basis is an abnormal method” and that “</w:t>
      </w:r>
      <w:r w:rsidRPr="004E7216">
        <w:t>beams (and the relevant transponders) that will be carrying programming moving to advanced compression are a better basis for determining</w:t>
      </w:r>
      <w:r>
        <w:t>”</w:t>
      </w:r>
      <w:r w:rsidRPr="004E7216">
        <w:t xml:space="preserve"> </w:t>
      </w:r>
      <w:r>
        <w:t xml:space="preserve">technology upgrade costs); Cox June 19, 2020 </w:t>
      </w:r>
      <w:r>
        <w:rPr>
          <w:i/>
          <w:iCs/>
        </w:rPr>
        <w:t>Ex Parte</w:t>
      </w:r>
      <w:r>
        <w:t>, Attach. at 1 (asking the Bureau to calculate technology upgrades on a “per beam” basis to account for upgrade costs associated with multi-beam dishes)</w:t>
      </w:r>
      <w:r w:rsidR="007160CC">
        <w:t xml:space="preserve">; </w:t>
      </w:r>
      <w:r w:rsidRPr="00FB7E80" w:rsidR="007160CC">
        <w:t xml:space="preserve">ACA July </w:t>
      </w:r>
      <w:r w:rsidR="007160CC">
        <w:t>2</w:t>
      </w:r>
      <w:r w:rsidRPr="00FB7E80" w:rsidR="007160CC">
        <w:t xml:space="preserve">7, 2020 </w:t>
      </w:r>
      <w:r w:rsidRPr="00FB7E80" w:rsidR="007160CC">
        <w:rPr>
          <w:i/>
          <w:iCs/>
        </w:rPr>
        <w:t>Ex Parte</w:t>
      </w:r>
      <w:r w:rsidR="007160CC">
        <w:t xml:space="preserve"> at</w:t>
      </w:r>
      <w:r w:rsidR="000B6415">
        <w:t xml:space="preserve"> </w:t>
      </w:r>
      <w:r w:rsidR="004F539F">
        <w:t>2 (</w:t>
      </w:r>
      <w:r w:rsidRPr="004F539F" w:rsidR="004F539F">
        <w:t>arguing that technology upgrades should be calculated on a per-beam basis rather than per antenna)</w:t>
      </w:r>
      <w:r>
        <w:t xml:space="preserve">. </w:t>
      </w:r>
    </w:p>
  </w:footnote>
  <w:footnote w:id="112">
    <w:p w:rsidR="002071A8" w:rsidP="00583B09" w14:paraId="1B44A7D2" w14:textId="77777777">
      <w:pPr>
        <w:pStyle w:val="FootnoteText"/>
      </w:pPr>
      <w:r>
        <w:rPr>
          <w:rStyle w:val="FootnoteReference"/>
        </w:rPr>
        <w:footnoteRef/>
      </w:r>
      <w:r>
        <w:t xml:space="preserve"> Addressing technology upgrade installation costs on a per site, instead of per antenna basis will remove the inequity that would occur between single beam and multibeam antennas (i.e., one headend with five single beam antennas could be getting the same content as a single multibeam antenna looking at the same five satellites).  </w:t>
      </w:r>
    </w:p>
  </w:footnote>
  <w:footnote w:id="113">
    <w:p w:rsidR="002071A8" w14:paraId="09FBDEDF" w14:textId="0F504EDF">
      <w:pPr>
        <w:pStyle w:val="FootnoteText"/>
      </w:pPr>
      <w:r>
        <w:rPr>
          <w:rStyle w:val="FootnoteReference"/>
        </w:rPr>
        <w:footnoteRef/>
      </w:r>
      <w:r>
        <w:t xml:space="preserve"> As explained above, we </w:t>
      </w:r>
      <w:r w:rsidRPr="007D27E8">
        <w:t xml:space="preserve">calculate the technology upgrade installation costs using a variation of an expected value approach.  </w:t>
      </w:r>
      <w:r>
        <w:t>Where a particular cost meets the initial threshold for inclusion (to indicate that it would not be an outlier cost), we multiply the average cost by the probability that such a cost would be incurred.</w:t>
      </w:r>
    </w:p>
  </w:footnote>
  <w:footnote w:id="114">
    <w:p w:rsidR="002071A8" w:rsidRPr="00EB6D0B" w:rsidP="00571333" w14:paraId="3FDB3C83" w14:textId="0D1F36F4">
      <w:pPr>
        <w:pStyle w:val="FootnoteText"/>
      </w:pPr>
      <w:r>
        <w:rPr>
          <w:rStyle w:val="FootnoteReference"/>
        </w:rPr>
        <w:footnoteRef/>
      </w:r>
      <w:r>
        <w:t xml:space="preserve"> </w:t>
      </w:r>
      <w:r>
        <w:rPr>
          <w:i/>
          <w:iCs/>
        </w:rPr>
        <w:t>See, e.g.</w:t>
      </w:r>
      <w:r>
        <w:t xml:space="preserve">, ACA July 7, 2020 </w:t>
      </w:r>
      <w:r>
        <w:rPr>
          <w:i/>
          <w:iCs/>
        </w:rPr>
        <w:t xml:space="preserve">Ex Parte </w:t>
      </w:r>
      <w:r>
        <w:t>at 6-7 (indicating that the “vast majority of MVPDs carry the p</w:t>
      </w:r>
      <w:r w:rsidRPr="003972E8">
        <w:t>rogramming that will be offered in higher compression</w:t>
      </w:r>
      <w:r>
        <w:t xml:space="preserve">, will receive such programming over the same number of beams, and will need to acquire and install the same number of IRDs as well as take other associated actions”); </w:t>
      </w:r>
      <w:r w:rsidRPr="003972E8">
        <w:t>Intelsat Transition Plan at 48</w:t>
      </w:r>
      <w:r>
        <w:t xml:space="preserve"> (indicating that eight major programmers will move to higher compression, which would require their MVPD customers to install replacement integrated receivers/decoders at the headends); Cox May 14, 2020 Comments at 8 (noting that upgraded modulation and encoding techniques would require “new IRDs and transcoders—on a per channel basis—for approximately 33% of a </w:t>
      </w:r>
      <w:r w:rsidRPr="00034FAD">
        <w:rPr>
          <w:i/>
          <w:iCs/>
        </w:rPr>
        <w:t>typical MVPD’s channels</w:t>
      </w:r>
      <w:r>
        <w:t>”) (emphasis added).</w:t>
      </w:r>
    </w:p>
  </w:footnote>
  <w:footnote w:id="115">
    <w:p w:rsidR="002071A8" w14:paraId="2EC1AEAD" w14:textId="50AE4A25">
      <w:pPr>
        <w:pStyle w:val="FootnoteText"/>
      </w:pPr>
      <w:r>
        <w:rPr>
          <w:rStyle w:val="FootnoteReference"/>
        </w:rPr>
        <w:footnoteRef/>
      </w:r>
      <w:r>
        <w:t xml:space="preserve"> </w:t>
      </w:r>
      <w:r w:rsidRPr="00587591">
        <w:rPr>
          <w:i/>
          <w:iCs/>
        </w:rPr>
        <w:t xml:space="preserve">3.7 GHz </w:t>
      </w:r>
      <w:r>
        <w:rPr>
          <w:i/>
          <w:iCs/>
        </w:rPr>
        <w:t>Report and Order</w:t>
      </w:r>
      <w:r>
        <w:t xml:space="preserve">, </w:t>
      </w:r>
      <w:r w:rsidRPr="008E618F">
        <w:t>35 FCC Rcd</w:t>
      </w:r>
      <w:r>
        <w:rPr>
          <w:i/>
          <w:iCs/>
        </w:rPr>
        <w:t xml:space="preserve"> </w:t>
      </w:r>
      <w:r>
        <w:t>at 2427, para. 202.</w:t>
      </w:r>
    </w:p>
  </w:footnote>
  <w:footnote w:id="116">
    <w:p w:rsidR="002071A8" w:rsidRPr="009F711E" w14:paraId="62518B85" w14:textId="365E4F89">
      <w:pPr>
        <w:pStyle w:val="FootnoteText"/>
      </w:pPr>
      <w:r>
        <w:rPr>
          <w:rStyle w:val="FootnoteReference"/>
        </w:rPr>
        <w:footnoteRef/>
      </w:r>
      <w:r>
        <w:t xml:space="preserve"> </w:t>
      </w:r>
      <w:r>
        <w:rPr>
          <w:i/>
          <w:iCs/>
        </w:rPr>
        <w:t xml:space="preserve">See Lump Sum Comment Public Notice </w:t>
      </w:r>
      <w:r>
        <w:t>at 3-4.</w:t>
      </w:r>
    </w:p>
  </w:footnote>
  <w:footnote w:id="117">
    <w:p w:rsidR="002071A8" w:rsidP="00D74B8C" w14:paraId="176B071F" w14:textId="60265960">
      <w:pPr>
        <w:pStyle w:val="FootnoteText"/>
      </w:pPr>
      <w:r>
        <w:rPr>
          <w:rStyle w:val="FootnoteReference"/>
        </w:rPr>
        <w:footnoteRef/>
      </w:r>
      <w:r>
        <w:t xml:space="preserve"> Although MVPD incumbent earth station operators will not be subject to verification of the need for a technology upgrade as part of the lump sum, we note that all </w:t>
      </w:r>
      <w:r w:rsidRPr="00AB0F71">
        <w:t xml:space="preserve">incumbent earth station operators’ eligibility for the particular </w:t>
      </w:r>
      <w:r>
        <w:t xml:space="preserve">antenna type or </w:t>
      </w:r>
      <w:r w:rsidRPr="00AB0F71">
        <w:t>c</w:t>
      </w:r>
      <w:r>
        <w:t>lass</w:t>
      </w:r>
      <w:r w:rsidRPr="00AB0F71">
        <w:t xml:space="preserve"> of earth station for which they seek a lump sum </w:t>
      </w:r>
      <w:r>
        <w:t>may</w:t>
      </w:r>
      <w:r w:rsidRPr="00AB0F71">
        <w:t xml:space="preserve"> be subject to verification, given that </w:t>
      </w:r>
      <w:r>
        <w:t xml:space="preserve">earth station registrations in </w:t>
      </w:r>
      <w:r w:rsidRPr="00AB0F71">
        <w:t xml:space="preserve">IBFS do not provide sufficient information to confirm that earth station operators are making accurate elections.  </w:t>
      </w:r>
      <w:r>
        <w:t xml:space="preserve">As we explain in section II.D, </w:t>
      </w:r>
      <w:r w:rsidRPr="00A4588A">
        <w:rPr>
          <w:i/>
          <w:iCs/>
        </w:rPr>
        <w:t>infra</w:t>
      </w:r>
      <w:r>
        <w:t>, incumbent</w:t>
      </w:r>
      <w:r w:rsidRPr="00AB0F71">
        <w:t xml:space="preserve"> earth station operators </w:t>
      </w:r>
      <w:r>
        <w:t>must</w:t>
      </w:r>
      <w:r w:rsidRPr="00AB0F71">
        <w:t xml:space="preserve"> certify </w:t>
      </w:r>
      <w:r>
        <w:t>to the accuracy of information in their lump sum elections</w:t>
      </w:r>
      <w:r w:rsidRPr="00AB0F71">
        <w:t xml:space="preserve">.  Such information will be subject to verification </w:t>
      </w:r>
      <w:r>
        <w:t>by</w:t>
      </w:r>
      <w:r w:rsidRPr="00AB0F71">
        <w:t xml:space="preserve"> the Clearinghouse</w:t>
      </w:r>
      <w:r>
        <w:t xml:space="preserve"> as necessary to</w:t>
      </w:r>
      <w:r w:rsidRPr="00AB0F71">
        <w:t xml:space="preserve"> prevent waste, fraud, and abuse</w:t>
      </w:r>
      <w:r>
        <w:t xml:space="preserve">.  </w:t>
      </w:r>
    </w:p>
  </w:footnote>
  <w:footnote w:id="118">
    <w:p w:rsidR="002071A8" w14:paraId="7CAC7D07" w14:textId="590C94A4">
      <w:pPr>
        <w:pStyle w:val="FootnoteText"/>
      </w:pPr>
      <w:r>
        <w:rPr>
          <w:rStyle w:val="FootnoteReference"/>
        </w:rPr>
        <w:footnoteRef/>
      </w:r>
      <w:r>
        <w:t xml:space="preserve"> Commenters argue, for example, that a verification requirement </w:t>
      </w:r>
      <w:r w:rsidRPr="007B3846">
        <w:t xml:space="preserve">raises too much uncertainty for MVPD earth station operators and conflicts with the purpose of the lump sum amount, as established in the </w:t>
      </w:r>
      <w:r w:rsidRPr="007B3846">
        <w:rPr>
          <w:i/>
          <w:iCs/>
        </w:rPr>
        <w:t>3.7 GHz Report and Order</w:t>
      </w:r>
      <w:r w:rsidRPr="007B3846">
        <w:t>.</w:t>
      </w:r>
      <w:r>
        <w:t xml:space="preserve"> </w:t>
      </w:r>
      <w:r w:rsidRPr="007B3846">
        <w:t xml:space="preserve"> </w:t>
      </w:r>
      <w:r>
        <w:rPr>
          <w:i/>
          <w:iCs/>
        </w:rPr>
        <w:t>See, e.g.</w:t>
      </w:r>
      <w:r>
        <w:t>,</w:t>
      </w:r>
      <w:r>
        <w:rPr>
          <w:i/>
          <w:iCs/>
        </w:rPr>
        <w:t xml:space="preserve"> </w:t>
      </w:r>
      <w:r>
        <w:t xml:space="preserve">NCTA June 15, 2020 Comments at 10-12; Cox June 15, 2020 Comments at 3-5; ACA June 15, 2020 Comments at 12-17; ACA July 2, 2020 </w:t>
      </w:r>
      <w:r>
        <w:rPr>
          <w:i/>
          <w:iCs/>
        </w:rPr>
        <w:t xml:space="preserve">Ex Parte </w:t>
      </w:r>
      <w:r>
        <w:t xml:space="preserve">at 2; ACA July 7, 2020 </w:t>
      </w:r>
      <w:r>
        <w:rPr>
          <w:i/>
          <w:iCs/>
        </w:rPr>
        <w:t xml:space="preserve">Ex Parte </w:t>
      </w:r>
      <w:r>
        <w:t>at 3-4</w:t>
      </w:r>
      <w:r w:rsidR="00076652">
        <w:t xml:space="preserve">; </w:t>
      </w:r>
      <w:r w:rsidRPr="00FB7E80" w:rsidR="00076652">
        <w:t xml:space="preserve">ACA July </w:t>
      </w:r>
      <w:r w:rsidR="00076652">
        <w:t>2</w:t>
      </w:r>
      <w:r w:rsidRPr="00FB7E80" w:rsidR="00076652">
        <w:t xml:space="preserve">7, 2020 </w:t>
      </w:r>
      <w:r w:rsidRPr="00FB7E80" w:rsidR="00076652">
        <w:rPr>
          <w:i/>
          <w:iCs/>
        </w:rPr>
        <w:t>Ex Parte</w:t>
      </w:r>
      <w:r w:rsidR="00076652">
        <w:t xml:space="preserve"> at</w:t>
      </w:r>
      <w:r w:rsidR="0087227F">
        <w:t xml:space="preserve"> </w:t>
      </w:r>
      <w:r w:rsidR="0044397B">
        <w:t>2</w:t>
      </w:r>
      <w:r>
        <w:t xml:space="preserve">.  </w:t>
      </w:r>
    </w:p>
  </w:footnote>
  <w:footnote w:id="119">
    <w:p w:rsidR="002071A8" w:rsidRPr="001B4DF1" w14:paraId="5C025DCC" w14:textId="30B4F32C">
      <w:pPr>
        <w:pStyle w:val="FootnoteText"/>
      </w:pPr>
      <w:r>
        <w:rPr>
          <w:rStyle w:val="FootnoteReference"/>
        </w:rPr>
        <w:footnoteRef/>
      </w:r>
      <w:r>
        <w:t xml:space="preserve"> </w:t>
      </w:r>
      <w:r>
        <w:rPr>
          <w:i/>
          <w:iCs/>
        </w:rPr>
        <w:t>See, e.g.</w:t>
      </w:r>
      <w:r>
        <w:t>,</w:t>
      </w:r>
      <w:r>
        <w:rPr>
          <w:i/>
          <w:iCs/>
        </w:rPr>
        <w:t xml:space="preserve"> </w:t>
      </w:r>
      <w:r w:rsidRPr="00FC48FD">
        <w:rPr>
          <w:i/>
          <w:iCs/>
        </w:rPr>
        <w:t>3.7 GHz</w:t>
      </w:r>
      <w:r w:rsidRPr="00FC48FD">
        <w:rPr>
          <w:i/>
        </w:rPr>
        <w:t xml:space="preserve"> </w:t>
      </w:r>
      <w:r w:rsidRPr="00FC48FD">
        <w:rPr>
          <w:i/>
          <w:iCs/>
        </w:rPr>
        <w:t>Report and Order</w:t>
      </w:r>
      <w:r>
        <w:t xml:space="preserve">, </w:t>
      </w:r>
      <w:r w:rsidRPr="008E618F">
        <w:t>35 FCC Rcd</w:t>
      </w:r>
      <w:r>
        <w:t xml:space="preserve"> at 2426, para. 201, n. 539 (“Consistent with our definition of ‘incumbent earth stations,’ we clarify that, in order to qualify for reimbursement, any antenna at an incumbent earth station must also have been operational and registered in IBFS as of the relevant dates required by the </w:t>
      </w:r>
      <w:r w:rsidRPr="007D1EAE">
        <w:rPr>
          <w:i/>
          <w:iCs/>
        </w:rPr>
        <w:t>Freeze and 90-Day Earth Station Filing Window Public Notice</w:t>
      </w:r>
      <w:r>
        <w:t xml:space="preserve">.”); </w:t>
      </w:r>
      <w:r>
        <w:rPr>
          <w:i/>
          <w:iCs/>
        </w:rPr>
        <w:t xml:space="preserve">see also </w:t>
      </w:r>
      <w:r>
        <w:t xml:space="preserve">NCTA May 14, 2020 Comments at 27 (arguing that because relocation costs will be acquired per antenna, the lump sum should be “paid out for each antenna at an incumbent’s properly registered earth station facilities, not paid out per earth station facility”); ACA June 15, 2020 Comments at 7 (raising concern that the </w:t>
      </w:r>
      <w:r>
        <w:rPr>
          <w:i/>
          <w:iCs/>
        </w:rPr>
        <w:t xml:space="preserve">Lump Sum Comment Public Notice </w:t>
      </w:r>
      <w:r>
        <w:t>was “</w:t>
      </w:r>
      <w:r w:rsidRPr="007607A8">
        <w:t>vague with respect to the definitions of the proposed base lump sum categories, and whether they should apply on a per antenna or per earth station basis</w:t>
      </w:r>
      <w:r>
        <w:t xml:space="preserve">”).  The </w:t>
      </w:r>
      <w:r>
        <w:rPr>
          <w:i/>
          <w:iCs/>
        </w:rPr>
        <w:t>Lump Sum Comment Public Notice</w:t>
      </w:r>
      <w:r>
        <w:t xml:space="preserve">’s “Estimated Lump Sum Payments Per Earth Station” were calculated </w:t>
      </w:r>
      <w:r>
        <w:rPr>
          <w:i/>
          <w:iCs/>
        </w:rPr>
        <w:t>per antenna</w:t>
      </w:r>
      <w:r>
        <w:t xml:space="preserve"> rather than per earth station site or per earth station registration.  </w:t>
      </w:r>
      <w:r>
        <w:rPr>
          <w:i/>
          <w:iCs/>
        </w:rPr>
        <w:t xml:space="preserve">See Lump Sum Comment Public Notice </w:t>
      </w:r>
      <w:r>
        <w:t xml:space="preserve">at 5.  While the Lump Sum Table in the Cost Catalog clarifies that the base lump sum payments are per antenna, we note that this terminology update is not a change in our approach from the </w:t>
      </w:r>
      <w:r>
        <w:rPr>
          <w:i/>
          <w:iCs/>
        </w:rPr>
        <w:t>Lump Sum Comment Public Notice</w:t>
      </w:r>
      <w:r>
        <w:t xml:space="preserve">. </w:t>
      </w:r>
    </w:p>
  </w:footnote>
  <w:footnote w:id="120">
    <w:p w:rsidR="002071A8" w:rsidP="00627050" w14:paraId="2DBECA0C" w14:textId="454D1468">
      <w:pPr>
        <w:pStyle w:val="FootnoteText"/>
      </w:pPr>
      <w:r>
        <w:rPr>
          <w:rStyle w:val="FootnoteReference"/>
        </w:rPr>
        <w:footnoteRef/>
      </w:r>
      <w:r>
        <w:t xml:space="preserve"> </w:t>
      </w:r>
      <w:r w:rsidRPr="0053637E">
        <w:t>We disagree with ACA</w:t>
      </w:r>
      <w:r>
        <w:t>’s</w:t>
      </w:r>
      <w:r w:rsidRPr="0053637E">
        <w:t xml:space="preserve"> suggestion that the </w:t>
      </w:r>
      <w:r w:rsidRPr="0053637E">
        <w:rPr>
          <w:i/>
          <w:iCs/>
        </w:rPr>
        <w:t>3.7 GHz Report and Order</w:t>
      </w:r>
      <w:r w:rsidRPr="0053637E">
        <w:t xml:space="preserve"> precludes this approach.  </w:t>
      </w:r>
      <w:r>
        <w:rPr>
          <w:i/>
          <w:iCs/>
        </w:rPr>
        <w:t xml:space="preserve">See </w:t>
      </w:r>
      <w:r>
        <w:t xml:space="preserve">Letter from Ross Lieberman, Senior Vice President of Government Affairs, ACA, to Marlene H. Dortch, Secretary, </w:t>
      </w:r>
      <w:r w:rsidR="003D3C78">
        <w:t>FCC</w:t>
      </w:r>
      <w:r>
        <w:t xml:space="preserve">, at 2 (filed June 25, 2020) (ACA June 25, 2020 </w:t>
      </w:r>
      <w:r w:rsidRPr="003F657B">
        <w:rPr>
          <w:i/>
          <w:iCs/>
        </w:rPr>
        <w:t>Ex Parte</w:t>
      </w:r>
      <w:r>
        <w:t xml:space="preserve">). </w:t>
      </w:r>
      <w:r w:rsidRPr="0053637E">
        <w:t xml:space="preserve"> </w:t>
      </w:r>
      <w:r w:rsidRPr="00E12551">
        <w:t xml:space="preserve">First, the </w:t>
      </w:r>
      <w:r w:rsidRPr="00E12551">
        <w:rPr>
          <w:i/>
          <w:iCs/>
        </w:rPr>
        <w:t xml:space="preserve">3.7 GHz Report and Order </w:t>
      </w:r>
      <w:r w:rsidRPr="00E12551">
        <w:t xml:space="preserve">does not </w:t>
      </w:r>
      <w:r>
        <w:t>define</w:t>
      </w:r>
      <w:r w:rsidRPr="00E12551">
        <w:t xml:space="preserve"> “per incumbent earth station” </w:t>
      </w:r>
      <w:r>
        <w:t>on a</w:t>
      </w:r>
      <w:r w:rsidRPr="00E12551">
        <w:t xml:space="preserve"> per site basis.  Indeed, </w:t>
      </w:r>
      <w:r>
        <w:t>as we explain</w:t>
      </w:r>
      <w:r w:rsidRPr="00E12551">
        <w:t xml:space="preserve">, language in the rules adopted in the </w:t>
      </w:r>
      <w:r w:rsidRPr="00E12551">
        <w:rPr>
          <w:i/>
          <w:iCs/>
        </w:rPr>
        <w:t xml:space="preserve">3.7 GHz Report and Order </w:t>
      </w:r>
      <w:r w:rsidRPr="00E12551">
        <w:t>suggests that reference to incumbent earth station refers</w:t>
      </w:r>
      <w:r>
        <w:t>, at a minimum,</w:t>
      </w:r>
      <w:r w:rsidRPr="00E12551">
        <w:t xml:space="preserve"> to a single antenna, rather than </w:t>
      </w:r>
      <w:r>
        <w:t xml:space="preserve">to </w:t>
      </w:r>
      <w:r w:rsidRPr="00E12551">
        <w:t>a site with multiple antennas.  Section 27.1411(b)(5), for example, says that “</w:t>
      </w:r>
      <w:bookmarkStart w:id="100" w:name="_Hlk44487963"/>
      <w:r w:rsidRPr="00E12551">
        <w:t xml:space="preserve">[a] passband filter must be installed at the site of </w:t>
      </w:r>
      <w:r w:rsidRPr="00E12551">
        <w:rPr>
          <w:i/>
          <w:iCs/>
        </w:rPr>
        <w:t>each incumbent earth station</w:t>
      </w:r>
      <w:bookmarkEnd w:id="100"/>
      <w:r w:rsidRPr="00E12551">
        <w:t>.”  47 CFR §</w:t>
      </w:r>
      <w:r w:rsidRPr="00B969B1">
        <w:t xml:space="preserve"> </w:t>
      </w:r>
      <w:r w:rsidRPr="00E12551">
        <w:t>27.1411(b)(5).  A reading of this rule to suggest that only one passband filter must be installed at each registered site (with multiple antennas), rather than at each antenna, would defy logic, as passband filters are necessary for each antenna</w:t>
      </w:r>
      <w:r>
        <w:t xml:space="preserve">. </w:t>
      </w:r>
      <w:r w:rsidRPr="00B404DA">
        <w:t xml:space="preserve"> </w:t>
      </w:r>
      <w:r w:rsidRPr="00564F49">
        <w:t>Second</w:t>
      </w:r>
      <w:r>
        <w:t>, t</w:t>
      </w:r>
      <w:r w:rsidRPr="0053637E">
        <w:t xml:space="preserve">he </w:t>
      </w:r>
      <w:r w:rsidRPr="0053637E">
        <w:rPr>
          <w:i/>
          <w:iCs/>
        </w:rPr>
        <w:t xml:space="preserve">3.7 GHz Report and Order </w:t>
      </w:r>
      <w:r w:rsidRPr="0053637E">
        <w:t xml:space="preserve">directed the Bureau to establish the lump sum amounts “available per incumbent earth station” </w:t>
      </w:r>
      <w:r>
        <w:t>and to “identify lump sum amounts for various</w:t>
      </w:r>
      <w:r w:rsidRPr="0053637E">
        <w:t xml:space="preserve"> classes of earth station</w:t>
      </w:r>
      <w:r>
        <w:t>s—e.g., MVPDs, non-MVPDs, gateway sites—</w:t>
      </w:r>
      <w:r w:rsidRPr="003F657B">
        <w:rPr>
          <w:i/>
          <w:iCs/>
        </w:rPr>
        <w:t>as appropriate</w:t>
      </w:r>
      <w:r>
        <w:t xml:space="preserve">.”  </w:t>
      </w:r>
      <w:r w:rsidRPr="00587591">
        <w:rPr>
          <w:i/>
          <w:iCs/>
        </w:rPr>
        <w:t xml:space="preserve">3.7 GHz </w:t>
      </w:r>
      <w:r>
        <w:rPr>
          <w:i/>
          <w:iCs/>
        </w:rPr>
        <w:t>Report and Order</w:t>
      </w:r>
      <w:r>
        <w:t xml:space="preserve">, </w:t>
      </w:r>
      <w:r w:rsidRPr="008E618F">
        <w:t>35 FCC Rcd</w:t>
      </w:r>
      <w:r>
        <w:rPr>
          <w:i/>
          <w:iCs/>
        </w:rPr>
        <w:t xml:space="preserve"> </w:t>
      </w:r>
      <w:r>
        <w:t xml:space="preserve">at 2428, para. 203 (emphasis added).  Nothing in the </w:t>
      </w:r>
      <w:r w:rsidRPr="0053637E">
        <w:rPr>
          <w:i/>
          <w:iCs/>
        </w:rPr>
        <w:t>3.7 GHz Report and Order</w:t>
      </w:r>
      <w:r w:rsidRPr="0053637E">
        <w:t xml:space="preserve"> </w:t>
      </w:r>
      <w:r>
        <w:t>suggests that the Bureau cannot establish lump sum amounts at the per antenna level for the classes of earth station that we deem appropriate.  ACA’s argument that “</w:t>
      </w:r>
      <w:r w:rsidRPr="00393779">
        <w:t>the outcome of earth stations of the same class receiving different lump sum amounts</w:t>
      </w:r>
      <w:r>
        <w:t xml:space="preserve"> . . . </w:t>
      </w:r>
      <w:r w:rsidRPr="007562F1">
        <w:t xml:space="preserve">is likewise an unauthorized revision of the </w:t>
      </w:r>
      <w:r w:rsidRPr="003F657B">
        <w:rPr>
          <w:i/>
          <w:iCs/>
        </w:rPr>
        <w:t>3.7 GHz Report and Order</w:t>
      </w:r>
      <w:r>
        <w:t xml:space="preserve">” is not supported by the text of the </w:t>
      </w:r>
      <w:r>
        <w:rPr>
          <w:i/>
          <w:iCs/>
        </w:rPr>
        <w:t xml:space="preserve">3.7 GHz Report and Order </w:t>
      </w:r>
      <w:r>
        <w:t xml:space="preserve">(indeed, ACA cites to its own comments for this proposition).  ACA June 25, 2020 </w:t>
      </w:r>
      <w:r w:rsidRPr="00390D16">
        <w:rPr>
          <w:i/>
          <w:iCs/>
        </w:rPr>
        <w:t>Ex Parte</w:t>
      </w:r>
      <w:r>
        <w:t xml:space="preserve"> at</w:t>
      </w:r>
      <w:r>
        <w:rPr>
          <w:i/>
          <w:iCs/>
        </w:rPr>
        <w:t xml:space="preserve"> </w:t>
      </w:r>
      <w:r>
        <w:t xml:space="preserve">2 &amp; n.7 (citing ACA June 15, 2020 Comments at 15-16).  The example ACA points to in the </w:t>
      </w:r>
      <w:r w:rsidRPr="00390D16">
        <w:rPr>
          <w:i/>
          <w:iCs/>
        </w:rPr>
        <w:t>3.7 GHz Report and Order</w:t>
      </w:r>
      <w:r>
        <w:t xml:space="preserve"> that “if the average costs of relocating an incumbent earth station is $5,000, an incumbent earth station operator with three stations could elect to receive $15,000,” appears to be just that—an example of a possible outcome of the lump sum amounts.  </w:t>
      </w:r>
      <w:r>
        <w:rPr>
          <w:i/>
          <w:iCs/>
        </w:rPr>
        <w:t xml:space="preserve">See </w:t>
      </w:r>
      <w:r w:rsidRPr="00390D16">
        <w:rPr>
          <w:i/>
          <w:iCs/>
        </w:rPr>
        <w:t>3.7 GHz Report and Order</w:t>
      </w:r>
      <w:r>
        <w:t xml:space="preserve">, </w:t>
      </w:r>
      <w:r w:rsidRPr="008E618F">
        <w:t>35 FCC Rcd</w:t>
      </w:r>
      <w:r>
        <w:t xml:space="preserve"> at 2427, para. 203, n. 543; </w:t>
      </w:r>
      <w:r>
        <w:rPr>
          <w:i/>
          <w:iCs/>
        </w:rPr>
        <w:t xml:space="preserve">see also </w:t>
      </w:r>
      <w:r>
        <w:t xml:space="preserve">ACA June 15, 2020 Comments at 16.  Our approach is consistent with the </w:t>
      </w:r>
      <w:r w:rsidRPr="0053637E">
        <w:rPr>
          <w:i/>
          <w:iCs/>
        </w:rPr>
        <w:t xml:space="preserve">3.7 GHz Report and </w:t>
      </w:r>
      <w:r w:rsidRPr="003E158D">
        <w:rPr>
          <w:i/>
          <w:iCs/>
        </w:rPr>
        <w:t>Order</w:t>
      </w:r>
      <w:r>
        <w:t>’s direction:  T</w:t>
      </w:r>
      <w:r w:rsidRPr="008807FA">
        <w:t>he</w:t>
      </w:r>
      <w:r w:rsidRPr="0053637E">
        <w:t xml:space="preserve"> </w:t>
      </w:r>
      <w:r>
        <w:t xml:space="preserve">Bureau has identified the appropriate classes of earth station based on the types of antennas and has further identified an MVPD class.  The total </w:t>
      </w:r>
      <w:r w:rsidRPr="0053637E">
        <w:t xml:space="preserve">amount “available per incumbent earth station” </w:t>
      </w:r>
      <w:r>
        <w:t xml:space="preserve">at each site </w:t>
      </w:r>
      <w:r w:rsidRPr="0053637E">
        <w:t xml:space="preserve">is based on the number </w:t>
      </w:r>
      <w:r>
        <w:t xml:space="preserve">and type </w:t>
      </w:r>
      <w:r w:rsidRPr="0053637E">
        <w:t xml:space="preserve">of antennas registered at each </w:t>
      </w:r>
      <w:r>
        <w:t>incumbent</w:t>
      </w:r>
      <w:r w:rsidRPr="0053637E">
        <w:t xml:space="preserve"> earth station</w:t>
      </w:r>
      <w:r>
        <w:t xml:space="preserve"> site, plus the MVPD </w:t>
      </w:r>
      <w:r w:rsidRPr="003A579B">
        <w:t>per antenna</w:t>
      </w:r>
      <w:r>
        <w:t xml:space="preserve"> technology upgrade installation amount for MVPD operators</w:t>
      </w:r>
      <w:r w:rsidRPr="0053637E">
        <w:t>.  ACA</w:t>
      </w:r>
      <w:r>
        <w:t>’</w:t>
      </w:r>
      <w:r w:rsidRPr="0053637E">
        <w:t xml:space="preserve">s argument that we can only establish a </w:t>
      </w:r>
      <w:r>
        <w:t xml:space="preserve">single per-site </w:t>
      </w:r>
      <w:r w:rsidRPr="0053637E">
        <w:t>lump sum</w:t>
      </w:r>
      <w:r>
        <w:t xml:space="preserve"> for each class</w:t>
      </w:r>
      <w:r w:rsidRPr="0053637E">
        <w:t xml:space="preserve">—and not </w:t>
      </w:r>
      <w:r>
        <w:t>base</w:t>
      </w:r>
      <w:r w:rsidRPr="0053637E">
        <w:t xml:space="preserve"> that amount on the number of antennas at each earth station</w:t>
      </w:r>
      <w:r>
        <w:t xml:space="preserve"> site</w:t>
      </w:r>
      <w:r w:rsidRPr="0053637E">
        <w:t>—seems to elevate form over substance; it would also result in lump sum amounts that less precisely reflect the average estimate</w:t>
      </w:r>
      <w:r>
        <w:t>d</w:t>
      </w:r>
      <w:r w:rsidRPr="0053637E">
        <w:t xml:space="preserve"> cost</w:t>
      </w:r>
      <w:r>
        <w:t xml:space="preserve"> of transition</w:t>
      </w:r>
      <w:r w:rsidRPr="0053637E">
        <w:t>.</w:t>
      </w:r>
      <w:r>
        <w:t xml:space="preserve">  We agree with NCTA, which suggests that paying a lump sum cost per facility or call sign instead of per antenna “would significantly underrepresent the average costs for actually transitioning such facilities.”  NCTA May 14, 2020 Comments at 27; </w:t>
      </w:r>
      <w:r>
        <w:rPr>
          <w:i/>
          <w:iCs/>
        </w:rPr>
        <w:t xml:space="preserve">see also </w:t>
      </w:r>
      <w:r>
        <w:t xml:space="preserve">Cox May 14, 2020 Comments at 4-5 &amp; n. 10 (asking that lump sum payments be calculated on a per antenna basis, rather than on a per call sign basis, to better address average costs, and noting that the </w:t>
      </w:r>
      <w:r>
        <w:rPr>
          <w:i/>
          <w:iCs/>
        </w:rPr>
        <w:t xml:space="preserve">3.7 GHz Report and Order </w:t>
      </w:r>
      <w:r>
        <w:t xml:space="preserve">suggests that reimbursement qualification should be made on a per antenna basis) (citing </w:t>
      </w:r>
      <w:r>
        <w:rPr>
          <w:i/>
          <w:iCs/>
        </w:rPr>
        <w:t>3.7 GHz Report and Order</w:t>
      </w:r>
      <w:r>
        <w:t xml:space="preserve">, </w:t>
      </w:r>
      <w:r w:rsidRPr="008E618F">
        <w:t>35 FCC Rcd</w:t>
      </w:r>
      <w:r>
        <w:t xml:space="preserve"> at 2426, para. 201, n.539 (“[I]n order to qualify for reimbursement, any </w:t>
      </w:r>
      <w:r>
        <w:rPr>
          <w:i/>
          <w:iCs/>
        </w:rPr>
        <w:t xml:space="preserve">antenna </w:t>
      </w:r>
      <w:r>
        <w:t xml:space="preserve">at an incumbent earth station must also have been operational and registered in IBFS as of the relevant dates required by the </w:t>
      </w:r>
      <w:r>
        <w:rPr>
          <w:i/>
          <w:iCs/>
        </w:rPr>
        <w:t>Freeze and 90-Day Earth Station Filing Window Public Notice</w:t>
      </w:r>
      <w:r>
        <w:t xml:space="preserve">.”) (emphasis added)). </w:t>
      </w:r>
    </w:p>
  </w:footnote>
  <w:footnote w:id="121">
    <w:p w:rsidR="002071A8" w14:paraId="05936145" w14:textId="61239FE5">
      <w:pPr>
        <w:pStyle w:val="FootnoteText"/>
      </w:pPr>
      <w:r>
        <w:rPr>
          <w:rStyle w:val="FootnoteReference"/>
        </w:rPr>
        <w:footnoteRef/>
      </w:r>
      <w:r>
        <w:t xml:space="preserve"> </w:t>
      </w:r>
      <w:r>
        <w:rPr>
          <w:i/>
          <w:iCs/>
        </w:rPr>
        <w:t>See, e.g.</w:t>
      </w:r>
      <w:r>
        <w:t>, Cox June 15, 2020 Comments at 8-9; ACA June 15, 2020 Comments at 10-11.</w:t>
      </w:r>
    </w:p>
  </w:footnote>
  <w:footnote w:id="122">
    <w:p w:rsidR="002071A8" w14:paraId="4B186607" w14:textId="22FE823B">
      <w:pPr>
        <w:pStyle w:val="FootnoteText"/>
      </w:pPr>
      <w:r>
        <w:rPr>
          <w:rStyle w:val="FootnoteReference"/>
        </w:rPr>
        <w:footnoteRef/>
      </w:r>
      <w:r>
        <w:t xml:space="preserve"> </w:t>
      </w:r>
      <w:r>
        <w:rPr>
          <w:i/>
          <w:iCs/>
        </w:rPr>
        <w:t xml:space="preserve">See </w:t>
      </w:r>
      <w:r>
        <w:t>ACA June 15, 2020 Comments at 7 (“</w:t>
      </w:r>
      <w:r w:rsidRPr="00AB321D">
        <w:t xml:space="preserve">The Bureau does not explain which of the proposed earth station classes it deems to be most appropriate for MVPDs, which generally have ten or more antennas at their sites. </w:t>
      </w:r>
      <w:r w:rsidR="00175459">
        <w:t xml:space="preserve"> </w:t>
      </w:r>
      <w:r w:rsidRPr="00AB321D">
        <w:t>ACA Connects could not figure this out from either the names of the categories or the amounts associated with each category.</w:t>
      </w:r>
      <w:r>
        <w:t>”).</w:t>
      </w:r>
    </w:p>
  </w:footnote>
  <w:footnote w:id="123">
    <w:p w:rsidR="002071A8" w:rsidRPr="00F46C09" w14:paraId="06EA8F37" w14:textId="32294584">
      <w:pPr>
        <w:pStyle w:val="FootnoteText"/>
      </w:pPr>
      <w:r>
        <w:rPr>
          <w:rStyle w:val="FootnoteReference"/>
        </w:rPr>
        <w:footnoteRef/>
      </w:r>
      <w:r>
        <w:t xml:space="preserve"> </w:t>
      </w:r>
      <w:r>
        <w:rPr>
          <w:i/>
          <w:iCs/>
        </w:rPr>
        <w:t>See, e.g.</w:t>
      </w:r>
      <w:r>
        <w:t>, NCTA June 15, 2020 Comments at 4-6; ACA June 15, 2020 Comments at 6; JCLDS Comments at 2-3.</w:t>
      </w:r>
    </w:p>
  </w:footnote>
  <w:footnote w:id="124">
    <w:p w:rsidR="002071A8" w14:paraId="330AC8F5" w14:textId="6A829030">
      <w:pPr>
        <w:pStyle w:val="FootnoteText"/>
      </w:pPr>
      <w:r>
        <w:rPr>
          <w:rStyle w:val="FootnoteReference"/>
        </w:rPr>
        <w:footnoteRef/>
      </w:r>
      <w:r>
        <w:t xml:space="preserve"> </w:t>
      </w:r>
      <w:r w:rsidRPr="007F5459">
        <w:t>ACA June 15, 2020 Comments</w:t>
      </w:r>
      <w:r>
        <w:t>,</w:t>
      </w:r>
      <w:r w:rsidRPr="007F5459">
        <w:t xml:space="preserve"> Attach</w:t>
      </w:r>
      <w:r>
        <w:t>.</w:t>
      </w:r>
      <w:r w:rsidRPr="007F5459">
        <w:t xml:space="preserve"> at 2</w:t>
      </w:r>
      <w:r>
        <w:t xml:space="preserve"> (including application modification fees in their lump sum calculation).</w:t>
      </w:r>
    </w:p>
  </w:footnote>
  <w:footnote w:id="125">
    <w:p w:rsidR="002071A8" w14:paraId="2C710E36" w14:textId="33F5D3C5">
      <w:pPr>
        <w:pStyle w:val="FootnoteText"/>
      </w:pPr>
      <w:r>
        <w:rPr>
          <w:rStyle w:val="FootnoteReference"/>
        </w:rPr>
        <w:footnoteRef/>
      </w:r>
      <w:r>
        <w:t xml:space="preserve"> JC</w:t>
      </w:r>
      <w:r w:rsidRPr="009A147F">
        <w:t>LDS June 15, 2020 Comments at 4</w:t>
      </w:r>
      <w:r>
        <w:t>.</w:t>
      </w:r>
    </w:p>
  </w:footnote>
  <w:footnote w:id="126">
    <w:p w:rsidR="002071A8" w14:paraId="2A933871" w14:textId="1237FAD5">
      <w:pPr>
        <w:pStyle w:val="FootnoteText"/>
      </w:pPr>
      <w:r>
        <w:rPr>
          <w:rStyle w:val="FootnoteReference"/>
        </w:rPr>
        <w:footnoteRef/>
      </w:r>
      <w:r>
        <w:t xml:space="preserve"> </w:t>
      </w:r>
      <w:r w:rsidRPr="003F657B">
        <w:rPr>
          <w:i/>
          <w:iCs/>
        </w:rPr>
        <w:t>See e.g</w:t>
      </w:r>
      <w:r>
        <w:t xml:space="preserve">., </w:t>
      </w:r>
      <w:r w:rsidRPr="000A3E79">
        <w:t>NCTA May 14, 2020 Comments at 19; SES May 14, 2020 Comments at 2; ACA June 15, 2020 Comments</w:t>
      </w:r>
      <w:r>
        <w:t>,</w:t>
      </w:r>
      <w:r w:rsidRPr="000A3E79">
        <w:t xml:space="preserve"> </w:t>
      </w:r>
      <w:r>
        <w:t>A</w:t>
      </w:r>
      <w:r w:rsidRPr="000A3E79">
        <w:t>ttac</w:t>
      </w:r>
      <w:r>
        <w:t>h.</w:t>
      </w:r>
      <w:r w:rsidRPr="000A3E79">
        <w:t xml:space="preserve"> at 3</w:t>
      </w:r>
      <w:r>
        <w:t>.</w:t>
      </w:r>
    </w:p>
  </w:footnote>
  <w:footnote w:id="127">
    <w:p w:rsidR="002071A8" w:rsidRPr="00CF0741" w14:paraId="58023999" w14:textId="398D5730">
      <w:pPr>
        <w:pStyle w:val="FootnoteText"/>
      </w:pPr>
      <w:r>
        <w:rPr>
          <w:rStyle w:val="FootnoteReference"/>
        </w:rPr>
        <w:footnoteRef/>
      </w:r>
      <w:r>
        <w:t xml:space="preserve"> </w:t>
      </w:r>
      <w:r>
        <w:rPr>
          <w:i/>
          <w:iCs/>
        </w:rPr>
        <w:t>See supra</w:t>
      </w:r>
      <w:r>
        <w:t xml:space="preserve"> </w:t>
      </w:r>
      <w:r w:rsidRPr="00156B51">
        <w:t>para. 16</w:t>
      </w:r>
      <w:r>
        <w:t>.</w:t>
      </w:r>
    </w:p>
  </w:footnote>
  <w:footnote w:id="128">
    <w:p w:rsidR="002071A8" w:rsidRPr="00F93DC9" w14:paraId="3EB2D451" w14:textId="062021E5">
      <w:pPr>
        <w:pStyle w:val="FootnoteText"/>
      </w:pPr>
      <w:r>
        <w:rPr>
          <w:rStyle w:val="FootnoteReference"/>
        </w:rPr>
        <w:footnoteRef/>
      </w:r>
      <w:r>
        <w:t xml:space="preserve"> </w:t>
      </w:r>
      <w:r>
        <w:rPr>
          <w:i/>
          <w:iCs/>
        </w:rPr>
        <w:t>See, e.g.</w:t>
      </w:r>
      <w:r>
        <w:t>,</w:t>
      </w:r>
      <w:r>
        <w:rPr>
          <w:i/>
          <w:iCs/>
        </w:rPr>
        <w:t xml:space="preserve"> </w:t>
      </w:r>
      <w:r>
        <w:t xml:space="preserve">Intelsat Transition Plan at 14 (indicating that two satellites used for broadcast, </w:t>
      </w:r>
      <w:r w:rsidRPr="00F93DC9">
        <w:t>religious, radio, and data networks</w:t>
      </w:r>
      <w:r>
        <w:t xml:space="preserve"> will be replaced). </w:t>
      </w:r>
    </w:p>
  </w:footnote>
  <w:footnote w:id="129">
    <w:p w:rsidR="002071A8" w14:paraId="2E2137F4" w14:textId="745CB38A">
      <w:pPr>
        <w:pStyle w:val="FootnoteText"/>
      </w:pPr>
      <w:r>
        <w:rPr>
          <w:rStyle w:val="FootnoteReference"/>
        </w:rPr>
        <w:footnoteRef/>
      </w:r>
      <w:r>
        <w:t xml:space="preserve"> </w:t>
      </w:r>
      <w:r w:rsidRPr="00581C0D">
        <w:rPr>
          <w:i/>
        </w:rPr>
        <w:t>See</w:t>
      </w:r>
      <w:r>
        <w:rPr>
          <w:i/>
          <w:iCs/>
        </w:rPr>
        <w:t>, e.g.</w:t>
      </w:r>
      <w:r>
        <w:t>,</w:t>
      </w:r>
      <w:r w:rsidRPr="005919D2">
        <w:t xml:space="preserve"> </w:t>
      </w:r>
      <w:r>
        <w:t>I</w:t>
      </w:r>
      <w:r w:rsidRPr="005919D2">
        <w:t xml:space="preserve">ntelsat Transition </w:t>
      </w:r>
      <w:r>
        <w:t>P</w:t>
      </w:r>
      <w:r w:rsidRPr="005919D2">
        <w:t xml:space="preserve">lan at 30-38 (indicating that </w:t>
      </w:r>
      <w:r>
        <w:t>approximate</w:t>
      </w:r>
      <w:r w:rsidRPr="005919D2">
        <w:t>ly a quarter of MVPD content stations will be move</w:t>
      </w:r>
      <w:r>
        <w:t>d</w:t>
      </w:r>
      <w:r w:rsidRPr="005919D2">
        <w:t xml:space="preserve"> to new orbital locations)</w:t>
      </w:r>
      <w:r>
        <w:t xml:space="preserve">; </w:t>
      </w:r>
      <w:r w:rsidRPr="005919D2">
        <w:t xml:space="preserve">Cox May 14, 2020 Comments at 7-8 (arguing that a typical </w:t>
      </w:r>
      <w:r>
        <w:t xml:space="preserve">MVPD </w:t>
      </w:r>
      <w:r w:rsidRPr="005919D2">
        <w:t xml:space="preserve">headend will have 10 antennas </w:t>
      </w:r>
      <w:r>
        <w:t xml:space="preserve">with one antenna needing </w:t>
      </w:r>
      <w:r w:rsidRPr="005919D2">
        <w:t>to be repointed to a new satellite location</w:t>
      </w:r>
      <w:r>
        <w:t>, and may need</w:t>
      </w:r>
      <w:r w:rsidRPr="005919D2">
        <w:t xml:space="preserve"> two addition</w:t>
      </w:r>
      <w:r>
        <w:t>al</w:t>
      </w:r>
      <w:r w:rsidRPr="005919D2">
        <w:t xml:space="preserve"> antennas to point </w:t>
      </w:r>
      <w:r>
        <w:t>to</w:t>
      </w:r>
      <w:r w:rsidRPr="005919D2">
        <w:t xml:space="preserve"> new satellites, </w:t>
      </w:r>
      <w:r>
        <w:t>which demonstrates that not more than</w:t>
      </w:r>
      <w:r w:rsidRPr="005919D2">
        <w:t xml:space="preserve"> a quarter of </w:t>
      </w:r>
      <w:r>
        <w:t>such a</w:t>
      </w:r>
      <w:r w:rsidRPr="005919D2">
        <w:t>ntennas</w:t>
      </w:r>
      <w:r>
        <w:t xml:space="preserve"> would need to</w:t>
      </w:r>
      <w:r w:rsidRPr="005919D2">
        <w:t xml:space="preserve"> point</w:t>
      </w:r>
      <w:r>
        <w:t xml:space="preserve"> to</w:t>
      </w:r>
      <w:r w:rsidRPr="005919D2">
        <w:t xml:space="preserve"> new orbital locations)</w:t>
      </w:r>
      <w:r>
        <w:t>.</w:t>
      </w:r>
      <w:r w:rsidRPr="005919D2">
        <w:t xml:space="preserve"> </w:t>
      </w:r>
    </w:p>
  </w:footnote>
  <w:footnote w:id="130">
    <w:p w:rsidR="002071A8" w:rsidP="00602ADF" w14:paraId="0B11355D" w14:textId="77777777">
      <w:pPr>
        <w:pStyle w:val="FootnoteText"/>
      </w:pPr>
      <w:r>
        <w:rPr>
          <w:rStyle w:val="FootnoteReference"/>
        </w:rPr>
        <w:footnoteRef/>
      </w:r>
      <w:r>
        <w:t xml:space="preserve"> </w:t>
      </w:r>
      <w:r>
        <w:rPr>
          <w:i/>
          <w:iCs/>
        </w:rPr>
        <w:t>See, e.g.</w:t>
      </w:r>
      <w:r>
        <w:t>, JC</w:t>
      </w:r>
      <w:r w:rsidRPr="009A147F">
        <w:t>LDS June 15, 2020 Comments at</w:t>
      </w:r>
      <w:r>
        <w:t xml:space="preserve"> 3 (asking for “travel costs for rural, mountainous, hard-to reach areas” in 30% of transitions).</w:t>
      </w:r>
    </w:p>
  </w:footnote>
  <w:footnote w:id="131">
    <w:p w:rsidR="002071A8" w:rsidRPr="00180C81" w14:paraId="32D4E478" w14:textId="5BA63571">
      <w:pPr>
        <w:pStyle w:val="FootnoteText"/>
        <w:rPr>
          <w:u w:val="single"/>
        </w:rPr>
      </w:pPr>
      <w:r>
        <w:rPr>
          <w:rStyle w:val="FootnoteReference"/>
        </w:rPr>
        <w:footnoteRef/>
      </w:r>
      <w:r>
        <w:t xml:space="preserve"> As we explain, cost items must meet an initial threshold of likelihood that a particular antenna type or class of earth station would incur them in a typical transition before we include those costs in the lump sum calculation.  </w:t>
      </w:r>
      <w:r>
        <w:rPr>
          <w:i/>
          <w:iCs/>
        </w:rPr>
        <w:t xml:space="preserve">See </w:t>
      </w:r>
      <w:r w:rsidRPr="00581C0D">
        <w:rPr>
          <w:i/>
        </w:rPr>
        <w:t>supra</w:t>
      </w:r>
      <w:r w:rsidRPr="00156B51">
        <w:t xml:space="preserve"> para. 16</w:t>
      </w:r>
      <w:r w:rsidRPr="00761A5D">
        <w:t>.</w:t>
      </w:r>
    </w:p>
  </w:footnote>
  <w:footnote w:id="132">
    <w:p w:rsidR="002071A8" w:rsidP="006B1BFC" w14:paraId="0C33142F" w14:textId="6F8DDDA3">
      <w:pPr>
        <w:pStyle w:val="FootnoteText"/>
      </w:pPr>
      <w:r>
        <w:rPr>
          <w:rStyle w:val="FootnoteReference"/>
        </w:rPr>
        <w:footnoteRef/>
      </w:r>
      <w:r>
        <w:t xml:space="preserve"> JC</w:t>
      </w:r>
      <w:r w:rsidRPr="009A147F">
        <w:t>LDS June 15, 2020 Comments at 4</w:t>
      </w:r>
      <w:r>
        <w:t xml:space="preserve"> (including costs for 3.7-meter replacement antennas and installation in its cost model).</w:t>
      </w:r>
    </w:p>
  </w:footnote>
  <w:footnote w:id="133">
    <w:p w:rsidR="002071A8" w:rsidP="006B1BFC" w14:paraId="1E9A17D5" w14:textId="2360A620">
      <w:pPr>
        <w:pStyle w:val="FootnoteText"/>
      </w:pPr>
      <w:r>
        <w:rPr>
          <w:rStyle w:val="FootnoteReference"/>
        </w:rPr>
        <w:footnoteRef/>
      </w:r>
      <w:r>
        <w:t xml:space="preserve"> Cox June 15, 2020 Comments at 8-9 (noting that “TVRO sites operated by MVPDs will need to procure and operate additional dishes to continue to receive existing C-Band services”); ACA June 15, 2020 Comments at 8 (noting the inclusion in its cost model of “</w:t>
      </w:r>
      <w:r w:rsidRPr="0007752A">
        <w:t>three new antennas and associated equipment, repointing activities, cabling and trenching, filters and power splitters, site work, and related warranties</w:t>
      </w:r>
      <w:r>
        <w:t>” which it says “</w:t>
      </w:r>
      <w:r w:rsidRPr="0007752A">
        <w:t>will be needed to look at the three additional satellites that will be positioned in new orbital slots by SES and Intelsat</w:t>
      </w:r>
      <w:r>
        <w:t xml:space="preserve">”); NCTA May 14, 2020 Comments at 27 (arguing that </w:t>
      </w:r>
      <w:r w:rsidRPr="00E940D6">
        <w:t>“the lump sum payment amounts should reflect, as the Cost Catalog does, that in some cases new antenna purchases will be necessitated as the result of dividing content among different satellites in different orbital slots”</w:t>
      </w:r>
      <w:r>
        <w:t>).</w:t>
      </w:r>
    </w:p>
  </w:footnote>
  <w:footnote w:id="134">
    <w:p w:rsidR="002071A8" w14:paraId="6E8E7329" w14:textId="04667813">
      <w:pPr>
        <w:pStyle w:val="FootnoteText"/>
      </w:pPr>
      <w:r>
        <w:rPr>
          <w:rStyle w:val="FootnoteReference"/>
        </w:rPr>
        <w:footnoteRef/>
      </w:r>
      <w:r>
        <w:t xml:space="preserve"> Intelsat Transition Plan at 26; SES Transition Plan at 11.</w:t>
      </w:r>
    </w:p>
  </w:footnote>
  <w:footnote w:id="135">
    <w:p w:rsidR="002071A8" w14:paraId="01917176" w14:textId="29668162">
      <w:pPr>
        <w:pStyle w:val="FootnoteText"/>
      </w:pPr>
      <w:r>
        <w:rPr>
          <w:rStyle w:val="FootnoteReference"/>
        </w:rPr>
        <w:footnoteRef/>
      </w:r>
      <w:r>
        <w:t xml:space="preserve"> </w:t>
      </w:r>
      <w:r w:rsidRPr="00587591">
        <w:rPr>
          <w:i/>
          <w:iCs/>
        </w:rPr>
        <w:t xml:space="preserve">3.7 GHz </w:t>
      </w:r>
      <w:r>
        <w:rPr>
          <w:i/>
          <w:iCs/>
        </w:rPr>
        <w:t>Report and Order</w:t>
      </w:r>
      <w:r>
        <w:t xml:space="preserve">, </w:t>
      </w:r>
      <w:r w:rsidRPr="008E618F">
        <w:t>35 FCC Rcd</w:t>
      </w:r>
      <w:r>
        <w:rPr>
          <w:i/>
          <w:iCs/>
        </w:rPr>
        <w:t xml:space="preserve"> </w:t>
      </w:r>
      <w:r>
        <w:t>at 2427, para. 202.</w:t>
      </w:r>
    </w:p>
  </w:footnote>
  <w:footnote w:id="136">
    <w:p w:rsidR="002071A8" w:rsidRPr="008538BE" w14:paraId="0D022784" w14:textId="15DE46AD">
      <w:pPr>
        <w:pStyle w:val="FootnoteText"/>
      </w:pPr>
      <w:r>
        <w:rPr>
          <w:rStyle w:val="FootnoteReference"/>
        </w:rPr>
        <w:footnoteRef/>
      </w:r>
      <w:r>
        <w:t xml:space="preserve"> Consistent with our lump sum calculation approach described above, </w:t>
      </w:r>
      <w:r>
        <w:rPr>
          <w:i/>
          <w:iCs/>
        </w:rPr>
        <w:t>see supra</w:t>
      </w:r>
      <w:r w:rsidRPr="00CF039A">
        <w:t xml:space="preserve"> </w:t>
      </w:r>
      <w:r w:rsidRPr="00156B51">
        <w:t>para. 16</w:t>
      </w:r>
      <w:r w:rsidRPr="008538BE">
        <w:t>,</w:t>
      </w:r>
      <w:r>
        <w:t xml:space="preserve"> the likelihood of needing replacement or new antennas for a typical transition did not meet the initial threshold for inclusion in the lump sum.</w:t>
      </w:r>
    </w:p>
  </w:footnote>
  <w:footnote w:id="137">
    <w:p w:rsidR="002071A8" w:rsidRPr="003F657B" w14:paraId="3FBFC6CC" w14:textId="6A19268C">
      <w:pPr>
        <w:pStyle w:val="FootnoteText"/>
        <w:rPr>
          <w:i/>
          <w:iCs/>
        </w:rPr>
      </w:pPr>
      <w:r>
        <w:rPr>
          <w:rStyle w:val="FootnoteReference"/>
        </w:rPr>
        <w:footnoteRef/>
      </w:r>
      <w:r>
        <w:t xml:space="preserve"> </w:t>
      </w:r>
      <w:r w:rsidRPr="00587591">
        <w:rPr>
          <w:i/>
          <w:iCs/>
        </w:rPr>
        <w:t xml:space="preserve">3.7 GHz </w:t>
      </w:r>
      <w:r>
        <w:rPr>
          <w:i/>
          <w:iCs/>
        </w:rPr>
        <w:t>Report and Order</w:t>
      </w:r>
      <w:r>
        <w:t xml:space="preserve">, </w:t>
      </w:r>
      <w:r w:rsidRPr="008E618F">
        <w:t>35 FCC Rcd</w:t>
      </w:r>
      <w:r>
        <w:rPr>
          <w:i/>
          <w:iCs/>
        </w:rPr>
        <w:t xml:space="preserve"> </w:t>
      </w:r>
      <w:r>
        <w:t>at 2427, para. 202</w:t>
      </w:r>
    </w:p>
  </w:footnote>
  <w:footnote w:id="138">
    <w:p w:rsidR="002071A8" w:rsidP="0031643D" w14:paraId="77FB8A97" w14:textId="3DA9C73B">
      <w:pPr>
        <w:pStyle w:val="FootnoteText"/>
      </w:pPr>
      <w:r>
        <w:rPr>
          <w:rStyle w:val="FootnoteReference"/>
        </w:rPr>
        <w:footnoteRef/>
      </w:r>
      <w:r>
        <w:t xml:space="preserve"> PSSI Global Services June 15, 2020 Comments at 2, 5.</w:t>
      </w:r>
    </w:p>
  </w:footnote>
  <w:footnote w:id="139">
    <w:p w:rsidR="002071A8" w:rsidP="008568D5" w14:paraId="1BFB348F" w14:textId="3914ACBA">
      <w:pPr>
        <w:pStyle w:val="FootnoteText"/>
      </w:pPr>
      <w:r>
        <w:rPr>
          <w:rStyle w:val="FootnoteReference"/>
        </w:rPr>
        <w:footnoteRef/>
      </w:r>
      <w:r>
        <w:t xml:space="preserve"> </w:t>
      </w:r>
      <w:r w:rsidR="00F475BA">
        <w:rPr>
          <w:i/>
          <w:iCs/>
        </w:rPr>
        <w:t>Id.</w:t>
      </w:r>
      <w:r w:rsidRPr="005E4711">
        <w:t xml:space="preserve"> at </w:t>
      </w:r>
      <w:r>
        <w:t>3 (</w:t>
      </w:r>
      <w:r w:rsidR="00620F67">
        <w:t>“</w:t>
      </w:r>
      <w:r>
        <w:t>Transportables should . . . be treated as ‘providing MVPD operations’”)</w:t>
      </w:r>
      <w:r w:rsidRPr="005E4711">
        <w:t>.</w:t>
      </w:r>
    </w:p>
  </w:footnote>
  <w:footnote w:id="140">
    <w:p w:rsidR="002071A8" w:rsidRPr="008C5DD9" w14:paraId="7F8555AE" w14:textId="69333854">
      <w:pPr>
        <w:pStyle w:val="FootnoteText"/>
        <w:rPr>
          <w:i/>
        </w:rPr>
      </w:pPr>
      <w:r>
        <w:rPr>
          <w:rStyle w:val="FootnoteReference"/>
        </w:rPr>
        <w:footnoteRef/>
      </w:r>
      <w:r>
        <w:t xml:space="preserve"> </w:t>
      </w:r>
      <w:r w:rsidR="00F475BA">
        <w:rPr>
          <w:i/>
          <w:iCs/>
        </w:rPr>
        <w:t>Id.</w:t>
      </w:r>
      <w:r>
        <w:t xml:space="preserve"> at 5.  Likewise, we decline requests that we determine at this time whether individual earth station operators qualify as MVPDs, as Globecast requests.  </w:t>
      </w:r>
      <w:r>
        <w:rPr>
          <w:i/>
          <w:iCs/>
        </w:rPr>
        <w:t>See</w:t>
      </w:r>
      <w:r w:rsidRPr="008C5DD9">
        <w:t xml:space="preserve"> Globecast June 15, 2020 Comments at </w:t>
      </w:r>
      <w:r>
        <w:t xml:space="preserve">2-5 (asking to be considered an MVPD for purposes of the lump sum).  Such a determination is outside the scope of this </w:t>
      </w:r>
      <w:r w:rsidRPr="00B969B1">
        <w:t>Public Notice</w:t>
      </w:r>
      <w:r>
        <w:t>.</w:t>
      </w:r>
    </w:p>
  </w:footnote>
  <w:footnote w:id="141">
    <w:p w:rsidR="002071A8" w14:paraId="0CFD65C1" w14:textId="74AECF5F">
      <w:pPr>
        <w:pStyle w:val="FootnoteText"/>
      </w:pPr>
      <w:r>
        <w:rPr>
          <w:rStyle w:val="FootnoteReference"/>
        </w:rPr>
        <w:footnoteRef/>
      </w:r>
      <w:r>
        <w:t xml:space="preserve"> </w:t>
      </w:r>
      <w:r>
        <w:rPr>
          <w:i/>
          <w:iCs/>
        </w:rPr>
        <w:t xml:space="preserve">See </w:t>
      </w:r>
      <w:r w:rsidRPr="00B56F88">
        <w:t>PSSI Global Services</w:t>
      </w:r>
      <w:r>
        <w:t xml:space="preserve"> June 15, 2020 Comments at 4</w:t>
      </w:r>
      <w:r w:rsidRPr="00B56F88">
        <w:t xml:space="preserve"> </w:t>
      </w:r>
      <w:r>
        <w:t>(</w:t>
      </w:r>
      <w:r w:rsidRPr="00B56F88">
        <w:t>“</w:t>
      </w:r>
      <w:r>
        <w:t>[A]</w:t>
      </w:r>
      <w:r w:rsidRPr="00B56F88">
        <w:t>ny accurate Lump Sum pricing forecasts for temporary fixed transportable earth stations would appear to be very difficult to calculate at this point, if not impossible, no matter the methodology.”</w:t>
      </w:r>
      <w:r>
        <w:t>).</w:t>
      </w:r>
    </w:p>
  </w:footnote>
  <w:footnote w:id="142">
    <w:p w:rsidR="002071A8" w:rsidRPr="00F16A92" w:rsidP="000362C5" w14:paraId="05CDC91E" w14:textId="7089230C">
      <w:pPr>
        <w:pStyle w:val="FootnoteText"/>
      </w:pPr>
      <w:r>
        <w:rPr>
          <w:rStyle w:val="FootnoteReference"/>
        </w:rPr>
        <w:footnoteRef/>
      </w:r>
      <w:r>
        <w:t xml:space="preserve"> PSSI Global Services says that it finds “it difficult to take the same approach (lump sum vs. reasonable relocation cost) </w:t>
      </w:r>
      <w:r w:rsidRPr="008541C2">
        <w:t>for each category of earth station that we own based on this proposal because they are so unique and different.</w:t>
      </w:r>
      <w:r>
        <w:t xml:space="preserve">”  </w:t>
      </w:r>
      <w:r w:rsidR="00D5724B">
        <w:rPr>
          <w:i/>
          <w:iCs/>
        </w:rPr>
        <w:t>Id.</w:t>
      </w:r>
      <w:r>
        <w:t xml:space="preserve"> at 2.  We remind PSSI Global Services, however, that the </w:t>
      </w:r>
      <w:r w:rsidRPr="00587591">
        <w:rPr>
          <w:i/>
          <w:iCs/>
        </w:rPr>
        <w:t>3.7 GHz</w:t>
      </w:r>
      <w:r>
        <w:rPr>
          <w:i/>
          <w:iCs/>
        </w:rPr>
        <w:t xml:space="preserve"> Report and Order</w:t>
      </w:r>
      <w:r>
        <w:t xml:space="preserve"> establishes that an incumbent earth station operator’s lump sum election “must apply to all of each earth station operator’s earth stations in the contiguous United States.”  </w:t>
      </w:r>
      <w:r w:rsidRPr="00587591">
        <w:rPr>
          <w:i/>
          <w:iCs/>
        </w:rPr>
        <w:t>3.7 GHz</w:t>
      </w:r>
      <w:r>
        <w:rPr>
          <w:i/>
          <w:iCs/>
        </w:rPr>
        <w:t xml:space="preserve"> Report and Order</w:t>
      </w:r>
      <w:r>
        <w:t>, 35 FCC Rcd</w:t>
      </w:r>
      <w:r>
        <w:rPr>
          <w:i/>
          <w:iCs/>
        </w:rPr>
        <w:t xml:space="preserve"> </w:t>
      </w:r>
      <w:r>
        <w:t>at 2427, para. 202.</w:t>
      </w:r>
    </w:p>
  </w:footnote>
  <w:footnote w:id="143">
    <w:p w:rsidR="002071A8" w14:paraId="094399FC" w14:textId="45FC03AA">
      <w:pPr>
        <w:pStyle w:val="FootnoteText"/>
      </w:pPr>
      <w:r>
        <w:rPr>
          <w:rStyle w:val="FootnoteReference"/>
        </w:rPr>
        <w:footnoteRef/>
      </w:r>
      <w:r>
        <w:t xml:space="preserve"> PSSI Global Services June 15, 2020 Comments at 2.</w:t>
      </w:r>
    </w:p>
  </w:footnote>
  <w:footnote w:id="144">
    <w:p w:rsidR="002071A8" w14:paraId="506D36A5" w14:textId="1D65AA54">
      <w:pPr>
        <w:pStyle w:val="FootnoteText"/>
      </w:pPr>
      <w:r>
        <w:rPr>
          <w:rStyle w:val="FootnoteReference"/>
        </w:rPr>
        <w:footnoteRef/>
      </w:r>
      <w:r>
        <w:t xml:space="preserve"> </w:t>
      </w:r>
      <w:r>
        <w:rPr>
          <w:i/>
          <w:iCs/>
        </w:rPr>
        <w:t xml:space="preserve">See </w:t>
      </w:r>
      <w:r w:rsidRPr="00587591">
        <w:rPr>
          <w:i/>
          <w:iCs/>
        </w:rPr>
        <w:t>3.7 GHz</w:t>
      </w:r>
      <w:r>
        <w:rPr>
          <w:i/>
          <w:iCs/>
        </w:rPr>
        <w:t xml:space="preserve"> Report and Order</w:t>
      </w:r>
      <w:r>
        <w:t xml:space="preserve">, </w:t>
      </w:r>
      <w:r w:rsidRPr="008E618F">
        <w:t>35 FCC Rcd</w:t>
      </w:r>
      <w:r>
        <w:rPr>
          <w:i/>
          <w:iCs/>
        </w:rPr>
        <w:t xml:space="preserve"> </w:t>
      </w:r>
      <w:r>
        <w:t xml:space="preserve">at 2428, para. 203; 47 CFR </w:t>
      </w:r>
      <w:r w:rsidRPr="00A9781E">
        <w:t>§</w:t>
      </w:r>
      <w:r>
        <w:t xml:space="preserve"> 27.1419.</w:t>
      </w:r>
    </w:p>
  </w:footnote>
  <w:footnote w:id="145">
    <w:p w:rsidR="002071A8" w14:paraId="08D648DD" w14:textId="553D334C">
      <w:pPr>
        <w:pStyle w:val="FootnoteText"/>
      </w:pPr>
      <w:r>
        <w:rPr>
          <w:rStyle w:val="FootnoteReference"/>
        </w:rPr>
        <w:footnoteRef/>
      </w:r>
      <w:r>
        <w:t xml:space="preserve"> </w:t>
      </w:r>
      <w:r>
        <w:rPr>
          <w:i/>
          <w:iCs/>
        </w:rPr>
        <w:t xml:space="preserve">See </w:t>
      </w:r>
      <w:r w:rsidRPr="00587591">
        <w:rPr>
          <w:i/>
          <w:iCs/>
        </w:rPr>
        <w:t xml:space="preserve">3.7 GHz </w:t>
      </w:r>
      <w:r>
        <w:rPr>
          <w:i/>
          <w:iCs/>
        </w:rPr>
        <w:t>Report and Order</w:t>
      </w:r>
      <w:r>
        <w:t xml:space="preserve">, </w:t>
      </w:r>
      <w:r w:rsidRPr="008E618F">
        <w:t>35 FCC Rcd</w:t>
      </w:r>
      <w:r>
        <w:rPr>
          <w:i/>
          <w:iCs/>
        </w:rPr>
        <w:t xml:space="preserve"> </w:t>
      </w:r>
      <w:r>
        <w:t xml:space="preserve">at 2428, para. 203; 47 CFR </w:t>
      </w:r>
      <w:r w:rsidRPr="00A9781E">
        <w:t>§</w:t>
      </w:r>
      <w:r>
        <w:t xml:space="preserve"> 27.1419.</w:t>
      </w:r>
      <w:r w:rsidR="001D7C62">
        <w:t xml:space="preserve">  </w:t>
      </w:r>
      <w:bookmarkStart w:id="125" w:name="_Hlk46776175"/>
      <w:r w:rsidR="001D7C62">
        <w:t xml:space="preserve">Because 30 days after release of this Public Notice, August 29, 2020, falls on a Saturday, pursuant to the Commission’s computation of time rule, lump sum payment elections will be due no later than Monday, August 31, 2020.  </w:t>
      </w:r>
      <w:r w:rsidRPr="00FB2D43" w:rsidR="001D7C62">
        <w:rPr>
          <w:i/>
          <w:iCs/>
        </w:rPr>
        <w:t>See</w:t>
      </w:r>
      <w:r w:rsidR="001D7C62">
        <w:t xml:space="preserve"> 47 CFR </w:t>
      </w:r>
      <w:r w:rsidRPr="00A9781E" w:rsidR="001D7C62">
        <w:t>§</w:t>
      </w:r>
      <w:r w:rsidR="001D7C62">
        <w:t xml:space="preserve"> 1.4.</w:t>
      </w:r>
      <w:bookmarkEnd w:id="125"/>
    </w:p>
  </w:footnote>
  <w:footnote w:id="146">
    <w:p w:rsidR="002071A8" w14:paraId="1FB5EF7F" w14:textId="2EDD31D1">
      <w:pPr>
        <w:pStyle w:val="FootnoteText"/>
      </w:pPr>
      <w:r>
        <w:rPr>
          <w:rStyle w:val="FootnoteReference"/>
        </w:rPr>
        <w:footnoteRef/>
      </w:r>
      <w:r>
        <w:t xml:space="preserve"> </w:t>
      </w:r>
      <w:r>
        <w:rPr>
          <w:i/>
          <w:iCs/>
        </w:rPr>
        <w:t xml:space="preserve">See </w:t>
      </w:r>
      <w:r w:rsidRPr="00587591">
        <w:rPr>
          <w:i/>
          <w:iCs/>
        </w:rPr>
        <w:t xml:space="preserve">3.7 GHz </w:t>
      </w:r>
      <w:r>
        <w:rPr>
          <w:i/>
          <w:iCs/>
        </w:rPr>
        <w:t>Report and Order</w:t>
      </w:r>
      <w:r>
        <w:t xml:space="preserve">, </w:t>
      </w:r>
      <w:r w:rsidRPr="008E618F">
        <w:t>35 FCC Rcd</w:t>
      </w:r>
      <w:r>
        <w:rPr>
          <w:i/>
          <w:iCs/>
        </w:rPr>
        <w:t xml:space="preserve"> </w:t>
      </w:r>
      <w:r>
        <w:t xml:space="preserve">at 2428, para. 203; </w:t>
      </w:r>
      <w:r>
        <w:rPr>
          <w:i/>
          <w:iCs/>
        </w:rPr>
        <w:t xml:space="preserve">see also </w:t>
      </w:r>
      <w:r>
        <w:t xml:space="preserve">47 CFR </w:t>
      </w:r>
      <w:r w:rsidRPr="00A9781E">
        <w:t>§</w:t>
      </w:r>
      <w:r>
        <w:t xml:space="preserve"> 27.1419.</w:t>
      </w:r>
    </w:p>
  </w:footnote>
  <w:footnote w:id="147">
    <w:p w:rsidR="002071A8" w14:paraId="6AFC966A" w14:textId="76CCE282">
      <w:pPr>
        <w:pStyle w:val="FootnoteText"/>
      </w:pPr>
      <w:r>
        <w:rPr>
          <w:rStyle w:val="FootnoteReference"/>
        </w:rPr>
        <w:footnoteRef/>
      </w:r>
      <w:r>
        <w:t xml:space="preserve"> </w:t>
      </w:r>
      <w:r w:rsidRPr="00DC2C74">
        <w:rPr>
          <w:i/>
          <w:iCs/>
        </w:rPr>
        <w:t>See, e.g.</w:t>
      </w:r>
      <w:r w:rsidRPr="00DC2C74">
        <w:t xml:space="preserve">, </w:t>
      </w:r>
      <w:r w:rsidRPr="00DC2C74">
        <w:rPr>
          <w:i/>
          <w:iCs/>
        </w:rPr>
        <w:t>3.7 GHz Report and Order</w:t>
      </w:r>
      <w:r>
        <w:t xml:space="preserve">, </w:t>
      </w:r>
      <w:r w:rsidRPr="008E618F">
        <w:t>35 FCC Rcd</w:t>
      </w:r>
      <w:r w:rsidRPr="00DC2C74">
        <w:rPr>
          <w:i/>
          <w:iCs/>
        </w:rPr>
        <w:t xml:space="preserve"> </w:t>
      </w:r>
      <w:r w:rsidRPr="00DC2C74">
        <w:t>at 2447, para. 259 (establishing Clearinghouse as a measure to “prevent waste, fraud, and abuse with respect to reimbursement distributions”).</w:t>
      </w:r>
    </w:p>
  </w:footnote>
  <w:footnote w:id="148">
    <w:p w:rsidR="002071A8" w:rsidRPr="008C5DD9" w14:paraId="0A1A67F4" w14:textId="12A27715">
      <w:pPr>
        <w:pStyle w:val="FootnoteText"/>
        <w:rPr>
          <w:i/>
          <w:iCs/>
        </w:rPr>
      </w:pPr>
      <w:r>
        <w:rPr>
          <w:rStyle w:val="FootnoteReference"/>
        </w:rPr>
        <w:footnoteRef/>
      </w:r>
      <w:r>
        <w:t xml:space="preserve"> </w:t>
      </w:r>
      <w:r>
        <w:rPr>
          <w:i/>
          <w:iCs/>
        </w:rPr>
        <w:t>See International Bureau Releases Preliminary List of Incumbent Earth Stations in the 3.7-4.2 GHz Band in the Contiguous United States</w:t>
      </w:r>
      <w:r>
        <w:t xml:space="preserve">, Public Notice, DA 20-703, at 1-2 (IB July 6, 2020).  We note that the International Bureau will have released the final list of incumbent earth stations prior to the election deadline.  </w:t>
      </w:r>
    </w:p>
  </w:footnote>
  <w:footnote w:id="149">
    <w:p w:rsidR="002071A8" w:rsidP="00A437E5" w14:paraId="0E3B653C" w14:textId="71566E96">
      <w:pPr>
        <w:pStyle w:val="FootnoteText"/>
      </w:pPr>
      <w:r>
        <w:rPr>
          <w:rStyle w:val="FootnoteReference"/>
        </w:rPr>
        <w:footnoteRef/>
      </w:r>
      <w:r>
        <w:t xml:space="preserve"> We note that the necessary degree of coordination with the relevant space station operator may well be minimal under certain circumstances (</w:t>
      </w:r>
      <w:r w:rsidRPr="00B969B1">
        <w:t>e.g.</w:t>
      </w:r>
      <w:r>
        <w:t>, if the earth station owner exercises its discretion to switch to a non-satellite-based method of receiving transmissions or to shut down its operations altogether).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1A8" w:rsidRPr="009838BC" w:rsidP="009838BC" w14:paraId="2EDB408A" w14:textId="35ACB443">
    <w:pPr>
      <w:tabs>
        <w:tab w:val="center" w:pos="4680"/>
        <w:tab w:val="right" w:pos="9360"/>
      </w:tabs>
    </w:pPr>
    <w:r w:rsidRPr="009838BC">
      <w:rPr>
        <w:b/>
      </w:rPr>
      <w:tab/>
      <w:t>Federal Communications Commission</w:t>
    </w:r>
    <w:r w:rsidRPr="009838BC">
      <w:rPr>
        <w:b/>
      </w:rPr>
      <w:tab/>
    </w:r>
    <w:r w:rsidR="001D7C62">
      <w:rPr>
        <w:b/>
      </w:rPr>
      <w:t>DA 20-</w:t>
    </w:r>
    <w:r w:rsidR="00535CB5">
      <w:rPr>
        <w:b/>
      </w:rPr>
      <w:t>802</w:t>
    </w:r>
  </w:p>
  <w:p w:rsidR="002071A8" w:rsidRPr="009838BC" w:rsidP="009838BC" w14:paraId="2C47BDEF" w14:textId="31929E63">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2071A8" w:rsidRPr="009838BC" w:rsidP="009838BC" w14:paraId="574E49F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1A8" w:rsidRPr="00A866AC" w:rsidP="009838BC" w14:paraId="29F3BF44" w14:textId="283C3D90">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71A8" w:rsidP="009838BC" w14:textId="77777777">
                          <w:pPr>
                            <w:rPr>
                              <w:rFonts w:ascii="Arial" w:hAnsi="Arial"/>
                              <w:b/>
                            </w:rPr>
                          </w:pPr>
                          <w:r>
                            <w:rPr>
                              <w:rFonts w:ascii="Arial" w:hAnsi="Arial"/>
                              <w:b/>
                            </w:rPr>
                            <w:t>Federal Communications Commission</w:t>
                          </w:r>
                        </w:p>
                        <w:p w:rsidR="002071A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071A8"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2071A8" w:rsidP="009838BC" w14:paraId="112F6A59" w14:textId="77777777">
                    <w:pPr>
                      <w:rPr>
                        <w:rFonts w:ascii="Arial" w:hAnsi="Arial"/>
                        <w:b/>
                      </w:rPr>
                    </w:pPr>
                    <w:r>
                      <w:rPr>
                        <w:rFonts w:ascii="Arial" w:hAnsi="Arial"/>
                        <w:b/>
                      </w:rPr>
                      <w:t>Federal Communications Commission</w:t>
                    </w:r>
                  </w:p>
                  <w:p w:rsidR="002071A8" w:rsidP="009838BC" w14:paraId="630F945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071A8" w:rsidP="009838BC" w14:paraId="67BB0720"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67018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4391779">
      <w:rPr>
        <w:rFonts w:ascii="Arial" w:hAnsi="Arial" w:cs="Arial"/>
        <w:b/>
        <w:sz w:val="96"/>
        <w:szCs w:val="96"/>
      </w:rPr>
      <w:t>PUBLIC NOTICE</w:t>
    </w:r>
  </w:p>
  <w:p w:rsidR="002071A8" w:rsidRPr="00357D50" w:rsidP="009838BC" w14:paraId="06FD6BE6" w14:textId="52995608">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71A8" w:rsidP="009838BC" w14:textId="77777777">
                          <w:pPr>
                            <w:spacing w:before="40"/>
                            <w:jc w:val="right"/>
                            <w:rPr>
                              <w:rFonts w:ascii="Arial" w:hAnsi="Arial"/>
                              <w:b/>
                              <w:sz w:val="16"/>
                            </w:rPr>
                          </w:pPr>
                          <w:r>
                            <w:rPr>
                              <w:rFonts w:ascii="Arial" w:hAnsi="Arial"/>
                              <w:b/>
                              <w:sz w:val="16"/>
                            </w:rPr>
                            <w:t>News Media Information 202 / 418-0500</w:t>
                          </w:r>
                        </w:p>
                        <w:p w:rsidR="002071A8" w:rsidP="009838BC" w14:textId="77777777">
                          <w:pPr>
                            <w:jc w:val="right"/>
                            <w:rPr>
                              <w:rFonts w:ascii="Arial" w:hAnsi="Arial"/>
                              <w:b/>
                              <w:sz w:val="16"/>
                            </w:rPr>
                          </w:pPr>
                          <w:r>
                            <w:rPr>
                              <w:rFonts w:ascii="Arial" w:hAnsi="Arial"/>
                              <w:b/>
                              <w:sz w:val="16"/>
                            </w:rPr>
                            <w:t xml:space="preserve">Internet: </w:t>
                          </w:r>
                          <w:bookmarkStart w:id="127" w:name="_Hlt233824"/>
                          <w:hyperlink r:id="rId2" w:history="1">
                            <w:r w:rsidRPr="00D216CD">
                              <w:rPr>
                                <w:rStyle w:val="Hyperlink"/>
                                <w:rFonts w:ascii="Arial" w:hAnsi="Arial"/>
                                <w:b/>
                                <w:sz w:val="16"/>
                              </w:rPr>
                              <w:t>h</w:t>
                            </w:r>
                            <w:bookmarkEnd w:id="127"/>
                            <w:r w:rsidRPr="00D216CD">
                              <w:rPr>
                                <w:rStyle w:val="Hyperlink"/>
                                <w:rFonts w:ascii="Arial" w:hAnsi="Arial"/>
                                <w:b/>
                                <w:sz w:val="16"/>
                              </w:rPr>
                              <w:t>ttps://www.fcc.gov</w:t>
                            </w:r>
                          </w:hyperlink>
                        </w:p>
                        <w:p w:rsidR="002071A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2071A8" w:rsidP="009838BC" w14:paraId="524D65C2" w14:textId="77777777">
                    <w:pPr>
                      <w:spacing w:before="40"/>
                      <w:jc w:val="right"/>
                      <w:rPr>
                        <w:rFonts w:ascii="Arial" w:hAnsi="Arial"/>
                        <w:b/>
                        <w:sz w:val="16"/>
                      </w:rPr>
                    </w:pPr>
                    <w:r>
                      <w:rPr>
                        <w:rFonts w:ascii="Arial" w:hAnsi="Arial"/>
                        <w:b/>
                        <w:sz w:val="16"/>
                      </w:rPr>
                      <w:t>News Media Information 202 / 418-0500</w:t>
                    </w:r>
                  </w:p>
                  <w:p w:rsidR="002071A8" w:rsidP="009838BC" w14:paraId="7E45A3C2" w14:textId="77777777">
                    <w:pPr>
                      <w:jc w:val="right"/>
                      <w:rPr>
                        <w:rFonts w:ascii="Arial" w:hAnsi="Arial"/>
                        <w:b/>
                        <w:sz w:val="16"/>
                      </w:rPr>
                    </w:pPr>
                    <w:r>
                      <w:rPr>
                        <w:rFonts w:ascii="Arial" w:hAnsi="Arial"/>
                        <w:b/>
                        <w:sz w:val="16"/>
                      </w:rPr>
                      <w:t xml:space="preserve">Internet: </w:t>
                    </w:r>
                    <w:bookmarkStart w:id="127" w:name="_Hlt233824"/>
                    <w:hyperlink r:id="rId2" w:history="1">
                      <w:r w:rsidRPr="00D216CD">
                        <w:rPr>
                          <w:rStyle w:val="Hyperlink"/>
                          <w:rFonts w:ascii="Arial" w:hAnsi="Arial"/>
                          <w:b/>
                          <w:sz w:val="16"/>
                        </w:rPr>
                        <w:t>h</w:t>
                      </w:r>
                      <w:bookmarkEnd w:id="127"/>
                      <w:r w:rsidRPr="00D216CD">
                        <w:rPr>
                          <w:rStyle w:val="Hyperlink"/>
                          <w:rFonts w:ascii="Arial" w:hAnsi="Arial"/>
                          <w:b/>
                          <w:sz w:val="16"/>
                        </w:rPr>
                        <w:t>ttps://www.fcc.gov</w:t>
                      </w:r>
                    </w:hyperlink>
                  </w:p>
                  <w:p w:rsidR="002071A8" w:rsidP="009838BC" w14:paraId="50A832FA" w14:textId="77777777">
                    <w:pPr>
                      <w:jc w:val="right"/>
                    </w:pPr>
                    <w:r>
                      <w:rPr>
                        <w:rFonts w:ascii="Arial" w:hAnsi="Arial"/>
                        <w:b/>
                        <w:sz w:val="16"/>
                      </w:rPr>
                      <w:t>TTY: 1-888-835-5322</w:t>
                    </w:r>
                  </w:p>
                </w:txbxContent>
              </v:textbox>
            </v:shape>
          </w:pict>
        </mc:Fallback>
      </mc:AlternateContent>
    </w:r>
  </w:p>
  <w:p w:rsidR="002071A8" w:rsidRPr="009838BC" w:rsidP="009838BC" w14:paraId="4321020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29AC002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b w:val="0"/>
        <w:bCs/>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B3D7D45"/>
    <w:multiLevelType w:val="hybridMultilevel"/>
    <w:tmpl w:val="1CB6B5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CBF7D66"/>
    <w:multiLevelType w:val="hybridMultilevel"/>
    <w:tmpl w:val="2F3EC3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6937AA4"/>
    <w:multiLevelType w:val="hybridMultilevel"/>
    <w:tmpl w:val="7316777A"/>
    <w:lvl w:ilvl="0">
      <w:start w:val="1"/>
      <w:numFmt w:val="bullet"/>
      <w:lvlText w:val=""/>
      <w:lvlJc w:val="left"/>
      <w:pPr>
        <w:ind w:left="21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61182925"/>
    <w:multiLevelType w:val="singleLevel"/>
    <w:tmpl w:val="553EA9E0"/>
    <w:lvl w:ilvl="0">
      <w:start w:val="1"/>
      <w:numFmt w:val="decimal"/>
      <w:pStyle w:val="ParaNum"/>
      <w:lvlText w:val="%1."/>
      <w:lvlJc w:val="left"/>
      <w:pPr>
        <w:tabs>
          <w:tab w:val="num" w:pos="990"/>
        </w:tabs>
        <w:ind w:left="-90" w:firstLine="720"/>
      </w:pPr>
    </w:lvl>
  </w:abstractNum>
  <w:abstractNum w:abstractNumId="10">
    <w:nsid w:val="6709183F"/>
    <w:multiLevelType w:val="hybridMultilevel"/>
    <w:tmpl w:val="AAB6BCC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FEA131E"/>
    <w:multiLevelType w:val="hybridMultilevel"/>
    <w:tmpl w:val="D7E288AE"/>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3"/>
  </w:num>
  <w:num w:numId="6">
    <w:abstractNumId w:val="0"/>
  </w:num>
  <w:num w:numId="7">
    <w:abstractNumId w:val="11"/>
  </w:num>
  <w:num w:numId="8">
    <w:abstractNumId w:val="1"/>
  </w:num>
  <w:num w:numId="9">
    <w:abstractNumId w:val="6"/>
  </w:num>
  <w:num w:numId="10">
    <w:abstractNumId w:val="12"/>
  </w:num>
  <w:num w:numId="11">
    <w:abstractNumId w:val="8"/>
  </w:num>
  <w:num w:numId="12">
    <w:abstractNumId w:val="5"/>
  </w:num>
  <w:num w:numId="13">
    <w:abstractNumId w:val="10"/>
  </w:num>
  <w:num w:numId="14">
    <w:abstractNumId w:val="9"/>
    <w:lvlOverride w:ilvl="0">
      <w:startOverride w:val="1"/>
    </w:lvlOverride>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83"/>
    <w:rsid w:val="000007F3"/>
    <w:rsid w:val="00000867"/>
    <w:rsid w:val="00000BDE"/>
    <w:rsid w:val="00001092"/>
    <w:rsid w:val="000013DE"/>
    <w:rsid w:val="00001508"/>
    <w:rsid w:val="000015C3"/>
    <w:rsid w:val="0000181B"/>
    <w:rsid w:val="00001A6A"/>
    <w:rsid w:val="00001FBC"/>
    <w:rsid w:val="00002032"/>
    <w:rsid w:val="0000234E"/>
    <w:rsid w:val="00002405"/>
    <w:rsid w:val="00002B4B"/>
    <w:rsid w:val="00002B89"/>
    <w:rsid w:val="00002D20"/>
    <w:rsid w:val="00003060"/>
    <w:rsid w:val="00003337"/>
    <w:rsid w:val="000034FF"/>
    <w:rsid w:val="00003613"/>
    <w:rsid w:val="0000361B"/>
    <w:rsid w:val="000037EA"/>
    <w:rsid w:val="000038D6"/>
    <w:rsid w:val="00003C24"/>
    <w:rsid w:val="00003CDA"/>
    <w:rsid w:val="000043DA"/>
    <w:rsid w:val="00004662"/>
    <w:rsid w:val="0000488D"/>
    <w:rsid w:val="000048A8"/>
    <w:rsid w:val="00004BA3"/>
    <w:rsid w:val="00004CC6"/>
    <w:rsid w:val="000052B7"/>
    <w:rsid w:val="000054AB"/>
    <w:rsid w:val="000054F2"/>
    <w:rsid w:val="000057B9"/>
    <w:rsid w:val="00005AE5"/>
    <w:rsid w:val="00005B57"/>
    <w:rsid w:val="00005D4D"/>
    <w:rsid w:val="00005FCA"/>
    <w:rsid w:val="000065E2"/>
    <w:rsid w:val="000067CD"/>
    <w:rsid w:val="00006877"/>
    <w:rsid w:val="0000708D"/>
    <w:rsid w:val="000072CE"/>
    <w:rsid w:val="00007731"/>
    <w:rsid w:val="00007BAD"/>
    <w:rsid w:val="00007ECE"/>
    <w:rsid w:val="00007F0F"/>
    <w:rsid w:val="0001008D"/>
    <w:rsid w:val="000104D6"/>
    <w:rsid w:val="00010B5D"/>
    <w:rsid w:val="00010EF0"/>
    <w:rsid w:val="0001104C"/>
    <w:rsid w:val="00011929"/>
    <w:rsid w:val="00011EEF"/>
    <w:rsid w:val="0001257D"/>
    <w:rsid w:val="00012A34"/>
    <w:rsid w:val="00012E19"/>
    <w:rsid w:val="000134E4"/>
    <w:rsid w:val="00013A8B"/>
    <w:rsid w:val="00013D20"/>
    <w:rsid w:val="00013E34"/>
    <w:rsid w:val="000141AD"/>
    <w:rsid w:val="000144F5"/>
    <w:rsid w:val="00014BF9"/>
    <w:rsid w:val="00014CF0"/>
    <w:rsid w:val="00015286"/>
    <w:rsid w:val="00015E61"/>
    <w:rsid w:val="00016673"/>
    <w:rsid w:val="0001674B"/>
    <w:rsid w:val="000167A7"/>
    <w:rsid w:val="00016813"/>
    <w:rsid w:val="00016F56"/>
    <w:rsid w:val="00017308"/>
    <w:rsid w:val="000174C6"/>
    <w:rsid w:val="00017F15"/>
    <w:rsid w:val="00017F7D"/>
    <w:rsid w:val="0002064F"/>
    <w:rsid w:val="0002066F"/>
    <w:rsid w:val="00021445"/>
    <w:rsid w:val="000214B5"/>
    <w:rsid w:val="00021EEB"/>
    <w:rsid w:val="00021F41"/>
    <w:rsid w:val="000220D9"/>
    <w:rsid w:val="00022B7F"/>
    <w:rsid w:val="00023183"/>
    <w:rsid w:val="00023454"/>
    <w:rsid w:val="000235FA"/>
    <w:rsid w:val="00023739"/>
    <w:rsid w:val="00023827"/>
    <w:rsid w:val="00023A95"/>
    <w:rsid w:val="00023D4F"/>
    <w:rsid w:val="00023F84"/>
    <w:rsid w:val="000244A9"/>
    <w:rsid w:val="000244F5"/>
    <w:rsid w:val="00024749"/>
    <w:rsid w:val="00024A4D"/>
    <w:rsid w:val="00024D1A"/>
    <w:rsid w:val="00024DFE"/>
    <w:rsid w:val="000251B8"/>
    <w:rsid w:val="0002561A"/>
    <w:rsid w:val="000256CE"/>
    <w:rsid w:val="00025A28"/>
    <w:rsid w:val="00025AB0"/>
    <w:rsid w:val="00025E22"/>
    <w:rsid w:val="00025F62"/>
    <w:rsid w:val="00026091"/>
    <w:rsid w:val="0002696C"/>
    <w:rsid w:val="000277C2"/>
    <w:rsid w:val="00027849"/>
    <w:rsid w:val="00027942"/>
    <w:rsid w:val="00027A70"/>
    <w:rsid w:val="00031561"/>
    <w:rsid w:val="00031A4B"/>
    <w:rsid w:val="00031C09"/>
    <w:rsid w:val="0003274A"/>
    <w:rsid w:val="00032A53"/>
    <w:rsid w:val="00032C09"/>
    <w:rsid w:val="000332DE"/>
    <w:rsid w:val="000335E3"/>
    <w:rsid w:val="000335FA"/>
    <w:rsid w:val="00033629"/>
    <w:rsid w:val="00033CC7"/>
    <w:rsid w:val="0003405A"/>
    <w:rsid w:val="000341DD"/>
    <w:rsid w:val="00034235"/>
    <w:rsid w:val="0003426B"/>
    <w:rsid w:val="0003459E"/>
    <w:rsid w:val="0003462A"/>
    <w:rsid w:val="00034AD8"/>
    <w:rsid w:val="00034B13"/>
    <w:rsid w:val="00034D09"/>
    <w:rsid w:val="00034EF1"/>
    <w:rsid w:val="00034FAD"/>
    <w:rsid w:val="000352B3"/>
    <w:rsid w:val="00035549"/>
    <w:rsid w:val="0003569B"/>
    <w:rsid w:val="00035B9C"/>
    <w:rsid w:val="00036039"/>
    <w:rsid w:val="0003617C"/>
    <w:rsid w:val="000361EB"/>
    <w:rsid w:val="000362C5"/>
    <w:rsid w:val="0003644F"/>
    <w:rsid w:val="0003657F"/>
    <w:rsid w:val="000369FC"/>
    <w:rsid w:val="00036D4F"/>
    <w:rsid w:val="00036FDA"/>
    <w:rsid w:val="00037396"/>
    <w:rsid w:val="0003747E"/>
    <w:rsid w:val="000375FA"/>
    <w:rsid w:val="00037A6F"/>
    <w:rsid w:val="00037C29"/>
    <w:rsid w:val="00037CF6"/>
    <w:rsid w:val="00037F90"/>
    <w:rsid w:val="00040D73"/>
    <w:rsid w:val="0004129E"/>
    <w:rsid w:val="000417A8"/>
    <w:rsid w:val="00041B19"/>
    <w:rsid w:val="00041C84"/>
    <w:rsid w:val="00041EA8"/>
    <w:rsid w:val="000421A0"/>
    <w:rsid w:val="00042424"/>
    <w:rsid w:val="000437B1"/>
    <w:rsid w:val="0004432E"/>
    <w:rsid w:val="000443D5"/>
    <w:rsid w:val="00044680"/>
    <w:rsid w:val="00044A05"/>
    <w:rsid w:val="00045120"/>
    <w:rsid w:val="0004517E"/>
    <w:rsid w:val="000456B2"/>
    <w:rsid w:val="00045CCB"/>
    <w:rsid w:val="000463A5"/>
    <w:rsid w:val="00046A20"/>
    <w:rsid w:val="00046AF6"/>
    <w:rsid w:val="00046B3C"/>
    <w:rsid w:val="00046D02"/>
    <w:rsid w:val="000471A9"/>
    <w:rsid w:val="00047555"/>
    <w:rsid w:val="00047867"/>
    <w:rsid w:val="00047AF3"/>
    <w:rsid w:val="00047CC9"/>
    <w:rsid w:val="00047D13"/>
    <w:rsid w:val="0005045B"/>
    <w:rsid w:val="00050507"/>
    <w:rsid w:val="0005105F"/>
    <w:rsid w:val="000510AF"/>
    <w:rsid w:val="00051150"/>
    <w:rsid w:val="00051616"/>
    <w:rsid w:val="000516AB"/>
    <w:rsid w:val="00051C62"/>
    <w:rsid w:val="00051F12"/>
    <w:rsid w:val="00052773"/>
    <w:rsid w:val="00052F15"/>
    <w:rsid w:val="000537E3"/>
    <w:rsid w:val="00053811"/>
    <w:rsid w:val="000538AD"/>
    <w:rsid w:val="00053BD1"/>
    <w:rsid w:val="00053D43"/>
    <w:rsid w:val="000542D9"/>
    <w:rsid w:val="00054655"/>
    <w:rsid w:val="000546B3"/>
    <w:rsid w:val="000547C5"/>
    <w:rsid w:val="000549E0"/>
    <w:rsid w:val="00054D52"/>
    <w:rsid w:val="000551A3"/>
    <w:rsid w:val="000551A5"/>
    <w:rsid w:val="00055A61"/>
    <w:rsid w:val="00055B20"/>
    <w:rsid w:val="00055EC7"/>
    <w:rsid w:val="000567C1"/>
    <w:rsid w:val="000569FE"/>
    <w:rsid w:val="00056A1E"/>
    <w:rsid w:val="00056F93"/>
    <w:rsid w:val="0005712A"/>
    <w:rsid w:val="00057857"/>
    <w:rsid w:val="000578BB"/>
    <w:rsid w:val="00057A70"/>
    <w:rsid w:val="00057DA2"/>
    <w:rsid w:val="00057FDC"/>
    <w:rsid w:val="0006008E"/>
    <w:rsid w:val="000600D7"/>
    <w:rsid w:val="00060273"/>
    <w:rsid w:val="00060794"/>
    <w:rsid w:val="00060B7A"/>
    <w:rsid w:val="00060CA0"/>
    <w:rsid w:val="00061112"/>
    <w:rsid w:val="00061A31"/>
    <w:rsid w:val="0006237E"/>
    <w:rsid w:val="0006280E"/>
    <w:rsid w:val="000629D4"/>
    <w:rsid w:val="00062A99"/>
    <w:rsid w:val="00062AE3"/>
    <w:rsid w:val="00062C93"/>
    <w:rsid w:val="00062DF5"/>
    <w:rsid w:val="00062F59"/>
    <w:rsid w:val="0006301A"/>
    <w:rsid w:val="0006390E"/>
    <w:rsid w:val="000639FD"/>
    <w:rsid w:val="00063D82"/>
    <w:rsid w:val="00064C6C"/>
    <w:rsid w:val="0006571D"/>
    <w:rsid w:val="00065804"/>
    <w:rsid w:val="00065B13"/>
    <w:rsid w:val="00065DC9"/>
    <w:rsid w:val="00065F85"/>
    <w:rsid w:val="00066325"/>
    <w:rsid w:val="000667F9"/>
    <w:rsid w:val="00066916"/>
    <w:rsid w:val="00066D59"/>
    <w:rsid w:val="00066F4B"/>
    <w:rsid w:val="000674A2"/>
    <w:rsid w:val="00067726"/>
    <w:rsid w:val="0006773C"/>
    <w:rsid w:val="00067871"/>
    <w:rsid w:val="00070162"/>
    <w:rsid w:val="00070A26"/>
    <w:rsid w:val="00070E89"/>
    <w:rsid w:val="00071047"/>
    <w:rsid w:val="0007122A"/>
    <w:rsid w:val="00071FD0"/>
    <w:rsid w:val="0007204C"/>
    <w:rsid w:val="0007243E"/>
    <w:rsid w:val="00072615"/>
    <w:rsid w:val="000728A0"/>
    <w:rsid w:val="00072A71"/>
    <w:rsid w:val="000734CE"/>
    <w:rsid w:val="0007364A"/>
    <w:rsid w:val="000737B2"/>
    <w:rsid w:val="000741FD"/>
    <w:rsid w:val="00074439"/>
    <w:rsid w:val="000745BE"/>
    <w:rsid w:val="00074AA3"/>
    <w:rsid w:val="00075454"/>
    <w:rsid w:val="00075B5B"/>
    <w:rsid w:val="00075CA8"/>
    <w:rsid w:val="00076652"/>
    <w:rsid w:val="000767E3"/>
    <w:rsid w:val="00076939"/>
    <w:rsid w:val="000769A1"/>
    <w:rsid w:val="0007752A"/>
    <w:rsid w:val="00077646"/>
    <w:rsid w:val="000802C8"/>
    <w:rsid w:val="00080458"/>
    <w:rsid w:val="00081050"/>
    <w:rsid w:val="000814C4"/>
    <w:rsid w:val="000817BE"/>
    <w:rsid w:val="000822C6"/>
    <w:rsid w:val="000822E4"/>
    <w:rsid w:val="00083060"/>
    <w:rsid w:val="000831A4"/>
    <w:rsid w:val="000832F7"/>
    <w:rsid w:val="00083820"/>
    <w:rsid w:val="000838FF"/>
    <w:rsid w:val="00083AB0"/>
    <w:rsid w:val="00083D9B"/>
    <w:rsid w:val="00083E8A"/>
    <w:rsid w:val="0008401C"/>
    <w:rsid w:val="00084304"/>
    <w:rsid w:val="00084665"/>
    <w:rsid w:val="000847A3"/>
    <w:rsid w:val="0008520C"/>
    <w:rsid w:val="00085363"/>
    <w:rsid w:val="0008563F"/>
    <w:rsid w:val="000858F2"/>
    <w:rsid w:val="00085C21"/>
    <w:rsid w:val="00085F56"/>
    <w:rsid w:val="00086364"/>
    <w:rsid w:val="00086497"/>
    <w:rsid w:val="0008663A"/>
    <w:rsid w:val="00086B57"/>
    <w:rsid w:val="00086D6A"/>
    <w:rsid w:val="000873E5"/>
    <w:rsid w:val="000875BF"/>
    <w:rsid w:val="00087973"/>
    <w:rsid w:val="000879FB"/>
    <w:rsid w:val="00087E42"/>
    <w:rsid w:val="00090133"/>
    <w:rsid w:val="000903C9"/>
    <w:rsid w:val="0009068F"/>
    <w:rsid w:val="00090C1B"/>
    <w:rsid w:val="00090D8E"/>
    <w:rsid w:val="00091242"/>
    <w:rsid w:val="0009139A"/>
    <w:rsid w:val="00091CE5"/>
    <w:rsid w:val="00091E7F"/>
    <w:rsid w:val="00091EC7"/>
    <w:rsid w:val="00092174"/>
    <w:rsid w:val="000925A2"/>
    <w:rsid w:val="00092A2C"/>
    <w:rsid w:val="00092CEA"/>
    <w:rsid w:val="00092D8C"/>
    <w:rsid w:val="00093165"/>
    <w:rsid w:val="000935BF"/>
    <w:rsid w:val="000938E0"/>
    <w:rsid w:val="000939E1"/>
    <w:rsid w:val="00093B27"/>
    <w:rsid w:val="00094424"/>
    <w:rsid w:val="00094436"/>
    <w:rsid w:val="00094757"/>
    <w:rsid w:val="00094BFA"/>
    <w:rsid w:val="00094E75"/>
    <w:rsid w:val="000955CC"/>
    <w:rsid w:val="00095C66"/>
    <w:rsid w:val="00095FC0"/>
    <w:rsid w:val="00096088"/>
    <w:rsid w:val="000964CC"/>
    <w:rsid w:val="00096575"/>
    <w:rsid w:val="00096D8C"/>
    <w:rsid w:val="00096DBD"/>
    <w:rsid w:val="00096EBB"/>
    <w:rsid w:val="00096F3C"/>
    <w:rsid w:val="00097202"/>
    <w:rsid w:val="00097269"/>
    <w:rsid w:val="00097359"/>
    <w:rsid w:val="000975B1"/>
    <w:rsid w:val="00097782"/>
    <w:rsid w:val="000979AD"/>
    <w:rsid w:val="00097DFF"/>
    <w:rsid w:val="000A0363"/>
    <w:rsid w:val="000A0C7D"/>
    <w:rsid w:val="000A0FDF"/>
    <w:rsid w:val="000A1135"/>
    <w:rsid w:val="000A1798"/>
    <w:rsid w:val="000A17C5"/>
    <w:rsid w:val="000A1860"/>
    <w:rsid w:val="000A1B09"/>
    <w:rsid w:val="000A1BE1"/>
    <w:rsid w:val="000A1D2E"/>
    <w:rsid w:val="000A2219"/>
    <w:rsid w:val="000A23F5"/>
    <w:rsid w:val="000A26C6"/>
    <w:rsid w:val="000A26EE"/>
    <w:rsid w:val="000A2CDC"/>
    <w:rsid w:val="000A2F69"/>
    <w:rsid w:val="000A3A78"/>
    <w:rsid w:val="000A3AC0"/>
    <w:rsid w:val="000A3E79"/>
    <w:rsid w:val="000A4097"/>
    <w:rsid w:val="000A4306"/>
    <w:rsid w:val="000A4E30"/>
    <w:rsid w:val="000A4E3A"/>
    <w:rsid w:val="000A4EE4"/>
    <w:rsid w:val="000A52B3"/>
    <w:rsid w:val="000A53F7"/>
    <w:rsid w:val="000A57AE"/>
    <w:rsid w:val="000A5BB7"/>
    <w:rsid w:val="000A5F75"/>
    <w:rsid w:val="000A644B"/>
    <w:rsid w:val="000A6459"/>
    <w:rsid w:val="000A6481"/>
    <w:rsid w:val="000A6667"/>
    <w:rsid w:val="000A678A"/>
    <w:rsid w:val="000A68B9"/>
    <w:rsid w:val="000A6BF0"/>
    <w:rsid w:val="000A6E5D"/>
    <w:rsid w:val="000A6FB5"/>
    <w:rsid w:val="000A73D9"/>
    <w:rsid w:val="000A76FB"/>
    <w:rsid w:val="000A780D"/>
    <w:rsid w:val="000B001A"/>
    <w:rsid w:val="000B0155"/>
    <w:rsid w:val="000B0205"/>
    <w:rsid w:val="000B0691"/>
    <w:rsid w:val="000B07B1"/>
    <w:rsid w:val="000B07F0"/>
    <w:rsid w:val="000B08A4"/>
    <w:rsid w:val="000B1088"/>
    <w:rsid w:val="000B1602"/>
    <w:rsid w:val="000B170C"/>
    <w:rsid w:val="000B1918"/>
    <w:rsid w:val="000B219B"/>
    <w:rsid w:val="000B25EC"/>
    <w:rsid w:val="000B26AB"/>
    <w:rsid w:val="000B28C9"/>
    <w:rsid w:val="000B2AD8"/>
    <w:rsid w:val="000B2E43"/>
    <w:rsid w:val="000B2F82"/>
    <w:rsid w:val="000B3B6D"/>
    <w:rsid w:val="000B42D3"/>
    <w:rsid w:val="000B4690"/>
    <w:rsid w:val="000B46CD"/>
    <w:rsid w:val="000B4B63"/>
    <w:rsid w:val="000B4CAB"/>
    <w:rsid w:val="000B4CC2"/>
    <w:rsid w:val="000B5431"/>
    <w:rsid w:val="000B57BB"/>
    <w:rsid w:val="000B5969"/>
    <w:rsid w:val="000B5B90"/>
    <w:rsid w:val="000B6205"/>
    <w:rsid w:val="000B62D3"/>
    <w:rsid w:val="000B63E3"/>
    <w:rsid w:val="000B6415"/>
    <w:rsid w:val="000B682E"/>
    <w:rsid w:val="000B6DE4"/>
    <w:rsid w:val="000B6EE8"/>
    <w:rsid w:val="000B72E5"/>
    <w:rsid w:val="000B7BEF"/>
    <w:rsid w:val="000B7D50"/>
    <w:rsid w:val="000B7E32"/>
    <w:rsid w:val="000B7F68"/>
    <w:rsid w:val="000C0001"/>
    <w:rsid w:val="000C01A3"/>
    <w:rsid w:val="000C05C3"/>
    <w:rsid w:val="000C0A3D"/>
    <w:rsid w:val="000C0A6F"/>
    <w:rsid w:val="000C0B65"/>
    <w:rsid w:val="000C0BF9"/>
    <w:rsid w:val="000C12F8"/>
    <w:rsid w:val="000C1332"/>
    <w:rsid w:val="000C1446"/>
    <w:rsid w:val="000C1569"/>
    <w:rsid w:val="000C172A"/>
    <w:rsid w:val="000C1EC7"/>
    <w:rsid w:val="000C1F72"/>
    <w:rsid w:val="000C220C"/>
    <w:rsid w:val="000C27B4"/>
    <w:rsid w:val="000C2CA7"/>
    <w:rsid w:val="000C2E1C"/>
    <w:rsid w:val="000C31E9"/>
    <w:rsid w:val="000C37EC"/>
    <w:rsid w:val="000C3AEF"/>
    <w:rsid w:val="000C3EEC"/>
    <w:rsid w:val="000C3EFE"/>
    <w:rsid w:val="000C446F"/>
    <w:rsid w:val="000C48F5"/>
    <w:rsid w:val="000C4B8A"/>
    <w:rsid w:val="000C5D34"/>
    <w:rsid w:val="000C5F2E"/>
    <w:rsid w:val="000C5FC6"/>
    <w:rsid w:val="000C6037"/>
    <w:rsid w:val="000C61A7"/>
    <w:rsid w:val="000C61D8"/>
    <w:rsid w:val="000C6305"/>
    <w:rsid w:val="000C6B06"/>
    <w:rsid w:val="000C6F6D"/>
    <w:rsid w:val="000C7059"/>
    <w:rsid w:val="000C75D4"/>
    <w:rsid w:val="000C7F34"/>
    <w:rsid w:val="000D01CB"/>
    <w:rsid w:val="000D0602"/>
    <w:rsid w:val="000D062F"/>
    <w:rsid w:val="000D077F"/>
    <w:rsid w:val="000D0AEE"/>
    <w:rsid w:val="000D0AF6"/>
    <w:rsid w:val="000D0CB2"/>
    <w:rsid w:val="000D104C"/>
    <w:rsid w:val="000D10FE"/>
    <w:rsid w:val="000D179B"/>
    <w:rsid w:val="000D18F0"/>
    <w:rsid w:val="000D1904"/>
    <w:rsid w:val="000D1F83"/>
    <w:rsid w:val="000D2914"/>
    <w:rsid w:val="000D2C5B"/>
    <w:rsid w:val="000D2DD7"/>
    <w:rsid w:val="000D3046"/>
    <w:rsid w:val="000D391E"/>
    <w:rsid w:val="000D3BD7"/>
    <w:rsid w:val="000D3E87"/>
    <w:rsid w:val="000D3F43"/>
    <w:rsid w:val="000D445E"/>
    <w:rsid w:val="000D460E"/>
    <w:rsid w:val="000D463E"/>
    <w:rsid w:val="000D4C40"/>
    <w:rsid w:val="000D4FAE"/>
    <w:rsid w:val="000D51EF"/>
    <w:rsid w:val="000D6A2B"/>
    <w:rsid w:val="000D6B70"/>
    <w:rsid w:val="000D6CF6"/>
    <w:rsid w:val="000D6EFA"/>
    <w:rsid w:val="000D72C7"/>
    <w:rsid w:val="000D7B6C"/>
    <w:rsid w:val="000E0073"/>
    <w:rsid w:val="000E0D33"/>
    <w:rsid w:val="000E109E"/>
    <w:rsid w:val="000E1EE8"/>
    <w:rsid w:val="000E2031"/>
    <w:rsid w:val="000E2397"/>
    <w:rsid w:val="000E244D"/>
    <w:rsid w:val="000E2688"/>
    <w:rsid w:val="000E2D1B"/>
    <w:rsid w:val="000E2D57"/>
    <w:rsid w:val="000E2FD2"/>
    <w:rsid w:val="000E312C"/>
    <w:rsid w:val="000E38A4"/>
    <w:rsid w:val="000E3BDF"/>
    <w:rsid w:val="000E3D42"/>
    <w:rsid w:val="000E412E"/>
    <w:rsid w:val="000E4C74"/>
    <w:rsid w:val="000E4D88"/>
    <w:rsid w:val="000E502C"/>
    <w:rsid w:val="000E5884"/>
    <w:rsid w:val="000E5957"/>
    <w:rsid w:val="000E5B7E"/>
    <w:rsid w:val="000E6091"/>
    <w:rsid w:val="000E6255"/>
    <w:rsid w:val="000E638A"/>
    <w:rsid w:val="000E63D7"/>
    <w:rsid w:val="000E694E"/>
    <w:rsid w:val="000E72AA"/>
    <w:rsid w:val="000E7CAF"/>
    <w:rsid w:val="000E7F9A"/>
    <w:rsid w:val="000F02E1"/>
    <w:rsid w:val="000F0579"/>
    <w:rsid w:val="000F0749"/>
    <w:rsid w:val="000F0901"/>
    <w:rsid w:val="000F0F8F"/>
    <w:rsid w:val="000F1131"/>
    <w:rsid w:val="000F13DF"/>
    <w:rsid w:val="000F1B00"/>
    <w:rsid w:val="000F1F15"/>
    <w:rsid w:val="000F209E"/>
    <w:rsid w:val="000F221F"/>
    <w:rsid w:val="000F245B"/>
    <w:rsid w:val="000F2840"/>
    <w:rsid w:val="000F2E49"/>
    <w:rsid w:val="000F322C"/>
    <w:rsid w:val="000F3442"/>
    <w:rsid w:val="000F3733"/>
    <w:rsid w:val="000F3AB4"/>
    <w:rsid w:val="000F3C9F"/>
    <w:rsid w:val="000F3DFA"/>
    <w:rsid w:val="000F4014"/>
    <w:rsid w:val="000F48DE"/>
    <w:rsid w:val="000F48DF"/>
    <w:rsid w:val="000F49B2"/>
    <w:rsid w:val="000F509D"/>
    <w:rsid w:val="000F5138"/>
    <w:rsid w:val="000F5A85"/>
    <w:rsid w:val="000F6457"/>
    <w:rsid w:val="000F6621"/>
    <w:rsid w:val="000F6961"/>
    <w:rsid w:val="000F6BDF"/>
    <w:rsid w:val="000F6BFB"/>
    <w:rsid w:val="000F6E04"/>
    <w:rsid w:val="000F73F1"/>
    <w:rsid w:val="000F78E7"/>
    <w:rsid w:val="000F7B6D"/>
    <w:rsid w:val="000F7C71"/>
    <w:rsid w:val="0010010F"/>
    <w:rsid w:val="00100259"/>
    <w:rsid w:val="00100459"/>
    <w:rsid w:val="00100484"/>
    <w:rsid w:val="00101027"/>
    <w:rsid w:val="00101809"/>
    <w:rsid w:val="00101949"/>
    <w:rsid w:val="00101A9B"/>
    <w:rsid w:val="00102375"/>
    <w:rsid w:val="00102AD5"/>
    <w:rsid w:val="00102B0A"/>
    <w:rsid w:val="00103045"/>
    <w:rsid w:val="001031E0"/>
    <w:rsid w:val="00103265"/>
    <w:rsid w:val="00103490"/>
    <w:rsid w:val="0010361A"/>
    <w:rsid w:val="001036BE"/>
    <w:rsid w:val="0010380B"/>
    <w:rsid w:val="00103A90"/>
    <w:rsid w:val="00103C2D"/>
    <w:rsid w:val="00103CEF"/>
    <w:rsid w:val="001043C1"/>
    <w:rsid w:val="0010443D"/>
    <w:rsid w:val="001045F2"/>
    <w:rsid w:val="00104985"/>
    <w:rsid w:val="00104E10"/>
    <w:rsid w:val="00104F25"/>
    <w:rsid w:val="001051AE"/>
    <w:rsid w:val="00105491"/>
    <w:rsid w:val="001057AE"/>
    <w:rsid w:val="001058E8"/>
    <w:rsid w:val="00105B22"/>
    <w:rsid w:val="00105BD2"/>
    <w:rsid w:val="00105D9C"/>
    <w:rsid w:val="00105DDC"/>
    <w:rsid w:val="0010629F"/>
    <w:rsid w:val="001067C1"/>
    <w:rsid w:val="00106CFB"/>
    <w:rsid w:val="00106E58"/>
    <w:rsid w:val="00107686"/>
    <w:rsid w:val="001076C7"/>
    <w:rsid w:val="001105EC"/>
    <w:rsid w:val="00110986"/>
    <w:rsid w:val="00110B3C"/>
    <w:rsid w:val="00110F4D"/>
    <w:rsid w:val="00111218"/>
    <w:rsid w:val="00111470"/>
    <w:rsid w:val="001116FE"/>
    <w:rsid w:val="00111962"/>
    <w:rsid w:val="001121B2"/>
    <w:rsid w:val="00112B50"/>
    <w:rsid w:val="00112B79"/>
    <w:rsid w:val="00113688"/>
    <w:rsid w:val="001136BB"/>
    <w:rsid w:val="00113787"/>
    <w:rsid w:val="001138DD"/>
    <w:rsid w:val="00113CB7"/>
    <w:rsid w:val="001141B7"/>
    <w:rsid w:val="00114532"/>
    <w:rsid w:val="00114638"/>
    <w:rsid w:val="0011467B"/>
    <w:rsid w:val="00114C38"/>
    <w:rsid w:val="00114E04"/>
    <w:rsid w:val="00115471"/>
    <w:rsid w:val="00115494"/>
    <w:rsid w:val="00115812"/>
    <w:rsid w:val="001159C8"/>
    <w:rsid w:val="00115A4A"/>
    <w:rsid w:val="00115AEF"/>
    <w:rsid w:val="00115E53"/>
    <w:rsid w:val="00115F0C"/>
    <w:rsid w:val="00116113"/>
    <w:rsid w:val="00116147"/>
    <w:rsid w:val="00116278"/>
    <w:rsid w:val="0011637E"/>
    <w:rsid w:val="00116ABA"/>
    <w:rsid w:val="00116BC6"/>
    <w:rsid w:val="00116FE6"/>
    <w:rsid w:val="00117421"/>
    <w:rsid w:val="00117C55"/>
    <w:rsid w:val="0012077F"/>
    <w:rsid w:val="00120C87"/>
    <w:rsid w:val="00120D1D"/>
    <w:rsid w:val="0012107C"/>
    <w:rsid w:val="001211DC"/>
    <w:rsid w:val="0012157D"/>
    <w:rsid w:val="0012159B"/>
    <w:rsid w:val="00121EC4"/>
    <w:rsid w:val="00122A3E"/>
    <w:rsid w:val="00122BD5"/>
    <w:rsid w:val="001231E5"/>
    <w:rsid w:val="00123324"/>
    <w:rsid w:val="00123703"/>
    <w:rsid w:val="00123A29"/>
    <w:rsid w:val="00123BFC"/>
    <w:rsid w:val="00123CC1"/>
    <w:rsid w:val="0012425E"/>
    <w:rsid w:val="001242EB"/>
    <w:rsid w:val="00124576"/>
    <w:rsid w:val="00124709"/>
    <w:rsid w:val="00124D9C"/>
    <w:rsid w:val="00124FAC"/>
    <w:rsid w:val="00125B4A"/>
    <w:rsid w:val="00125BD0"/>
    <w:rsid w:val="00126040"/>
    <w:rsid w:val="00126EEF"/>
    <w:rsid w:val="00126F96"/>
    <w:rsid w:val="00126FA2"/>
    <w:rsid w:val="00127019"/>
    <w:rsid w:val="00127268"/>
    <w:rsid w:val="0012790E"/>
    <w:rsid w:val="001279F7"/>
    <w:rsid w:val="00127B8A"/>
    <w:rsid w:val="00127C62"/>
    <w:rsid w:val="00127CA9"/>
    <w:rsid w:val="00127DEA"/>
    <w:rsid w:val="001304C5"/>
    <w:rsid w:val="00130A93"/>
    <w:rsid w:val="00130D64"/>
    <w:rsid w:val="00130E0A"/>
    <w:rsid w:val="00130E31"/>
    <w:rsid w:val="001311EC"/>
    <w:rsid w:val="0013130A"/>
    <w:rsid w:val="001314A2"/>
    <w:rsid w:val="001316B8"/>
    <w:rsid w:val="001317ED"/>
    <w:rsid w:val="00131E5D"/>
    <w:rsid w:val="00132A36"/>
    <w:rsid w:val="00132A8E"/>
    <w:rsid w:val="00132A91"/>
    <w:rsid w:val="00132C41"/>
    <w:rsid w:val="00132CDD"/>
    <w:rsid w:val="00132D71"/>
    <w:rsid w:val="001334A8"/>
    <w:rsid w:val="001339B6"/>
    <w:rsid w:val="00133D80"/>
    <w:rsid w:val="0013478C"/>
    <w:rsid w:val="0013512E"/>
    <w:rsid w:val="00135251"/>
    <w:rsid w:val="00135E17"/>
    <w:rsid w:val="00135F78"/>
    <w:rsid w:val="00135FEC"/>
    <w:rsid w:val="001368BC"/>
    <w:rsid w:val="00136C45"/>
    <w:rsid w:val="00136C92"/>
    <w:rsid w:val="0013705D"/>
    <w:rsid w:val="001372F8"/>
    <w:rsid w:val="00137416"/>
    <w:rsid w:val="001374F6"/>
    <w:rsid w:val="0013764D"/>
    <w:rsid w:val="001379A0"/>
    <w:rsid w:val="00137C1E"/>
    <w:rsid w:val="001404AA"/>
    <w:rsid w:val="001405F9"/>
    <w:rsid w:val="001406F8"/>
    <w:rsid w:val="0014074F"/>
    <w:rsid w:val="00140A07"/>
    <w:rsid w:val="00140B16"/>
    <w:rsid w:val="00140FC1"/>
    <w:rsid w:val="001411E1"/>
    <w:rsid w:val="00141206"/>
    <w:rsid w:val="00141765"/>
    <w:rsid w:val="0014176E"/>
    <w:rsid w:val="00141FB3"/>
    <w:rsid w:val="00142093"/>
    <w:rsid w:val="001421E9"/>
    <w:rsid w:val="00142611"/>
    <w:rsid w:val="001426A4"/>
    <w:rsid w:val="0014277A"/>
    <w:rsid w:val="001430BE"/>
    <w:rsid w:val="00143903"/>
    <w:rsid w:val="00143DFE"/>
    <w:rsid w:val="00144685"/>
    <w:rsid w:val="00144AE4"/>
    <w:rsid w:val="00144D82"/>
    <w:rsid w:val="00145291"/>
    <w:rsid w:val="0014580E"/>
    <w:rsid w:val="00145D7C"/>
    <w:rsid w:val="00146302"/>
    <w:rsid w:val="00146E8E"/>
    <w:rsid w:val="00146EDD"/>
    <w:rsid w:val="001471A9"/>
    <w:rsid w:val="001474C1"/>
    <w:rsid w:val="00147A24"/>
    <w:rsid w:val="00147BF9"/>
    <w:rsid w:val="00147F5C"/>
    <w:rsid w:val="001500C1"/>
    <w:rsid w:val="0015027D"/>
    <w:rsid w:val="00150A48"/>
    <w:rsid w:val="00151288"/>
    <w:rsid w:val="00151673"/>
    <w:rsid w:val="0015197B"/>
    <w:rsid w:val="00151E99"/>
    <w:rsid w:val="0015349B"/>
    <w:rsid w:val="00153F8E"/>
    <w:rsid w:val="00154671"/>
    <w:rsid w:val="00154EAD"/>
    <w:rsid w:val="00155140"/>
    <w:rsid w:val="00155406"/>
    <w:rsid w:val="001555E6"/>
    <w:rsid w:val="00155A95"/>
    <w:rsid w:val="00155F1A"/>
    <w:rsid w:val="00156B51"/>
    <w:rsid w:val="00157B6F"/>
    <w:rsid w:val="00157BEF"/>
    <w:rsid w:val="00157E95"/>
    <w:rsid w:val="00157F62"/>
    <w:rsid w:val="001601F4"/>
    <w:rsid w:val="001602F0"/>
    <w:rsid w:val="001604EC"/>
    <w:rsid w:val="00160B65"/>
    <w:rsid w:val="00160C70"/>
    <w:rsid w:val="00161109"/>
    <w:rsid w:val="00161838"/>
    <w:rsid w:val="001619F0"/>
    <w:rsid w:val="00161A65"/>
    <w:rsid w:val="00162091"/>
    <w:rsid w:val="0016212F"/>
    <w:rsid w:val="0016223B"/>
    <w:rsid w:val="00162273"/>
    <w:rsid w:val="00162F1E"/>
    <w:rsid w:val="00163019"/>
    <w:rsid w:val="00163365"/>
    <w:rsid w:val="001635DB"/>
    <w:rsid w:val="001636AA"/>
    <w:rsid w:val="00163FE2"/>
    <w:rsid w:val="001646A7"/>
    <w:rsid w:val="0016477A"/>
    <w:rsid w:val="00164852"/>
    <w:rsid w:val="00164F39"/>
    <w:rsid w:val="00165077"/>
    <w:rsid w:val="00165121"/>
    <w:rsid w:val="001655EF"/>
    <w:rsid w:val="00165BE8"/>
    <w:rsid w:val="00165D0C"/>
    <w:rsid w:val="00166000"/>
    <w:rsid w:val="0016619F"/>
    <w:rsid w:val="00167469"/>
    <w:rsid w:val="001675FC"/>
    <w:rsid w:val="00167725"/>
    <w:rsid w:val="001700C3"/>
    <w:rsid w:val="0017045B"/>
    <w:rsid w:val="00170509"/>
    <w:rsid w:val="00170555"/>
    <w:rsid w:val="00170A51"/>
    <w:rsid w:val="00170AAB"/>
    <w:rsid w:val="00170ADC"/>
    <w:rsid w:val="00170E58"/>
    <w:rsid w:val="001710AE"/>
    <w:rsid w:val="00171445"/>
    <w:rsid w:val="00171B99"/>
    <w:rsid w:val="00171DE0"/>
    <w:rsid w:val="00171DE7"/>
    <w:rsid w:val="00172AD6"/>
    <w:rsid w:val="00172C39"/>
    <w:rsid w:val="001735A3"/>
    <w:rsid w:val="00173B29"/>
    <w:rsid w:val="001740F9"/>
    <w:rsid w:val="001742AF"/>
    <w:rsid w:val="0017453E"/>
    <w:rsid w:val="00174B80"/>
    <w:rsid w:val="00175196"/>
    <w:rsid w:val="001753A5"/>
    <w:rsid w:val="00175424"/>
    <w:rsid w:val="00175459"/>
    <w:rsid w:val="00175596"/>
    <w:rsid w:val="00175794"/>
    <w:rsid w:val="00175B90"/>
    <w:rsid w:val="00176017"/>
    <w:rsid w:val="00176148"/>
    <w:rsid w:val="00176205"/>
    <w:rsid w:val="0017654E"/>
    <w:rsid w:val="001765FE"/>
    <w:rsid w:val="00176720"/>
    <w:rsid w:val="00176783"/>
    <w:rsid w:val="00176BC4"/>
    <w:rsid w:val="00176DB3"/>
    <w:rsid w:val="0017729E"/>
    <w:rsid w:val="001773B5"/>
    <w:rsid w:val="001774AB"/>
    <w:rsid w:val="00177635"/>
    <w:rsid w:val="001778E0"/>
    <w:rsid w:val="00177ADE"/>
    <w:rsid w:val="00177B22"/>
    <w:rsid w:val="00177DB1"/>
    <w:rsid w:val="00177E4B"/>
    <w:rsid w:val="00180210"/>
    <w:rsid w:val="00180229"/>
    <w:rsid w:val="0018026E"/>
    <w:rsid w:val="0018049C"/>
    <w:rsid w:val="001807E6"/>
    <w:rsid w:val="00180940"/>
    <w:rsid w:val="0018099A"/>
    <w:rsid w:val="00180C81"/>
    <w:rsid w:val="00180D11"/>
    <w:rsid w:val="00180FB5"/>
    <w:rsid w:val="0018149C"/>
    <w:rsid w:val="001816EA"/>
    <w:rsid w:val="00181C34"/>
    <w:rsid w:val="00181E60"/>
    <w:rsid w:val="00181FC1"/>
    <w:rsid w:val="00182172"/>
    <w:rsid w:val="00182178"/>
    <w:rsid w:val="001822A4"/>
    <w:rsid w:val="0018298F"/>
    <w:rsid w:val="001829EA"/>
    <w:rsid w:val="00182A50"/>
    <w:rsid w:val="0018307D"/>
    <w:rsid w:val="0018447D"/>
    <w:rsid w:val="001848EF"/>
    <w:rsid w:val="00184EAE"/>
    <w:rsid w:val="0018541B"/>
    <w:rsid w:val="00185798"/>
    <w:rsid w:val="00185983"/>
    <w:rsid w:val="001864C7"/>
    <w:rsid w:val="00186935"/>
    <w:rsid w:val="00186D2D"/>
    <w:rsid w:val="00186D6F"/>
    <w:rsid w:val="00187093"/>
    <w:rsid w:val="00187391"/>
    <w:rsid w:val="00187A40"/>
    <w:rsid w:val="00187FE9"/>
    <w:rsid w:val="0019082A"/>
    <w:rsid w:val="00190AD3"/>
    <w:rsid w:val="00190C89"/>
    <w:rsid w:val="00191012"/>
    <w:rsid w:val="00191124"/>
    <w:rsid w:val="001912D4"/>
    <w:rsid w:val="001913B7"/>
    <w:rsid w:val="00191446"/>
    <w:rsid w:val="00191CB4"/>
    <w:rsid w:val="00192BEB"/>
    <w:rsid w:val="00193129"/>
    <w:rsid w:val="001936CE"/>
    <w:rsid w:val="001937CE"/>
    <w:rsid w:val="00193A7B"/>
    <w:rsid w:val="0019425B"/>
    <w:rsid w:val="0019428B"/>
    <w:rsid w:val="00194EB4"/>
    <w:rsid w:val="001955A9"/>
    <w:rsid w:val="001956EE"/>
    <w:rsid w:val="001957FF"/>
    <w:rsid w:val="001958F1"/>
    <w:rsid w:val="00195BE2"/>
    <w:rsid w:val="00195EEA"/>
    <w:rsid w:val="001966FD"/>
    <w:rsid w:val="00197049"/>
    <w:rsid w:val="0019752E"/>
    <w:rsid w:val="001979D9"/>
    <w:rsid w:val="001A1394"/>
    <w:rsid w:val="001A17C8"/>
    <w:rsid w:val="001A1AEA"/>
    <w:rsid w:val="001A250B"/>
    <w:rsid w:val="001A2CCA"/>
    <w:rsid w:val="001A2D0F"/>
    <w:rsid w:val="001A3118"/>
    <w:rsid w:val="001A3B71"/>
    <w:rsid w:val="001A4530"/>
    <w:rsid w:val="001A45B9"/>
    <w:rsid w:val="001A62C9"/>
    <w:rsid w:val="001A6737"/>
    <w:rsid w:val="001A6BE7"/>
    <w:rsid w:val="001A6F6F"/>
    <w:rsid w:val="001A7184"/>
    <w:rsid w:val="001A74A5"/>
    <w:rsid w:val="001A7678"/>
    <w:rsid w:val="001A799B"/>
    <w:rsid w:val="001A7B5F"/>
    <w:rsid w:val="001B02F3"/>
    <w:rsid w:val="001B0521"/>
    <w:rsid w:val="001B0BA8"/>
    <w:rsid w:val="001B10E4"/>
    <w:rsid w:val="001B1273"/>
    <w:rsid w:val="001B1D11"/>
    <w:rsid w:val="001B1D18"/>
    <w:rsid w:val="001B25F4"/>
    <w:rsid w:val="001B276B"/>
    <w:rsid w:val="001B2C77"/>
    <w:rsid w:val="001B3687"/>
    <w:rsid w:val="001B3AA5"/>
    <w:rsid w:val="001B3DE8"/>
    <w:rsid w:val="001B3E0C"/>
    <w:rsid w:val="001B46AE"/>
    <w:rsid w:val="001B4989"/>
    <w:rsid w:val="001B4B14"/>
    <w:rsid w:val="001B4CF2"/>
    <w:rsid w:val="001B4DF1"/>
    <w:rsid w:val="001B51CA"/>
    <w:rsid w:val="001B561C"/>
    <w:rsid w:val="001B5674"/>
    <w:rsid w:val="001B5BB9"/>
    <w:rsid w:val="001B6168"/>
    <w:rsid w:val="001B6A2A"/>
    <w:rsid w:val="001B72CB"/>
    <w:rsid w:val="001B76CB"/>
    <w:rsid w:val="001B783C"/>
    <w:rsid w:val="001B7846"/>
    <w:rsid w:val="001B78B6"/>
    <w:rsid w:val="001C041E"/>
    <w:rsid w:val="001C07E1"/>
    <w:rsid w:val="001C0E2B"/>
    <w:rsid w:val="001C140F"/>
    <w:rsid w:val="001C1592"/>
    <w:rsid w:val="001C1A24"/>
    <w:rsid w:val="001C25C0"/>
    <w:rsid w:val="001C2748"/>
    <w:rsid w:val="001C2A3C"/>
    <w:rsid w:val="001C2D74"/>
    <w:rsid w:val="001C3096"/>
    <w:rsid w:val="001C34FB"/>
    <w:rsid w:val="001C3712"/>
    <w:rsid w:val="001C3AD3"/>
    <w:rsid w:val="001C46B9"/>
    <w:rsid w:val="001C48A5"/>
    <w:rsid w:val="001C509A"/>
    <w:rsid w:val="001C55F1"/>
    <w:rsid w:val="001C562A"/>
    <w:rsid w:val="001C568F"/>
    <w:rsid w:val="001C5698"/>
    <w:rsid w:val="001C56A3"/>
    <w:rsid w:val="001C5799"/>
    <w:rsid w:val="001C58DD"/>
    <w:rsid w:val="001C5BD5"/>
    <w:rsid w:val="001C5BFD"/>
    <w:rsid w:val="001C5DAD"/>
    <w:rsid w:val="001C5E4B"/>
    <w:rsid w:val="001C6287"/>
    <w:rsid w:val="001C6613"/>
    <w:rsid w:val="001C715B"/>
    <w:rsid w:val="001C7430"/>
    <w:rsid w:val="001C7997"/>
    <w:rsid w:val="001C7A59"/>
    <w:rsid w:val="001C7B47"/>
    <w:rsid w:val="001D02D7"/>
    <w:rsid w:val="001D06CF"/>
    <w:rsid w:val="001D0D07"/>
    <w:rsid w:val="001D0F09"/>
    <w:rsid w:val="001D0F39"/>
    <w:rsid w:val="001D17BA"/>
    <w:rsid w:val="001D19CD"/>
    <w:rsid w:val="001D1FC2"/>
    <w:rsid w:val="001D2188"/>
    <w:rsid w:val="001D22F4"/>
    <w:rsid w:val="001D24B4"/>
    <w:rsid w:val="001D25C5"/>
    <w:rsid w:val="001D27D5"/>
    <w:rsid w:val="001D2916"/>
    <w:rsid w:val="001D2933"/>
    <w:rsid w:val="001D2D59"/>
    <w:rsid w:val="001D2FB4"/>
    <w:rsid w:val="001D356E"/>
    <w:rsid w:val="001D363F"/>
    <w:rsid w:val="001D3C97"/>
    <w:rsid w:val="001D3D40"/>
    <w:rsid w:val="001D3F1E"/>
    <w:rsid w:val="001D47E1"/>
    <w:rsid w:val="001D4C35"/>
    <w:rsid w:val="001D5700"/>
    <w:rsid w:val="001D57EF"/>
    <w:rsid w:val="001D5B74"/>
    <w:rsid w:val="001D69EA"/>
    <w:rsid w:val="001D6B75"/>
    <w:rsid w:val="001D6B77"/>
    <w:rsid w:val="001D6BCF"/>
    <w:rsid w:val="001D6DFF"/>
    <w:rsid w:val="001D749A"/>
    <w:rsid w:val="001D766D"/>
    <w:rsid w:val="001D76B3"/>
    <w:rsid w:val="001D7720"/>
    <w:rsid w:val="001D77F2"/>
    <w:rsid w:val="001D7C62"/>
    <w:rsid w:val="001D7ED2"/>
    <w:rsid w:val="001E01A5"/>
    <w:rsid w:val="001E01CA"/>
    <w:rsid w:val="001E022B"/>
    <w:rsid w:val="001E0A9B"/>
    <w:rsid w:val="001E1327"/>
    <w:rsid w:val="001E13AF"/>
    <w:rsid w:val="001E14B6"/>
    <w:rsid w:val="001E1B1F"/>
    <w:rsid w:val="001E1CA8"/>
    <w:rsid w:val="001E1FA1"/>
    <w:rsid w:val="001E20D0"/>
    <w:rsid w:val="001E23C3"/>
    <w:rsid w:val="001E24B4"/>
    <w:rsid w:val="001E2577"/>
    <w:rsid w:val="001E275A"/>
    <w:rsid w:val="001E2768"/>
    <w:rsid w:val="001E278A"/>
    <w:rsid w:val="001E288F"/>
    <w:rsid w:val="001E2B5E"/>
    <w:rsid w:val="001E314E"/>
    <w:rsid w:val="001E34EA"/>
    <w:rsid w:val="001E37F5"/>
    <w:rsid w:val="001E3DFC"/>
    <w:rsid w:val="001E4D5B"/>
    <w:rsid w:val="001E5154"/>
    <w:rsid w:val="001E5200"/>
    <w:rsid w:val="001E543D"/>
    <w:rsid w:val="001E546B"/>
    <w:rsid w:val="001E5E48"/>
    <w:rsid w:val="001E607E"/>
    <w:rsid w:val="001E60A6"/>
    <w:rsid w:val="001E6326"/>
    <w:rsid w:val="001E67EB"/>
    <w:rsid w:val="001E6A54"/>
    <w:rsid w:val="001E6B54"/>
    <w:rsid w:val="001E6C3A"/>
    <w:rsid w:val="001E6D33"/>
    <w:rsid w:val="001E70CE"/>
    <w:rsid w:val="001E74D4"/>
    <w:rsid w:val="001E79F4"/>
    <w:rsid w:val="001E7B9C"/>
    <w:rsid w:val="001E7C67"/>
    <w:rsid w:val="001E7FC0"/>
    <w:rsid w:val="001F010E"/>
    <w:rsid w:val="001F06B5"/>
    <w:rsid w:val="001F07FE"/>
    <w:rsid w:val="001F098A"/>
    <w:rsid w:val="001F09DF"/>
    <w:rsid w:val="001F0F4F"/>
    <w:rsid w:val="001F1254"/>
    <w:rsid w:val="001F16E8"/>
    <w:rsid w:val="001F18B6"/>
    <w:rsid w:val="001F1A32"/>
    <w:rsid w:val="001F1EB9"/>
    <w:rsid w:val="001F215A"/>
    <w:rsid w:val="001F2170"/>
    <w:rsid w:val="001F2181"/>
    <w:rsid w:val="001F21C3"/>
    <w:rsid w:val="001F243B"/>
    <w:rsid w:val="001F2AA0"/>
    <w:rsid w:val="001F2F84"/>
    <w:rsid w:val="001F31BD"/>
    <w:rsid w:val="001F31C6"/>
    <w:rsid w:val="001F3B02"/>
    <w:rsid w:val="001F3C07"/>
    <w:rsid w:val="001F3C9B"/>
    <w:rsid w:val="001F41D0"/>
    <w:rsid w:val="001F4571"/>
    <w:rsid w:val="001F4B95"/>
    <w:rsid w:val="001F5226"/>
    <w:rsid w:val="001F5587"/>
    <w:rsid w:val="001F5B75"/>
    <w:rsid w:val="001F5E0E"/>
    <w:rsid w:val="001F5FB7"/>
    <w:rsid w:val="001F7120"/>
    <w:rsid w:val="001F73B6"/>
    <w:rsid w:val="001F7CC6"/>
    <w:rsid w:val="00200365"/>
    <w:rsid w:val="0020089B"/>
    <w:rsid w:val="00200E9C"/>
    <w:rsid w:val="0020156E"/>
    <w:rsid w:val="00201692"/>
    <w:rsid w:val="002018D2"/>
    <w:rsid w:val="0020195C"/>
    <w:rsid w:val="002020CC"/>
    <w:rsid w:val="002021A4"/>
    <w:rsid w:val="002025A9"/>
    <w:rsid w:val="002025F8"/>
    <w:rsid w:val="002028F3"/>
    <w:rsid w:val="002029E6"/>
    <w:rsid w:val="00202B53"/>
    <w:rsid w:val="00202FDD"/>
    <w:rsid w:val="00203430"/>
    <w:rsid w:val="002038B3"/>
    <w:rsid w:val="00203D6D"/>
    <w:rsid w:val="00203FDB"/>
    <w:rsid w:val="0020444F"/>
    <w:rsid w:val="0020467D"/>
    <w:rsid w:val="002051B5"/>
    <w:rsid w:val="00205B37"/>
    <w:rsid w:val="00205D27"/>
    <w:rsid w:val="0020607F"/>
    <w:rsid w:val="002060D9"/>
    <w:rsid w:val="00206CF7"/>
    <w:rsid w:val="002071A8"/>
    <w:rsid w:val="00207334"/>
    <w:rsid w:val="002073FD"/>
    <w:rsid w:val="00207439"/>
    <w:rsid w:val="00207645"/>
    <w:rsid w:val="00207975"/>
    <w:rsid w:val="00207ED3"/>
    <w:rsid w:val="002103FF"/>
    <w:rsid w:val="0021066B"/>
    <w:rsid w:val="002106A8"/>
    <w:rsid w:val="00210AC1"/>
    <w:rsid w:val="00210D2A"/>
    <w:rsid w:val="00210E66"/>
    <w:rsid w:val="00211CAC"/>
    <w:rsid w:val="00212537"/>
    <w:rsid w:val="00212554"/>
    <w:rsid w:val="00212AE3"/>
    <w:rsid w:val="00213105"/>
    <w:rsid w:val="00213195"/>
    <w:rsid w:val="0021364F"/>
    <w:rsid w:val="002138BE"/>
    <w:rsid w:val="00213FCE"/>
    <w:rsid w:val="002140BA"/>
    <w:rsid w:val="0021479A"/>
    <w:rsid w:val="002149C1"/>
    <w:rsid w:val="00214A5C"/>
    <w:rsid w:val="00214ACD"/>
    <w:rsid w:val="00214B1B"/>
    <w:rsid w:val="00214DC1"/>
    <w:rsid w:val="00214E50"/>
    <w:rsid w:val="00215517"/>
    <w:rsid w:val="0021567D"/>
    <w:rsid w:val="002156CF"/>
    <w:rsid w:val="002158B7"/>
    <w:rsid w:val="00215AF4"/>
    <w:rsid w:val="00215DAE"/>
    <w:rsid w:val="00215EF0"/>
    <w:rsid w:val="00216052"/>
    <w:rsid w:val="00216493"/>
    <w:rsid w:val="002174B4"/>
    <w:rsid w:val="00217940"/>
    <w:rsid w:val="002204F7"/>
    <w:rsid w:val="002207EE"/>
    <w:rsid w:val="00220A18"/>
    <w:rsid w:val="002210A1"/>
    <w:rsid w:val="002219EA"/>
    <w:rsid w:val="00221E8E"/>
    <w:rsid w:val="00222003"/>
    <w:rsid w:val="002220B9"/>
    <w:rsid w:val="00222563"/>
    <w:rsid w:val="00222933"/>
    <w:rsid w:val="00222A6E"/>
    <w:rsid w:val="00222DB5"/>
    <w:rsid w:val="002231D4"/>
    <w:rsid w:val="00223309"/>
    <w:rsid w:val="0022360B"/>
    <w:rsid w:val="0022411C"/>
    <w:rsid w:val="002242B8"/>
    <w:rsid w:val="002253EF"/>
    <w:rsid w:val="00225A7E"/>
    <w:rsid w:val="00225C8C"/>
    <w:rsid w:val="00225CDA"/>
    <w:rsid w:val="00225E27"/>
    <w:rsid w:val="00225F5D"/>
    <w:rsid w:val="0022604C"/>
    <w:rsid w:val="00226397"/>
    <w:rsid w:val="00226822"/>
    <w:rsid w:val="00227185"/>
    <w:rsid w:val="00227209"/>
    <w:rsid w:val="0022795A"/>
    <w:rsid w:val="00230748"/>
    <w:rsid w:val="00230CDD"/>
    <w:rsid w:val="00231574"/>
    <w:rsid w:val="002315C4"/>
    <w:rsid w:val="00231CCB"/>
    <w:rsid w:val="002321F5"/>
    <w:rsid w:val="0023252A"/>
    <w:rsid w:val="00232788"/>
    <w:rsid w:val="002327DB"/>
    <w:rsid w:val="00232B59"/>
    <w:rsid w:val="00233CC5"/>
    <w:rsid w:val="00234997"/>
    <w:rsid w:val="00234DA0"/>
    <w:rsid w:val="00235041"/>
    <w:rsid w:val="002353BE"/>
    <w:rsid w:val="00236297"/>
    <w:rsid w:val="002363D1"/>
    <w:rsid w:val="002363D5"/>
    <w:rsid w:val="00236421"/>
    <w:rsid w:val="00236FA5"/>
    <w:rsid w:val="00237389"/>
    <w:rsid w:val="0023744F"/>
    <w:rsid w:val="00237631"/>
    <w:rsid w:val="00237B0E"/>
    <w:rsid w:val="00237C35"/>
    <w:rsid w:val="00237FB6"/>
    <w:rsid w:val="00240032"/>
    <w:rsid w:val="00240693"/>
    <w:rsid w:val="0024077F"/>
    <w:rsid w:val="0024106B"/>
    <w:rsid w:val="00241264"/>
    <w:rsid w:val="002413B4"/>
    <w:rsid w:val="00241D40"/>
    <w:rsid w:val="00241EB3"/>
    <w:rsid w:val="002421C2"/>
    <w:rsid w:val="00242B9A"/>
    <w:rsid w:val="00242FFA"/>
    <w:rsid w:val="002432D8"/>
    <w:rsid w:val="00243514"/>
    <w:rsid w:val="00243E3B"/>
    <w:rsid w:val="00243E62"/>
    <w:rsid w:val="0024525D"/>
    <w:rsid w:val="002454C7"/>
    <w:rsid w:val="00245561"/>
    <w:rsid w:val="00245AAB"/>
    <w:rsid w:val="00245AB8"/>
    <w:rsid w:val="00245B61"/>
    <w:rsid w:val="002464D8"/>
    <w:rsid w:val="0024661B"/>
    <w:rsid w:val="00246A00"/>
    <w:rsid w:val="00246A58"/>
    <w:rsid w:val="00246F42"/>
    <w:rsid w:val="00247264"/>
    <w:rsid w:val="00247CF0"/>
    <w:rsid w:val="00250249"/>
    <w:rsid w:val="0025056B"/>
    <w:rsid w:val="0025068A"/>
    <w:rsid w:val="00250872"/>
    <w:rsid w:val="00250D77"/>
    <w:rsid w:val="00250DCD"/>
    <w:rsid w:val="002512A2"/>
    <w:rsid w:val="00251341"/>
    <w:rsid w:val="0025138F"/>
    <w:rsid w:val="00251B83"/>
    <w:rsid w:val="00251E54"/>
    <w:rsid w:val="00251EC8"/>
    <w:rsid w:val="00252262"/>
    <w:rsid w:val="002523A8"/>
    <w:rsid w:val="00252750"/>
    <w:rsid w:val="00252BF5"/>
    <w:rsid w:val="00252F9F"/>
    <w:rsid w:val="0025364B"/>
    <w:rsid w:val="0025389A"/>
    <w:rsid w:val="00253A87"/>
    <w:rsid w:val="00253A9D"/>
    <w:rsid w:val="00253F5D"/>
    <w:rsid w:val="00254777"/>
    <w:rsid w:val="0025487A"/>
    <w:rsid w:val="00254915"/>
    <w:rsid w:val="00254A0E"/>
    <w:rsid w:val="00254C06"/>
    <w:rsid w:val="00254D32"/>
    <w:rsid w:val="00254ED2"/>
    <w:rsid w:val="0025546A"/>
    <w:rsid w:val="0025574B"/>
    <w:rsid w:val="002557E1"/>
    <w:rsid w:val="00255F07"/>
    <w:rsid w:val="00255FC7"/>
    <w:rsid w:val="002561E9"/>
    <w:rsid w:val="002565E0"/>
    <w:rsid w:val="002568A6"/>
    <w:rsid w:val="00256992"/>
    <w:rsid w:val="002569D6"/>
    <w:rsid w:val="00256AB5"/>
    <w:rsid w:val="00256F03"/>
    <w:rsid w:val="0025732D"/>
    <w:rsid w:val="002573C3"/>
    <w:rsid w:val="00257A3A"/>
    <w:rsid w:val="00257C1B"/>
    <w:rsid w:val="00260289"/>
    <w:rsid w:val="00260594"/>
    <w:rsid w:val="00260C3F"/>
    <w:rsid w:val="00260CF4"/>
    <w:rsid w:val="00260DE5"/>
    <w:rsid w:val="002612FA"/>
    <w:rsid w:val="00261651"/>
    <w:rsid w:val="002617E2"/>
    <w:rsid w:val="00262176"/>
    <w:rsid w:val="00262486"/>
    <w:rsid w:val="0026271D"/>
    <w:rsid w:val="00262889"/>
    <w:rsid w:val="00263255"/>
    <w:rsid w:val="0026381C"/>
    <w:rsid w:val="00263E98"/>
    <w:rsid w:val="00263F7D"/>
    <w:rsid w:val="002642B9"/>
    <w:rsid w:val="00264833"/>
    <w:rsid w:val="00264D47"/>
    <w:rsid w:val="00264FC0"/>
    <w:rsid w:val="00265017"/>
    <w:rsid w:val="002657C1"/>
    <w:rsid w:val="00265C1D"/>
    <w:rsid w:val="00266A53"/>
    <w:rsid w:val="00266B18"/>
    <w:rsid w:val="00266F89"/>
    <w:rsid w:val="00267106"/>
    <w:rsid w:val="002677BF"/>
    <w:rsid w:val="00267833"/>
    <w:rsid w:val="002679A2"/>
    <w:rsid w:val="002701DD"/>
    <w:rsid w:val="00270260"/>
    <w:rsid w:val="002704F1"/>
    <w:rsid w:val="002705EE"/>
    <w:rsid w:val="0027088E"/>
    <w:rsid w:val="00270B0F"/>
    <w:rsid w:val="00270C0D"/>
    <w:rsid w:val="00270C51"/>
    <w:rsid w:val="00270DD6"/>
    <w:rsid w:val="00271379"/>
    <w:rsid w:val="0027229C"/>
    <w:rsid w:val="0027241F"/>
    <w:rsid w:val="00272B09"/>
    <w:rsid w:val="00272B19"/>
    <w:rsid w:val="00272E1A"/>
    <w:rsid w:val="00272E9F"/>
    <w:rsid w:val="002736B5"/>
    <w:rsid w:val="00273CE1"/>
    <w:rsid w:val="00273F28"/>
    <w:rsid w:val="002742B8"/>
    <w:rsid w:val="002748CA"/>
    <w:rsid w:val="00275019"/>
    <w:rsid w:val="002754CB"/>
    <w:rsid w:val="00275578"/>
    <w:rsid w:val="002757AB"/>
    <w:rsid w:val="002758BB"/>
    <w:rsid w:val="00275A55"/>
    <w:rsid w:val="00275C37"/>
    <w:rsid w:val="00275D23"/>
    <w:rsid w:val="00275D53"/>
    <w:rsid w:val="00275E84"/>
    <w:rsid w:val="002761C9"/>
    <w:rsid w:val="0027703D"/>
    <w:rsid w:val="002776BE"/>
    <w:rsid w:val="00277966"/>
    <w:rsid w:val="00277AA1"/>
    <w:rsid w:val="002803D9"/>
    <w:rsid w:val="002803F8"/>
    <w:rsid w:val="00280567"/>
    <w:rsid w:val="00280DF4"/>
    <w:rsid w:val="00280FD9"/>
    <w:rsid w:val="002815E1"/>
    <w:rsid w:val="002816F6"/>
    <w:rsid w:val="0028194D"/>
    <w:rsid w:val="00281990"/>
    <w:rsid w:val="00282027"/>
    <w:rsid w:val="00282540"/>
    <w:rsid w:val="002829C4"/>
    <w:rsid w:val="00282A9B"/>
    <w:rsid w:val="00282D88"/>
    <w:rsid w:val="00283DF8"/>
    <w:rsid w:val="00283F4C"/>
    <w:rsid w:val="002847C4"/>
    <w:rsid w:val="0028485E"/>
    <w:rsid w:val="00285017"/>
    <w:rsid w:val="00285A35"/>
    <w:rsid w:val="00287620"/>
    <w:rsid w:val="0029010B"/>
    <w:rsid w:val="002906C9"/>
    <w:rsid w:val="00290BBF"/>
    <w:rsid w:val="00290D88"/>
    <w:rsid w:val="00290F0E"/>
    <w:rsid w:val="002920EF"/>
    <w:rsid w:val="00292184"/>
    <w:rsid w:val="00292548"/>
    <w:rsid w:val="00292C0A"/>
    <w:rsid w:val="00293976"/>
    <w:rsid w:val="00293B3D"/>
    <w:rsid w:val="00293C6F"/>
    <w:rsid w:val="00294148"/>
    <w:rsid w:val="0029438B"/>
    <w:rsid w:val="00294674"/>
    <w:rsid w:val="0029480D"/>
    <w:rsid w:val="00294D40"/>
    <w:rsid w:val="00295000"/>
    <w:rsid w:val="0029519A"/>
    <w:rsid w:val="00295401"/>
    <w:rsid w:val="00295655"/>
    <w:rsid w:val="002961F6"/>
    <w:rsid w:val="002961FE"/>
    <w:rsid w:val="00296282"/>
    <w:rsid w:val="0029633A"/>
    <w:rsid w:val="00296976"/>
    <w:rsid w:val="00296981"/>
    <w:rsid w:val="00296A0E"/>
    <w:rsid w:val="00296E0C"/>
    <w:rsid w:val="00297612"/>
    <w:rsid w:val="00297664"/>
    <w:rsid w:val="00297733"/>
    <w:rsid w:val="00297C50"/>
    <w:rsid w:val="002A0656"/>
    <w:rsid w:val="002A09B4"/>
    <w:rsid w:val="002A0A69"/>
    <w:rsid w:val="002A0C42"/>
    <w:rsid w:val="002A0C91"/>
    <w:rsid w:val="002A166E"/>
    <w:rsid w:val="002A179B"/>
    <w:rsid w:val="002A1976"/>
    <w:rsid w:val="002A1C3C"/>
    <w:rsid w:val="002A2220"/>
    <w:rsid w:val="002A2417"/>
    <w:rsid w:val="002A2D2E"/>
    <w:rsid w:val="002A36D3"/>
    <w:rsid w:val="002A3C02"/>
    <w:rsid w:val="002A3F6F"/>
    <w:rsid w:val="002A422B"/>
    <w:rsid w:val="002A4429"/>
    <w:rsid w:val="002A443B"/>
    <w:rsid w:val="002A4987"/>
    <w:rsid w:val="002A4C36"/>
    <w:rsid w:val="002A4C86"/>
    <w:rsid w:val="002A4F91"/>
    <w:rsid w:val="002A50F9"/>
    <w:rsid w:val="002A546E"/>
    <w:rsid w:val="002A57A7"/>
    <w:rsid w:val="002A5AA4"/>
    <w:rsid w:val="002A5CD8"/>
    <w:rsid w:val="002A5FC8"/>
    <w:rsid w:val="002A60D9"/>
    <w:rsid w:val="002A636D"/>
    <w:rsid w:val="002A64F2"/>
    <w:rsid w:val="002A67F0"/>
    <w:rsid w:val="002A681D"/>
    <w:rsid w:val="002A6A5B"/>
    <w:rsid w:val="002A6C8A"/>
    <w:rsid w:val="002A6DD6"/>
    <w:rsid w:val="002A70F3"/>
    <w:rsid w:val="002A7310"/>
    <w:rsid w:val="002A788B"/>
    <w:rsid w:val="002A78D0"/>
    <w:rsid w:val="002A7CBC"/>
    <w:rsid w:val="002A7D05"/>
    <w:rsid w:val="002A7FD9"/>
    <w:rsid w:val="002B00A8"/>
    <w:rsid w:val="002B059D"/>
    <w:rsid w:val="002B05A2"/>
    <w:rsid w:val="002B0630"/>
    <w:rsid w:val="002B0743"/>
    <w:rsid w:val="002B0DED"/>
    <w:rsid w:val="002B1090"/>
    <w:rsid w:val="002B1214"/>
    <w:rsid w:val="002B161A"/>
    <w:rsid w:val="002B17CA"/>
    <w:rsid w:val="002B1856"/>
    <w:rsid w:val="002B19C1"/>
    <w:rsid w:val="002B19F6"/>
    <w:rsid w:val="002B24C7"/>
    <w:rsid w:val="002B29E4"/>
    <w:rsid w:val="002B2B8D"/>
    <w:rsid w:val="002B2DA5"/>
    <w:rsid w:val="002B2F8E"/>
    <w:rsid w:val="002B397C"/>
    <w:rsid w:val="002B39ED"/>
    <w:rsid w:val="002B3B0E"/>
    <w:rsid w:val="002B3E7B"/>
    <w:rsid w:val="002B3F17"/>
    <w:rsid w:val="002B4442"/>
    <w:rsid w:val="002B480D"/>
    <w:rsid w:val="002B4960"/>
    <w:rsid w:val="002B52F6"/>
    <w:rsid w:val="002B567A"/>
    <w:rsid w:val="002B56C7"/>
    <w:rsid w:val="002B5F29"/>
    <w:rsid w:val="002B6039"/>
    <w:rsid w:val="002B62BA"/>
    <w:rsid w:val="002B6992"/>
    <w:rsid w:val="002B6F16"/>
    <w:rsid w:val="002B7160"/>
    <w:rsid w:val="002B75B0"/>
    <w:rsid w:val="002B777E"/>
    <w:rsid w:val="002B7993"/>
    <w:rsid w:val="002B7B39"/>
    <w:rsid w:val="002B7CE2"/>
    <w:rsid w:val="002B7CE8"/>
    <w:rsid w:val="002B7D95"/>
    <w:rsid w:val="002C0721"/>
    <w:rsid w:val="002C1516"/>
    <w:rsid w:val="002C1AB6"/>
    <w:rsid w:val="002C2261"/>
    <w:rsid w:val="002C2D19"/>
    <w:rsid w:val="002C2D2B"/>
    <w:rsid w:val="002C3170"/>
    <w:rsid w:val="002C32FA"/>
    <w:rsid w:val="002C336B"/>
    <w:rsid w:val="002C374B"/>
    <w:rsid w:val="002C3C43"/>
    <w:rsid w:val="002C472C"/>
    <w:rsid w:val="002C499C"/>
    <w:rsid w:val="002C4D53"/>
    <w:rsid w:val="002C4F25"/>
    <w:rsid w:val="002C4FAA"/>
    <w:rsid w:val="002C50CA"/>
    <w:rsid w:val="002C5108"/>
    <w:rsid w:val="002C52DB"/>
    <w:rsid w:val="002C5583"/>
    <w:rsid w:val="002C597F"/>
    <w:rsid w:val="002C5A83"/>
    <w:rsid w:val="002C5E45"/>
    <w:rsid w:val="002C5FE5"/>
    <w:rsid w:val="002C6070"/>
    <w:rsid w:val="002C6361"/>
    <w:rsid w:val="002C6C2B"/>
    <w:rsid w:val="002C7106"/>
    <w:rsid w:val="002C7904"/>
    <w:rsid w:val="002C7A16"/>
    <w:rsid w:val="002C7B27"/>
    <w:rsid w:val="002C7D40"/>
    <w:rsid w:val="002C7D8A"/>
    <w:rsid w:val="002D0585"/>
    <w:rsid w:val="002D0881"/>
    <w:rsid w:val="002D1153"/>
    <w:rsid w:val="002D1771"/>
    <w:rsid w:val="002D1842"/>
    <w:rsid w:val="002D197E"/>
    <w:rsid w:val="002D1B9D"/>
    <w:rsid w:val="002D1BC8"/>
    <w:rsid w:val="002D1F3B"/>
    <w:rsid w:val="002D2317"/>
    <w:rsid w:val="002D26B3"/>
    <w:rsid w:val="002D2892"/>
    <w:rsid w:val="002D2A51"/>
    <w:rsid w:val="002D2B69"/>
    <w:rsid w:val="002D2FBA"/>
    <w:rsid w:val="002D3394"/>
    <w:rsid w:val="002D3510"/>
    <w:rsid w:val="002D3923"/>
    <w:rsid w:val="002D399E"/>
    <w:rsid w:val="002D40EC"/>
    <w:rsid w:val="002D4547"/>
    <w:rsid w:val="002D4843"/>
    <w:rsid w:val="002D48C2"/>
    <w:rsid w:val="002D4B9F"/>
    <w:rsid w:val="002D4DD9"/>
    <w:rsid w:val="002D4EE2"/>
    <w:rsid w:val="002D51AD"/>
    <w:rsid w:val="002D5AB6"/>
    <w:rsid w:val="002D5ACA"/>
    <w:rsid w:val="002D5ED2"/>
    <w:rsid w:val="002D60D4"/>
    <w:rsid w:val="002D62DC"/>
    <w:rsid w:val="002D63AF"/>
    <w:rsid w:val="002D63D0"/>
    <w:rsid w:val="002D66F4"/>
    <w:rsid w:val="002D694B"/>
    <w:rsid w:val="002D69CB"/>
    <w:rsid w:val="002D6BD6"/>
    <w:rsid w:val="002D6D75"/>
    <w:rsid w:val="002D700B"/>
    <w:rsid w:val="002D7464"/>
    <w:rsid w:val="002D7607"/>
    <w:rsid w:val="002D7BE3"/>
    <w:rsid w:val="002D7C58"/>
    <w:rsid w:val="002D7D5F"/>
    <w:rsid w:val="002E01C4"/>
    <w:rsid w:val="002E06A9"/>
    <w:rsid w:val="002E06D5"/>
    <w:rsid w:val="002E0786"/>
    <w:rsid w:val="002E10FD"/>
    <w:rsid w:val="002E1673"/>
    <w:rsid w:val="002E28FE"/>
    <w:rsid w:val="002E2BE9"/>
    <w:rsid w:val="002E3635"/>
    <w:rsid w:val="002E3785"/>
    <w:rsid w:val="002E3BD3"/>
    <w:rsid w:val="002E3C7E"/>
    <w:rsid w:val="002E3E37"/>
    <w:rsid w:val="002E414A"/>
    <w:rsid w:val="002E4315"/>
    <w:rsid w:val="002E4B36"/>
    <w:rsid w:val="002E4B5C"/>
    <w:rsid w:val="002E5B04"/>
    <w:rsid w:val="002E5F14"/>
    <w:rsid w:val="002E683D"/>
    <w:rsid w:val="002E6F3C"/>
    <w:rsid w:val="002E6F5C"/>
    <w:rsid w:val="002E7C7A"/>
    <w:rsid w:val="002E7D53"/>
    <w:rsid w:val="002E7E33"/>
    <w:rsid w:val="002F056B"/>
    <w:rsid w:val="002F0C12"/>
    <w:rsid w:val="002F1257"/>
    <w:rsid w:val="002F132A"/>
    <w:rsid w:val="002F13D3"/>
    <w:rsid w:val="002F1CF0"/>
    <w:rsid w:val="002F2013"/>
    <w:rsid w:val="002F20A6"/>
    <w:rsid w:val="002F289A"/>
    <w:rsid w:val="002F2C83"/>
    <w:rsid w:val="002F2E52"/>
    <w:rsid w:val="002F318B"/>
    <w:rsid w:val="002F35BC"/>
    <w:rsid w:val="002F373B"/>
    <w:rsid w:val="002F38A4"/>
    <w:rsid w:val="002F38B0"/>
    <w:rsid w:val="002F3E0E"/>
    <w:rsid w:val="002F3F8A"/>
    <w:rsid w:val="002F436B"/>
    <w:rsid w:val="002F44E7"/>
    <w:rsid w:val="002F4782"/>
    <w:rsid w:val="002F49C6"/>
    <w:rsid w:val="002F4C64"/>
    <w:rsid w:val="002F50A2"/>
    <w:rsid w:val="002F5517"/>
    <w:rsid w:val="002F59B2"/>
    <w:rsid w:val="002F5B41"/>
    <w:rsid w:val="002F6192"/>
    <w:rsid w:val="002F61F6"/>
    <w:rsid w:val="002F6744"/>
    <w:rsid w:val="002F6A24"/>
    <w:rsid w:val="002F6D46"/>
    <w:rsid w:val="002F6E49"/>
    <w:rsid w:val="002F6ECD"/>
    <w:rsid w:val="002F7112"/>
    <w:rsid w:val="002F761F"/>
    <w:rsid w:val="002F7665"/>
    <w:rsid w:val="002F7A85"/>
    <w:rsid w:val="002F7FDC"/>
    <w:rsid w:val="003000AC"/>
    <w:rsid w:val="0030038F"/>
    <w:rsid w:val="00300391"/>
    <w:rsid w:val="003007CE"/>
    <w:rsid w:val="00300A60"/>
    <w:rsid w:val="00300A8D"/>
    <w:rsid w:val="003016A7"/>
    <w:rsid w:val="00301D26"/>
    <w:rsid w:val="0030204B"/>
    <w:rsid w:val="00302CA6"/>
    <w:rsid w:val="00302EA9"/>
    <w:rsid w:val="00302F4E"/>
    <w:rsid w:val="003032C6"/>
    <w:rsid w:val="00303459"/>
    <w:rsid w:val="003037C2"/>
    <w:rsid w:val="00303850"/>
    <w:rsid w:val="00304189"/>
    <w:rsid w:val="003042C0"/>
    <w:rsid w:val="003042FB"/>
    <w:rsid w:val="003043EC"/>
    <w:rsid w:val="003044AE"/>
    <w:rsid w:val="003044B0"/>
    <w:rsid w:val="00304522"/>
    <w:rsid w:val="00304B5F"/>
    <w:rsid w:val="00305083"/>
    <w:rsid w:val="00305453"/>
    <w:rsid w:val="0030616C"/>
    <w:rsid w:val="00306221"/>
    <w:rsid w:val="00306255"/>
    <w:rsid w:val="00306531"/>
    <w:rsid w:val="0030680E"/>
    <w:rsid w:val="0030775A"/>
    <w:rsid w:val="00307975"/>
    <w:rsid w:val="00307F24"/>
    <w:rsid w:val="00310162"/>
    <w:rsid w:val="00310171"/>
    <w:rsid w:val="00310ABD"/>
    <w:rsid w:val="00311A14"/>
    <w:rsid w:val="00311A58"/>
    <w:rsid w:val="00312220"/>
    <w:rsid w:val="0031240B"/>
    <w:rsid w:val="00312BF4"/>
    <w:rsid w:val="00312CFC"/>
    <w:rsid w:val="00313088"/>
    <w:rsid w:val="003133D2"/>
    <w:rsid w:val="00313500"/>
    <w:rsid w:val="0031358A"/>
    <w:rsid w:val="00313DC6"/>
    <w:rsid w:val="00314467"/>
    <w:rsid w:val="0031505B"/>
    <w:rsid w:val="00315A44"/>
    <w:rsid w:val="00315EF7"/>
    <w:rsid w:val="003160EA"/>
    <w:rsid w:val="0031643D"/>
    <w:rsid w:val="00316680"/>
    <w:rsid w:val="003168FF"/>
    <w:rsid w:val="00316F2E"/>
    <w:rsid w:val="00316FB5"/>
    <w:rsid w:val="00317442"/>
    <w:rsid w:val="0031757F"/>
    <w:rsid w:val="00317BBF"/>
    <w:rsid w:val="00317F4F"/>
    <w:rsid w:val="003200C3"/>
    <w:rsid w:val="00320827"/>
    <w:rsid w:val="00320AC7"/>
    <w:rsid w:val="003211E0"/>
    <w:rsid w:val="00321564"/>
    <w:rsid w:val="00321584"/>
    <w:rsid w:val="00321A1D"/>
    <w:rsid w:val="00321C96"/>
    <w:rsid w:val="00321CF2"/>
    <w:rsid w:val="00321E5C"/>
    <w:rsid w:val="003225A2"/>
    <w:rsid w:val="00322605"/>
    <w:rsid w:val="00322651"/>
    <w:rsid w:val="0032270A"/>
    <w:rsid w:val="0032288B"/>
    <w:rsid w:val="00322AB4"/>
    <w:rsid w:val="00322D0C"/>
    <w:rsid w:val="00322F69"/>
    <w:rsid w:val="00324253"/>
    <w:rsid w:val="00324545"/>
    <w:rsid w:val="00324623"/>
    <w:rsid w:val="003250DD"/>
    <w:rsid w:val="00325219"/>
    <w:rsid w:val="00325698"/>
    <w:rsid w:val="003256B0"/>
    <w:rsid w:val="003259E5"/>
    <w:rsid w:val="00325B92"/>
    <w:rsid w:val="00325D3F"/>
    <w:rsid w:val="00325F1A"/>
    <w:rsid w:val="00326194"/>
    <w:rsid w:val="00326242"/>
    <w:rsid w:val="00326250"/>
    <w:rsid w:val="003263AD"/>
    <w:rsid w:val="003265D2"/>
    <w:rsid w:val="00326977"/>
    <w:rsid w:val="00326A94"/>
    <w:rsid w:val="00326DAF"/>
    <w:rsid w:val="003271DA"/>
    <w:rsid w:val="003271E0"/>
    <w:rsid w:val="0032788E"/>
    <w:rsid w:val="00327BC5"/>
    <w:rsid w:val="00327F30"/>
    <w:rsid w:val="00330210"/>
    <w:rsid w:val="00330565"/>
    <w:rsid w:val="00330915"/>
    <w:rsid w:val="00330D7C"/>
    <w:rsid w:val="00330F03"/>
    <w:rsid w:val="0033150F"/>
    <w:rsid w:val="0033242A"/>
    <w:rsid w:val="0033295F"/>
    <w:rsid w:val="00332C67"/>
    <w:rsid w:val="003333E4"/>
    <w:rsid w:val="003335C8"/>
    <w:rsid w:val="00333D5F"/>
    <w:rsid w:val="00333EAB"/>
    <w:rsid w:val="00334728"/>
    <w:rsid w:val="0033472B"/>
    <w:rsid w:val="00334D5C"/>
    <w:rsid w:val="00334F13"/>
    <w:rsid w:val="0033518F"/>
    <w:rsid w:val="00335446"/>
    <w:rsid w:val="003356FA"/>
    <w:rsid w:val="00335B11"/>
    <w:rsid w:val="00335BE3"/>
    <w:rsid w:val="003365BA"/>
    <w:rsid w:val="00336A0D"/>
    <w:rsid w:val="00337725"/>
    <w:rsid w:val="00337FC4"/>
    <w:rsid w:val="0034058D"/>
    <w:rsid w:val="003405FC"/>
    <w:rsid w:val="0034176F"/>
    <w:rsid w:val="00341922"/>
    <w:rsid w:val="0034199F"/>
    <w:rsid w:val="00341CE7"/>
    <w:rsid w:val="00341E11"/>
    <w:rsid w:val="003423A3"/>
    <w:rsid w:val="00342DB2"/>
    <w:rsid w:val="00342E7E"/>
    <w:rsid w:val="00342ED9"/>
    <w:rsid w:val="0034313C"/>
    <w:rsid w:val="0034341A"/>
    <w:rsid w:val="0034350A"/>
    <w:rsid w:val="00343749"/>
    <w:rsid w:val="00343904"/>
    <w:rsid w:val="00343D02"/>
    <w:rsid w:val="00343EEB"/>
    <w:rsid w:val="00344162"/>
    <w:rsid w:val="003442CD"/>
    <w:rsid w:val="0034465F"/>
    <w:rsid w:val="00344B6A"/>
    <w:rsid w:val="00344F25"/>
    <w:rsid w:val="003451A9"/>
    <w:rsid w:val="00345438"/>
    <w:rsid w:val="0034543B"/>
    <w:rsid w:val="00345AAC"/>
    <w:rsid w:val="00345EDD"/>
    <w:rsid w:val="003460D0"/>
    <w:rsid w:val="00346521"/>
    <w:rsid w:val="003467A1"/>
    <w:rsid w:val="0034681E"/>
    <w:rsid w:val="00346BC5"/>
    <w:rsid w:val="003470C7"/>
    <w:rsid w:val="0034722F"/>
    <w:rsid w:val="0034724D"/>
    <w:rsid w:val="00347321"/>
    <w:rsid w:val="00347791"/>
    <w:rsid w:val="0034784B"/>
    <w:rsid w:val="003478D8"/>
    <w:rsid w:val="00347DB6"/>
    <w:rsid w:val="00347F08"/>
    <w:rsid w:val="00347F2B"/>
    <w:rsid w:val="003501CB"/>
    <w:rsid w:val="003503E1"/>
    <w:rsid w:val="003504A7"/>
    <w:rsid w:val="00350A3D"/>
    <w:rsid w:val="00350B08"/>
    <w:rsid w:val="00350ECF"/>
    <w:rsid w:val="00351018"/>
    <w:rsid w:val="0035128C"/>
    <w:rsid w:val="0035181F"/>
    <w:rsid w:val="00351AA4"/>
    <w:rsid w:val="00351BAD"/>
    <w:rsid w:val="00351D13"/>
    <w:rsid w:val="0035237F"/>
    <w:rsid w:val="003523A9"/>
    <w:rsid w:val="0035245E"/>
    <w:rsid w:val="0035282E"/>
    <w:rsid w:val="00352CD6"/>
    <w:rsid w:val="00352FEC"/>
    <w:rsid w:val="00353242"/>
    <w:rsid w:val="003533A8"/>
    <w:rsid w:val="003543B4"/>
    <w:rsid w:val="00354465"/>
    <w:rsid w:val="003546CE"/>
    <w:rsid w:val="00354850"/>
    <w:rsid w:val="00354BAC"/>
    <w:rsid w:val="003551EA"/>
    <w:rsid w:val="003557D7"/>
    <w:rsid w:val="00355D7B"/>
    <w:rsid w:val="00356050"/>
    <w:rsid w:val="00356190"/>
    <w:rsid w:val="003568FB"/>
    <w:rsid w:val="00356BF9"/>
    <w:rsid w:val="00356C94"/>
    <w:rsid w:val="00357976"/>
    <w:rsid w:val="00357D50"/>
    <w:rsid w:val="00360280"/>
    <w:rsid w:val="003609FB"/>
    <w:rsid w:val="00360D8A"/>
    <w:rsid w:val="003612CC"/>
    <w:rsid w:val="003613D9"/>
    <w:rsid w:val="00361CBA"/>
    <w:rsid w:val="00362123"/>
    <w:rsid w:val="0036239C"/>
    <w:rsid w:val="003624D8"/>
    <w:rsid w:val="003625BF"/>
    <w:rsid w:val="00362CCA"/>
    <w:rsid w:val="0036324F"/>
    <w:rsid w:val="00363FCA"/>
    <w:rsid w:val="003640EC"/>
    <w:rsid w:val="00364577"/>
    <w:rsid w:val="00364902"/>
    <w:rsid w:val="00364B40"/>
    <w:rsid w:val="00364C93"/>
    <w:rsid w:val="00364E31"/>
    <w:rsid w:val="0036506F"/>
    <w:rsid w:val="003650D4"/>
    <w:rsid w:val="00365243"/>
    <w:rsid w:val="003657E8"/>
    <w:rsid w:val="00365C62"/>
    <w:rsid w:val="00366406"/>
    <w:rsid w:val="00366424"/>
    <w:rsid w:val="00366F3C"/>
    <w:rsid w:val="00366FCE"/>
    <w:rsid w:val="00367812"/>
    <w:rsid w:val="00367B7A"/>
    <w:rsid w:val="00367C03"/>
    <w:rsid w:val="00367D3E"/>
    <w:rsid w:val="00370A72"/>
    <w:rsid w:val="00370C3B"/>
    <w:rsid w:val="003711C3"/>
    <w:rsid w:val="00371356"/>
    <w:rsid w:val="003714E7"/>
    <w:rsid w:val="003714E8"/>
    <w:rsid w:val="00371569"/>
    <w:rsid w:val="003717BE"/>
    <w:rsid w:val="00371984"/>
    <w:rsid w:val="0037209A"/>
    <w:rsid w:val="0037269F"/>
    <w:rsid w:val="003726AA"/>
    <w:rsid w:val="0037273C"/>
    <w:rsid w:val="0037273F"/>
    <w:rsid w:val="00372923"/>
    <w:rsid w:val="00372A06"/>
    <w:rsid w:val="00372B99"/>
    <w:rsid w:val="00372C1A"/>
    <w:rsid w:val="00372C6C"/>
    <w:rsid w:val="00373180"/>
    <w:rsid w:val="003731D0"/>
    <w:rsid w:val="003732A9"/>
    <w:rsid w:val="003734A7"/>
    <w:rsid w:val="0037360F"/>
    <w:rsid w:val="00374286"/>
    <w:rsid w:val="003742DF"/>
    <w:rsid w:val="003747C3"/>
    <w:rsid w:val="003748AD"/>
    <w:rsid w:val="0037518F"/>
    <w:rsid w:val="00375BB6"/>
    <w:rsid w:val="00375D05"/>
    <w:rsid w:val="00375E12"/>
    <w:rsid w:val="00376745"/>
    <w:rsid w:val="00376816"/>
    <w:rsid w:val="00376A80"/>
    <w:rsid w:val="00376B01"/>
    <w:rsid w:val="00376BE8"/>
    <w:rsid w:val="00376C67"/>
    <w:rsid w:val="00376DA7"/>
    <w:rsid w:val="00376E00"/>
    <w:rsid w:val="00377574"/>
    <w:rsid w:val="003776CC"/>
    <w:rsid w:val="00377E43"/>
    <w:rsid w:val="00377FE9"/>
    <w:rsid w:val="0038016D"/>
    <w:rsid w:val="00380867"/>
    <w:rsid w:val="00380951"/>
    <w:rsid w:val="00381009"/>
    <w:rsid w:val="00381673"/>
    <w:rsid w:val="00381746"/>
    <w:rsid w:val="00382300"/>
    <w:rsid w:val="00382562"/>
    <w:rsid w:val="00382581"/>
    <w:rsid w:val="00382601"/>
    <w:rsid w:val="00382673"/>
    <w:rsid w:val="0038273B"/>
    <w:rsid w:val="00382A98"/>
    <w:rsid w:val="00383103"/>
    <w:rsid w:val="00383302"/>
    <w:rsid w:val="00383623"/>
    <w:rsid w:val="0038384C"/>
    <w:rsid w:val="00383EA0"/>
    <w:rsid w:val="00383EED"/>
    <w:rsid w:val="0038442D"/>
    <w:rsid w:val="00384B22"/>
    <w:rsid w:val="00384DDC"/>
    <w:rsid w:val="00385012"/>
    <w:rsid w:val="0038519E"/>
    <w:rsid w:val="003852E6"/>
    <w:rsid w:val="00385457"/>
    <w:rsid w:val="0038568E"/>
    <w:rsid w:val="00385967"/>
    <w:rsid w:val="003859C5"/>
    <w:rsid w:val="00385C54"/>
    <w:rsid w:val="00385EAF"/>
    <w:rsid w:val="00385F54"/>
    <w:rsid w:val="00386261"/>
    <w:rsid w:val="00386289"/>
    <w:rsid w:val="00386337"/>
    <w:rsid w:val="00386392"/>
    <w:rsid w:val="003865DD"/>
    <w:rsid w:val="00386D25"/>
    <w:rsid w:val="00386F27"/>
    <w:rsid w:val="003878FA"/>
    <w:rsid w:val="00387988"/>
    <w:rsid w:val="003879AA"/>
    <w:rsid w:val="00387B62"/>
    <w:rsid w:val="00387C07"/>
    <w:rsid w:val="00390104"/>
    <w:rsid w:val="00390193"/>
    <w:rsid w:val="003901FD"/>
    <w:rsid w:val="0039040E"/>
    <w:rsid w:val="00390540"/>
    <w:rsid w:val="003906E6"/>
    <w:rsid w:val="003909A7"/>
    <w:rsid w:val="00390B67"/>
    <w:rsid w:val="00390BEA"/>
    <w:rsid w:val="00390C91"/>
    <w:rsid w:val="00390D16"/>
    <w:rsid w:val="003912CC"/>
    <w:rsid w:val="00391381"/>
    <w:rsid w:val="003913C8"/>
    <w:rsid w:val="00391ADC"/>
    <w:rsid w:val="00391B95"/>
    <w:rsid w:val="00392150"/>
    <w:rsid w:val="003925DC"/>
    <w:rsid w:val="00392816"/>
    <w:rsid w:val="00392994"/>
    <w:rsid w:val="00392F52"/>
    <w:rsid w:val="00393001"/>
    <w:rsid w:val="00393548"/>
    <w:rsid w:val="003936D0"/>
    <w:rsid w:val="00393779"/>
    <w:rsid w:val="003939E0"/>
    <w:rsid w:val="00393A8C"/>
    <w:rsid w:val="00395030"/>
    <w:rsid w:val="0039598E"/>
    <w:rsid w:val="00395DF3"/>
    <w:rsid w:val="00396006"/>
    <w:rsid w:val="003967C4"/>
    <w:rsid w:val="00396B59"/>
    <w:rsid w:val="003970EA"/>
    <w:rsid w:val="003972E8"/>
    <w:rsid w:val="00397778"/>
    <w:rsid w:val="00397C30"/>
    <w:rsid w:val="003A0ABC"/>
    <w:rsid w:val="003A0E48"/>
    <w:rsid w:val="003A0FCF"/>
    <w:rsid w:val="003A18E6"/>
    <w:rsid w:val="003A1DBE"/>
    <w:rsid w:val="003A2464"/>
    <w:rsid w:val="003A27C0"/>
    <w:rsid w:val="003A2B93"/>
    <w:rsid w:val="003A39ED"/>
    <w:rsid w:val="003A3BBB"/>
    <w:rsid w:val="003A3BF9"/>
    <w:rsid w:val="003A3F75"/>
    <w:rsid w:val="003A414D"/>
    <w:rsid w:val="003A476F"/>
    <w:rsid w:val="003A487C"/>
    <w:rsid w:val="003A4882"/>
    <w:rsid w:val="003A51F8"/>
    <w:rsid w:val="003A5331"/>
    <w:rsid w:val="003A555B"/>
    <w:rsid w:val="003A579B"/>
    <w:rsid w:val="003A5B65"/>
    <w:rsid w:val="003A6164"/>
    <w:rsid w:val="003A6363"/>
    <w:rsid w:val="003A638D"/>
    <w:rsid w:val="003A6884"/>
    <w:rsid w:val="003A6913"/>
    <w:rsid w:val="003A6A68"/>
    <w:rsid w:val="003A75F1"/>
    <w:rsid w:val="003A761F"/>
    <w:rsid w:val="003A7780"/>
    <w:rsid w:val="003A7E1E"/>
    <w:rsid w:val="003A7F6A"/>
    <w:rsid w:val="003B031F"/>
    <w:rsid w:val="003B0550"/>
    <w:rsid w:val="003B08D0"/>
    <w:rsid w:val="003B0906"/>
    <w:rsid w:val="003B0C7D"/>
    <w:rsid w:val="003B0EFC"/>
    <w:rsid w:val="003B0FD7"/>
    <w:rsid w:val="003B1842"/>
    <w:rsid w:val="003B1CF0"/>
    <w:rsid w:val="003B2494"/>
    <w:rsid w:val="003B2A4C"/>
    <w:rsid w:val="003B2E5E"/>
    <w:rsid w:val="003B309C"/>
    <w:rsid w:val="003B3AF4"/>
    <w:rsid w:val="003B45F2"/>
    <w:rsid w:val="003B4AF6"/>
    <w:rsid w:val="003B5158"/>
    <w:rsid w:val="003B54FB"/>
    <w:rsid w:val="003B5DE7"/>
    <w:rsid w:val="003B653A"/>
    <w:rsid w:val="003B6573"/>
    <w:rsid w:val="003B694F"/>
    <w:rsid w:val="003B6CE4"/>
    <w:rsid w:val="003B6EDF"/>
    <w:rsid w:val="003B739E"/>
    <w:rsid w:val="003B74AA"/>
    <w:rsid w:val="003B7663"/>
    <w:rsid w:val="003C01B7"/>
    <w:rsid w:val="003C0275"/>
    <w:rsid w:val="003C02DF"/>
    <w:rsid w:val="003C0357"/>
    <w:rsid w:val="003C0522"/>
    <w:rsid w:val="003C0781"/>
    <w:rsid w:val="003C09F2"/>
    <w:rsid w:val="003C15B3"/>
    <w:rsid w:val="003C1830"/>
    <w:rsid w:val="003C1910"/>
    <w:rsid w:val="003C1A02"/>
    <w:rsid w:val="003C1F67"/>
    <w:rsid w:val="003C2180"/>
    <w:rsid w:val="003C21A5"/>
    <w:rsid w:val="003C2639"/>
    <w:rsid w:val="003C2D86"/>
    <w:rsid w:val="003C2E7D"/>
    <w:rsid w:val="003C349F"/>
    <w:rsid w:val="003C3AA2"/>
    <w:rsid w:val="003C3C83"/>
    <w:rsid w:val="003C4108"/>
    <w:rsid w:val="003C4332"/>
    <w:rsid w:val="003C457D"/>
    <w:rsid w:val="003C49D5"/>
    <w:rsid w:val="003C4B60"/>
    <w:rsid w:val="003C4BCB"/>
    <w:rsid w:val="003C4DEF"/>
    <w:rsid w:val="003C54DB"/>
    <w:rsid w:val="003C5593"/>
    <w:rsid w:val="003C55F1"/>
    <w:rsid w:val="003C5D7D"/>
    <w:rsid w:val="003C6492"/>
    <w:rsid w:val="003C67BB"/>
    <w:rsid w:val="003C6C8B"/>
    <w:rsid w:val="003C6DFA"/>
    <w:rsid w:val="003C76B0"/>
    <w:rsid w:val="003C78A1"/>
    <w:rsid w:val="003D0016"/>
    <w:rsid w:val="003D013B"/>
    <w:rsid w:val="003D0FE1"/>
    <w:rsid w:val="003D1521"/>
    <w:rsid w:val="003D1A62"/>
    <w:rsid w:val="003D1A9E"/>
    <w:rsid w:val="003D2201"/>
    <w:rsid w:val="003D25C3"/>
    <w:rsid w:val="003D2804"/>
    <w:rsid w:val="003D290C"/>
    <w:rsid w:val="003D29AF"/>
    <w:rsid w:val="003D29DB"/>
    <w:rsid w:val="003D2A81"/>
    <w:rsid w:val="003D2BF2"/>
    <w:rsid w:val="003D2C40"/>
    <w:rsid w:val="003D2CC9"/>
    <w:rsid w:val="003D2E8E"/>
    <w:rsid w:val="003D3321"/>
    <w:rsid w:val="003D3C61"/>
    <w:rsid w:val="003D3C78"/>
    <w:rsid w:val="003D4176"/>
    <w:rsid w:val="003D49CD"/>
    <w:rsid w:val="003D4B19"/>
    <w:rsid w:val="003D4E44"/>
    <w:rsid w:val="003D4E4F"/>
    <w:rsid w:val="003D4F8C"/>
    <w:rsid w:val="003D5083"/>
    <w:rsid w:val="003D54AD"/>
    <w:rsid w:val="003D5548"/>
    <w:rsid w:val="003D5706"/>
    <w:rsid w:val="003D5767"/>
    <w:rsid w:val="003D5F26"/>
    <w:rsid w:val="003D5F43"/>
    <w:rsid w:val="003D612D"/>
    <w:rsid w:val="003D636B"/>
    <w:rsid w:val="003D63F6"/>
    <w:rsid w:val="003D6AC6"/>
    <w:rsid w:val="003D6F80"/>
    <w:rsid w:val="003D711E"/>
    <w:rsid w:val="003D726E"/>
    <w:rsid w:val="003D78AA"/>
    <w:rsid w:val="003E0008"/>
    <w:rsid w:val="003E0D8E"/>
    <w:rsid w:val="003E0E34"/>
    <w:rsid w:val="003E0F63"/>
    <w:rsid w:val="003E158D"/>
    <w:rsid w:val="003E2233"/>
    <w:rsid w:val="003E236B"/>
    <w:rsid w:val="003E252A"/>
    <w:rsid w:val="003E2A3C"/>
    <w:rsid w:val="003E2CAE"/>
    <w:rsid w:val="003E2E48"/>
    <w:rsid w:val="003E2E9B"/>
    <w:rsid w:val="003E3535"/>
    <w:rsid w:val="003E3A32"/>
    <w:rsid w:val="003E3ADF"/>
    <w:rsid w:val="003E3B36"/>
    <w:rsid w:val="003E411C"/>
    <w:rsid w:val="003E4669"/>
    <w:rsid w:val="003E46AE"/>
    <w:rsid w:val="003E478C"/>
    <w:rsid w:val="003E4A75"/>
    <w:rsid w:val="003E5392"/>
    <w:rsid w:val="003E55C7"/>
    <w:rsid w:val="003E5A63"/>
    <w:rsid w:val="003E6057"/>
    <w:rsid w:val="003E6104"/>
    <w:rsid w:val="003E65BF"/>
    <w:rsid w:val="003E68C3"/>
    <w:rsid w:val="003E735A"/>
    <w:rsid w:val="003E7680"/>
    <w:rsid w:val="003E7A53"/>
    <w:rsid w:val="003F0C1E"/>
    <w:rsid w:val="003F0F1A"/>
    <w:rsid w:val="003F1137"/>
    <w:rsid w:val="003F118A"/>
    <w:rsid w:val="003F11EF"/>
    <w:rsid w:val="003F13D8"/>
    <w:rsid w:val="003F13F0"/>
    <w:rsid w:val="003F165C"/>
    <w:rsid w:val="003F16AC"/>
    <w:rsid w:val="003F171C"/>
    <w:rsid w:val="003F1831"/>
    <w:rsid w:val="003F1919"/>
    <w:rsid w:val="003F2105"/>
    <w:rsid w:val="003F24AF"/>
    <w:rsid w:val="003F2709"/>
    <w:rsid w:val="003F28CA"/>
    <w:rsid w:val="003F2942"/>
    <w:rsid w:val="003F29E6"/>
    <w:rsid w:val="003F2F49"/>
    <w:rsid w:val="003F3CEF"/>
    <w:rsid w:val="003F3E65"/>
    <w:rsid w:val="003F3F50"/>
    <w:rsid w:val="003F47CB"/>
    <w:rsid w:val="003F489C"/>
    <w:rsid w:val="003F4987"/>
    <w:rsid w:val="003F4A49"/>
    <w:rsid w:val="003F50B6"/>
    <w:rsid w:val="003F56DC"/>
    <w:rsid w:val="003F57B6"/>
    <w:rsid w:val="003F5B2F"/>
    <w:rsid w:val="003F60FF"/>
    <w:rsid w:val="003F623B"/>
    <w:rsid w:val="003F6524"/>
    <w:rsid w:val="003F657B"/>
    <w:rsid w:val="003F666A"/>
    <w:rsid w:val="003F67B4"/>
    <w:rsid w:val="003F68ED"/>
    <w:rsid w:val="003F6E31"/>
    <w:rsid w:val="003F74BA"/>
    <w:rsid w:val="0040001F"/>
    <w:rsid w:val="0040036F"/>
    <w:rsid w:val="0040061D"/>
    <w:rsid w:val="0040072F"/>
    <w:rsid w:val="00400FE2"/>
    <w:rsid w:val="0040105E"/>
    <w:rsid w:val="004010A2"/>
    <w:rsid w:val="0040114D"/>
    <w:rsid w:val="00401172"/>
    <w:rsid w:val="004012A1"/>
    <w:rsid w:val="004017CC"/>
    <w:rsid w:val="0040183B"/>
    <w:rsid w:val="0040194E"/>
    <w:rsid w:val="00401DDD"/>
    <w:rsid w:val="00401FB6"/>
    <w:rsid w:val="004020AE"/>
    <w:rsid w:val="00402275"/>
    <w:rsid w:val="00402A40"/>
    <w:rsid w:val="00402AD6"/>
    <w:rsid w:val="00402C1A"/>
    <w:rsid w:val="00402D44"/>
    <w:rsid w:val="00402FA2"/>
    <w:rsid w:val="00403FE4"/>
    <w:rsid w:val="004043DF"/>
    <w:rsid w:val="00404CB5"/>
    <w:rsid w:val="00405DF2"/>
    <w:rsid w:val="00405E4E"/>
    <w:rsid w:val="00405F4A"/>
    <w:rsid w:val="00406407"/>
    <w:rsid w:val="00406619"/>
    <w:rsid w:val="00406D90"/>
    <w:rsid w:val="00406F1B"/>
    <w:rsid w:val="00407295"/>
    <w:rsid w:val="00407309"/>
    <w:rsid w:val="004078B1"/>
    <w:rsid w:val="00407959"/>
    <w:rsid w:val="004079E0"/>
    <w:rsid w:val="00407AB7"/>
    <w:rsid w:val="00407C10"/>
    <w:rsid w:val="00407FCA"/>
    <w:rsid w:val="0041050E"/>
    <w:rsid w:val="004107F8"/>
    <w:rsid w:val="004110E6"/>
    <w:rsid w:val="0041154D"/>
    <w:rsid w:val="004116C7"/>
    <w:rsid w:val="00411A73"/>
    <w:rsid w:val="00411DF3"/>
    <w:rsid w:val="00411F9B"/>
    <w:rsid w:val="00412487"/>
    <w:rsid w:val="004128EA"/>
    <w:rsid w:val="004129EA"/>
    <w:rsid w:val="00412FC5"/>
    <w:rsid w:val="004131D9"/>
    <w:rsid w:val="00413683"/>
    <w:rsid w:val="00413CF3"/>
    <w:rsid w:val="0041441C"/>
    <w:rsid w:val="00414D71"/>
    <w:rsid w:val="004151B2"/>
    <w:rsid w:val="0041541E"/>
    <w:rsid w:val="004159AB"/>
    <w:rsid w:val="004160C6"/>
    <w:rsid w:val="004167D5"/>
    <w:rsid w:val="00416ABF"/>
    <w:rsid w:val="00416BDE"/>
    <w:rsid w:val="00417068"/>
    <w:rsid w:val="0041799B"/>
    <w:rsid w:val="00417C8F"/>
    <w:rsid w:val="00417CAC"/>
    <w:rsid w:val="00417D84"/>
    <w:rsid w:val="0042002B"/>
    <w:rsid w:val="00420055"/>
    <w:rsid w:val="00420114"/>
    <w:rsid w:val="00420342"/>
    <w:rsid w:val="0042046F"/>
    <w:rsid w:val="004208E5"/>
    <w:rsid w:val="00420C4F"/>
    <w:rsid w:val="00420D9A"/>
    <w:rsid w:val="00420DF2"/>
    <w:rsid w:val="00421235"/>
    <w:rsid w:val="004213A5"/>
    <w:rsid w:val="00421861"/>
    <w:rsid w:val="0042194F"/>
    <w:rsid w:val="00421B01"/>
    <w:rsid w:val="00421BEC"/>
    <w:rsid w:val="00422064"/>
    <w:rsid w:val="00422276"/>
    <w:rsid w:val="0042266B"/>
    <w:rsid w:val="00422712"/>
    <w:rsid w:val="00422846"/>
    <w:rsid w:val="00422AF8"/>
    <w:rsid w:val="00422DA8"/>
    <w:rsid w:val="00422FAF"/>
    <w:rsid w:val="004231B2"/>
    <w:rsid w:val="0042323A"/>
    <w:rsid w:val="00423338"/>
    <w:rsid w:val="00423448"/>
    <w:rsid w:val="004234C2"/>
    <w:rsid w:val="004239FF"/>
    <w:rsid w:val="00423A21"/>
    <w:rsid w:val="00423B5A"/>
    <w:rsid w:val="00423B7F"/>
    <w:rsid w:val="00423D57"/>
    <w:rsid w:val="004242C5"/>
    <w:rsid w:val="004242F1"/>
    <w:rsid w:val="00424775"/>
    <w:rsid w:val="00424B37"/>
    <w:rsid w:val="00424D3A"/>
    <w:rsid w:val="00424DED"/>
    <w:rsid w:val="00424F01"/>
    <w:rsid w:val="004251D3"/>
    <w:rsid w:val="00425964"/>
    <w:rsid w:val="0042614E"/>
    <w:rsid w:val="00426258"/>
    <w:rsid w:val="00426325"/>
    <w:rsid w:val="00426361"/>
    <w:rsid w:val="00426E65"/>
    <w:rsid w:val="00426E75"/>
    <w:rsid w:val="00426EED"/>
    <w:rsid w:val="0042705E"/>
    <w:rsid w:val="004274C6"/>
    <w:rsid w:val="004277B5"/>
    <w:rsid w:val="0042780D"/>
    <w:rsid w:val="0042794A"/>
    <w:rsid w:val="00427A4F"/>
    <w:rsid w:val="00427A50"/>
    <w:rsid w:val="00427B79"/>
    <w:rsid w:val="00430787"/>
    <w:rsid w:val="00430FBC"/>
    <w:rsid w:val="00431ACA"/>
    <w:rsid w:val="00432492"/>
    <w:rsid w:val="004334F1"/>
    <w:rsid w:val="00433581"/>
    <w:rsid w:val="00433B9F"/>
    <w:rsid w:val="00433F37"/>
    <w:rsid w:val="00434161"/>
    <w:rsid w:val="00434850"/>
    <w:rsid w:val="00434AC6"/>
    <w:rsid w:val="00434C0F"/>
    <w:rsid w:val="00434F38"/>
    <w:rsid w:val="0043593D"/>
    <w:rsid w:val="00436D88"/>
    <w:rsid w:val="00436EA2"/>
    <w:rsid w:val="00437011"/>
    <w:rsid w:val="004373B9"/>
    <w:rsid w:val="00437423"/>
    <w:rsid w:val="00437530"/>
    <w:rsid w:val="004379A0"/>
    <w:rsid w:val="0044048A"/>
    <w:rsid w:val="004407CB"/>
    <w:rsid w:val="00440AE7"/>
    <w:rsid w:val="00440CAE"/>
    <w:rsid w:val="00440CE4"/>
    <w:rsid w:val="00440D1C"/>
    <w:rsid w:val="00441205"/>
    <w:rsid w:val="004415CF"/>
    <w:rsid w:val="00441C07"/>
    <w:rsid w:val="0044236B"/>
    <w:rsid w:val="00442943"/>
    <w:rsid w:val="00442C79"/>
    <w:rsid w:val="00442E7A"/>
    <w:rsid w:val="004436F3"/>
    <w:rsid w:val="00443895"/>
    <w:rsid w:val="00443960"/>
    <w:rsid w:val="0044397B"/>
    <w:rsid w:val="00443A50"/>
    <w:rsid w:val="00443B50"/>
    <w:rsid w:val="00444125"/>
    <w:rsid w:val="0044425E"/>
    <w:rsid w:val="004447C4"/>
    <w:rsid w:val="00444F98"/>
    <w:rsid w:val="00445182"/>
    <w:rsid w:val="00445534"/>
    <w:rsid w:val="004455F2"/>
    <w:rsid w:val="0044562E"/>
    <w:rsid w:val="00445A00"/>
    <w:rsid w:val="00445DAF"/>
    <w:rsid w:val="004460C3"/>
    <w:rsid w:val="00446A65"/>
    <w:rsid w:val="00446D88"/>
    <w:rsid w:val="00446FB3"/>
    <w:rsid w:val="0044742B"/>
    <w:rsid w:val="00447A30"/>
    <w:rsid w:val="00447B8B"/>
    <w:rsid w:val="00447E8E"/>
    <w:rsid w:val="00450245"/>
    <w:rsid w:val="00450C08"/>
    <w:rsid w:val="00451B0F"/>
    <w:rsid w:val="00451CE2"/>
    <w:rsid w:val="00452055"/>
    <w:rsid w:val="0045206C"/>
    <w:rsid w:val="004522C8"/>
    <w:rsid w:val="00452853"/>
    <w:rsid w:val="0045287D"/>
    <w:rsid w:val="00453342"/>
    <w:rsid w:val="00453686"/>
    <w:rsid w:val="004536C2"/>
    <w:rsid w:val="00453B6A"/>
    <w:rsid w:val="00453BD2"/>
    <w:rsid w:val="00453CE9"/>
    <w:rsid w:val="004543ED"/>
    <w:rsid w:val="004545B8"/>
    <w:rsid w:val="00454800"/>
    <w:rsid w:val="004549E4"/>
    <w:rsid w:val="00454B18"/>
    <w:rsid w:val="004552CB"/>
    <w:rsid w:val="00455A9A"/>
    <w:rsid w:val="00455C90"/>
    <w:rsid w:val="00455CE7"/>
    <w:rsid w:val="0045610A"/>
    <w:rsid w:val="0045621E"/>
    <w:rsid w:val="004562F1"/>
    <w:rsid w:val="004564B2"/>
    <w:rsid w:val="00456703"/>
    <w:rsid w:val="004569BC"/>
    <w:rsid w:val="00456F94"/>
    <w:rsid w:val="0045732B"/>
    <w:rsid w:val="004574D0"/>
    <w:rsid w:val="00457934"/>
    <w:rsid w:val="004601C9"/>
    <w:rsid w:val="0046125F"/>
    <w:rsid w:val="004612EA"/>
    <w:rsid w:val="0046152D"/>
    <w:rsid w:val="00462163"/>
    <w:rsid w:val="0046263D"/>
    <w:rsid w:val="0046288F"/>
    <w:rsid w:val="00462ABF"/>
    <w:rsid w:val="00462AD4"/>
    <w:rsid w:val="0046302C"/>
    <w:rsid w:val="004633E3"/>
    <w:rsid w:val="004636EF"/>
    <w:rsid w:val="004639A7"/>
    <w:rsid w:val="00463B30"/>
    <w:rsid w:val="00463E39"/>
    <w:rsid w:val="004640BA"/>
    <w:rsid w:val="00464186"/>
    <w:rsid w:val="004642C9"/>
    <w:rsid w:val="004647AA"/>
    <w:rsid w:val="00464998"/>
    <w:rsid w:val="00464A34"/>
    <w:rsid w:val="00464A35"/>
    <w:rsid w:val="00465217"/>
    <w:rsid w:val="00465466"/>
    <w:rsid w:val="00465790"/>
    <w:rsid w:val="00466203"/>
    <w:rsid w:val="004663E2"/>
    <w:rsid w:val="00466434"/>
    <w:rsid w:val="00466693"/>
    <w:rsid w:val="004668A3"/>
    <w:rsid w:val="00466A10"/>
    <w:rsid w:val="00466A6E"/>
    <w:rsid w:val="00466BC1"/>
    <w:rsid w:val="00466C41"/>
    <w:rsid w:val="00466C94"/>
    <w:rsid w:val="00466CDB"/>
    <w:rsid w:val="00466D8B"/>
    <w:rsid w:val="0046706A"/>
    <w:rsid w:val="0046747E"/>
    <w:rsid w:val="0046747F"/>
    <w:rsid w:val="00467A60"/>
    <w:rsid w:val="00467AD2"/>
    <w:rsid w:val="00467B71"/>
    <w:rsid w:val="00470045"/>
    <w:rsid w:val="004708D4"/>
    <w:rsid w:val="00470A0E"/>
    <w:rsid w:val="00470DDE"/>
    <w:rsid w:val="004719BC"/>
    <w:rsid w:val="00471ACB"/>
    <w:rsid w:val="00471B29"/>
    <w:rsid w:val="00471BF5"/>
    <w:rsid w:val="00472CFE"/>
    <w:rsid w:val="00473047"/>
    <w:rsid w:val="004730F7"/>
    <w:rsid w:val="0047323C"/>
    <w:rsid w:val="004737E5"/>
    <w:rsid w:val="0047386A"/>
    <w:rsid w:val="00473A1B"/>
    <w:rsid w:val="00473B39"/>
    <w:rsid w:val="00473B46"/>
    <w:rsid w:val="004740A6"/>
    <w:rsid w:val="00474425"/>
    <w:rsid w:val="00474760"/>
    <w:rsid w:val="004753AA"/>
    <w:rsid w:val="00475683"/>
    <w:rsid w:val="004757C1"/>
    <w:rsid w:val="00475885"/>
    <w:rsid w:val="00475AD4"/>
    <w:rsid w:val="00475BB5"/>
    <w:rsid w:val="004761A7"/>
    <w:rsid w:val="00476715"/>
    <w:rsid w:val="00476A8B"/>
    <w:rsid w:val="00476E97"/>
    <w:rsid w:val="00477B6F"/>
    <w:rsid w:val="00477D3F"/>
    <w:rsid w:val="00477F2B"/>
    <w:rsid w:val="0048030B"/>
    <w:rsid w:val="004805F7"/>
    <w:rsid w:val="0048083B"/>
    <w:rsid w:val="004808F6"/>
    <w:rsid w:val="00480ABB"/>
    <w:rsid w:val="00480CE1"/>
    <w:rsid w:val="00481081"/>
    <w:rsid w:val="004812B1"/>
    <w:rsid w:val="00481627"/>
    <w:rsid w:val="0048164D"/>
    <w:rsid w:val="004818AD"/>
    <w:rsid w:val="00481F22"/>
    <w:rsid w:val="00481FE6"/>
    <w:rsid w:val="00482326"/>
    <w:rsid w:val="00482805"/>
    <w:rsid w:val="00482A7C"/>
    <w:rsid w:val="00482B90"/>
    <w:rsid w:val="00482C2B"/>
    <w:rsid w:val="00482D92"/>
    <w:rsid w:val="00482DA5"/>
    <w:rsid w:val="00482DA8"/>
    <w:rsid w:val="004832BA"/>
    <w:rsid w:val="004836B9"/>
    <w:rsid w:val="0048373D"/>
    <w:rsid w:val="00483BDD"/>
    <w:rsid w:val="00483C3E"/>
    <w:rsid w:val="00483E67"/>
    <w:rsid w:val="00483F89"/>
    <w:rsid w:val="004844EB"/>
    <w:rsid w:val="0048475D"/>
    <w:rsid w:val="00484EB9"/>
    <w:rsid w:val="0048503A"/>
    <w:rsid w:val="00485219"/>
    <w:rsid w:val="00485878"/>
    <w:rsid w:val="0048588B"/>
    <w:rsid w:val="00485A44"/>
    <w:rsid w:val="00485B57"/>
    <w:rsid w:val="00485B5A"/>
    <w:rsid w:val="00485B5D"/>
    <w:rsid w:val="00485D21"/>
    <w:rsid w:val="00485D88"/>
    <w:rsid w:val="00485F98"/>
    <w:rsid w:val="00486778"/>
    <w:rsid w:val="004867F6"/>
    <w:rsid w:val="00486BB1"/>
    <w:rsid w:val="00486BD5"/>
    <w:rsid w:val="00486C45"/>
    <w:rsid w:val="004872EA"/>
    <w:rsid w:val="004874EA"/>
    <w:rsid w:val="00487524"/>
    <w:rsid w:val="00487C01"/>
    <w:rsid w:val="00487EDD"/>
    <w:rsid w:val="00490129"/>
    <w:rsid w:val="004903A8"/>
    <w:rsid w:val="00490508"/>
    <w:rsid w:val="00490581"/>
    <w:rsid w:val="0049072A"/>
    <w:rsid w:val="00490772"/>
    <w:rsid w:val="00490B6C"/>
    <w:rsid w:val="00490BD6"/>
    <w:rsid w:val="00490BE5"/>
    <w:rsid w:val="0049134D"/>
    <w:rsid w:val="004917A4"/>
    <w:rsid w:val="00491A8D"/>
    <w:rsid w:val="00491B90"/>
    <w:rsid w:val="00492CC1"/>
    <w:rsid w:val="00493191"/>
    <w:rsid w:val="00493684"/>
    <w:rsid w:val="004937B8"/>
    <w:rsid w:val="004946E8"/>
    <w:rsid w:val="00494FF9"/>
    <w:rsid w:val="004953CF"/>
    <w:rsid w:val="00495618"/>
    <w:rsid w:val="00495B62"/>
    <w:rsid w:val="00495D18"/>
    <w:rsid w:val="00495D7C"/>
    <w:rsid w:val="00496051"/>
    <w:rsid w:val="00496106"/>
    <w:rsid w:val="0049617C"/>
    <w:rsid w:val="004963A4"/>
    <w:rsid w:val="00496403"/>
    <w:rsid w:val="00496479"/>
    <w:rsid w:val="004966B0"/>
    <w:rsid w:val="00496768"/>
    <w:rsid w:val="0049696A"/>
    <w:rsid w:val="00497067"/>
    <w:rsid w:val="00497165"/>
    <w:rsid w:val="0049739D"/>
    <w:rsid w:val="004973DE"/>
    <w:rsid w:val="0049753B"/>
    <w:rsid w:val="00497681"/>
    <w:rsid w:val="004A0175"/>
    <w:rsid w:val="004A09C4"/>
    <w:rsid w:val="004A0C28"/>
    <w:rsid w:val="004A0C75"/>
    <w:rsid w:val="004A0CB7"/>
    <w:rsid w:val="004A0E06"/>
    <w:rsid w:val="004A0FAB"/>
    <w:rsid w:val="004A12DD"/>
    <w:rsid w:val="004A134D"/>
    <w:rsid w:val="004A1438"/>
    <w:rsid w:val="004A153C"/>
    <w:rsid w:val="004A1BA0"/>
    <w:rsid w:val="004A1C4A"/>
    <w:rsid w:val="004A1D8A"/>
    <w:rsid w:val="004A1F61"/>
    <w:rsid w:val="004A245B"/>
    <w:rsid w:val="004A2512"/>
    <w:rsid w:val="004A2EED"/>
    <w:rsid w:val="004A2F73"/>
    <w:rsid w:val="004A3173"/>
    <w:rsid w:val="004A32F6"/>
    <w:rsid w:val="004A334D"/>
    <w:rsid w:val="004A4A1C"/>
    <w:rsid w:val="004A4FF3"/>
    <w:rsid w:val="004A556A"/>
    <w:rsid w:val="004A5F3B"/>
    <w:rsid w:val="004A5F60"/>
    <w:rsid w:val="004A5FE6"/>
    <w:rsid w:val="004A613A"/>
    <w:rsid w:val="004A62EB"/>
    <w:rsid w:val="004A6425"/>
    <w:rsid w:val="004A666A"/>
    <w:rsid w:val="004A696E"/>
    <w:rsid w:val="004A6E00"/>
    <w:rsid w:val="004A74C2"/>
    <w:rsid w:val="004A7620"/>
    <w:rsid w:val="004B03B5"/>
    <w:rsid w:val="004B0F56"/>
    <w:rsid w:val="004B1421"/>
    <w:rsid w:val="004B1724"/>
    <w:rsid w:val="004B17B1"/>
    <w:rsid w:val="004B1868"/>
    <w:rsid w:val="004B187B"/>
    <w:rsid w:val="004B1BEB"/>
    <w:rsid w:val="004B1F06"/>
    <w:rsid w:val="004B22A9"/>
    <w:rsid w:val="004B2E89"/>
    <w:rsid w:val="004B2F4B"/>
    <w:rsid w:val="004B2FD0"/>
    <w:rsid w:val="004B2FE7"/>
    <w:rsid w:val="004B3305"/>
    <w:rsid w:val="004B3B03"/>
    <w:rsid w:val="004B3E6A"/>
    <w:rsid w:val="004B43DB"/>
    <w:rsid w:val="004B47E0"/>
    <w:rsid w:val="004B495A"/>
    <w:rsid w:val="004B4C5C"/>
    <w:rsid w:val="004B51B3"/>
    <w:rsid w:val="004B52BE"/>
    <w:rsid w:val="004B5EA4"/>
    <w:rsid w:val="004B637D"/>
    <w:rsid w:val="004B65B5"/>
    <w:rsid w:val="004B6951"/>
    <w:rsid w:val="004B6D4E"/>
    <w:rsid w:val="004B7591"/>
    <w:rsid w:val="004B7A2B"/>
    <w:rsid w:val="004B7AEF"/>
    <w:rsid w:val="004B7CAE"/>
    <w:rsid w:val="004B7F79"/>
    <w:rsid w:val="004C00E4"/>
    <w:rsid w:val="004C08FE"/>
    <w:rsid w:val="004C0922"/>
    <w:rsid w:val="004C0A38"/>
    <w:rsid w:val="004C0D98"/>
    <w:rsid w:val="004C12D0"/>
    <w:rsid w:val="004C13DE"/>
    <w:rsid w:val="004C1818"/>
    <w:rsid w:val="004C208F"/>
    <w:rsid w:val="004C27BB"/>
    <w:rsid w:val="004C2B33"/>
    <w:rsid w:val="004C2CC5"/>
    <w:rsid w:val="004C2DF2"/>
    <w:rsid w:val="004C2EE3"/>
    <w:rsid w:val="004C34B0"/>
    <w:rsid w:val="004C3E45"/>
    <w:rsid w:val="004C4154"/>
    <w:rsid w:val="004C438E"/>
    <w:rsid w:val="004C4412"/>
    <w:rsid w:val="004C4819"/>
    <w:rsid w:val="004C4983"/>
    <w:rsid w:val="004C4FFE"/>
    <w:rsid w:val="004C5068"/>
    <w:rsid w:val="004C541B"/>
    <w:rsid w:val="004C5482"/>
    <w:rsid w:val="004C5C4B"/>
    <w:rsid w:val="004C5E2E"/>
    <w:rsid w:val="004C5EEA"/>
    <w:rsid w:val="004C60A1"/>
    <w:rsid w:val="004C63DE"/>
    <w:rsid w:val="004C65C2"/>
    <w:rsid w:val="004C66E5"/>
    <w:rsid w:val="004C6796"/>
    <w:rsid w:val="004C68B1"/>
    <w:rsid w:val="004C6D69"/>
    <w:rsid w:val="004C71E1"/>
    <w:rsid w:val="004C74E6"/>
    <w:rsid w:val="004C7690"/>
    <w:rsid w:val="004C78B7"/>
    <w:rsid w:val="004C7E00"/>
    <w:rsid w:val="004D06EA"/>
    <w:rsid w:val="004D093B"/>
    <w:rsid w:val="004D1155"/>
    <w:rsid w:val="004D11FA"/>
    <w:rsid w:val="004D139B"/>
    <w:rsid w:val="004D144B"/>
    <w:rsid w:val="004D1BD9"/>
    <w:rsid w:val="004D21EB"/>
    <w:rsid w:val="004D22C5"/>
    <w:rsid w:val="004D247E"/>
    <w:rsid w:val="004D286B"/>
    <w:rsid w:val="004D28DA"/>
    <w:rsid w:val="004D28FC"/>
    <w:rsid w:val="004D2A9D"/>
    <w:rsid w:val="004D3203"/>
    <w:rsid w:val="004D349D"/>
    <w:rsid w:val="004D3526"/>
    <w:rsid w:val="004D37A2"/>
    <w:rsid w:val="004D3C06"/>
    <w:rsid w:val="004D439F"/>
    <w:rsid w:val="004D461D"/>
    <w:rsid w:val="004D493C"/>
    <w:rsid w:val="004D4C79"/>
    <w:rsid w:val="004D556B"/>
    <w:rsid w:val="004D5607"/>
    <w:rsid w:val="004D5C52"/>
    <w:rsid w:val="004D5EE3"/>
    <w:rsid w:val="004D5F97"/>
    <w:rsid w:val="004D61B2"/>
    <w:rsid w:val="004D6AAE"/>
    <w:rsid w:val="004D6B36"/>
    <w:rsid w:val="004D6FE5"/>
    <w:rsid w:val="004D7320"/>
    <w:rsid w:val="004E01FA"/>
    <w:rsid w:val="004E02C1"/>
    <w:rsid w:val="004E04B7"/>
    <w:rsid w:val="004E0841"/>
    <w:rsid w:val="004E09E4"/>
    <w:rsid w:val="004E0BFC"/>
    <w:rsid w:val="004E1B97"/>
    <w:rsid w:val="004E1C06"/>
    <w:rsid w:val="004E1F82"/>
    <w:rsid w:val="004E22F7"/>
    <w:rsid w:val="004E2722"/>
    <w:rsid w:val="004E3124"/>
    <w:rsid w:val="004E364C"/>
    <w:rsid w:val="004E36AC"/>
    <w:rsid w:val="004E3873"/>
    <w:rsid w:val="004E3B4A"/>
    <w:rsid w:val="004E3D9A"/>
    <w:rsid w:val="004E41D1"/>
    <w:rsid w:val="004E4299"/>
    <w:rsid w:val="004E45E9"/>
    <w:rsid w:val="004E4655"/>
    <w:rsid w:val="004E4769"/>
    <w:rsid w:val="004E484C"/>
    <w:rsid w:val="004E4A22"/>
    <w:rsid w:val="004E51A5"/>
    <w:rsid w:val="004E559B"/>
    <w:rsid w:val="004E5FAB"/>
    <w:rsid w:val="004E62A3"/>
    <w:rsid w:val="004E660C"/>
    <w:rsid w:val="004E687F"/>
    <w:rsid w:val="004E6A59"/>
    <w:rsid w:val="004E7216"/>
    <w:rsid w:val="004E727F"/>
    <w:rsid w:val="004E73DD"/>
    <w:rsid w:val="004E7711"/>
    <w:rsid w:val="004E78B4"/>
    <w:rsid w:val="004E7BB0"/>
    <w:rsid w:val="004F0845"/>
    <w:rsid w:val="004F08A7"/>
    <w:rsid w:val="004F0960"/>
    <w:rsid w:val="004F0A55"/>
    <w:rsid w:val="004F13DE"/>
    <w:rsid w:val="004F1400"/>
    <w:rsid w:val="004F1B8E"/>
    <w:rsid w:val="004F1CD1"/>
    <w:rsid w:val="004F1CD9"/>
    <w:rsid w:val="004F2043"/>
    <w:rsid w:val="004F2089"/>
    <w:rsid w:val="004F2CF9"/>
    <w:rsid w:val="004F2EBE"/>
    <w:rsid w:val="004F353F"/>
    <w:rsid w:val="004F35A3"/>
    <w:rsid w:val="004F35A4"/>
    <w:rsid w:val="004F411A"/>
    <w:rsid w:val="004F4853"/>
    <w:rsid w:val="004F4D22"/>
    <w:rsid w:val="004F4D75"/>
    <w:rsid w:val="004F52B3"/>
    <w:rsid w:val="004F5379"/>
    <w:rsid w:val="004F539F"/>
    <w:rsid w:val="004F5ADD"/>
    <w:rsid w:val="004F5DD4"/>
    <w:rsid w:val="004F5EA6"/>
    <w:rsid w:val="004F619F"/>
    <w:rsid w:val="004F6778"/>
    <w:rsid w:val="004F6794"/>
    <w:rsid w:val="004F69BD"/>
    <w:rsid w:val="004F6DEE"/>
    <w:rsid w:val="004F7B99"/>
    <w:rsid w:val="004F7BAC"/>
    <w:rsid w:val="00500143"/>
    <w:rsid w:val="00500335"/>
    <w:rsid w:val="005003ED"/>
    <w:rsid w:val="005004E3"/>
    <w:rsid w:val="00500AE3"/>
    <w:rsid w:val="00500B60"/>
    <w:rsid w:val="00500CA4"/>
    <w:rsid w:val="0050136A"/>
    <w:rsid w:val="005019D6"/>
    <w:rsid w:val="005023BD"/>
    <w:rsid w:val="00502994"/>
    <w:rsid w:val="005029F4"/>
    <w:rsid w:val="00503397"/>
    <w:rsid w:val="00503711"/>
    <w:rsid w:val="0050396B"/>
    <w:rsid w:val="00503A1B"/>
    <w:rsid w:val="00503A8D"/>
    <w:rsid w:val="00503C93"/>
    <w:rsid w:val="005041DC"/>
    <w:rsid w:val="0050445B"/>
    <w:rsid w:val="00504DA1"/>
    <w:rsid w:val="0050500E"/>
    <w:rsid w:val="005053F8"/>
    <w:rsid w:val="00505C3D"/>
    <w:rsid w:val="00505E3B"/>
    <w:rsid w:val="00506265"/>
    <w:rsid w:val="00506495"/>
    <w:rsid w:val="00506516"/>
    <w:rsid w:val="00506905"/>
    <w:rsid w:val="00506944"/>
    <w:rsid w:val="00506D33"/>
    <w:rsid w:val="00506EEC"/>
    <w:rsid w:val="00507024"/>
    <w:rsid w:val="0050709A"/>
    <w:rsid w:val="0050755B"/>
    <w:rsid w:val="0050756A"/>
    <w:rsid w:val="00507587"/>
    <w:rsid w:val="00507EAE"/>
    <w:rsid w:val="005103C6"/>
    <w:rsid w:val="005107D1"/>
    <w:rsid w:val="00510FFE"/>
    <w:rsid w:val="0051163A"/>
    <w:rsid w:val="00511968"/>
    <w:rsid w:val="00511F01"/>
    <w:rsid w:val="0051216D"/>
    <w:rsid w:val="0051249F"/>
    <w:rsid w:val="005126A0"/>
    <w:rsid w:val="00512C67"/>
    <w:rsid w:val="0051469A"/>
    <w:rsid w:val="00514833"/>
    <w:rsid w:val="0051493A"/>
    <w:rsid w:val="005159F0"/>
    <w:rsid w:val="00515AB1"/>
    <w:rsid w:val="00515AE5"/>
    <w:rsid w:val="00515D38"/>
    <w:rsid w:val="00515EEC"/>
    <w:rsid w:val="00516309"/>
    <w:rsid w:val="00516FB8"/>
    <w:rsid w:val="005173B3"/>
    <w:rsid w:val="005173DB"/>
    <w:rsid w:val="00517409"/>
    <w:rsid w:val="0051761B"/>
    <w:rsid w:val="00517629"/>
    <w:rsid w:val="00517A55"/>
    <w:rsid w:val="00517D0A"/>
    <w:rsid w:val="00517F0F"/>
    <w:rsid w:val="005216A3"/>
    <w:rsid w:val="00521B3D"/>
    <w:rsid w:val="005224E5"/>
    <w:rsid w:val="00522993"/>
    <w:rsid w:val="00522A5B"/>
    <w:rsid w:val="00522A7D"/>
    <w:rsid w:val="00522C41"/>
    <w:rsid w:val="00523C69"/>
    <w:rsid w:val="00523E48"/>
    <w:rsid w:val="00523EB7"/>
    <w:rsid w:val="00524130"/>
    <w:rsid w:val="0052431D"/>
    <w:rsid w:val="0052438F"/>
    <w:rsid w:val="00524729"/>
    <w:rsid w:val="00524D47"/>
    <w:rsid w:val="00524DBA"/>
    <w:rsid w:val="0052506D"/>
    <w:rsid w:val="00525162"/>
    <w:rsid w:val="005255FE"/>
    <w:rsid w:val="005257F1"/>
    <w:rsid w:val="005259D5"/>
    <w:rsid w:val="0052612F"/>
    <w:rsid w:val="005267AA"/>
    <w:rsid w:val="005268D7"/>
    <w:rsid w:val="005271D7"/>
    <w:rsid w:val="005273E0"/>
    <w:rsid w:val="005277EA"/>
    <w:rsid w:val="00527A09"/>
    <w:rsid w:val="00527E5C"/>
    <w:rsid w:val="0053006D"/>
    <w:rsid w:val="00530768"/>
    <w:rsid w:val="00530B87"/>
    <w:rsid w:val="0053196F"/>
    <w:rsid w:val="005322C1"/>
    <w:rsid w:val="00532303"/>
    <w:rsid w:val="0053234D"/>
    <w:rsid w:val="00532543"/>
    <w:rsid w:val="005326BF"/>
    <w:rsid w:val="00532746"/>
    <w:rsid w:val="00532E36"/>
    <w:rsid w:val="00533621"/>
    <w:rsid w:val="00533F21"/>
    <w:rsid w:val="005340B3"/>
    <w:rsid w:val="0053427C"/>
    <w:rsid w:val="005346D6"/>
    <w:rsid w:val="00534D2C"/>
    <w:rsid w:val="00535047"/>
    <w:rsid w:val="0053521C"/>
    <w:rsid w:val="00535632"/>
    <w:rsid w:val="00535847"/>
    <w:rsid w:val="00535CB5"/>
    <w:rsid w:val="0053637E"/>
    <w:rsid w:val="005368D0"/>
    <w:rsid w:val="00537461"/>
    <w:rsid w:val="00537950"/>
    <w:rsid w:val="00537ADA"/>
    <w:rsid w:val="00540332"/>
    <w:rsid w:val="00540399"/>
    <w:rsid w:val="00540F94"/>
    <w:rsid w:val="00540F99"/>
    <w:rsid w:val="005410EC"/>
    <w:rsid w:val="005410F0"/>
    <w:rsid w:val="005412B0"/>
    <w:rsid w:val="005412FA"/>
    <w:rsid w:val="0054153D"/>
    <w:rsid w:val="00541569"/>
    <w:rsid w:val="005415B5"/>
    <w:rsid w:val="005416FE"/>
    <w:rsid w:val="00541A9B"/>
    <w:rsid w:val="00542447"/>
    <w:rsid w:val="00542965"/>
    <w:rsid w:val="00542DB3"/>
    <w:rsid w:val="00543320"/>
    <w:rsid w:val="00543F33"/>
    <w:rsid w:val="0054406F"/>
    <w:rsid w:val="00544403"/>
    <w:rsid w:val="0054462A"/>
    <w:rsid w:val="00544725"/>
    <w:rsid w:val="0054481D"/>
    <w:rsid w:val="00544B58"/>
    <w:rsid w:val="00544CBC"/>
    <w:rsid w:val="00544EB2"/>
    <w:rsid w:val="005450FD"/>
    <w:rsid w:val="00545226"/>
    <w:rsid w:val="005458E0"/>
    <w:rsid w:val="00545B67"/>
    <w:rsid w:val="005460D8"/>
    <w:rsid w:val="00546159"/>
    <w:rsid w:val="00546426"/>
    <w:rsid w:val="00546F98"/>
    <w:rsid w:val="00547389"/>
    <w:rsid w:val="00547606"/>
    <w:rsid w:val="005476C5"/>
    <w:rsid w:val="00547A9D"/>
    <w:rsid w:val="005503EF"/>
    <w:rsid w:val="005504FC"/>
    <w:rsid w:val="00550510"/>
    <w:rsid w:val="0055093B"/>
    <w:rsid w:val="00550A2C"/>
    <w:rsid w:val="00550B92"/>
    <w:rsid w:val="00550EC7"/>
    <w:rsid w:val="00550FA5"/>
    <w:rsid w:val="005510AE"/>
    <w:rsid w:val="005519AF"/>
    <w:rsid w:val="00551DC5"/>
    <w:rsid w:val="00551FBB"/>
    <w:rsid w:val="0055272C"/>
    <w:rsid w:val="00552BA6"/>
    <w:rsid w:val="00552EF7"/>
    <w:rsid w:val="00553094"/>
    <w:rsid w:val="00553609"/>
    <w:rsid w:val="00553736"/>
    <w:rsid w:val="00553806"/>
    <w:rsid w:val="005538F4"/>
    <w:rsid w:val="00553C82"/>
    <w:rsid w:val="00553E3E"/>
    <w:rsid w:val="0055432A"/>
    <w:rsid w:val="00554373"/>
    <w:rsid w:val="00554387"/>
    <w:rsid w:val="005545FC"/>
    <w:rsid w:val="0055480F"/>
    <w:rsid w:val="00554D72"/>
    <w:rsid w:val="00554EB2"/>
    <w:rsid w:val="0055509C"/>
    <w:rsid w:val="005550A1"/>
    <w:rsid w:val="005550FF"/>
    <w:rsid w:val="005551CA"/>
    <w:rsid w:val="00555A0D"/>
    <w:rsid w:val="00555AD8"/>
    <w:rsid w:val="00555C2D"/>
    <w:rsid w:val="00555C3D"/>
    <w:rsid w:val="00555FFC"/>
    <w:rsid w:val="0055614C"/>
    <w:rsid w:val="005561F7"/>
    <w:rsid w:val="00556375"/>
    <w:rsid w:val="00556509"/>
    <w:rsid w:val="00557093"/>
    <w:rsid w:val="00557177"/>
    <w:rsid w:val="005571A3"/>
    <w:rsid w:val="00557A50"/>
    <w:rsid w:val="00557DCE"/>
    <w:rsid w:val="00560164"/>
    <w:rsid w:val="0056064B"/>
    <w:rsid w:val="00560740"/>
    <w:rsid w:val="00560886"/>
    <w:rsid w:val="00560D0A"/>
    <w:rsid w:val="00561006"/>
    <w:rsid w:val="00561379"/>
    <w:rsid w:val="005615C3"/>
    <w:rsid w:val="00561C25"/>
    <w:rsid w:val="00562367"/>
    <w:rsid w:val="00562569"/>
    <w:rsid w:val="00562893"/>
    <w:rsid w:val="00562956"/>
    <w:rsid w:val="00562DFB"/>
    <w:rsid w:val="0056316E"/>
    <w:rsid w:val="005632CF"/>
    <w:rsid w:val="005639AC"/>
    <w:rsid w:val="00563B15"/>
    <w:rsid w:val="00563B61"/>
    <w:rsid w:val="00563D09"/>
    <w:rsid w:val="00563FA6"/>
    <w:rsid w:val="00564C51"/>
    <w:rsid w:val="00564DD4"/>
    <w:rsid w:val="00564F49"/>
    <w:rsid w:val="0056549A"/>
    <w:rsid w:val="005654C3"/>
    <w:rsid w:val="00565BBA"/>
    <w:rsid w:val="00566243"/>
    <w:rsid w:val="005662E5"/>
    <w:rsid w:val="0056641A"/>
    <w:rsid w:val="005664BF"/>
    <w:rsid w:val="00567196"/>
    <w:rsid w:val="00567253"/>
    <w:rsid w:val="005674A1"/>
    <w:rsid w:val="00567606"/>
    <w:rsid w:val="00570150"/>
    <w:rsid w:val="00570248"/>
    <w:rsid w:val="00570805"/>
    <w:rsid w:val="0057094C"/>
    <w:rsid w:val="00570D02"/>
    <w:rsid w:val="00571133"/>
    <w:rsid w:val="0057122C"/>
    <w:rsid w:val="00571333"/>
    <w:rsid w:val="005716C7"/>
    <w:rsid w:val="00571DAA"/>
    <w:rsid w:val="00571E65"/>
    <w:rsid w:val="0057216F"/>
    <w:rsid w:val="00572ACB"/>
    <w:rsid w:val="00572D2E"/>
    <w:rsid w:val="00573300"/>
    <w:rsid w:val="00573518"/>
    <w:rsid w:val="005736FE"/>
    <w:rsid w:val="005742F1"/>
    <w:rsid w:val="00574432"/>
    <w:rsid w:val="00574725"/>
    <w:rsid w:val="00575914"/>
    <w:rsid w:val="00575987"/>
    <w:rsid w:val="00575998"/>
    <w:rsid w:val="005759B2"/>
    <w:rsid w:val="00575B86"/>
    <w:rsid w:val="00575C27"/>
    <w:rsid w:val="005766E5"/>
    <w:rsid w:val="00576834"/>
    <w:rsid w:val="0057688D"/>
    <w:rsid w:val="00576A09"/>
    <w:rsid w:val="00576A53"/>
    <w:rsid w:val="00576B8F"/>
    <w:rsid w:val="005771F4"/>
    <w:rsid w:val="00577474"/>
    <w:rsid w:val="00577916"/>
    <w:rsid w:val="005803F8"/>
    <w:rsid w:val="005805D8"/>
    <w:rsid w:val="0058081A"/>
    <w:rsid w:val="00580976"/>
    <w:rsid w:val="00580D16"/>
    <w:rsid w:val="00580ECB"/>
    <w:rsid w:val="005810D2"/>
    <w:rsid w:val="005818F7"/>
    <w:rsid w:val="00581C0D"/>
    <w:rsid w:val="005822A0"/>
    <w:rsid w:val="0058286E"/>
    <w:rsid w:val="00582873"/>
    <w:rsid w:val="00582926"/>
    <w:rsid w:val="00582E80"/>
    <w:rsid w:val="00582EBA"/>
    <w:rsid w:val="005830FB"/>
    <w:rsid w:val="005831AA"/>
    <w:rsid w:val="00583413"/>
    <w:rsid w:val="00583B09"/>
    <w:rsid w:val="00583B1C"/>
    <w:rsid w:val="0058438A"/>
    <w:rsid w:val="00584898"/>
    <w:rsid w:val="005849E5"/>
    <w:rsid w:val="005855EB"/>
    <w:rsid w:val="00585B10"/>
    <w:rsid w:val="00585DF8"/>
    <w:rsid w:val="0058612C"/>
    <w:rsid w:val="005868C4"/>
    <w:rsid w:val="00587234"/>
    <w:rsid w:val="00587283"/>
    <w:rsid w:val="00587380"/>
    <w:rsid w:val="00587591"/>
    <w:rsid w:val="005876B8"/>
    <w:rsid w:val="00587C6F"/>
    <w:rsid w:val="005901A1"/>
    <w:rsid w:val="005905DD"/>
    <w:rsid w:val="00590CB2"/>
    <w:rsid w:val="005914DD"/>
    <w:rsid w:val="005914ED"/>
    <w:rsid w:val="005919D2"/>
    <w:rsid w:val="005921DC"/>
    <w:rsid w:val="0059255C"/>
    <w:rsid w:val="005927B1"/>
    <w:rsid w:val="00592C79"/>
    <w:rsid w:val="005931C1"/>
    <w:rsid w:val="005933A4"/>
    <w:rsid w:val="005934F1"/>
    <w:rsid w:val="00593E4E"/>
    <w:rsid w:val="00593F4D"/>
    <w:rsid w:val="0059426F"/>
    <w:rsid w:val="0059433B"/>
    <w:rsid w:val="00595264"/>
    <w:rsid w:val="0059529D"/>
    <w:rsid w:val="0059568E"/>
    <w:rsid w:val="00595887"/>
    <w:rsid w:val="00597268"/>
    <w:rsid w:val="0059773B"/>
    <w:rsid w:val="00597775"/>
    <w:rsid w:val="005A0E3C"/>
    <w:rsid w:val="005A15E7"/>
    <w:rsid w:val="005A1628"/>
    <w:rsid w:val="005A1747"/>
    <w:rsid w:val="005A1A7A"/>
    <w:rsid w:val="005A2107"/>
    <w:rsid w:val="005A227D"/>
    <w:rsid w:val="005A2AD3"/>
    <w:rsid w:val="005A2C3E"/>
    <w:rsid w:val="005A3792"/>
    <w:rsid w:val="005A3827"/>
    <w:rsid w:val="005A3DE6"/>
    <w:rsid w:val="005A3EA9"/>
    <w:rsid w:val="005A408E"/>
    <w:rsid w:val="005A415E"/>
    <w:rsid w:val="005A4374"/>
    <w:rsid w:val="005A4592"/>
    <w:rsid w:val="005A4E8A"/>
    <w:rsid w:val="005A5696"/>
    <w:rsid w:val="005A57C0"/>
    <w:rsid w:val="005A5EE8"/>
    <w:rsid w:val="005A61AE"/>
    <w:rsid w:val="005A6289"/>
    <w:rsid w:val="005A6379"/>
    <w:rsid w:val="005A69A8"/>
    <w:rsid w:val="005A6B67"/>
    <w:rsid w:val="005A6C21"/>
    <w:rsid w:val="005A6D2A"/>
    <w:rsid w:val="005A6D69"/>
    <w:rsid w:val="005A7033"/>
    <w:rsid w:val="005A7331"/>
    <w:rsid w:val="005A7607"/>
    <w:rsid w:val="005A77F6"/>
    <w:rsid w:val="005A7E53"/>
    <w:rsid w:val="005B0353"/>
    <w:rsid w:val="005B069D"/>
    <w:rsid w:val="005B0EA7"/>
    <w:rsid w:val="005B11EF"/>
    <w:rsid w:val="005B14BF"/>
    <w:rsid w:val="005B1918"/>
    <w:rsid w:val="005B195E"/>
    <w:rsid w:val="005B1AB3"/>
    <w:rsid w:val="005B1F10"/>
    <w:rsid w:val="005B2651"/>
    <w:rsid w:val="005B2981"/>
    <w:rsid w:val="005B335C"/>
    <w:rsid w:val="005B38F7"/>
    <w:rsid w:val="005B3EB3"/>
    <w:rsid w:val="005B4876"/>
    <w:rsid w:val="005B48BE"/>
    <w:rsid w:val="005B4C43"/>
    <w:rsid w:val="005B4CB3"/>
    <w:rsid w:val="005B4FA2"/>
    <w:rsid w:val="005B50C5"/>
    <w:rsid w:val="005B511B"/>
    <w:rsid w:val="005B5155"/>
    <w:rsid w:val="005B58C6"/>
    <w:rsid w:val="005B6250"/>
    <w:rsid w:val="005B688B"/>
    <w:rsid w:val="005B6CE9"/>
    <w:rsid w:val="005B6EAA"/>
    <w:rsid w:val="005B75AF"/>
    <w:rsid w:val="005B7D09"/>
    <w:rsid w:val="005C0200"/>
    <w:rsid w:val="005C0EA1"/>
    <w:rsid w:val="005C130D"/>
    <w:rsid w:val="005C1589"/>
    <w:rsid w:val="005C17CF"/>
    <w:rsid w:val="005C1E4D"/>
    <w:rsid w:val="005C1EF3"/>
    <w:rsid w:val="005C2074"/>
    <w:rsid w:val="005C23CE"/>
    <w:rsid w:val="005C2E51"/>
    <w:rsid w:val="005C34EC"/>
    <w:rsid w:val="005C3823"/>
    <w:rsid w:val="005C383A"/>
    <w:rsid w:val="005C3A4F"/>
    <w:rsid w:val="005C3D52"/>
    <w:rsid w:val="005C41D8"/>
    <w:rsid w:val="005C5371"/>
    <w:rsid w:val="005C538F"/>
    <w:rsid w:val="005C5427"/>
    <w:rsid w:val="005C558F"/>
    <w:rsid w:val="005C5720"/>
    <w:rsid w:val="005C5967"/>
    <w:rsid w:val="005C5E00"/>
    <w:rsid w:val="005C632D"/>
    <w:rsid w:val="005C6AD8"/>
    <w:rsid w:val="005C6B66"/>
    <w:rsid w:val="005C6D18"/>
    <w:rsid w:val="005C6D39"/>
    <w:rsid w:val="005C7379"/>
    <w:rsid w:val="005C74FD"/>
    <w:rsid w:val="005C755D"/>
    <w:rsid w:val="005C7D17"/>
    <w:rsid w:val="005D0240"/>
    <w:rsid w:val="005D0469"/>
    <w:rsid w:val="005D05C7"/>
    <w:rsid w:val="005D0739"/>
    <w:rsid w:val="005D0753"/>
    <w:rsid w:val="005D0E3A"/>
    <w:rsid w:val="005D14A7"/>
    <w:rsid w:val="005D15E7"/>
    <w:rsid w:val="005D161C"/>
    <w:rsid w:val="005D165D"/>
    <w:rsid w:val="005D193D"/>
    <w:rsid w:val="005D1F7A"/>
    <w:rsid w:val="005D2939"/>
    <w:rsid w:val="005D2A95"/>
    <w:rsid w:val="005D2CEA"/>
    <w:rsid w:val="005D2D95"/>
    <w:rsid w:val="005D2ED6"/>
    <w:rsid w:val="005D30D6"/>
    <w:rsid w:val="005D37F7"/>
    <w:rsid w:val="005D390D"/>
    <w:rsid w:val="005D3B71"/>
    <w:rsid w:val="005D4021"/>
    <w:rsid w:val="005D405C"/>
    <w:rsid w:val="005D504E"/>
    <w:rsid w:val="005D5123"/>
    <w:rsid w:val="005D5607"/>
    <w:rsid w:val="005D5A09"/>
    <w:rsid w:val="005D5AA9"/>
    <w:rsid w:val="005D5C48"/>
    <w:rsid w:val="005D5CF4"/>
    <w:rsid w:val="005D6261"/>
    <w:rsid w:val="005D6304"/>
    <w:rsid w:val="005D65E5"/>
    <w:rsid w:val="005D6755"/>
    <w:rsid w:val="005D6DEC"/>
    <w:rsid w:val="005D706F"/>
    <w:rsid w:val="005D7074"/>
    <w:rsid w:val="005D7566"/>
    <w:rsid w:val="005D7673"/>
    <w:rsid w:val="005D7C73"/>
    <w:rsid w:val="005D7CD3"/>
    <w:rsid w:val="005E00A4"/>
    <w:rsid w:val="005E00C5"/>
    <w:rsid w:val="005E0389"/>
    <w:rsid w:val="005E0506"/>
    <w:rsid w:val="005E0525"/>
    <w:rsid w:val="005E0773"/>
    <w:rsid w:val="005E07EC"/>
    <w:rsid w:val="005E0A8F"/>
    <w:rsid w:val="005E0C1D"/>
    <w:rsid w:val="005E0D9F"/>
    <w:rsid w:val="005E112E"/>
    <w:rsid w:val="005E1454"/>
    <w:rsid w:val="005E1824"/>
    <w:rsid w:val="005E234F"/>
    <w:rsid w:val="005E2558"/>
    <w:rsid w:val="005E2838"/>
    <w:rsid w:val="005E2BAB"/>
    <w:rsid w:val="005E2BB3"/>
    <w:rsid w:val="005E2EEB"/>
    <w:rsid w:val="005E3C82"/>
    <w:rsid w:val="005E3D66"/>
    <w:rsid w:val="005E3F13"/>
    <w:rsid w:val="005E4711"/>
    <w:rsid w:val="005E4820"/>
    <w:rsid w:val="005E4986"/>
    <w:rsid w:val="005E56FE"/>
    <w:rsid w:val="005E58C0"/>
    <w:rsid w:val="005E5CB7"/>
    <w:rsid w:val="005E63C2"/>
    <w:rsid w:val="005E6FBA"/>
    <w:rsid w:val="005E6FE9"/>
    <w:rsid w:val="005E73D0"/>
    <w:rsid w:val="005E7464"/>
    <w:rsid w:val="005E76C9"/>
    <w:rsid w:val="005E7D3D"/>
    <w:rsid w:val="005F044E"/>
    <w:rsid w:val="005F068B"/>
    <w:rsid w:val="005F06CC"/>
    <w:rsid w:val="005F0C03"/>
    <w:rsid w:val="005F0C2F"/>
    <w:rsid w:val="005F0FA2"/>
    <w:rsid w:val="005F12BE"/>
    <w:rsid w:val="005F17E1"/>
    <w:rsid w:val="005F1DBB"/>
    <w:rsid w:val="005F1DF9"/>
    <w:rsid w:val="005F1EAA"/>
    <w:rsid w:val="005F243F"/>
    <w:rsid w:val="005F25F0"/>
    <w:rsid w:val="005F2D6A"/>
    <w:rsid w:val="005F349A"/>
    <w:rsid w:val="005F3E03"/>
    <w:rsid w:val="005F4080"/>
    <w:rsid w:val="005F444F"/>
    <w:rsid w:val="005F4610"/>
    <w:rsid w:val="005F53B3"/>
    <w:rsid w:val="005F56C4"/>
    <w:rsid w:val="005F5A64"/>
    <w:rsid w:val="005F61C6"/>
    <w:rsid w:val="005F6448"/>
    <w:rsid w:val="005F6696"/>
    <w:rsid w:val="005F68D3"/>
    <w:rsid w:val="005F7142"/>
    <w:rsid w:val="005F7202"/>
    <w:rsid w:val="005F751A"/>
    <w:rsid w:val="005F75DD"/>
    <w:rsid w:val="005F7637"/>
    <w:rsid w:val="005F7A8C"/>
    <w:rsid w:val="005F7E8E"/>
    <w:rsid w:val="005F7F8C"/>
    <w:rsid w:val="006000AA"/>
    <w:rsid w:val="00600624"/>
    <w:rsid w:val="00600758"/>
    <w:rsid w:val="0060128B"/>
    <w:rsid w:val="00601773"/>
    <w:rsid w:val="00601A2B"/>
    <w:rsid w:val="00601AC4"/>
    <w:rsid w:val="00601AF1"/>
    <w:rsid w:val="00601C09"/>
    <w:rsid w:val="00601FF2"/>
    <w:rsid w:val="00602ADF"/>
    <w:rsid w:val="00602C61"/>
    <w:rsid w:val="006033B3"/>
    <w:rsid w:val="006033F8"/>
    <w:rsid w:val="006038F1"/>
    <w:rsid w:val="00603B41"/>
    <w:rsid w:val="00603FAC"/>
    <w:rsid w:val="00604704"/>
    <w:rsid w:val="00604E9E"/>
    <w:rsid w:val="00604FC3"/>
    <w:rsid w:val="006051D0"/>
    <w:rsid w:val="006052F3"/>
    <w:rsid w:val="0060554F"/>
    <w:rsid w:val="006057C5"/>
    <w:rsid w:val="006059DB"/>
    <w:rsid w:val="00605D72"/>
    <w:rsid w:val="00606053"/>
    <w:rsid w:val="00606251"/>
    <w:rsid w:val="00606A2A"/>
    <w:rsid w:val="00606C62"/>
    <w:rsid w:val="00607042"/>
    <w:rsid w:val="00607259"/>
    <w:rsid w:val="006075EE"/>
    <w:rsid w:val="006076D1"/>
    <w:rsid w:val="00607A84"/>
    <w:rsid w:val="00607BA5"/>
    <w:rsid w:val="00610039"/>
    <w:rsid w:val="0061075B"/>
    <w:rsid w:val="0061094E"/>
    <w:rsid w:val="0061119A"/>
    <w:rsid w:val="00611227"/>
    <w:rsid w:val="00611314"/>
    <w:rsid w:val="006116BF"/>
    <w:rsid w:val="00611762"/>
    <w:rsid w:val="0061186B"/>
    <w:rsid w:val="0061191A"/>
    <w:rsid w:val="00611B04"/>
    <w:rsid w:val="00611C77"/>
    <w:rsid w:val="006122A8"/>
    <w:rsid w:val="00612A87"/>
    <w:rsid w:val="00612B0E"/>
    <w:rsid w:val="00612D66"/>
    <w:rsid w:val="00612ED3"/>
    <w:rsid w:val="00612FA3"/>
    <w:rsid w:val="00612FB3"/>
    <w:rsid w:val="00613279"/>
    <w:rsid w:val="0061377D"/>
    <w:rsid w:val="006139E8"/>
    <w:rsid w:val="00613A15"/>
    <w:rsid w:val="00613C1B"/>
    <w:rsid w:val="00613DD8"/>
    <w:rsid w:val="00613DF9"/>
    <w:rsid w:val="0061404A"/>
    <w:rsid w:val="006140FB"/>
    <w:rsid w:val="006141CD"/>
    <w:rsid w:val="0061469B"/>
    <w:rsid w:val="00614868"/>
    <w:rsid w:val="00614B7E"/>
    <w:rsid w:val="00614B7F"/>
    <w:rsid w:val="00614BB6"/>
    <w:rsid w:val="006154FA"/>
    <w:rsid w:val="006157A5"/>
    <w:rsid w:val="00615E1A"/>
    <w:rsid w:val="00616096"/>
    <w:rsid w:val="006160E3"/>
    <w:rsid w:val="006163A0"/>
    <w:rsid w:val="0061679F"/>
    <w:rsid w:val="006167D0"/>
    <w:rsid w:val="00617389"/>
    <w:rsid w:val="0061757D"/>
    <w:rsid w:val="0061793E"/>
    <w:rsid w:val="00617E4B"/>
    <w:rsid w:val="006201A5"/>
    <w:rsid w:val="006206C3"/>
    <w:rsid w:val="00620994"/>
    <w:rsid w:val="006209FA"/>
    <w:rsid w:val="00620A3F"/>
    <w:rsid w:val="00620E40"/>
    <w:rsid w:val="00620F67"/>
    <w:rsid w:val="00621118"/>
    <w:rsid w:val="00621EDA"/>
    <w:rsid w:val="006225CF"/>
    <w:rsid w:val="00622A80"/>
    <w:rsid w:val="00622B98"/>
    <w:rsid w:val="00623406"/>
    <w:rsid w:val="00623743"/>
    <w:rsid w:val="006237B8"/>
    <w:rsid w:val="00623A6B"/>
    <w:rsid w:val="00624187"/>
    <w:rsid w:val="006242F0"/>
    <w:rsid w:val="006247C1"/>
    <w:rsid w:val="00624DCC"/>
    <w:rsid w:val="00624F50"/>
    <w:rsid w:val="006252B7"/>
    <w:rsid w:val="00625C92"/>
    <w:rsid w:val="00625FFD"/>
    <w:rsid w:val="0062609A"/>
    <w:rsid w:val="00626A20"/>
    <w:rsid w:val="00626C41"/>
    <w:rsid w:val="00626D9A"/>
    <w:rsid w:val="00626EB6"/>
    <w:rsid w:val="00627050"/>
    <w:rsid w:val="0062715D"/>
    <w:rsid w:val="006279BD"/>
    <w:rsid w:val="00627AFB"/>
    <w:rsid w:val="00627C1F"/>
    <w:rsid w:val="00630DAA"/>
    <w:rsid w:val="00630E3D"/>
    <w:rsid w:val="00631187"/>
    <w:rsid w:val="00631283"/>
    <w:rsid w:val="00631399"/>
    <w:rsid w:val="0063173E"/>
    <w:rsid w:val="00631902"/>
    <w:rsid w:val="00631D3E"/>
    <w:rsid w:val="00631FDD"/>
    <w:rsid w:val="006320A3"/>
    <w:rsid w:val="006327AA"/>
    <w:rsid w:val="00632DDD"/>
    <w:rsid w:val="00632E29"/>
    <w:rsid w:val="00633022"/>
    <w:rsid w:val="006331D0"/>
    <w:rsid w:val="006339DF"/>
    <w:rsid w:val="00633B21"/>
    <w:rsid w:val="00634198"/>
    <w:rsid w:val="00634A58"/>
    <w:rsid w:val="00634AC7"/>
    <w:rsid w:val="00634F9B"/>
    <w:rsid w:val="006351DB"/>
    <w:rsid w:val="006353A3"/>
    <w:rsid w:val="006355DC"/>
    <w:rsid w:val="00635694"/>
    <w:rsid w:val="00635AFA"/>
    <w:rsid w:val="00635F74"/>
    <w:rsid w:val="0063607C"/>
    <w:rsid w:val="006361B3"/>
    <w:rsid w:val="00636340"/>
    <w:rsid w:val="0063678E"/>
    <w:rsid w:val="00636859"/>
    <w:rsid w:val="00636A22"/>
    <w:rsid w:val="00636BB8"/>
    <w:rsid w:val="00637010"/>
    <w:rsid w:val="00637499"/>
    <w:rsid w:val="0063761A"/>
    <w:rsid w:val="00637AA3"/>
    <w:rsid w:val="00637E28"/>
    <w:rsid w:val="00637E7E"/>
    <w:rsid w:val="0064004A"/>
    <w:rsid w:val="00640534"/>
    <w:rsid w:val="00640846"/>
    <w:rsid w:val="00640A3B"/>
    <w:rsid w:val="00640DF4"/>
    <w:rsid w:val="0064124E"/>
    <w:rsid w:val="006414A8"/>
    <w:rsid w:val="0064161F"/>
    <w:rsid w:val="00641886"/>
    <w:rsid w:val="00641D7D"/>
    <w:rsid w:val="006425F8"/>
    <w:rsid w:val="00642A1C"/>
    <w:rsid w:val="00642B89"/>
    <w:rsid w:val="00643283"/>
    <w:rsid w:val="00643873"/>
    <w:rsid w:val="006446C3"/>
    <w:rsid w:val="00644ABE"/>
    <w:rsid w:val="006450FE"/>
    <w:rsid w:val="0064539C"/>
    <w:rsid w:val="0064593E"/>
    <w:rsid w:val="00645C16"/>
    <w:rsid w:val="00646596"/>
    <w:rsid w:val="00646795"/>
    <w:rsid w:val="00646966"/>
    <w:rsid w:val="00646D58"/>
    <w:rsid w:val="00646D96"/>
    <w:rsid w:val="00646E15"/>
    <w:rsid w:val="00646F7A"/>
    <w:rsid w:val="0064727F"/>
    <w:rsid w:val="00647576"/>
    <w:rsid w:val="006475CE"/>
    <w:rsid w:val="00647DFD"/>
    <w:rsid w:val="006500D1"/>
    <w:rsid w:val="0065012A"/>
    <w:rsid w:val="0065074C"/>
    <w:rsid w:val="00650789"/>
    <w:rsid w:val="00650897"/>
    <w:rsid w:val="0065090C"/>
    <w:rsid w:val="00650FC3"/>
    <w:rsid w:val="0065104C"/>
    <w:rsid w:val="0065114F"/>
    <w:rsid w:val="00651AF9"/>
    <w:rsid w:val="00651BBF"/>
    <w:rsid w:val="006523CC"/>
    <w:rsid w:val="006534F9"/>
    <w:rsid w:val="00653618"/>
    <w:rsid w:val="00653B4E"/>
    <w:rsid w:val="00653C40"/>
    <w:rsid w:val="00653E67"/>
    <w:rsid w:val="00653E97"/>
    <w:rsid w:val="00654268"/>
    <w:rsid w:val="006543F1"/>
    <w:rsid w:val="00654963"/>
    <w:rsid w:val="00654AAB"/>
    <w:rsid w:val="00654B4B"/>
    <w:rsid w:val="00654E29"/>
    <w:rsid w:val="00654F71"/>
    <w:rsid w:val="006550DD"/>
    <w:rsid w:val="006552A1"/>
    <w:rsid w:val="00655D03"/>
    <w:rsid w:val="00656081"/>
    <w:rsid w:val="006562B1"/>
    <w:rsid w:val="0065666D"/>
    <w:rsid w:val="0065670F"/>
    <w:rsid w:val="00656888"/>
    <w:rsid w:val="006568A1"/>
    <w:rsid w:val="00656B9F"/>
    <w:rsid w:val="00656C1D"/>
    <w:rsid w:val="00656F14"/>
    <w:rsid w:val="0065712C"/>
    <w:rsid w:val="00657489"/>
    <w:rsid w:val="006578BC"/>
    <w:rsid w:val="00657A4D"/>
    <w:rsid w:val="006603F7"/>
    <w:rsid w:val="0066054E"/>
    <w:rsid w:val="006605F6"/>
    <w:rsid w:val="00661077"/>
    <w:rsid w:val="0066142E"/>
    <w:rsid w:val="0066171B"/>
    <w:rsid w:val="00661741"/>
    <w:rsid w:val="0066179E"/>
    <w:rsid w:val="00661E5F"/>
    <w:rsid w:val="0066210F"/>
    <w:rsid w:val="006631C7"/>
    <w:rsid w:val="006633A1"/>
    <w:rsid w:val="00663889"/>
    <w:rsid w:val="0066389A"/>
    <w:rsid w:val="00663A8D"/>
    <w:rsid w:val="00664382"/>
    <w:rsid w:val="006643C3"/>
    <w:rsid w:val="006644C4"/>
    <w:rsid w:val="00664F38"/>
    <w:rsid w:val="006651EF"/>
    <w:rsid w:val="00665311"/>
    <w:rsid w:val="00665BE1"/>
    <w:rsid w:val="00665E94"/>
    <w:rsid w:val="0066648D"/>
    <w:rsid w:val="00666CAF"/>
    <w:rsid w:val="00666D58"/>
    <w:rsid w:val="00666E8D"/>
    <w:rsid w:val="00666F1D"/>
    <w:rsid w:val="00666FA6"/>
    <w:rsid w:val="006671A9"/>
    <w:rsid w:val="00667B77"/>
    <w:rsid w:val="00667C25"/>
    <w:rsid w:val="00667E4D"/>
    <w:rsid w:val="006701C9"/>
    <w:rsid w:val="006703B8"/>
    <w:rsid w:val="006704F6"/>
    <w:rsid w:val="00670545"/>
    <w:rsid w:val="00670DF8"/>
    <w:rsid w:val="006710C4"/>
    <w:rsid w:val="006713EC"/>
    <w:rsid w:val="00671425"/>
    <w:rsid w:val="0067196F"/>
    <w:rsid w:val="00671A3E"/>
    <w:rsid w:val="006729EA"/>
    <w:rsid w:val="00672AE3"/>
    <w:rsid w:val="00673172"/>
    <w:rsid w:val="006733A4"/>
    <w:rsid w:val="006737F7"/>
    <w:rsid w:val="00673961"/>
    <w:rsid w:val="00673D3E"/>
    <w:rsid w:val="00674140"/>
    <w:rsid w:val="0067442E"/>
    <w:rsid w:val="0067477B"/>
    <w:rsid w:val="00674DE9"/>
    <w:rsid w:val="00674F44"/>
    <w:rsid w:val="006753A1"/>
    <w:rsid w:val="006754BC"/>
    <w:rsid w:val="006754EE"/>
    <w:rsid w:val="00675B68"/>
    <w:rsid w:val="00676214"/>
    <w:rsid w:val="0067648E"/>
    <w:rsid w:val="006764F1"/>
    <w:rsid w:val="0067653A"/>
    <w:rsid w:val="00676AA9"/>
    <w:rsid w:val="00676B18"/>
    <w:rsid w:val="006771B9"/>
    <w:rsid w:val="006778D9"/>
    <w:rsid w:val="00677E56"/>
    <w:rsid w:val="00680338"/>
    <w:rsid w:val="006803B4"/>
    <w:rsid w:val="00680686"/>
    <w:rsid w:val="0068089E"/>
    <w:rsid w:val="00681174"/>
    <w:rsid w:val="00681AF8"/>
    <w:rsid w:val="00681BC7"/>
    <w:rsid w:val="00682257"/>
    <w:rsid w:val="0068235B"/>
    <w:rsid w:val="006827E0"/>
    <w:rsid w:val="0068299F"/>
    <w:rsid w:val="00682B7A"/>
    <w:rsid w:val="00682D14"/>
    <w:rsid w:val="00682D26"/>
    <w:rsid w:val="00682DB0"/>
    <w:rsid w:val="00683326"/>
    <w:rsid w:val="00683F84"/>
    <w:rsid w:val="006849ED"/>
    <w:rsid w:val="00684F7E"/>
    <w:rsid w:val="00685100"/>
    <w:rsid w:val="00685217"/>
    <w:rsid w:val="0068524D"/>
    <w:rsid w:val="006852EF"/>
    <w:rsid w:val="006856EF"/>
    <w:rsid w:val="006859C1"/>
    <w:rsid w:val="00685CCB"/>
    <w:rsid w:val="00685DCB"/>
    <w:rsid w:val="00685E10"/>
    <w:rsid w:val="006862D0"/>
    <w:rsid w:val="00686579"/>
    <w:rsid w:val="0068657C"/>
    <w:rsid w:val="00686580"/>
    <w:rsid w:val="00686894"/>
    <w:rsid w:val="00686B9D"/>
    <w:rsid w:val="00687120"/>
    <w:rsid w:val="00687125"/>
    <w:rsid w:val="00687AD9"/>
    <w:rsid w:val="00690389"/>
    <w:rsid w:val="0069065D"/>
    <w:rsid w:val="0069070C"/>
    <w:rsid w:val="00690AF9"/>
    <w:rsid w:val="00691154"/>
    <w:rsid w:val="00691501"/>
    <w:rsid w:val="006916B4"/>
    <w:rsid w:val="00691ED6"/>
    <w:rsid w:val="00692021"/>
    <w:rsid w:val="006923AE"/>
    <w:rsid w:val="00692CFB"/>
    <w:rsid w:val="006931AA"/>
    <w:rsid w:val="006932E4"/>
    <w:rsid w:val="00693E99"/>
    <w:rsid w:val="00693EDB"/>
    <w:rsid w:val="0069451C"/>
    <w:rsid w:val="0069470B"/>
    <w:rsid w:val="006947A0"/>
    <w:rsid w:val="00694866"/>
    <w:rsid w:val="006948BB"/>
    <w:rsid w:val="0069493B"/>
    <w:rsid w:val="00694AA5"/>
    <w:rsid w:val="00694B1E"/>
    <w:rsid w:val="00694C9C"/>
    <w:rsid w:val="00694E43"/>
    <w:rsid w:val="0069525C"/>
    <w:rsid w:val="006952E0"/>
    <w:rsid w:val="00695399"/>
    <w:rsid w:val="00695566"/>
    <w:rsid w:val="006957D1"/>
    <w:rsid w:val="00695EF9"/>
    <w:rsid w:val="00696900"/>
    <w:rsid w:val="00696BBE"/>
    <w:rsid w:val="00696EA0"/>
    <w:rsid w:val="0069706A"/>
    <w:rsid w:val="00697213"/>
    <w:rsid w:val="00697326"/>
    <w:rsid w:val="006973C6"/>
    <w:rsid w:val="00697400"/>
    <w:rsid w:val="00697418"/>
    <w:rsid w:val="0069787A"/>
    <w:rsid w:val="00697971"/>
    <w:rsid w:val="006A021D"/>
    <w:rsid w:val="006A0592"/>
    <w:rsid w:val="006A07F8"/>
    <w:rsid w:val="006A092D"/>
    <w:rsid w:val="006A0A05"/>
    <w:rsid w:val="006A0D90"/>
    <w:rsid w:val="006A0F9B"/>
    <w:rsid w:val="006A1073"/>
    <w:rsid w:val="006A1125"/>
    <w:rsid w:val="006A1422"/>
    <w:rsid w:val="006A1BF1"/>
    <w:rsid w:val="006A1CB5"/>
    <w:rsid w:val="006A1D84"/>
    <w:rsid w:val="006A2236"/>
    <w:rsid w:val="006A25FD"/>
    <w:rsid w:val="006A2852"/>
    <w:rsid w:val="006A2A81"/>
    <w:rsid w:val="006A2FC2"/>
    <w:rsid w:val="006A3061"/>
    <w:rsid w:val="006A3070"/>
    <w:rsid w:val="006A3624"/>
    <w:rsid w:val="006A425A"/>
    <w:rsid w:val="006A42CC"/>
    <w:rsid w:val="006A4994"/>
    <w:rsid w:val="006A4D6A"/>
    <w:rsid w:val="006A4EF3"/>
    <w:rsid w:val="006A5243"/>
    <w:rsid w:val="006A526E"/>
    <w:rsid w:val="006A5B1C"/>
    <w:rsid w:val="006A5BEE"/>
    <w:rsid w:val="006A5DD4"/>
    <w:rsid w:val="006A5E98"/>
    <w:rsid w:val="006A661E"/>
    <w:rsid w:val="006A68CD"/>
    <w:rsid w:val="006A6A81"/>
    <w:rsid w:val="006A6CAB"/>
    <w:rsid w:val="006A6D10"/>
    <w:rsid w:val="006A6F37"/>
    <w:rsid w:val="006A752E"/>
    <w:rsid w:val="006A7D51"/>
    <w:rsid w:val="006B0332"/>
    <w:rsid w:val="006B067D"/>
    <w:rsid w:val="006B0935"/>
    <w:rsid w:val="006B0C2A"/>
    <w:rsid w:val="006B140F"/>
    <w:rsid w:val="006B1477"/>
    <w:rsid w:val="006B1494"/>
    <w:rsid w:val="006B1BFC"/>
    <w:rsid w:val="006B1C9A"/>
    <w:rsid w:val="006B1F18"/>
    <w:rsid w:val="006B21BF"/>
    <w:rsid w:val="006B25B6"/>
    <w:rsid w:val="006B28E1"/>
    <w:rsid w:val="006B2B93"/>
    <w:rsid w:val="006B2E4C"/>
    <w:rsid w:val="006B2ECB"/>
    <w:rsid w:val="006B30C2"/>
    <w:rsid w:val="006B3867"/>
    <w:rsid w:val="006B394F"/>
    <w:rsid w:val="006B3C85"/>
    <w:rsid w:val="006B40CC"/>
    <w:rsid w:val="006B424D"/>
    <w:rsid w:val="006B497D"/>
    <w:rsid w:val="006B4BA5"/>
    <w:rsid w:val="006B4C74"/>
    <w:rsid w:val="006B4D4C"/>
    <w:rsid w:val="006B4EA1"/>
    <w:rsid w:val="006B579D"/>
    <w:rsid w:val="006B57EE"/>
    <w:rsid w:val="006B5BAD"/>
    <w:rsid w:val="006B5EC0"/>
    <w:rsid w:val="006B5FF9"/>
    <w:rsid w:val="006B60FD"/>
    <w:rsid w:val="006B6357"/>
    <w:rsid w:val="006B6811"/>
    <w:rsid w:val="006B6C29"/>
    <w:rsid w:val="006B6E59"/>
    <w:rsid w:val="006B7C18"/>
    <w:rsid w:val="006B7F2D"/>
    <w:rsid w:val="006C036B"/>
    <w:rsid w:val="006C04F9"/>
    <w:rsid w:val="006C05CA"/>
    <w:rsid w:val="006C05FA"/>
    <w:rsid w:val="006C06DC"/>
    <w:rsid w:val="006C0AE3"/>
    <w:rsid w:val="006C0FCE"/>
    <w:rsid w:val="006C16D4"/>
    <w:rsid w:val="006C1822"/>
    <w:rsid w:val="006C1AB4"/>
    <w:rsid w:val="006C22B6"/>
    <w:rsid w:val="006C28D9"/>
    <w:rsid w:val="006C29EC"/>
    <w:rsid w:val="006C2A12"/>
    <w:rsid w:val="006C2A9E"/>
    <w:rsid w:val="006C3467"/>
    <w:rsid w:val="006C38D8"/>
    <w:rsid w:val="006C3988"/>
    <w:rsid w:val="006C3C1A"/>
    <w:rsid w:val="006C41C1"/>
    <w:rsid w:val="006C44E8"/>
    <w:rsid w:val="006C4AF2"/>
    <w:rsid w:val="006C5494"/>
    <w:rsid w:val="006C57BB"/>
    <w:rsid w:val="006C5879"/>
    <w:rsid w:val="006C6440"/>
    <w:rsid w:val="006C6902"/>
    <w:rsid w:val="006C6985"/>
    <w:rsid w:val="006C731C"/>
    <w:rsid w:val="006C744F"/>
    <w:rsid w:val="006C74CB"/>
    <w:rsid w:val="006C7760"/>
    <w:rsid w:val="006C78E3"/>
    <w:rsid w:val="006C7B96"/>
    <w:rsid w:val="006D008F"/>
    <w:rsid w:val="006D0593"/>
    <w:rsid w:val="006D06E6"/>
    <w:rsid w:val="006D097B"/>
    <w:rsid w:val="006D0A94"/>
    <w:rsid w:val="006D0F34"/>
    <w:rsid w:val="006D1575"/>
    <w:rsid w:val="006D188D"/>
    <w:rsid w:val="006D18E9"/>
    <w:rsid w:val="006D19BD"/>
    <w:rsid w:val="006D1A90"/>
    <w:rsid w:val="006D1BCE"/>
    <w:rsid w:val="006D2450"/>
    <w:rsid w:val="006D24A3"/>
    <w:rsid w:val="006D2618"/>
    <w:rsid w:val="006D2726"/>
    <w:rsid w:val="006D2EF3"/>
    <w:rsid w:val="006D301A"/>
    <w:rsid w:val="006D35A0"/>
    <w:rsid w:val="006D35D9"/>
    <w:rsid w:val="006D36E7"/>
    <w:rsid w:val="006D3903"/>
    <w:rsid w:val="006D423F"/>
    <w:rsid w:val="006D457C"/>
    <w:rsid w:val="006D484E"/>
    <w:rsid w:val="006D4B59"/>
    <w:rsid w:val="006D523D"/>
    <w:rsid w:val="006D57A2"/>
    <w:rsid w:val="006D58CD"/>
    <w:rsid w:val="006D5F96"/>
    <w:rsid w:val="006D5FE1"/>
    <w:rsid w:val="006D6016"/>
    <w:rsid w:val="006D65BA"/>
    <w:rsid w:val="006D66EE"/>
    <w:rsid w:val="006D6889"/>
    <w:rsid w:val="006D6D73"/>
    <w:rsid w:val="006D6E90"/>
    <w:rsid w:val="006D7309"/>
    <w:rsid w:val="006D7BE2"/>
    <w:rsid w:val="006D7C33"/>
    <w:rsid w:val="006E0735"/>
    <w:rsid w:val="006E07B3"/>
    <w:rsid w:val="006E0C99"/>
    <w:rsid w:val="006E0CD3"/>
    <w:rsid w:val="006E0FAF"/>
    <w:rsid w:val="006E1680"/>
    <w:rsid w:val="006E1A6C"/>
    <w:rsid w:val="006E1DB7"/>
    <w:rsid w:val="006E1F20"/>
    <w:rsid w:val="006E225D"/>
    <w:rsid w:val="006E26AF"/>
    <w:rsid w:val="006E2938"/>
    <w:rsid w:val="006E2CE6"/>
    <w:rsid w:val="006E2CF8"/>
    <w:rsid w:val="006E2E68"/>
    <w:rsid w:val="006E3292"/>
    <w:rsid w:val="006E32F5"/>
    <w:rsid w:val="006E39F0"/>
    <w:rsid w:val="006E3DF4"/>
    <w:rsid w:val="006E4096"/>
    <w:rsid w:val="006E41E1"/>
    <w:rsid w:val="006E4735"/>
    <w:rsid w:val="006E4AFC"/>
    <w:rsid w:val="006E4FD0"/>
    <w:rsid w:val="006E5812"/>
    <w:rsid w:val="006E5C0C"/>
    <w:rsid w:val="006E5C5B"/>
    <w:rsid w:val="006E63B2"/>
    <w:rsid w:val="006E6770"/>
    <w:rsid w:val="006E6E7F"/>
    <w:rsid w:val="006E7014"/>
    <w:rsid w:val="006E7449"/>
    <w:rsid w:val="006E7643"/>
    <w:rsid w:val="006E7DB7"/>
    <w:rsid w:val="006E7F2B"/>
    <w:rsid w:val="006E7F5E"/>
    <w:rsid w:val="006F02EF"/>
    <w:rsid w:val="006F0395"/>
    <w:rsid w:val="006F0A2E"/>
    <w:rsid w:val="006F0B25"/>
    <w:rsid w:val="006F0DDA"/>
    <w:rsid w:val="006F12CF"/>
    <w:rsid w:val="006F178C"/>
    <w:rsid w:val="006F18AE"/>
    <w:rsid w:val="006F1B01"/>
    <w:rsid w:val="006F2010"/>
    <w:rsid w:val="006F20BC"/>
    <w:rsid w:val="006F2892"/>
    <w:rsid w:val="006F2AF9"/>
    <w:rsid w:val="006F2D86"/>
    <w:rsid w:val="006F2E2B"/>
    <w:rsid w:val="006F3183"/>
    <w:rsid w:val="006F3274"/>
    <w:rsid w:val="006F3346"/>
    <w:rsid w:val="006F35FD"/>
    <w:rsid w:val="006F3745"/>
    <w:rsid w:val="006F3AC8"/>
    <w:rsid w:val="006F3DC9"/>
    <w:rsid w:val="006F4286"/>
    <w:rsid w:val="006F42B0"/>
    <w:rsid w:val="006F4469"/>
    <w:rsid w:val="006F4679"/>
    <w:rsid w:val="006F486B"/>
    <w:rsid w:val="006F4987"/>
    <w:rsid w:val="006F4CC8"/>
    <w:rsid w:val="006F4D90"/>
    <w:rsid w:val="006F4DC0"/>
    <w:rsid w:val="006F4DD1"/>
    <w:rsid w:val="006F5466"/>
    <w:rsid w:val="006F5EA6"/>
    <w:rsid w:val="006F6157"/>
    <w:rsid w:val="006F619D"/>
    <w:rsid w:val="006F62EE"/>
    <w:rsid w:val="006F65A2"/>
    <w:rsid w:val="006F7393"/>
    <w:rsid w:val="006F7AF5"/>
    <w:rsid w:val="007006D9"/>
    <w:rsid w:val="007006DF"/>
    <w:rsid w:val="007007FA"/>
    <w:rsid w:val="00700800"/>
    <w:rsid w:val="00700C3A"/>
    <w:rsid w:val="007013D2"/>
    <w:rsid w:val="007015EE"/>
    <w:rsid w:val="00701647"/>
    <w:rsid w:val="007018AA"/>
    <w:rsid w:val="00701BC1"/>
    <w:rsid w:val="00701E10"/>
    <w:rsid w:val="0070221B"/>
    <w:rsid w:val="0070224F"/>
    <w:rsid w:val="00702489"/>
    <w:rsid w:val="007028C0"/>
    <w:rsid w:val="00702935"/>
    <w:rsid w:val="00702FA4"/>
    <w:rsid w:val="00703236"/>
    <w:rsid w:val="00703725"/>
    <w:rsid w:val="0070448A"/>
    <w:rsid w:val="00704913"/>
    <w:rsid w:val="0070500C"/>
    <w:rsid w:val="007055C6"/>
    <w:rsid w:val="0070568D"/>
    <w:rsid w:val="007059C8"/>
    <w:rsid w:val="00706497"/>
    <w:rsid w:val="0070677C"/>
    <w:rsid w:val="00706873"/>
    <w:rsid w:val="00706961"/>
    <w:rsid w:val="00707164"/>
    <w:rsid w:val="007078A9"/>
    <w:rsid w:val="00707A64"/>
    <w:rsid w:val="00707BCC"/>
    <w:rsid w:val="007102D2"/>
    <w:rsid w:val="00710CB1"/>
    <w:rsid w:val="00710E66"/>
    <w:rsid w:val="00711252"/>
    <w:rsid w:val="0071144B"/>
    <w:rsid w:val="007115F7"/>
    <w:rsid w:val="00711936"/>
    <w:rsid w:val="007119E0"/>
    <w:rsid w:val="00711BD2"/>
    <w:rsid w:val="00712610"/>
    <w:rsid w:val="00712E3F"/>
    <w:rsid w:val="00712E6C"/>
    <w:rsid w:val="007130E3"/>
    <w:rsid w:val="0071346E"/>
    <w:rsid w:val="007134A3"/>
    <w:rsid w:val="00713E39"/>
    <w:rsid w:val="00713EA7"/>
    <w:rsid w:val="00714542"/>
    <w:rsid w:val="007148B2"/>
    <w:rsid w:val="007149F7"/>
    <w:rsid w:val="00714E77"/>
    <w:rsid w:val="00715225"/>
    <w:rsid w:val="0071531D"/>
    <w:rsid w:val="00715511"/>
    <w:rsid w:val="00715580"/>
    <w:rsid w:val="007155CB"/>
    <w:rsid w:val="00715765"/>
    <w:rsid w:val="007160CC"/>
    <w:rsid w:val="00716430"/>
    <w:rsid w:val="00716858"/>
    <w:rsid w:val="0071687F"/>
    <w:rsid w:val="00716A44"/>
    <w:rsid w:val="00716E50"/>
    <w:rsid w:val="0071702B"/>
    <w:rsid w:val="007174A7"/>
    <w:rsid w:val="00717848"/>
    <w:rsid w:val="007179A6"/>
    <w:rsid w:val="00720355"/>
    <w:rsid w:val="00720CFE"/>
    <w:rsid w:val="00720E37"/>
    <w:rsid w:val="007219C1"/>
    <w:rsid w:val="00721D17"/>
    <w:rsid w:val="00721E66"/>
    <w:rsid w:val="00722466"/>
    <w:rsid w:val="00722886"/>
    <w:rsid w:val="007229DF"/>
    <w:rsid w:val="00722B30"/>
    <w:rsid w:val="007238F2"/>
    <w:rsid w:val="00723986"/>
    <w:rsid w:val="007242A8"/>
    <w:rsid w:val="00724639"/>
    <w:rsid w:val="0072487A"/>
    <w:rsid w:val="007248FC"/>
    <w:rsid w:val="007249EF"/>
    <w:rsid w:val="00724DDD"/>
    <w:rsid w:val="00724DF5"/>
    <w:rsid w:val="00724E88"/>
    <w:rsid w:val="00724FD1"/>
    <w:rsid w:val="00725315"/>
    <w:rsid w:val="007253B7"/>
    <w:rsid w:val="00725A33"/>
    <w:rsid w:val="00725B33"/>
    <w:rsid w:val="00725F37"/>
    <w:rsid w:val="00726250"/>
    <w:rsid w:val="00726473"/>
    <w:rsid w:val="00726657"/>
    <w:rsid w:val="00726BDF"/>
    <w:rsid w:val="007276D5"/>
    <w:rsid w:val="00727AA2"/>
    <w:rsid w:val="00727F52"/>
    <w:rsid w:val="007307B5"/>
    <w:rsid w:val="00730B66"/>
    <w:rsid w:val="00730C24"/>
    <w:rsid w:val="00731059"/>
    <w:rsid w:val="0073115C"/>
    <w:rsid w:val="007313A0"/>
    <w:rsid w:val="0073152A"/>
    <w:rsid w:val="00731E2F"/>
    <w:rsid w:val="00731EC2"/>
    <w:rsid w:val="00732003"/>
    <w:rsid w:val="007320B6"/>
    <w:rsid w:val="00732519"/>
    <w:rsid w:val="00732741"/>
    <w:rsid w:val="00732A21"/>
    <w:rsid w:val="00733175"/>
    <w:rsid w:val="00733683"/>
    <w:rsid w:val="0073392C"/>
    <w:rsid w:val="00733AF7"/>
    <w:rsid w:val="00733B79"/>
    <w:rsid w:val="00733D67"/>
    <w:rsid w:val="00734303"/>
    <w:rsid w:val="00734498"/>
    <w:rsid w:val="0073485E"/>
    <w:rsid w:val="00735530"/>
    <w:rsid w:val="00735AE4"/>
    <w:rsid w:val="00735BB2"/>
    <w:rsid w:val="00735D29"/>
    <w:rsid w:val="0073628B"/>
    <w:rsid w:val="007362DD"/>
    <w:rsid w:val="007365BD"/>
    <w:rsid w:val="007367A8"/>
    <w:rsid w:val="00736E18"/>
    <w:rsid w:val="00737073"/>
    <w:rsid w:val="0073711D"/>
    <w:rsid w:val="007374F8"/>
    <w:rsid w:val="007375B6"/>
    <w:rsid w:val="00737725"/>
    <w:rsid w:val="00737911"/>
    <w:rsid w:val="0073793E"/>
    <w:rsid w:val="00737C7A"/>
    <w:rsid w:val="0074028D"/>
    <w:rsid w:val="0074033E"/>
    <w:rsid w:val="00740490"/>
    <w:rsid w:val="007406FA"/>
    <w:rsid w:val="0074089C"/>
    <w:rsid w:val="00740C75"/>
    <w:rsid w:val="00740CE4"/>
    <w:rsid w:val="00740E7E"/>
    <w:rsid w:val="0074159C"/>
    <w:rsid w:val="007415F4"/>
    <w:rsid w:val="00741781"/>
    <w:rsid w:val="007417DB"/>
    <w:rsid w:val="0074255E"/>
    <w:rsid w:val="007428D7"/>
    <w:rsid w:val="007429B3"/>
    <w:rsid w:val="00742E0C"/>
    <w:rsid w:val="00743031"/>
    <w:rsid w:val="00743A45"/>
    <w:rsid w:val="00743D68"/>
    <w:rsid w:val="00743E10"/>
    <w:rsid w:val="0074402F"/>
    <w:rsid w:val="0074475F"/>
    <w:rsid w:val="007447AA"/>
    <w:rsid w:val="00744888"/>
    <w:rsid w:val="00744BAB"/>
    <w:rsid w:val="00744CC2"/>
    <w:rsid w:val="00745534"/>
    <w:rsid w:val="00745677"/>
    <w:rsid w:val="00745706"/>
    <w:rsid w:val="00745EE6"/>
    <w:rsid w:val="00745F27"/>
    <w:rsid w:val="00746444"/>
    <w:rsid w:val="007468F0"/>
    <w:rsid w:val="00746DFE"/>
    <w:rsid w:val="00747195"/>
    <w:rsid w:val="00747576"/>
    <w:rsid w:val="00747C07"/>
    <w:rsid w:val="00747F36"/>
    <w:rsid w:val="00750138"/>
    <w:rsid w:val="007502BA"/>
    <w:rsid w:val="00750798"/>
    <w:rsid w:val="00750B82"/>
    <w:rsid w:val="00750E27"/>
    <w:rsid w:val="0075109F"/>
    <w:rsid w:val="00751528"/>
    <w:rsid w:val="007515E8"/>
    <w:rsid w:val="00751C97"/>
    <w:rsid w:val="00752163"/>
    <w:rsid w:val="00752616"/>
    <w:rsid w:val="00752951"/>
    <w:rsid w:val="00752F0C"/>
    <w:rsid w:val="007531CE"/>
    <w:rsid w:val="007535E6"/>
    <w:rsid w:val="0075366D"/>
    <w:rsid w:val="007539EA"/>
    <w:rsid w:val="0075492D"/>
    <w:rsid w:val="00754A84"/>
    <w:rsid w:val="00754DD8"/>
    <w:rsid w:val="00754F33"/>
    <w:rsid w:val="007551CC"/>
    <w:rsid w:val="007552A1"/>
    <w:rsid w:val="0075548C"/>
    <w:rsid w:val="0075568D"/>
    <w:rsid w:val="007556FA"/>
    <w:rsid w:val="00755EF9"/>
    <w:rsid w:val="00755FD8"/>
    <w:rsid w:val="0075616E"/>
    <w:rsid w:val="0075619B"/>
    <w:rsid w:val="007562F1"/>
    <w:rsid w:val="00756336"/>
    <w:rsid w:val="0075642F"/>
    <w:rsid w:val="00756782"/>
    <w:rsid w:val="00756E22"/>
    <w:rsid w:val="00756EB4"/>
    <w:rsid w:val="00760150"/>
    <w:rsid w:val="00760749"/>
    <w:rsid w:val="007607A8"/>
    <w:rsid w:val="00760BBA"/>
    <w:rsid w:val="00760F2B"/>
    <w:rsid w:val="0076118F"/>
    <w:rsid w:val="007617DA"/>
    <w:rsid w:val="00761A5D"/>
    <w:rsid w:val="00761D5B"/>
    <w:rsid w:val="007621FD"/>
    <w:rsid w:val="00762257"/>
    <w:rsid w:val="00762490"/>
    <w:rsid w:val="00762823"/>
    <w:rsid w:val="007628D0"/>
    <w:rsid w:val="00762DB8"/>
    <w:rsid w:val="007631EA"/>
    <w:rsid w:val="007639D6"/>
    <w:rsid w:val="00764009"/>
    <w:rsid w:val="0076437D"/>
    <w:rsid w:val="0076481F"/>
    <w:rsid w:val="00764DBF"/>
    <w:rsid w:val="00764E27"/>
    <w:rsid w:val="00765314"/>
    <w:rsid w:val="00765716"/>
    <w:rsid w:val="00766041"/>
    <w:rsid w:val="007666B8"/>
    <w:rsid w:val="00766751"/>
    <w:rsid w:val="00767049"/>
    <w:rsid w:val="007674DD"/>
    <w:rsid w:val="00767C94"/>
    <w:rsid w:val="007701DE"/>
    <w:rsid w:val="00770415"/>
    <w:rsid w:val="0077118E"/>
    <w:rsid w:val="0077138D"/>
    <w:rsid w:val="00771439"/>
    <w:rsid w:val="007718B7"/>
    <w:rsid w:val="00772556"/>
    <w:rsid w:val="007727AD"/>
    <w:rsid w:val="00773982"/>
    <w:rsid w:val="00773B16"/>
    <w:rsid w:val="0077405B"/>
    <w:rsid w:val="00774AA8"/>
    <w:rsid w:val="00775069"/>
    <w:rsid w:val="007758EA"/>
    <w:rsid w:val="0077596A"/>
    <w:rsid w:val="00775AE3"/>
    <w:rsid w:val="00776167"/>
    <w:rsid w:val="0077616B"/>
    <w:rsid w:val="0077645A"/>
    <w:rsid w:val="0077757E"/>
    <w:rsid w:val="00777A08"/>
    <w:rsid w:val="00777D38"/>
    <w:rsid w:val="007806C1"/>
    <w:rsid w:val="00780FD0"/>
    <w:rsid w:val="00781240"/>
    <w:rsid w:val="00781558"/>
    <w:rsid w:val="007815B3"/>
    <w:rsid w:val="00781F4A"/>
    <w:rsid w:val="00782389"/>
    <w:rsid w:val="0078287D"/>
    <w:rsid w:val="00782A34"/>
    <w:rsid w:val="00783314"/>
    <w:rsid w:val="007833D6"/>
    <w:rsid w:val="0078378B"/>
    <w:rsid w:val="00783AC9"/>
    <w:rsid w:val="00783DEC"/>
    <w:rsid w:val="007842FB"/>
    <w:rsid w:val="0078457D"/>
    <w:rsid w:val="007846ED"/>
    <w:rsid w:val="00784861"/>
    <w:rsid w:val="00784BD6"/>
    <w:rsid w:val="00784F27"/>
    <w:rsid w:val="00785129"/>
    <w:rsid w:val="00785383"/>
    <w:rsid w:val="00785689"/>
    <w:rsid w:val="0078574F"/>
    <w:rsid w:val="0078581E"/>
    <w:rsid w:val="0078591D"/>
    <w:rsid w:val="00786804"/>
    <w:rsid w:val="0078750C"/>
    <w:rsid w:val="00787C8E"/>
    <w:rsid w:val="00787F28"/>
    <w:rsid w:val="00790033"/>
    <w:rsid w:val="00790A36"/>
    <w:rsid w:val="00790CE3"/>
    <w:rsid w:val="00790E66"/>
    <w:rsid w:val="00790F61"/>
    <w:rsid w:val="007910CB"/>
    <w:rsid w:val="00791746"/>
    <w:rsid w:val="00791C9F"/>
    <w:rsid w:val="007922FD"/>
    <w:rsid w:val="007928A3"/>
    <w:rsid w:val="00793A4F"/>
    <w:rsid w:val="00793AEC"/>
    <w:rsid w:val="00793BEF"/>
    <w:rsid w:val="007940AF"/>
    <w:rsid w:val="007942B9"/>
    <w:rsid w:val="00794442"/>
    <w:rsid w:val="00794C81"/>
    <w:rsid w:val="00794DB7"/>
    <w:rsid w:val="00795028"/>
    <w:rsid w:val="0079536C"/>
    <w:rsid w:val="0079586E"/>
    <w:rsid w:val="007959B2"/>
    <w:rsid w:val="00795E34"/>
    <w:rsid w:val="00795EB8"/>
    <w:rsid w:val="007960AA"/>
    <w:rsid w:val="0079685B"/>
    <w:rsid w:val="007969A0"/>
    <w:rsid w:val="00797025"/>
    <w:rsid w:val="0079745B"/>
    <w:rsid w:val="0079754B"/>
    <w:rsid w:val="007975AA"/>
    <w:rsid w:val="00797FE8"/>
    <w:rsid w:val="007A092B"/>
    <w:rsid w:val="007A098A"/>
    <w:rsid w:val="007A0ADD"/>
    <w:rsid w:val="007A0EBA"/>
    <w:rsid w:val="007A1E6D"/>
    <w:rsid w:val="007A205F"/>
    <w:rsid w:val="007A2891"/>
    <w:rsid w:val="007A2C7D"/>
    <w:rsid w:val="007A2F30"/>
    <w:rsid w:val="007A2F82"/>
    <w:rsid w:val="007A3245"/>
    <w:rsid w:val="007A327B"/>
    <w:rsid w:val="007A3CCE"/>
    <w:rsid w:val="007A3D7F"/>
    <w:rsid w:val="007A3F28"/>
    <w:rsid w:val="007A4600"/>
    <w:rsid w:val="007A4649"/>
    <w:rsid w:val="007A4CF6"/>
    <w:rsid w:val="007A4FF4"/>
    <w:rsid w:val="007A50C2"/>
    <w:rsid w:val="007A5972"/>
    <w:rsid w:val="007A5A8D"/>
    <w:rsid w:val="007A602F"/>
    <w:rsid w:val="007A6122"/>
    <w:rsid w:val="007A61F4"/>
    <w:rsid w:val="007A6407"/>
    <w:rsid w:val="007A6C87"/>
    <w:rsid w:val="007A6F68"/>
    <w:rsid w:val="007A7181"/>
    <w:rsid w:val="007A7CF8"/>
    <w:rsid w:val="007B025E"/>
    <w:rsid w:val="007B05A5"/>
    <w:rsid w:val="007B0725"/>
    <w:rsid w:val="007B087F"/>
    <w:rsid w:val="007B0F5F"/>
    <w:rsid w:val="007B0FEF"/>
    <w:rsid w:val="007B13E8"/>
    <w:rsid w:val="007B1413"/>
    <w:rsid w:val="007B1728"/>
    <w:rsid w:val="007B1762"/>
    <w:rsid w:val="007B1B93"/>
    <w:rsid w:val="007B1D13"/>
    <w:rsid w:val="007B2800"/>
    <w:rsid w:val="007B3204"/>
    <w:rsid w:val="007B3751"/>
    <w:rsid w:val="007B3846"/>
    <w:rsid w:val="007B3D20"/>
    <w:rsid w:val="007B425A"/>
    <w:rsid w:val="007B4412"/>
    <w:rsid w:val="007B47D0"/>
    <w:rsid w:val="007B4C8D"/>
    <w:rsid w:val="007B4E9F"/>
    <w:rsid w:val="007B5401"/>
    <w:rsid w:val="007B55C5"/>
    <w:rsid w:val="007B5865"/>
    <w:rsid w:val="007B60F2"/>
    <w:rsid w:val="007B61E5"/>
    <w:rsid w:val="007B64FC"/>
    <w:rsid w:val="007B733D"/>
    <w:rsid w:val="007B73DD"/>
    <w:rsid w:val="007B7457"/>
    <w:rsid w:val="007B7B50"/>
    <w:rsid w:val="007B7E4C"/>
    <w:rsid w:val="007B7E9E"/>
    <w:rsid w:val="007B7F61"/>
    <w:rsid w:val="007C08B9"/>
    <w:rsid w:val="007C0DD7"/>
    <w:rsid w:val="007C0FBA"/>
    <w:rsid w:val="007C0FCF"/>
    <w:rsid w:val="007C1203"/>
    <w:rsid w:val="007C146A"/>
    <w:rsid w:val="007C1959"/>
    <w:rsid w:val="007C1EE9"/>
    <w:rsid w:val="007C2002"/>
    <w:rsid w:val="007C202D"/>
    <w:rsid w:val="007C22F7"/>
    <w:rsid w:val="007C28AE"/>
    <w:rsid w:val="007C2AD2"/>
    <w:rsid w:val="007C2FE9"/>
    <w:rsid w:val="007C3432"/>
    <w:rsid w:val="007C3B9B"/>
    <w:rsid w:val="007C3BB4"/>
    <w:rsid w:val="007C3FF3"/>
    <w:rsid w:val="007C4021"/>
    <w:rsid w:val="007C4340"/>
    <w:rsid w:val="007C437A"/>
    <w:rsid w:val="007C48C9"/>
    <w:rsid w:val="007C48E5"/>
    <w:rsid w:val="007C4BC7"/>
    <w:rsid w:val="007C50AA"/>
    <w:rsid w:val="007C569C"/>
    <w:rsid w:val="007C5B0B"/>
    <w:rsid w:val="007C6109"/>
    <w:rsid w:val="007C64B9"/>
    <w:rsid w:val="007C73EA"/>
    <w:rsid w:val="007C76D1"/>
    <w:rsid w:val="007C76F6"/>
    <w:rsid w:val="007D0148"/>
    <w:rsid w:val="007D08AD"/>
    <w:rsid w:val="007D0D44"/>
    <w:rsid w:val="007D0DE9"/>
    <w:rsid w:val="007D0F7A"/>
    <w:rsid w:val="007D1059"/>
    <w:rsid w:val="007D1270"/>
    <w:rsid w:val="007D18DB"/>
    <w:rsid w:val="007D193A"/>
    <w:rsid w:val="007D1D1A"/>
    <w:rsid w:val="007D1E11"/>
    <w:rsid w:val="007D1EAE"/>
    <w:rsid w:val="007D27E3"/>
    <w:rsid w:val="007D27E8"/>
    <w:rsid w:val="007D28C8"/>
    <w:rsid w:val="007D2B79"/>
    <w:rsid w:val="007D2F11"/>
    <w:rsid w:val="007D3E03"/>
    <w:rsid w:val="007D440E"/>
    <w:rsid w:val="007D4766"/>
    <w:rsid w:val="007D4811"/>
    <w:rsid w:val="007D4D19"/>
    <w:rsid w:val="007D5607"/>
    <w:rsid w:val="007D5AAF"/>
    <w:rsid w:val="007D5AD4"/>
    <w:rsid w:val="007D5C60"/>
    <w:rsid w:val="007D5DD7"/>
    <w:rsid w:val="007D5F24"/>
    <w:rsid w:val="007D62EB"/>
    <w:rsid w:val="007D6405"/>
    <w:rsid w:val="007D6607"/>
    <w:rsid w:val="007D693D"/>
    <w:rsid w:val="007D729F"/>
    <w:rsid w:val="007D72AB"/>
    <w:rsid w:val="007D740C"/>
    <w:rsid w:val="007D77D8"/>
    <w:rsid w:val="007D7B8E"/>
    <w:rsid w:val="007D7D3E"/>
    <w:rsid w:val="007E045A"/>
    <w:rsid w:val="007E0517"/>
    <w:rsid w:val="007E0D8B"/>
    <w:rsid w:val="007E0E96"/>
    <w:rsid w:val="007E1082"/>
    <w:rsid w:val="007E12DE"/>
    <w:rsid w:val="007E15A6"/>
    <w:rsid w:val="007E1B45"/>
    <w:rsid w:val="007E1F12"/>
    <w:rsid w:val="007E26E6"/>
    <w:rsid w:val="007E27B6"/>
    <w:rsid w:val="007E2A4A"/>
    <w:rsid w:val="007E2BCB"/>
    <w:rsid w:val="007E3AF6"/>
    <w:rsid w:val="007E41B2"/>
    <w:rsid w:val="007E41F9"/>
    <w:rsid w:val="007E43BE"/>
    <w:rsid w:val="007E4815"/>
    <w:rsid w:val="007E48A0"/>
    <w:rsid w:val="007E48DA"/>
    <w:rsid w:val="007E49B0"/>
    <w:rsid w:val="007E5285"/>
    <w:rsid w:val="007E5664"/>
    <w:rsid w:val="007E572A"/>
    <w:rsid w:val="007E57B1"/>
    <w:rsid w:val="007E5F7B"/>
    <w:rsid w:val="007E6147"/>
    <w:rsid w:val="007E618A"/>
    <w:rsid w:val="007E6663"/>
    <w:rsid w:val="007E669E"/>
    <w:rsid w:val="007E6C0B"/>
    <w:rsid w:val="007E6F4C"/>
    <w:rsid w:val="007E6FD6"/>
    <w:rsid w:val="007E7018"/>
    <w:rsid w:val="007E7B72"/>
    <w:rsid w:val="007E7BA7"/>
    <w:rsid w:val="007F02B4"/>
    <w:rsid w:val="007F0E48"/>
    <w:rsid w:val="007F1380"/>
    <w:rsid w:val="007F1A72"/>
    <w:rsid w:val="007F1AE4"/>
    <w:rsid w:val="007F1BBC"/>
    <w:rsid w:val="007F1C18"/>
    <w:rsid w:val="007F2075"/>
    <w:rsid w:val="007F237A"/>
    <w:rsid w:val="007F23FD"/>
    <w:rsid w:val="007F38D9"/>
    <w:rsid w:val="007F3F91"/>
    <w:rsid w:val="007F4046"/>
    <w:rsid w:val="007F413B"/>
    <w:rsid w:val="007F422C"/>
    <w:rsid w:val="007F4CD1"/>
    <w:rsid w:val="007F4E63"/>
    <w:rsid w:val="007F5459"/>
    <w:rsid w:val="007F5872"/>
    <w:rsid w:val="007F5AA1"/>
    <w:rsid w:val="007F5D02"/>
    <w:rsid w:val="007F6070"/>
    <w:rsid w:val="007F6196"/>
    <w:rsid w:val="007F63D5"/>
    <w:rsid w:val="007F67E5"/>
    <w:rsid w:val="007F68AD"/>
    <w:rsid w:val="007F68CD"/>
    <w:rsid w:val="007F6B82"/>
    <w:rsid w:val="007F6DAE"/>
    <w:rsid w:val="007F7228"/>
    <w:rsid w:val="007F79CC"/>
    <w:rsid w:val="007F7DD3"/>
    <w:rsid w:val="007F7E3D"/>
    <w:rsid w:val="007F7E74"/>
    <w:rsid w:val="0080019F"/>
    <w:rsid w:val="008001CC"/>
    <w:rsid w:val="008009D9"/>
    <w:rsid w:val="00800E52"/>
    <w:rsid w:val="0080189A"/>
    <w:rsid w:val="00801CBE"/>
    <w:rsid w:val="0080203C"/>
    <w:rsid w:val="008021B9"/>
    <w:rsid w:val="008022E3"/>
    <w:rsid w:val="0080249D"/>
    <w:rsid w:val="0080269C"/>
    <w:rsid w:val="0080273C"/>
    <w:rsid w:val="0080280E"/>
    <w:rsid w:val="008028DA"/>
    <w:rsid w:val="0080302B"/>
    <w:rsid w:val="00803119"/>
    <w:rsid w:val="00803448"/>
    <w:rsid w:val="008036EC"/>
    <w:rsid w:val="00803869"/>
    <w:rsid w:val="00803ADB"/>
    <w:rsid w:val="00803B4C"/>
    <w:rsid w:val="00804126"/>
    <w:rsid w:val="00804267"/>
    <w:rsid w:val="008047A0"/>
    <w:rsid w:val="00804923"/>
    <w:rsid w:val="008049A4"/>
    <w:rsid w:val="008051F7"/>
    <w:rsid w:val="008054CF"/>
    <w:rsid w:val="008056BD"/>
    <w:rsid w:val="008056D8"/>
    <w:rsid w:val="00805B21"/>
    <w:rsid w:val="00806313"/>
    <w:rsid w:val="00806378"/>
    <w:rsid w:val="00806619"/>
    <w:rsid w:val="00806682"/>
    <w:rsid w:val="00806708"/>
    <w:rsid w:val="00806AD0"/>
    <w:rsid w:val="00806E72"/>
    <w:rsid w:val="00806F98"/>
    <w:rsid w:val="0080767E"/>
    <w:rsid w:val="00807841"/>
    <w:rsid w:val="00807E0F"/>
    <w:rsid w:val="0081081A"/>
    <w:rsid w:val="00810856"/>
    <w:rsid w:val="00811901"/>
    <w:rsid w:val="008120BF"/>
    <w:rsid w:val="0081229A"/>
    <w:rsid w:val="008123AA"/>
    <w:rsid w:val="00812BFE"/>
    <w:rsid w:val="00812DA2"/>
    <w:rsid w:val="00812EAE"/>
    <w:rsid w:val="0081301F"/>
    <w:rsid w:val="0081355E"/>
    <w:rsid w:val="008136AE"/>
    <w:rsid w:val="00813B81"/>
    <w:rsid w:val="0081418E"/>
    <w:rsid w:val="00814555"/>
    <w:rsid w:val="00814E1A"/>
    <w:rsid w:val="00815676"/>
    <w:rsid w:val="008158B9"/>
    <w:rsid w:val="008163AA"/>
    <w:rsid w:val="008164C0"/>
    <w:rsid w:val="00816920"/>
    <w:rsid w:val="00816AB9"/>
    <w:rsid w:val="00816CDF"/>
    <w:rsid w:val="00816CE7"/>
    <w:rsid w:val="00816E11"/>
    <w:rsid w:val="00816EA9"/>
    <w:rsid w:val="00817AB8"/>
    <w:rsid w:val="00817BB1"/>
    <w:rsid w:val="0082002E"/>
    <w:rsid w:val="00820243"/>
    <w:rsid w:val="008203D5"/>
    <w:rsid w:val="008204C5"/>
    <w:rsid w:val="00820734"/>
    <w:rsid w:val="008211A9"/>
    <w:rsid w:val="008211B6"/>
    <w:rsid w:val="00821517"/>
    <w:rsid w:val="00821C48"/>
    <w:rsid w:val="00821FDC"/>
    <w:rsid w:val="008223A7"/>
    <w:rsid w:val="00822965"/>
    <w:rsid w:val="00822AD0"/>
    <w:rsid w:val="00822C48"/>
    <w:rsid w:val="00822CE0"/>
    <w:rsid w:val="00823A5C"/>
    <w:rsid w:val="00824726"/>
    <w:rsid w:val="008248E6"/>
    <w:rsid w:val="00824958"/>
    <w:rsid w:val="00824A6C"/>
    <w:rsid w:val="0082528E"/>
    <w:rsid w:val="008252A5"/>
    <w:rsid w:val="008252F3"/>
    <w:rsid w:val="00825307"/>
    <w:rsid w:val="00825A69"/>
    <w:rsid w:val="0082649E"/>
    <w:rsid w:val="008266AB"/>
    <w:rsid w:val="0082674C"/>
    <w:rsid w:val="0082681F"/>
    <w:rsid w:val="00826AA7"/>
    <w:rsid w:val="00826E16"/>
    <w:rsid w:val="0082710A"/>
    <w:rsid w:val="0082750C"/>
    <w:rsid w:val="0082751E"/>
    <w:rsid w:val="0082761B"/>
    <w:rsid w:val="00830218"/>
    <w:rsid w:val="008304A5"/>
    <w:rsid w:val="00830525"/>
    <w:rsid w:val="00830E3F"/>
    <w:rsid w:val="00830E79"/>
    <w:rsid w:val="00830EB0"/>
    <w:rsid w:val="00831070"/>
    <w:rsid w:val="00831210"/>
    <w:rsid w:val="0083128F"/>
    <w:rsid w:val="00831C8B"/>
    <w:rsid w:val="00832070"/>
    <w:rsid w:val="00832115"/>
    <w:rsid w:val="00832B48"/>
    <w:rsid w:val="00832C0F"/>
    <w:rsid w:val="00833110"/>
    <w:rsid w:val="008337FC"/>
    <w:rsid w:val="00833810"/>
    <w:rsid w:val="00833CB7"/>
    <w:rsid w:val="00833D97"/>
    <w:rsid w:val="00833F57"/>
    <w:rsid w:val="00834514"/>
    <w:rsid w:val="00834620"/>
    <w:rsid w:val="00834BEE"/>
    <w:rsid w:val="0083533B"/>
    <w:rsid w:val="0083544E"/>
    <w:rsid w:val="008355C5"/>
    <w:rsid w:val="00835ADD"/>
    <w:rsid w:val="00835B6D"/>
    <w:rsid w:val="0083661F"/>
    <w:rsid w:val="0083669C"/>
    <w:rsid w:val="00836A5E"/>
    <w:rsid w:val="00837438"/>
    <w:rsid w:val="008375F1"/>
    <w:rsid w:val="008377FD"/>
    <w:rsid w:val="00837A30"/>
    <w:rsid w:val="00837AC3"/>
    <w:rsid w:val="00837C62"/>
    <w:rsid w:val="00837E7E"/>
    <w:rsid w:val="00837EE1"/>
    <w:rsid w:val="00837F10"/>
    <w:rsid w:val="00837F45"/>
    <w:rsid w:val="008404BD"/>
    <w:rsid w:val="00840D6B"/>
    <w:rsid w:val="00840E40"/>
    <w:rsid w:val="00840FDE"/>
    <w:rsid w:val="008418B4"/>
    <w:rsid w:val="00841AB1"/>
    <w:rsid w:val="00841F26"/>
    <w:rsid w:val="008424DC"/>
    <w:rsid w:val="00842611"/>
    <w:rsid w:val="008426EF"/>
    <w:rsid w:val="00842ADD"/>
    <w:rsid w:val="00843819"/>
    <w:rsid w:val="00843945"/>
    <w:rsid w:val="00843BEC"/>
    <w:rsid w:val="00843D4F"/>
    <w:rsid w:val="00843EF7"/>
    <w:rsid w:val="00844500"/>
    <w:rsid w:val="00844812"/>
    <w:rsid w:val="00844DDE"/>
    <w:rsid w:val="0084501D"/>
    <w:rsid w:val="008455D2"/>
    <w:rsid w:val="00845D15"/>
    <w:rsid w:val="008462FB"/>
    <w:rsid w:val="0084682A"/>
    <w:rsid w:val="00846853"/>
    <w:rsid w:val="00846DEE"/>
    <w:rsid w:val="00846E8E"/>
    <w:rsid w:val="008470FD"/>
    <w:rsid w:val="00847193"/>
    <w:rsid w:val="00847350"/>
    <w:rsid w:val="00850787"/>
    <w:rsid w:val="00850A2A"/>
    <w:rsid w:val="00850DE3"/>
    <w:rsid w:val="008519A7"/>
    <w:rsid w:val="00851EE0"/>
    <w:rsid w:val="008521B8"/>
    <w:rsid w:val="0085224A"/>
    <w:rsid w:val="00852329"/>
    <w:rsid w:val="00852470"/>
    <w:rsid w:val="00852DA1"/>
    <w:rsid w:val="00852DA9"/>
    <w:rsid w:val="00852EE3"/>
    <w:rsid w:val="00852F64"/>
    <w:rsid w:val="0085389D"/>
    <w:rsid w:val="008538BE"/>
    <w:rsid w:val="008539A4"/>
    <w:rsid w:val="00853C0D"/>
    <w:rsid w:val="0085403C"/>
    <w:rsid w:val="008541C2"/>
    <w:rsid w:val="00854D36"/>
    <w:rsid w:val="00855280"/>
    <w:rsid w:val="00855651"/>
    <w:rsid w:val="0085593F"/>
    <w:rsid w:val="00855AB6"/>
    <w:rsid w:val="00855EAF"/>
    <w:rsid w:val="008565F2"/>
    <w:rsid w:val="008568D5"/>
    <w:rsid w:val="0085697C"/>
    <w:rsid w:val="00856E7C"/>
    <w:rsid w:val="00856ECB"/>
    <w:rsid w:val="00856F5B"/>
    <w:rsid w:val="00857603"/>
    <w:rsid w:val="0085781D"/>
    <w:rsid w:val="0086023A"/>
    <w:rsid w:val="0086029C"/>
    <w:rsid w:val="008602D6"/>
    <w:rsid w:val="0086052F"/>
    <w:rsid w:val="008606DB"/>
    <w:rsid w:val="008607EA"/>
    <w:rsid w:val="00860975"/>
    <w:rsid w:val="008609E5"/>
    <w:rsid w:val="00861628"/>
    <w:rsid w:val="0086174F"/>
    <w:rsid w:val="00862597"/>
    <w:rsid w:val="00862893"/>
    <w:rsid w:val="00862B38"/>
    <w:rsid w:val="00862DFB"/>
    <w:rsid w:val="00863148"/>
    <w:rsid w:val="008631A7"/>
    <w:rsid w:val="00863354"/>
    <w:rsid w:val="0086352C"/>
    <w:rsid w:val="0086380C"/>
    <w:rsid w:val="00863BBE"/>
    <w:rsid w:val="00863E80"/>
    <w:rsid w:val="0086401E"/>
    <w:rsid w:val="00864103"/>
    <w:rsid w:val="0086429C"/>
    <w:rsid w:val="00864453"/>
    <w:rsid w:val="008645D4"/>
    <w:rsid w:val="0086461E"/>
    <w:rsid w:val="008651CC"/>
    <w:rsid w:val="00865791"/>
    <w:rsid w:val="00865C7F"/>
    <w:rsid w:val="00865C96"/>
    <w:rsid w:val="00866F6C"/>
    <w:rsid w:val="00867151"/>
    <w:rsid w:val="00867D77"/>
    <w:rsid w:val="00870021"/>
    <w:rsid w:val="00870A97"/>
    <w:rsid w:val="00871048"/>
    <w:rsid w:val="00871226"/>
    <w:rsid w:val="00871863"/>
    <w:rsid w:val="00871AA0"/>
    <w:rsid w:val="00871CC9"/>
    <w:rsid w:val="00871EF1"/>
    <w:rsid w:val="00871EFD"/>
    <w:rsid w:val="0087214D"/>
    <w:rsid w:val="0087227F"/>
    <w:rsid w:val="0087295E"/>
    <w:rsid w:val="00872DA8"/>
    <w:rsid w:val="00872E18"/>
    <w:rsid w:val="00872F2D"/>
    <w:rsid w:val="008731D9"/>
    <w:rsid w:val="008738C5"/>
    <w:rsid w:val="00873A3D"/>
    <w:rsid w:val="00873AF3"/>
    <w:rsid w:val="00874248"/>
    <w:rsid w:val="008743CE"/>
    <w:rsid w:val="0087447C"/>
    <w:rsid w:val="00874597"/>
    <w:rsid w:val="00875543"/>
    <w:rsid w:val="0087585B"/>
    <w:rsid w:val="00875CB6"/>
    <w:rsid w:val="00875DD8"/>
    <w:rsid w:val="00876EE1"/>
    <w:rsid w:val="00877492"/>
    <w:rsid w:val="00877863"/>
    <w:rsid w:val="00877B59"/>
    <w:rsid w:val="0088072D"/>
    <w:rsid w:val="008807FA"/>
    <w:rsid w:val="0088082A"/>
    <w:rsid w:val="00880C15"/>
    <w:rsid w:val="00880E9B"/>
    <w:rsid w:val="00881B8E"/>
    <w:rsid w:val="00881E81"/>
    <w:rsid w:val="00881FA7"/>
    <w:rsid w:val="0088238B"/>
    <w:rsid w:val="00882415"/>
    <w:rsid w:val="0088260E"/>
    <w:rsid w:val="00882634"/>
    <w:rsid w:val="008827A4"/>
    <w:rsid w:val="00882B5E"/>
    <w:rsid w:val="00882D31"/>
    <w:rsid w:val="00883169"/>
    <w:rsid w:val="008831E8"/>
    <w:rsid w:val="00883217"/>
    <w:rsid w:val="0088336A"/>
    <w:rsid w:val="00883B7D"/>
    <w:rsid w:val="00884109"/>
    <w:rsid w:val="00884237"/>
    <w:rsid w:val="00884504"/>
    <w:rsid w:val="008846AA"/>
    <w:rsid w:val="00884778"/>
    <w:rsid w:val="008849DC"/>
    <w:rsid w:val="00884D8D"/>
    <w:rsid w:val="00884D8E"/>
    <w:rsid w:val="00884E73"/>
    <w:rsid w:val="00885428"/>
    <w:rsid w:val="0088595D"/>
    <w:rsid w:val="00885BFD"/>
    <w:rsid w:val="00885EB2"/>
    <w:rsid w:val="008860F2"/>
    <w:rsid w:val="008861C9"/>
    <w:rsid w:val="00886388"/>
    <w:rsid w:val="00887716"/>
    <w:rsid w:val="00887766"/>
    <w:rsid w:val="0088776F"/>
    <w:rsid w:val="008877AA"/>
    <w:rsid w:val="00887AED"/>
    <w:rsid w:val="00887C66"/>
    <w:rsid w:val="00887CFA"/>
    <w:rsid w:val="00887E43"/>
    <w:rsid w:val="00887E5C"/>
    <w:rsid w:val="00887F92"/>
    <w:rsid w:val="00890623"/>
    <w:rsid w:val="008908C8"/>
    <w:rsid w:val="00890BE3"/>
    <w:rsid w:val="008910AA"/>
    <w:rsid w:val="008912F9"/>
    <w:rsid w:val="0089131D"/>
    <w:rsid w:val="00891AEC"/>
    <w:rsid w:val="00891F28"/>
    <w:rsid w:val="00892B2F"/>
    <w:rsid w:val="00892E2D"/>
    <w:rsid w:val="00892EA4"/>
    <w:rsid w:val="00892ED4"/>
    <w:rsid w:val="00893485"/>
    <w:rsid w:val="008939E1"/>
    <w:rsid w:val="00894AE8"/>
    <w:rsid w:val="0089503A"/>
    <w:rsid w:val="0089512D"/>
    <w:rsid w:val="008953DE"/>
    <w:rsid w:val="008960E5"/>
    <w:rsid w:val="0089633A"/>
    <w:rsid w:val="00896B62"/>
    <w:rsid w:val="00896BD4"/>
    <w:rsid w:val="008974AA"/>
    <w:rsid w:val="008975F6"/>
    <w:rsid w:val="008977DB"/>
    <w:rsid w:val="00897B13"/>
    <w:rsid w:val="00897E2B"/>
    <w:rsid w:val="00897E9E"/>
    <w:rsid w:val="008A0031"/>
    <w:rsid w:val="008A0174"/>
    <w:rsid w:val="008A0548"/>
    <w:rsid w:val="008A08AB"/>
    <w:rsid w:val="008A0A0F"/>
    <w:rsid w:val="008A0EA1"/>
    <w:rsid w:val="008A1543"/>
    <w:rsid w:val="008A16A2"/>
    <w:rsid w:val="008A17F3"/>
    <w:rsid w:val="008A1809"/>
    <w:rsid w:val="008A1D15"/>
    <w:rsid w:val="008A2339"/>
    <w:rsid w:val="008A24E1"/>
    <w:rsid w:val="008A2C12"/>
    <w:rsid w:val="008A30B5"/>
    <w:rsid w:val="008A350E"/>
    <w:rsid w:val="008A393C"/>
    <w:rsid w:val="008A3A38"/>
    <w:rsid w:val="008A3AED"/>
    <w:rsid w:val="008A3DA3"/>
    <w:rsid w:val="008A4022"/>
    <w:rsid w:val="008A4103"/>
    <w:rsid w:val="008A4255"/>
    <w:rsid w:val="008A461C"/>
    <w:rsid w:val="008A48DA"/>
    <w:rsid w:val="008A4A2B"/>
    <w:rsid w:val="008A4D23"/>
    <w:rsid w:val="008A4EDB"/>
    <w:rsid w:val="008A4FCF"/>
    <w:rsid w:val="008A50E2"/>
    <w:rsid w:val="008A5339"/>
    <w:rsid w:val="008A5502"/>
    <w:rsid w:val="008A5DE2"/>
    <w:rsid w:val="008A5EBD"/>
    <w:rsid w:val="008A6245"/>
    <w:rsid w:val="008A6B0B"/>
    <w:rsid w:val="008A7647"/>
    <w:rsid w:val="008A7824"/>
    <w:rsid w:val="008A7A1A"/>
    <w:rsid w:val="008A7AAC"/>
    <w:rsid w:val="008A7BB0"/>
    <w:rsid w:val="008B0030"/>
    <w:rsid w:val="008B0469"/>
    <w:rsid w:val="008B0CF5"/>
    <w:rsid w:val="008B1911"/>
    <w:rsid w:val="008B2672"/>
    <w:rsid w:val="008B28DF"/>
    <w:rsid w:val="008B376A"/>
    <w:rsid w:val="008B384B"/>
    <w:rsid w:val="008B3E41"/>
    <w:rsid w:val="008B3FB2"/>
    <w:rsid w:val="008B40BB"/>
    <w:rsid w:val="008B420F"/>
    <w:rsid w:val="008B45D4"/>
    <w:rsid w:val="008B4622"/>
    <w:rsid w:val="008B46B9"/>
    <w:rsid w:val="008B4D7D"/>
    <w:rsid w:val="008B525B"/>
    <w:rsid w:val="008B54A4"/>
    <w:rsid w:val="008B56E6"/>
    <w:rsid w:val="008B59EE"/>
    <w:rsid w:val="008B5BAC"/>
    <w:rsid w:val="008B5BC4"/>
    <w:rsid w:val="008B5BCF"/>
    <w:rsid w:val="008B5D93"/>
    <w:rsid w:val="008B61F4"/>
    <w:rsid w:val="008B64DD"/>
    <w:rsid w:val="008B6672"/>
    <w:rsid w:val="008B67D2"/>
    <w:rsid w:val="008B6AAE"/>
    <w:rsid w:val="008B6CB6"/>
    <w:rsid w:val="008B7264"/>
    <w:rsid w:val="008B72FB"/>
    <w:rsid w:val="008B7333"/>
    <w:rsid w:val="008B7C16"/>
    <w:rsid w:val="008B7C93"/>
    <w:rsid w:val="008C0287"/>
    <w:rsid w:val="008C08B4"/>
    <w:rsid w:val="008C0942"/>
    <w:rsid w:val="008C0982"/>
    <w:rsid w:val="008C0AED"/>
    <w:rsid w:val="008C0EC0"/>
    <w:rsid w:val="008C12AF"/>
    <w:rsid w:val="008C1336"/>
    <w:rsid w:val="008C13CA"/>
    <w:rsid w:val="008C1952"/>
    <w:rsid w:val="008C1A9C"/>
    <w:rsid w:val="008C1F3E"/>
    <w:rsid w:val="008C20C4"/>
    <w:rsid w:val="008C22FD"/>
    <w:rsid w:val="008C2353"/>
    <w:rsid w:val="008C2A43"/>
    <w:rsid w:val="008C2DEE"/>
    <w:rsid w:val="008C3893"/>
    <w:rsid w:val="008C3D87"/>
    <w:rsid w:val="008C3DF7"/>
    <w:rsid w:val="008C3E00"/>
    <w:rsid w:val="008C401A"/>
    <w:rsid w:val="008C4517"/>
    <w:rsid w:val="008C451B"/>
    <w:rsid w:val="008C47C4"/>
    <w:rsid w:val="008C4964"/>
    <w:rsid w:val="008C496C"/>
    <w:rsid w:val="008C4A25"/>
    <w:rsid w:val="008C4C42"/>
    <w:rsid w:val="008C5092"/>
    <w:rsid w:val="008C525B"/>
    <w:rsid w:val="008C57C3"/>
    <w:rsid w:val="008C5B9A"/>
    <w:rsid w:val="008C5C50"/>
    <w:rsid w:val="008C5DD9"/>
    <w:rsid w:val="008C611F"/>
    <w:rsid w:val="008C6B5A"/>
    <w:rsid w:val="008C6BC5"/>
    <w:rsid w:val="008C6C17"/>
    <w:rsid w:val="008C6C24"/>
    <w:rsid w:val="008C6D14"/>
    <w:rsid w:val="008C6F02"/>
    <w:rsid w:val="008C72E5"/>
    <w:rsid w:val="008C74BE"/>
    <w:rsid w:val="008C773A"/>
    <w:rsid w:val="008C7A09"/>
    <w:rsid w:val="008C7B9D"/>
    <w:rsid w:val="008C7CC8"/>
    <w:rsid w:val="008C7D2D"/>
    <w:rsid w:val="008C7E7C"/>
    <w:rsid w:val="008C7E7F"/>
    <w:rsid w:val="008D0279"/>
    <w:rsid w:val="008D0320"/>
    <w:rsid w:val="008D03DE"/>
    <w:rsid w:val="008D0BE7"/>
    <w:rsid w:val="008D14AC"/>
    <w:rsid w:val="008D14DC"/>
    <w:rsid w:val="008D16A7"/>
    <w:rsid w:val="008D1EAE"/>
    <w:rsid w:val="008D1F15"/>
    <w:rsid w:val="008D1F6E"/>
    <w:rsid w:val="008D2086"/>
    <w:rsid w:val="008D21EC"/>
    <w:rsid w:val="008D2777"/>
    <w:rsid w:val="008D35F3"/>
    <w:rsid w:val="008D36A0"/>
    <w:rsid w:val="008D36B6"/>
    <w:rsid w:val="008D3701"/>
    <w:rsid w:val="008D38E3"/>
    <w:rsid w:val="008D3944"/>
    <w:rsid w:val="008D3BD7"/>
    <w:rsid w:val="008D3C25"/>
    <w:rsid w:val="008D3D6C"/>
    <w:rsid w:val="008D3EB4"/>
    <w:rsid w:val="008D4E50"/>
    <w:rsid w:val="008D5205"/>
    <w:rsid w:val="008D53FE"/>
    <w:rsid w:val="008D54F6"/>
    <w:rsid w:val="008D5519"/>
    <w:rsid w:val="008D5549"/>
    <w:rsid w:val="008D5EE2"/>
    <w:rsid w:val="008D5F94"/>
    <w:rsid w:val="008D6135"/>
    <w:rsid w:val="008D6386"/>
    <w:rsid w:val="008D6CE7"/>
    <w:rsid w:val="008D7003"/>
    <w:rsid w:val="008D70CE"/>
    <w:rsid w:val="008D70E9"/>
    <w:rsid w:val="008D7206"/>
    <w:rsid w:val="008D7266"/>
    <w:rsid w:val="008D7535"/>
    <w:rsid w:val="008D798C"/>
    <w:rsid w:val="008E0216"/>
    <w:rsid w:val="008E05A5"/>
    <w:rsid w:val="008E0D03"/>
    <w:rsid w:val="008E11D8"/>
    <w:rsid w:val="008E144A"/>
    <w:rsid w:val="008E1938"/>
    <w:rsid w:val="008E1B92"/>
    <w:rsid w:val="008E1D2F"/>
    <w:rsid w:val="008E1FC9"/>
    <w:rsid w:val="008E2FD4"/>
    <w:rsid w:val="008E360E"/>
    <w:rsid w:val="008E39D7"/>
    <w:rsid w:val="008E3A32"/>
    <w:rsid w:val="008E3C9B"/>
    <w:rsid w:val="008E4A7A"/>
    <w:rsid w:val="008E4B29"/>
    <w:rsid w:val="008E55CA"/>
    <w:rsid w:val="008E567E"/>
    <w:rsid w:val="008E5689"/>
    <w:rsid w:val="008E573A"/>
    <w:rsid w:val="008E5769"/>
    <w:rsid w:val="008E57E9"/>
    <w:rsid w:val="008E5964"/>
    <w:rsid w:val="008E5EEE"/>
    <w:rsid w:val="008E5F88"/>
    <w:rsid w:val="008E618F"/>
    <w:rsid w:val="008E6264"/>
    <w:rsid w:val="008E62D4"/>
    <w:rsid w:val="008E62DC"/>
    <w:rsid w:val="008E6634"/>
    <w:rsid w:val="008E695A"/>
    <w:rsid w:val="008E6A1E"/>
    <w:rsid w:val="008E6E83"/>
    <w:rsid w:val="008E76A1"/>
    <w:rsid w:val="008E7B90"/>
    <w:rsid w:val="008E7E04"/>
    <w:rsid w:val="008F02FA"/>
    <w:rsid w:val="008F0455"/>
    <w:rsid w:val="008F15C2"/>
    <w:rsid w:val="008F183D"/>
    <w:rsid w:val="008F1B04"/>
    <w:rsid w:val="008F1E1F"/>
    <w:rsid w:val="008F1ECC"/>
    <w:rsid w:val="008F2155"/>
    <w:rsid w:val="008F2882"/>
    <w:rsid w:val="008F299E"/>
    <w:rsid w:val="008F2BDF"/>
    <w:rsid w:val="008F2D94"/>
    <w:rsid w:val="008F3214"/>
    <w:rsid w:val="008F37BB"/>
    <w:rsid w:val="008F43D6"/>
    <w:rsid w:val="008F4CB3"/>
    <w:rsid w:val="008F512B"/>
    <w:rsid w:val="008F599B"/>
    <w:rsid w:val="008F5CC2"/>
    <w:rsid w:val="008F5E20"/>
    <w:rsid w:val="008F610D"/>
    <w:rsid w:val="008F61E4"/>
    <w:rsid w:val="008F6A00"/>
    <w:rsid w:val="008F6B06"/>
    <w:rsid w:val="008F6BB3"/>
    <w:rsid w:val="008F6C69"/>
    <w:rsid w:val="008F6FA6"/>
    <w:rsid w:val="008F7138"/>
    <w:rsid w:val="008F736C"/>
    <w:rsid w:val="008F7BAE"/>
    <w:rsid w:val="008F7FAA"/>
    <w:rsid w:val="008F7FCE"/>
    <w:rsid w:val="0090017E"/>
    <w:rsid w:val="00900447"/>
    <w:rsid w:val="0090095F"/>
    <w:rsid w:val="00900B51"/>
    <w:rsid w:val="00900B7B"/>
    <w:rsid w:val="00901437"/>
    <w:rsid w:val="0090144E"/>
    <w:rsid w:val="00901672"/>
    <w:rsid w:val="00901BCF"/>
    <w:rsid w:val="00901E60"/>
    <w:rsid w:val="009024BC"/>
    <w:rsid w:val="00902540"/>
    <w:rsid w:val="00902711"/>
    <w:rsid w:val="00902DB7"/>
    <w:rsid w:val="00903191"/>
    <w:rsid w:val="0090322F"/>
    <w:rsid w:val="0090330B"/>
    <w:rsid w:val="00903445"/>
    <w:rsid w:val="009037AA"/>
    <w:rsid w:val="00903C26"/>
    <w:rsid w:val="00903C79"/>
    <w:rsid w:val="0090402E"/>
    <w:rsid w:val="00904B18"/>
    <w:rsid w:val="00904E93"/>
    <w:rsid w:val="00905300"/>
    <w:rsid w:val="009057C4"/>
    <w:rsid w:val="00905EA4"/>
    <w:rsid w:val="00906622"/>
    <w:rsid w:val="0090686F"/>
    <w:rsid w:val="00906905"/>
    <w:rsid w:val="00906996"/>
    <w:rsid w:val="00907709"/>
    <w:rsid w:val="009077F0"/>
    <w:rsid w:val="00907870"/>
    <w:rsid w:val="009100A4"/>
    <w:rsid w:val="0091097A"/>
    <w:rsid w:val="00910F12"/>
    <w:rsid w:val="00910FC1"/>
    <w:rsid w:val="00911989"/>
    <w:rsid w:val="00911D20"/>
    <w:rsid w:val="00911F73"/>
    <w:rsid w:val="00912045"/>
    <w:rsid w:val="00912515"/>
    <w:rsid w:val="00912763"/>
    <w:rsid w:val="00912DE8"/>
    <w:rsid w:val="00913407"/>
    <w:rsid w:val="0091348A"/>
    <w:rsid w:val="009134A9"/>
    <w:rsid w:val="00913529"/>
    <w:rsid w:val="009137E2"/>
    <w:rsid w:val="009139EE"/>
    <w:rsid w:val="009139FB"/>
    <w:rsid w:val="00913D1F"/>
    <w:rsid w:val="00913E8A"/>
    <w:rsid w:val="00913FA8"/>
    <w:rsid w:val="0091421B"/>
    <w:rsid w:val="00914381"/>
    <w:rsid w:val="00914532"/>
    <w:rsid w:val="00914F4B"/>
    <w:rsid w:val="0091516C"/>
    <w:rsid w:val="00915D86"/>
    <w:rsid w:val="00915EA8"/>
    <w:rsid w:val="00915F4C"/>
    <w:rsid w:val="00916219"/>
    <w:rsid w:val="00916297"/>
    <w:rsid w:val="00916302"/>
    <w:rsid w:val="00916863"/>
    <w:rsid w:val="00916B03"/>
    <w:rsid w:val="00916D15"/>
    <w:rsid w:val="00916F16"/>
    <w:rsid w:val="0091742A"/>
    <w:rsid w:val="009174A3"/>
    <w:rsid w:val="009176CB"/>
    <w:rsid w:val="00917E7C"/>
    <w:rsid w:val="0092008C"/>
    <w:rsid w:val="00920100"/>
    <w:rsid w:val="00920A7F"/>
    <w:rsid w:val="00920F44"/>
    <w:rsid w:val="0092138F"/>
    <w:rsid w:val="00921446"/>
    <w:rsid w:val="0092155B"/>
    <w:rsid w:val="00921E35"/>
    <w:rsid w:val="0092223D"/>
    <w:rsid w:val="0092228D"/>
    <w:rsid w:val="009222E1"/>
    <w:rsid w:val="00922943"/>
    <w:rsid w:val="00922C3B"/>
    <w:rsid w:val="00922F70"/>
    <w:rsid w:val="00923617"/>
    <w:rsid w:val="0092386C"/>
    <w:rsid w:val="009238BE"/>
    <w:rsid w:val="00923A96"/>
    <w:rsid w:val="00923ED4"/>
    <w:rsid w:val="009243F4"/>
    <w:rsid w:val="00924815"/>
    <w:rsid w:val="009249E5"/>
    <w:rsid w:val="00924A13"/>
    <w:rsid w:val="00924C1F"/>
    <w:rsid w:val="00925300"/>
    <w:rsid w:val="009255BC"/>
    <w:rsid w:val="0092583A"/>
    <w:rsid w:val="00925F60"/>
    <w:rsid w:val="0092625F"/>
    <w:rsid w:val="00926503"/>
    <w:rsid w:val="009267A0"/>
    <w:rsid w:val="00926B24"/>
    <w:rsid w:val="00926CA8"/>
    <w:rsid w:val="00927125"/>
    <w:rsid w:val="009272E6"/>
    <w:rsid w:val="0092734A"/>
    <w:rsid w:val="009274A0"/>
    <w:rsid w:val="00927903"/>
    <w:rsid w:val="0092792E"/>
    <w:rsid w:val="009304CB"/>
    <w:rsid w:val="00930531"/>
    <w:rsid w:val="009307C4"/>
    <w:rsid w:val="00930A5D"/>
    <w:rsid w:val="00930ECF"/>
    <w:rsid w:val="00931884"/>
    <w:rsid w:val="00931AC4"/>
    <w:rsid w:val="00932144"/>
    <w:rsid w:val="00932385"/>
    <w:rsid w:val="00932631"/>
    <w:rsid w:val="00932761"/>
    <w:rsid w:val="009329C7"/>
    <w:rsid w:val="00933557"/>
    <w:rsid w:val="00933BB0"/>
    <w:rsid w:val="00933C04"/>
    <w:rsid w:val="00934098"/>
    <w:rsid w:val="00934483"/>
    <w:rsid w:val="00934ADE"/>
    <w:rsid w:val="00934FDB"/>
    <w:rsid w:val="00935075"/>
    <w:rsid w:val="00935823"/>
    <w:rsid w:val="009358A2"/>
    <w:rsid w:val="00935D44"/>
    <w:rsid w:val="00936271"/>
    <w:rsid w:val="00936413"/>
    <w:rsid w:val="00936695"/>
    <w:rsid w:val="00936711"/>
    <w:rsid w:val="0093692D"/>
    <w:rsid w:val="00936BBE"/>
    <w:rsid w:val="009376F3"/>
    <w:rsid w:val="00937A38"/>
    <w:rsid w:val="00937D1C"/>
    <w:rsid w:val="00937EA2"/>
    <w:rsid w:val="00940251"/>
    <w:rsid w:val="00940457"/>
    <w:rsid w:val="009406B5"/>
    <w:rsid w:val="0094076F"/>
    <w:rsid w:val="009409D8"/>
    <w:rsid w:val="00940FC3"/>
    <w:rsid w:val="0094105E"/>
    <w:rsid w:val="00941073"/>
    <w:rsid w:val="009415C8"/>
    <w:rsid w:val="00941840"/>
    <w:rsid w:val="00941905"/>
    <w:rsid w:val="00941BA0"/>
    <w:rsid w:val="00941C8E"/>
    <w:rsid w:val="00941EBA"/>
    <w:rsid w:val="00941EC2"/>
    <w:rsid w:val="00941EC3"/>
    <w:rsid w:val="00941F2F"/>
    <w:rsid w:val="00942ADE"/>
    <w:rsid w:val="00942F0F"/>
    <w:rsid w:val="00943055"/>
    <w:rsid w:val="00943893"/>
    <w:rsid w:val="00943C08"/>
    <w:rsid w:val="00943E2B"/>
    <w:rsid w:val="00943F3E"/>
    <w:rsid w:val="009440AE"/>
    <w:rsid w:val="009444B9"/>
    <w:rsid w:val="009445E0"/>
    <w:rsid w:val="009447FA"/>
    <w:rsid w:val="0094488B"/>
    <w:rsid w:val="00944F8F"/>
    <w:rsid w:val="00945179"/>
    <w:rsid w:val="00945600"/>
    <w:rsid w:val="009456E8"/>
    <w:rsid w:val="00945C7B"/>
    <w:rsid w:val="00946059"/>
    <w:rsid w:val="009462DF"/>
    <w:rsid w:val="0094658B"/>
    <w:rsid w:val="0094666F"/>
    <w:rsid w:val="009468F6"/>
    <w:rsid w:val="009470DF"/>
    <w:rsid w:val="009474FE"/>
    <w:rsid w:val="00947588"/>
    <w:rsid w:val="00947BE8"/>
    <w:rsid w:val="00947F1B"/>
    <w:rsid w:val="00950744"/>
    <w:rsid w:val="00950AE6"/>
    <w:rsid w:val="00950BBA"/>
    <w:rsid w:val="00950BDD"/>
    <w:rsid w:val="00950F13"/>
    <w:rsid w:val="00951167"/>
    <w:rsid w:val="009516AE"/>
    <w:rsid w:val="0095176A"/>
    <w:rsid w:val="00951CBC"/>
    <w:rsid w:val="00951D86"/>
    <w:rsid w:val="0095238C"/>
    <w:rsid w:val="0095239A"/>
    <w:rsid w:val="00952857"/>
    <w:rsid w:val="00952B1A"/>
    <w:rsid w:val="009532CD"/>
    <w:rsid w:val="009532FF"/>
    <w:rsid w:val="009533F4"/>
    <w:rsid w:val="00953678"/>
    <w:rsid w:val="00953797"/>
    <w:rsid w:val="00953D7A"/>
    <w:rsid w:val="00953E3F"/>
    <w:rsid w:val="009541A4"/>
    <w:rsid w:val="009541DA"/>
    <w:rsid w:val="00954240"/>
    <w:rsid w:val="0095456F"/>
    <w:rsid w:val="00954821"/>
    <w:rsid w:val="0095497E"/>
    <w:rsid w:val="00954B6F"/>
    <w:rsid w:val="00954B99"/>
    <w:rsid w:val="00954BEA"/>
    <w:rsid w:val="00955A27"/>
    <w:rsid w:val="0095624D"/>
    <w:rsid w:val="00956867"/>
    <w:rsid w:val="00956C48"/>
    <w:rsid w:val="00956D2E"/>
    <w:rsid w:val="00957410"/>
    <w:rsid w:val="009575F0"/>
    <w:rsid w:val="00957B34"/>
    <w:rsid w:val="00957D1F"/>
    <w:rsid w:val="009605AA"/>
    <w:rsid w:val="00960B06"/>
    <w:rsid w:val="0096105B"/>
    <w:rsid w:val="009614B4"/>
    <w:rsid w:val="00961BAB"/>
    <w:rsid w:val="009629AF"/>
    <w:rsid w:val="0096303A"/>
    <w:rsid w:val="00963119"/>
    <w:rsid w:val="009632A5"/>
    <w:rsid w:val="009634D2"/>
    <w:rsid w:val="009638BF"/>
    <w:rsid w:val="00963B2E"/>
    <w:rsid w:val="0096443C"/>
    <w:rsid w:val="009646DA"/>
    <w:rsid w:val="00964738"/>
    <w:rsid w:val="00964925"/>
    <w:rsid w:val="00964AE7"/>
    <w:rsid w:val="00964ECD"/>
    <w:rsid w:val="00966923"/>
    <w:rsid w:val="00966B41"/>
    <w:rsid w:val="00966C11"/>
    <w:rsid w:val="00966D8F"/>
    <w:rsid w:val="00966F0B"/>
    <w:rsid w:val="0096765A"/>
    <w:rsid w:val="00967C10"/>
    <w:rsid w:val="00967E06"/>
    <w:rsid w:val="0097004C"/>
    <w:rsid w:val="009700D0"/>
    <w:rsid w:val="009703F4"/>
    <w:rsid w:val="00970876"/>
    <w:rsid w:val="00970AE6"/>
    <w:rsid w:val="009714DE"/>
    <w:rsid w:val="009719FE"/>
    <w:rsid w:val="00972414"/>
    <w:rsid w:val="00972667"/>
    <w:rsid w:val="00972676"/>
    <w:rsid w:val="00972683"/>
    <w:rsid w:val="00972858"/>
    <w:rsid w:val="00972972"/>
    <w:rsid w:val="009734D0"/>
    <w:rsid w:val="0097378E"/>
    <w:rsid w:val="00974362"/>
    <w:rsid w:val="009744E8"/>
    <w:rsid w:val="00974AF4"/>
    <w:rsid w:val="00974EA4"/>
    <w:rsid w:val="00975221"/>
    <w:rsid w:val="009757A4"/>
    <w:rsid w:val="00975BE9"/>
    <w:rsid w:val="009761A1"/>
    <w:rsid w:val="0097620E"/>
    <w:rsid w:val="009764DB"/>
    <w:rsid w:val="00976657"/>
    <w:rsid w:val="0097683D"/>
    <w:rsid w:val="00976BD3"/>
    <w:rsid w:val="00976D17"/>
    <w:rsid w:val="00976EA2"/>
    <w:rsid w:val="00977194"/>
    <w:rsid w:val="0097745B"/>
    <w:rsid w:val="00977CC3"/>
    <w:rsid w:val="00977DDC"/>
    <w:rsid w:val="0098014B"/>
    <w:rsid w:val="009801B3"/>
    <w:rsid w:val="009809CE"/>
    <w:rsid w:val="00980DDB"/>
    <w:rsid w:val="00981246"/>
    <w:rsid w:val="0098134C"/>
    <w:rsid w:val="009820D0"/>
    <w:rsid w:val="0098224D"/>
    <w:rsid w:val="009824EF"/>
    <w:rsid w:val="00982C56"/>
    <w:rsid w:val="00982EEB"/>
    <w:rsid w:val="00982F79"/>
    <w:rsid w:val="00982F96"/>
    <w:rsid w:val="009838BC"/>
    <w:rsid w:val="00983C9F"/>
    <w:rsid w:val="009841B8"/>
    <w:rsid w:val="00984DAD"/>
    <w:rsid w:val="00985067"/>
    <w:rsid w:val="009852DD"/>
    <w:rsid w:val="00985402"/>
    <w:rsid w:val="0098551E"/>
    <w:rsid w:val="0098563C"/>
    <w:rsid w:val="00985703"/>
    <w:rsid w:val="0098570E"/>
    <w:rsid w:val="00985CC9"/>
    <w:rsid w:val="00985F3C"/>
    <w:rsid w:val="009862D2"/>
    <w:rsid w:val="00986374"/>
    <w:rsid w:val="009864E0"/>
    <w:rsid w:val="00986BEC"/>
    <w:rsid w:val="00987069"/>
    <w:rsid w:val="00987761"/>
    <w:rsid w:val="00987D68"/>
    <w:rsid w:val="00987F1D"/>
    <w:rsid w:val="00987FAF"/>
    <w:rsid w:val="009901BB"/>
    <w:rsid w:val="009902DB"/>
    <w:rsid w:val="009908E9"/>
    <w:rsid w:val="00990BFE"/>
    <w:rsid w:val="00990F71"/>
    <w:rsid w:val="00991070"/>
    <w:rsid w:val="00991AF0"/>
    <w:rsid w:val="00991C66"/>
    <w:rsid w:val="009922C3"/>
    <w:rsid w:val="0099252D"/>
    <w:rsid w:val="0099282F"/>
    <w:rsid w:val="00992A16"/>
    <w:rsid w:val="00992D7F"/>
    <w:rsid w:val="00993135"/>
    <w:rsid w:val="00993779"/>
    <w:rsid w:val="00993982"/>
    <w:rsid w:val="00993FC9"/>
    <w:rsid w:val="00993FEF"/>
    <w:rsid w:val="009945EE"/>
    <w:rsid w:val="0099485C"/>
    <w:rsid w:val="00994BAB"/>
    <w:rsid w:val="00994D90"/>
    <w:rsid w:val="009950BC"/>
    <w:rsid w:val="009954AA"/>
    <w:rsid w:val="00995EB2"/>
    <w:rsid w:val="0099619F"/>
    <w:rsid w:val="009962AD"/>
    <w:rsid w:val="0099645E"/>
    <w:rsid w:val="009964F3"/>
    <w:rsid w:val="009967EF"/>
    <w:rsid w:val="00996B0B"/>
    <w:rsid w:val="009970CE"/>
    <w:rsid w:val="009975FA"/>
    <w:rsid w:val="009976FF"/>
    <w:rsid w:val="009979D5"/>
    <w:rsid w:val="00997B61"/>
    <w:rsid w:val="00997CB6"/>
    <w:rsid w:val="009A001D"/>
    <w:rsid w:val="009A0350"/>
    <w:rsid w:val="009A0A50"/>
    <w:rsid w:val="009A0F1C"/>
    <w:rsid w:val="009A147F"/>
    <w:rsid w:val="009A1565"/>
    <w:rsid w:val="009A1A83"/>
    <w:rsid w:val="009A238F"/>
    <w:rsid w:val="009A2867"/>
    <w:rsid w:val="009A2FDC"/>
    <w:rsid w:val="009A306B"/>
    <w:rsid w:val="009A3276"/>
    <w:rsid w:val="009A3C31"/>
    <w:rsid w:val="009A4197"/>
    <w:rsid w:val="009A474E"/>
    <w:rsid w:val="009A490D"/>
    <w:rsid w:val="009A4BCB"/>
    <w:rsid w:val="009A4CC9"/>
    <w:rsid w:val="009A4FCB"/>
    <w:rsid w:val="009A5183"/>
    <w:rsid w:val="009A601A"/>
    <w:rsid w:val="009A6543"/>
    <w:rsid w:val="009A65B5"/>
    <w:rsid w:val="009A689E"/>
    <w:rsid w:val="009A6CCD"/>
    <w:rsid w:val="009A7024"/>
    <w:rsid w:val="009A72AE"/>
    <w:rsid w:val="009A7D4C"/>
    <w:rsid w:val="009A7E3C"/>
    <w:rsid w:val="009A7F03"/>
    <w:rsid w:val="009A7FC5"/>
    <w:rsid w:val="009B01CB"/>
    <w:rsid w:val="009B04BC"/>
    <w:rsid w:val="009B11BA"/>
    <w:rsid w:val="009B144E"/>
    <w:rsid w:val="009B184E"/>
    <w:rsid w:val="009B18DD"/>
    <w:rsid w:val="009B1AA4"/>
    <w:rsid w:val="009B2480"/>
    <w:rsid w:val="009B27D7"/>
    <w:rsid w:val="009B2B9B"/>
    <w:rsid w:val="009B2C3E"/>
    <w:rsid w:val="009B2CC8"/>
    <w:rsid w:val="009B30F3"/>
    <w:rsid w:val="009B31A8"/>
    <w:rsid w:val="009B379F"/>
    <w:rsid w:val="009B38C9"/>
    <w:rsid w:val="009B3ED2"/>
    <w:rsid w:val="009B3FD0"/>
    <w:rsid w:val="009B4017"/>
    <w:rsid w:val="009B41AC"/>
    <w:rsid w:val="009B438D"/>
    <w:rsid w:val="009B480C"/>
    <w:rsid w:val="009B491A"/>
    <w:rsid w:val="009B4940"/>
    <w:rsid w:val="009B4A6D"/>
    <w:rsid w:val="009B4E73"/>
    <w:rsid w:val="009B50C2"/>
    <w:rsid w:val="009B5C6F"/>
    <w:rsid w:val="009B5D14"/>
    <w:rsid w:val="009B5DB2"/>
    <w:rsid w:val="009B6234"/>
    <w:rsid w:val="009B6DFF"/>
    <w:rsid w:val="009B7D1B"/>
    <w:rsid w:val="009C014E"/>
    <w:rsid w:val="009C0371"/>
    <w:rsid w:val="009C040B"/>
    <w:rsid w:val="009C0578"/>
    <w:rsid w:val="009C05B2"/>
    <w:rsid w:val="009C0BF2"/>
    <w:rsid w:val="009C0E8A"/>
    <w:rsid w:val="009C11BE"/>
    <w:rsid w:val="009C1298"/>
    <w:rsid w:val="009C1314"/>
    <w:rsid w:val="009C131C"/>
    <w:rsid w:val="009C1349"/>
    <w:rsid w:val="009C14D7"/>
    <w:rsid w:val="009C1B03"/>
    <w:rsid w:val="009C2025"/>
    <w:rsid w:val="009C23ED"/>
    <w:rsid w:val="009C2A26"/>
    <w:rsid w:val="009C2B30"/>
    <w:rsid w:val="009C35A7"/>
    <w:rsid w:val="009C39DB"/>
    <w:rsid w:val="009C4E6F"/>
    <w:rsid w:val="009C5039"/>
    <w:rsid w:val="009C53BA"/>
    <w:rsid w:val="009C5409"/>
    <w:rsid w:val="009C5CCC"/>
    <w:rsid w:val="009C6366"/>
    <w:rsid w:val="009C63C4"/>
    <w:rsid w:val="009C6978"/>
    <w:rsid w:val="009C6AB1"/>
    <w:rsid w:val="009C6EB4"/>
    <w:rsid w:val="009C6F0E"/>
    <w:rsid w:val="009C7586"/>
    <w:rsid w:val="009C76F2"/>
    <w:rsid w:val="009C7EBA"/>
    <w:rsid w:val="009D0242"/>
    <w:rsid w:val="009D02DE"/>
    <w:rsid w:val="009D03F4"/>
    <w:rsid w:val="009D0848"/>
    <w:rsid w:val="009D08CE"/>
    <w:rsid w:val="009D0CF3"/>
    <w:rsid w:val="009D0FB7"/>
    <w:rsid w:val="009D0FBA"/>
    <w:rsid w:val="009D12CE"/>
    <w:rsid w:val="009D1561"/>
    <w:rsid w:val="009D17F6"/>
    <w:rsid w:val="009D1B06"/>
    <w:rsid w:val="009D1CBB"/>
    <w:rsid w:val="009D1F07"/>
    <w:rsid w:val="009D200B"/>
    <w:rsid w:val="009D217E"/>
    <w:rsid w:val="009D2224"/>
    <w:rsid w:val="009D29BF"/>
    <w:rsid w:val="009D2C0D"/>
    <w:rsid w:val="009D2E35"/>
    <w:rsid w:val="009D329C"/>
    <w:rsid w:val="009D3E86"/>
    <w:rsid w:val="009D3F53"/>
    <w:rsid w:val="009D414E"/>
    <w:rsid w:val="009D4443"/>
    <w:rsid w:val="009D46CF"/>
    <w:rsid w:val="009D4C16"/>
    <w:rsid w:val="009D4C53"/>
    <w:rsid w:val="009D4CE0"/>
    <w:rsid w:val="009D4F5C"/>
    <w:rsid w:val="009D5399"/>
    <w:rsid w:val="009D53D0"/>
    <w:rsid w:val="009D53E9"/>
    <w:rsid w:val="009D5501"/>
    <w:rsid w:val="009D5509"/>
    <w:rsid w:val="009D5609"/>
    <w:rsid w:val="009D5A63"/>
    <w:rsid w:val="009D5ACF"/>
    <w:rsid w:val="009D5B41"/>
    <w:rsid w:val="009D680E"/>
    <w:rsid w:val="009D69DC"/>
    <w:rsid w:val="009D6A66"/>
    <w:rsid w:val="009D7154"/>
    <w:rsid w:val="009D7171"/>
    <w:rsid w:val="009D71F3"/>
    <w:rsid w:val="009D78B9"/>
    <w:rsid w:val="009D7C10"/>
    <w:rsid w:val="009E0010"/>
    <w:rsid w:val="009E0234"/>
    <w:rsid w:val="009E046F"/>
    <w:rsid w:val="009E0AEA"/>
    <w:rsid w:val="009E0D5F"/>
    <w:rsid w:val="009E128A"/>
    <w:rsid w:val="009E19FB"/>
    <w:rsid w:val="009E2811"/>
    <w:rsid w:val="009E30D1"/>
    <w:rsid w:val="009E3334"/>
    <w:rsid w:val="009E348C"/>
    <w:rsid w:val="009E3629"/>
    <w:rsid w:val="009E37E7"/>
    <w:rsid w:val="009E38C3"/>
    <w:rsid w:val="009E3C67"/>
    <w:rsid w:val="009E3DE4"/>
    <w:rsid w:val="009E4A41"/>
    <w:rsid w:val="009E4C1A"/>
    <w:rsid w:val="009E4EAA"/>
    <w:rsid w:val="009E51BE"/>
    <w:rsid w:val="009E5C1D"/>
    <w:rsid w:val="009E5F3F"/>
    <w:rsid w:val="009E617D"/>
    <w:rsid w:val="009E6968"/>
    <w:rsid w:val="009E6DF3"/>
    <w:rsid w:val="009E7950"/>
    <w:rsid w:val="009E7F51"/>
    <w:rsid w:val="009F03C5"/>
    <w:rsid w:val="009F065E"/>
    <w:rsid w:val="009F076C"/>
    <w:rsid w:val="009F0A85"/>
    <w:rsid w:val="009F0B47"/>
    <w:rsid w:val="009F190B"/>
    <w:rsid w:val="009F198C"/>
    <w:rsid w:val="009F2412"/>
    <w:rsid w:val="009F2716"/>
    <w:rsid w:val="009F2E2E"/>
    <w:rsid w:val="009F3527"/>
    <w:rsid w:val="009F38B4"/>
    <w:rsid w:val="009F394D"/>
    <w:rsid w:val="009F3A55"/>
    <w:rsid w:val="009F3C66"/>
    <w:rsid w:val="009F3D89"/>
    <w:rsid w:val="009F40A7"/>
    <w:rsid w:val="009F42EA"/>
    <w:rsid w:val="009F4570"/>
    <w:rsid w:val="009F4573"/>
    <w:rsid w:val="009F4584"/>
    <w:rsid w:val="009F543C"/>
    <w:rsid w:val="009F5985"/>
    <w:rsid w:val="009F673D"/>
    <w:rsid w:val="009F6BFD"/>
    <w:rsid w:val="009F6CC7"/>
    <w:rsid w:val="009F711E"/>
    <w:rsid w:val="009F7D42"/>
    <w:rsid w:val="00A00043"/>
    <w:rsid w:val="00A003C6"/>
    <w:rsid w:val="00A006FE"/>
    <w:rsid w:val="00A00771"/>
    <w:rsid w:val="00A00A95"/>
    <w:rsid w:val="00A00F30"/>
    <w:rsid w:val="00A010E1"/>
    <w:rsid w:val="00A01131"/>
    <w:rsid w:val="00A020A6"/>
    <w:rsid w:val="00A022AA"/>
    <w:rsid w:val="00A026E2"/>
    <w:rsid w:val="00A02840"/>
    <w:rsid w:val="00A035D1"/>
    <w:rsid w:val="00A03988"/>
    <w:rsid w:val="00A03E24"/>
    <w:rsid w:val="00A046FF"/>
    <w:rsid w:val="00A04977"/>
    <w:rsid w:val="00A04AA0"/>
    <w:rsid w:val="00A04D64"/>
    <w:rsid w:val="00A057BE"/>
    <w:rsid w:val="00A05AD3"/>
    <w:rsid w:val="00A0694A"/>
    <w:rsid w:val="00A06FF2"/>
    <w:rsid w:val="00A06FF4"/>
    <w:rsid w:val="00A0734F"/>
    <w:rsid w:val="00A0749A"/>
    <w:rsid w:val="00A07718"/>
    <w:rsid w:val="00A1079F"/>
    <w:rsid w:val="00A124B4"/>
    <w:rsid w:val="00A13024"/>
    <w:rsid w:val="00A1344F"/>
    <w:rsid w:val="00A1394E"/>
    <w:rsid w:val="00A13C46"/>
    <w:rsid w:val="00A145CA"/>
    <w:rsid w:val="00A14614"/>
    <w:rsid w:val="00A14940"/>
    <w:rsid w:val="00A14DF2"/>
    <w:rsid w:val="00A14FFA"/>
    <w:rsid w:val="00A1565B"/>
    <w:rsid w:val="00A156BA"/>
    <w:rsid w:val="00A158C3"/>
    <w:rsid w:val="00A158DD"/>
    <w:rsid w:val="00A16291"/>
    <w:rsid w:val="00A166E9"/>
    <w:rsid w:val="00A16940"/>
    <w:rsid w:val="00A17426"/>
    <w:rsid w:val="00A17E54"/>
    <w:rsid w:val="00A20161"/>
    <w:rsid w:val="00A20B10"/>
    <w:rsid w:val="00A20C3C"/>
    <w:rsid w:val="00A2109A"/>
    <w:rsid w:val="00A211C3"/>
    <w:rsid w:val="00A2122D"/>
    <w:rsid w:val="00A21706"/>
    <w:rsid w:val="00A2180E"/>
    <w:rsid w:val="00A218ED"/>
    <w:rsid w:val="00A21D23"/>
    <w:rsid w:val="00A220DA"/>
    <w:rsid w:val="00A22147"/>
    <w:rsid w:val="00A22429"/>
    <w:rsid w:val="00A2247B"/>
    <w:rsid w:val="00A225DB"/>
    <w:rsid w:val="00A23076"/>
    <w:rsid w:val="00A234AA"/>
    <w:rsid w:val="00A2371B"/>
    <w:rsid w:val="00A23823"/>
    <w:rsid w:val="00A2386D"/>
    <w:rsid w:val="00A23FF7"/>
    <w:rsid w:val="00A2406F"/>
    <w:rsid w:val="00A24DA4"/>
    <w:rsid w:val="00A24EB0"/>
    <w:rsid w:val="00A250C9"/>
    <w:rsid w:val="00A250E5"/>
    <w:rsid w:val="00A2584E"/>
    <w:rsid w:val="00A25E9E"/>
    <w:rsid w:val="00A25EB7"/>
    <w:rsid w:val="00A2643E"/>
    <w:rsid w:val="00A26696"/>
    <w:rsid w:val="00A26C2D"/>
    <w:rsid w:val="00A26EC3"/>
    <w:rsid w:val="00A27251"/>
    <w:rsid w:val="00A27268"/>
    <w:rsid w:val="00A2737C"/>
    <w:rsid w:val="00A27695"/>
    <w:rsid w:val="00A277F4"/>
    <w:rsid w:val="00A27878"/>
    <w:rsid w:val="00A278AE"/>
    <w:rsid w:val="00A30366"/>
    <w:rsid w:val="00A30D53"/>
    <w:rsid w:val="00A30F00"/>
    <w:rsid w:val="00A315BD"/>
    <w:rsid w:val="00A31771"/>
    <w:rsid w:val="00A31E83"/>
    <w:rsid w:val="00A32120"/>
    <w:rsid w:val="00A321D0"/>
    <w:rsid w:val="00A323EC"/>
    <w:rsid w:val="00A32450"/>
    <w:rsid w:val="00A327B7"/>
    <w:rsid w:val="00A327C7"/>
    <w:rsid w:val="00A32B58"/>
    <w:rsid w:val="00A3338D"/>
    <w:rsid w:val="00A334E8"/>
    <w:rsid w:val="00A335A2"/>
    <w:rsid w:val="00A33B7C"/>
    <w:rsid w:val="00A34827"/>
    <w:rsid w:val="00A3482B"/>
    <w:rsid w:val="00A34B02"/>
    <w:rsid w:val="00A34BCC"/>
    <w:rsid w:val="00A353A0"/>
    <w:rsid w:val="00A357F4"/>
    <w:rsid w:val="00A35C7A"/>
    <w:rsid w:val="00A35EAD"/>
    <w:rsid w:val="00A3691B"/>
    <w:rsid w:val="00A37137"/>
    <w:rsid w:val="00A37326"/>
    <w:rsid w:val="00A374B9"/>
    <w:rsid w:val="00A375DC"/>
    <w:rsid w:val="00A37629"/>
    <w:rsid w:val="00A37677"/>
    <w:rsid w:val="00A404C2"/>
    <w:rsid w:val="00A404CA"/>
    <w:rsid w:val="00A40567"/>
    <w:rsid w:val="00A40E22"/>
    <w:rsid w:val="00A41294"/>
    <w:rsid w:val="00A41722"/>
    <w:rsid w:val="00A418E4"/>
    <w:rsid w:val="00A41D37"/>
    <w:rsid w:val="00A420AD"/>
    <w:rsid w:val="00A42367"/>
    <w:rsid w:val="00A425EC"/>
    <w:rsid w:val="00A427A6"/>
    <w:rsid w:val="00A4287B"/>
    <w:rsid w:val="00A42D26"/>
    <w:rsid w:val="00A42D6D"/>
    <w:rsid w:val="00A42FF0"/>
    <w:rsid w:val="00A430F4"/>
    <w:rsid w:val="00A4319E"/>
    <w:rsid w:val="00A437AB"/>
    <w:rsid w:val="00A437E5"/>
    <w:rsid w:val="00A43901"/>
    <w:rsid w:val="00A43978"/>
    <w:rsid w:val="00A43F47"/>
    <w:rsid w:val="00A43FB7"/>
    <w:rsid w:val="00A44169"/>
    <w:rsid w:val="00A44352"/>
    <w:rsid w:val="00A443D8"/>
    <w:rsid w:val="00A4470B"/>
    <w:rsid w:val="00A44E6A"/>
    <w:rsid w:val="00A45193"/>
    <w:rsid w:val="00A453DB"/>
    <w:rsid w:val="00A45692"/>
    <w:rsid w:val="00A4588A"/>
    <w:rsid w:val="00A45A6C"/>
    <w:rsid w:val="00A45F4F"/>
    <w:rsid w:val="00A460C6"/>
    <w:rsid w:val="00A46206"/>
    <w:rsid w:val="00A46495"/>
    <w:rsid w:val="00A4677A"/>
    <w:rsid w:val="00A46982"/>
    <w:rsid w:val="00A46A12"/>
    <w:rsid w:val="00A47024"/>
    <w:rsid w:val="00A47055"/>
    <w:rsid w:val="00A47091"/>
    <w:rsid w:val="00A472BC"/>
    <w:rsid w:val="00A472D0"/>
    <w:rsid w:val="00A475E5"/>
    <w:rsid w:val="00A47619"/>
    <w:rsid w:val="00A47E4E"/>
    <w:rsid w:val="00A47E86"/>
    <w:rsid w:val="00A503E6"/>
    <w:rsid w:val="00A50438"/>
    <w:rsid w:val="00A506EF"/>
    <w:rsid w:val="00A50D76"/>
    <w:rsid w:val="00A51337"/>
    <w:rsid w:val="00A5177A"/>
    <w:rsid w:val="00A52130"/>
    <w:rsid w:val="00A522EA"/>
    <w:rsid w:val="00A525B2"/>
    <w:rsid w:val="00A527B2"/>
    <w:rsid w:val="00A52ACE"/>
    <w:rsid w:val="00A52BCA"/>
    <w:rsid w:val="00A52ED3"/>
    <w:rsid w:val="00A5345C"/>
    <w:rsid w:val="00A537CE"/>
    <w:rsid w:val="00A53B16"/>
    <w:rsid w:val="00A53F66"/>
    <w:rsid w:val="00A54520"/>
    <w:rsid w:val="00A54C20"/>
    <w:rsid w:val="00A5537B"/>
    <w:rsid w:val="00A55638"/>
    <w:rsid w:val="00A55872"/>
    <w:rsid w:val="00A5618A"/>
    <w:rsid w:val="00A564B2"/>
    <w:rsid w:val="00A568D1"/>
    <w:rsid w:val="00A5699D"/>
    <w:rsid w:val="00A56A48"/>
    <w:rsid w:val="00A56DA5"/>
    <w:rsid w:val="00A56F1A"/>
    <w:rsid w:val="00A575A4"/>
    <w:rsid w:val="00A57AB7"/>
    <w:rsid w:val="00A57CD1"/>
    <w:rsid w:val="00A57F43"/>
    <w:rsid w:val="00A600A9"/>
    <w:rsid w:val="00A6017E"/>
    <w:rsid w:val="00A603C5"/>
    <w:rsid w:val="00A604BA"/>
    <w:rsid w:val="00A609F1"/>
    <w:rsid w:val="00A61397"/>
    <w:rsid w:val="00A6142D"/>
    <w:rsid w:val="00A61445"/>
    <w:rsid w:val="00A61629"/>
    <w:rsid w:val="00A61C65"/>
    <w:rsid w:val="00A61E6F"/>
    <w:rsid w:val="00A62407"/>
    <w:rsid w:val="00A62494"/>
    <w:rsid w:val="00A626DD"/>
    <w:rsid w:val="00A62847"/>
    <w:rsid w:val="00A62865"/>
    <w:rsid w:val="00A62A78"/>
    <w:rsid w:val="00A62B79"/>
    <w:rsid w:val="00A62DC3"/>
    <w:rsid w:val="00A63009"/>
    <w:rsid w:val="00A63053"/>
    <w:rsid w:val="00A630B2"/>
    <w:rsid w:val="00A63659"/>
    <w:rsid w:val="00A63B32"/>
    <w:rsid w:val="00A6445C"/>
    <w:rsid w:val="00A645F0"/>
    <w:rsid w:val="00A64B40"/>
    <w:rsid w:val="00A64D8C"/>
    <w:rsid w:val="00A64E0A"/>
    <w:rsid w:val="00A65234"/>
    <w:rsid w:val="00A65636"/>
    <w:rsid w:val="00A658E3"/>
    <w:rsid w:val="00A65E83"/>
    <w:rsid w:val="00A66013"/>
    <w:rsid w:val="00A661E9"/>
    <w:rsid w:val="00A664D1"/>
    <w:rsid w:val="00A66959"/>
    <w:rsid w:val="00A66ADE"/>
    <w:rsid w:val="00A66CBD"/>
    <w:rsid w:val="00A6755F"/>
    <w:rsid w:val="00A6770D"/>
    <w:rsid w:val="00A67963"/>
    <w:rsid w:val="00A67BEF"/>
    <w:rsid w:val="00A70118"/>
    <w:rsid w:val="00A70916"/>
    <w:rsid w:val="00A70ACF"/>
    <w:rsid w:val="00A710B4"/>
    <w:rsid w:val="00A71318"/>
    <w:rsid w:val="00A71755"/>
    <w:rsid w:val="00A719B8"/>
    <w:rsid w:val="00A71DCF"/>
    <w:rsid w:val="00A72159"/>
    <w:rsid w:val="00A7247D"/>
    <w:rsid w:val="00A72A3A"/>
    <w:rsid w:val="00A7308C"/>
    <w:rsid w:val="00A73166"/>
    <w:rsid w:val="00A736EB"/>
    <w:rsid w:val="00A737E2"/>
    <w:rsid w:val="00A74111"/>
    <w:rsid w:val="00A7434B"/>
    <w:rsid w:val="00A746CA"/>
    <w:rsid w:val="00A74906"/>
    <w:rsid w:val="00A759A4"/>
    <w:rsid w:val="00A75BAE"/>
    <w:rsid w:val="00A75E89"/>
    <w:rsid w:val="00A7611E"/>
    <w:rsid w:val="00A76B09"/>
    <w:rsid w:val="00A76D77"/>
    <w:rsid w:val="00A76FF9"/>
    <w:rsid w:val="00A770F7"/>
    <w:rsid w:val="00A776B2"/>
    <w:rsid w:val="00A77BB2"/>
    <w:rsid w:val="00A77D41"/>
    <w:rsid w:val="00A8015F"/>
    <w:rsid w:val="00A8018E"/>
    <w:rsid w:val="00A80548"/>
    <w:rsid w:val="00A810FB"/>
    <w:rsid w:val="00A813B9"/>
    <w:rsid w:val="00A815F8"/>
    <w:rsid w:val="00A8165F"/>
    <w:rsid w:val="00A816E8"/>
    <w:rsid w:val="00A81CCC"/>
    <w:rsid w:val="00A81E60"/>
    <w:rsid w:val="00A81F52"/>
    <w:rsid w:val="00A822AB"/>
    <w:rsid w:val="00A83760"/>
    <w:rsid w:val="00A8394F"/>
    <w:rsid w:val="00A83C4E"/>
    <w:rsid w:val="00A84A42"/>
    <w:rsid w:val="00A85163"/>
    <w:rsid w:val="00A86198"/>
    <w:rsid w:val="00A86463"/>
    <w:rsid w:val="00A866AC"/>
    <w:rsid w:val="00A867B9"/>
    <w:rsid w:val="00A86816"/>
    <w:rsid w:val="00A869BB"/>
    <w:rsid w:val="00A86A78"/>
    <w:rsid w:val="00A8715F"/>
    <w:rsid w:val="00A8798F"/>
    <w:rsid w:val="00A9053A"/>
    <w:rsid w:val="00A91680"/>
    <w:rsid w:val="00A922A8"/>
    <w:rsid w:val="00A922B8"/>
    <w:rsid w:val="00A925F1"/>
    <w:rsid w:val="00A92644"/>
    <w:rsid w:val="00A92760"/>
    <w:rsid w:val="00A92831"/>
    <w:rsid w:val="00A92CB6"/>
    <w:rsid w:val="00A93AE1"/>
    <w:rsid w:val="00A940E1"/>
    <w:rsid w:val="00A9427C"/>
    <w:rsid w:val="00A947F7"/>
    <w:rsid w:val="00A94FB7"/>
    <w:rsid w:val="00A9548E"/>
    <w:rsid w:val="00A95A0D"/>
    <w:rsid w:val="00A9641C"/>
    <w:rsid w:val="00A969F5"/>
    <w:rsid w:val="00A96D7C"/>
    <w:rsid w:val="00A975E5"/>
    <w:rsid w:val="00A97653"/>
    <w:rsid w:val="00A9781E"/>
    <w:rsid w:val="00A97EA4"/>
    <w:rsid w:val="00AA013A"/>
    <w:rsid w:val="00AA0803"/>
    <w:rsid w:val="00AA0B4E"/>
    <w:rsid w:val="00AA1419"/>
    <w:rsid w:val="00AA14AD"/>
    <w:rsid w:val="00AA1597"/>
    <w:rsid w:val="00AA19FC"/>
    <w:rsid w:val="00AA202E"/>
    <w:rsid w:val="00AA237A"/>
    <w:rsid w:val="00AA3050"/>
    <w:rsid w:val="00AA31CB"/>
    <w:rsid w:val="00AA32FA"/>
    <w:rsid w:val="00AA33D1"/>
    <w:rsid w:val="00AA3B98"/>
    <w:rsid w:val="00AA3EE8"/>
    <w:rsid w:val="00AA4147"/>
    <w:rsid w:val="00AA45E4"/>
    <w:rsid w:val="00AA46DE"/>
    <w:rsid w:val="00AA53C7"/>
    <w:rsid w:val="00AA55B7"/>
    <w:rsid w:val="00AA5830"/>
    <w:rsid w:val="00AA5B9E"/>
    <w:rsid w:val="00AA6008"/>
    <w:rsid w:val="00AA61F7"/>
    <w:rsid w:val="00AA63D8"/>
    <w:rsid w:val="00AA64A1"/>
    <w:rsid w:val="00AA6A35"/>
    <w:rsid w:val="00AA6ADB"/>
    <w:rsid w:val="00AA6EA2"/>
    <w:rsid w:val="00AA7355"/>
    <w:rsid w:val="00AA7627"/>
    <w:rsid w:val="00AA7A1E"/>
    <w:rsid w:val="00AB01E8"/>
    <w:rsid w:val="00AB0407"/>
    <w:rsid w:val="00AB0722"/>
    <w:rsid w:val="00AB08A2"/>
    <w:rsid w:val="00AB0D22"/>
    <w:rsid w:val="00AB0F71"/>
    <w:rsid w:val="00AB1721"/>
    <w:rsid w:val="00AB17E4"/>
    <w:rsid w:val="00AB1DAF"/>
    <w:rsid w:val="00AB208D"/>
    <w:rsid w:val="00AB2407"/>
    <w:rsid w:val="00AB2492"/>
    <w:rsid w:val="00AB25DC"/>
    <w:rsid w:val="00AB27F2"/>
    <w:rsid w:val="00AB28D3"/>
    <w:rsid w:val="00AB31B9"/>
    <w:rsid w:val="00AB321D"/>
    <w:rsid w:val="00AB382E"/>
    <w:rsid w:val="00AB3994"/>
    <w:rsid w:val="00AB39A0"/>
    <w:rsid w:val="00AB3D97"/>
    <w:rsid w:val="00AB464F"/>
    <w:rsid w:val="00AB473F"/>
    <w:rsid w:val="00AB4A08"/>
    <w:rsid w:val="00AB4C52"/>
    <w:rsid w:val="00AB502E"/>
    <w:rsid w:val="00AB51EE"/>
    <w:rsid w:val="00AB538F"/>
    <w:rsid w:val="00AB53DF"/>
    <w:rsid w:val="00AB54C8"/>
    <w:rsid w:val="00AB560E"/>
    <w:rsid w:val="00AB583C"/>
    <w:rsid w:val="00AB6466"/>
    <w:rsid w:val="00AB65FA"/>
    <w:rsid w:val="00AB679D"/>
    <w:rsid w:val="00AB67FD"/>
    <w:rsid w:val="00AB6B29"/>
    <w:rsid w:val="00AB6B44"/>
    <w:rsid w:val="00AB74EE"/>
    <w:rsid w:val="00AB7548"/>
    <w:rsid w:val="00AB7A28"/>
    <w:rsid w:val="00AB7BFF"/>
    <w:rsid w:val="00AB7D3D"/>
    <w:rsid w:val="00AC00A6"/>
    <w:rsid w:val="00AC0748"/>
    <w:rsid w:val="00AC074D"/>
    <w:rsid w:val="00AC079A"/>
    <w:rsid w:val="00AC0A6A"/>
    <w:rsid w:val="00AC0D25"/>
    <w:rsid w:val="00AC0F53"/>
    <w:rsid w:val="00AC1178"/>
    <w:rsid w:val="00AC13A7"/>
    <w:rsid w:val="00AC15A4"/>
    <w:rsid w:val="00AC2675"/>
    <w:rsid w:val="00AC2915"/>
    <w:rsid w:val="00AC2DB5"/>
    <w:rsid w:val="00AC2DEA"/>
    <w:rsid w:val="00AC2F3D"/>
    <w:rsid w:val="00AC3098"/>
    <w:rsid w:val="00AC33E4"/>
    <w:rsid w:val="00AC3446"/>
    <w:rsid w:val="00AC35A8"/>
    <w:rsid w:val="00AC3631"/>
    <w:rsid w:val="00AC384E"/>
    <w:rsid w:val="00AC38C4"/>
    <w:rsid w:val="00AC3C93"/>
    <w:rsid w:val="00AC3D36"/>
    <w:rsid w:val="00AC44BB"/>
    <w:rsid w:val="00AC4C24"/>
    <w:rsid w:val="00AC4D9B"/>
    <w:rsid w:val="00AC51E7"/>
    <w:rsid w:val="00AC59D2"/>
    <w:rsid w:val="00AC5D47"/>
    <w:rsid w:val="00AC5E53"/>
    <w:rsid w:val="00AC677B"/>
    <w:rsid w:val="00AC696C"/>
    <w:rsid w:val="00AC6AE2"/>
    <w:rsid w:val="00AC7482"/>
    <w:rsid w:val="00AD0190"/>
    <w:rsid w:val="00AD0357"/>
    <w:rsid w:val="00AD106F"/>
    <w:rsid w:val="00AD1B11"/>
    <w:rsid w:val="00AD1E99"/>
    <w:rsid w:val="00AD1F24"/>
    <w:rsid w:val="00AD2066"/>
    <w:rsid w:val="00AD2B73"/>
    <w:rsid w:val="00AD3103"/>
    <w:rsid w:val="00AD39D5"/>
    <w:rsid w:val="00AD3D81"/>
    <w:rsid w:val="00AD3DFC"/>
    <w:rsid w:val="00AD3E78"/>
    <w:rsid w:val="00AD4186"/>
    <w:rsid w:val="00AD42AC"/>
    <w:rsid w:val="00AD4480"/>
    <w:rsid w:val="00AD45F8"/>
    <w:rsid w:val="00AD460A"/>
    <w:rsid w:val="00AD4619"/>
    <w:rsid w:val="00AD4748"/>
    <w:rsid w:val="00AD4978"/>
    <w:rsid w:val="00AD4988"/>
    <w:rsid w:val="00AD4D38"/>
    <w:rsid w:val="00AD4FCC"/>
    <w:rsid w:val="00AD551B"/>
    <w:rsid w:val="00AD5A49"/>
    <w:rsid w:val="00AD5C3B"/>
    <w:rsid w:val="00AD5E8D"/>
    <w:rsid w:val="00AD6DC9"/>
    <w:rsid w:val="00AD6F96"/>
    <w:rsid w:val="00AD7538"/>
    <w:rsid w:val="00AD7923"/>
    <w:rsid w:val="00AD7D6E"/>
    <w:rsid w:val="00AE0113"/>
    <w:rsid w:val="00AE0171"/>
    <w:rsid w:val="00AE0377"/>
    <w:rsid w:val="00AE114C"/>
    <w:rsid w:val="00AE13C7"/>
    <w:rsid w:val="00AE1646"/>
    <w:rsid w:val="00AE178E"/>
    <w:rsid w:val="00AE18C5"/>
    <w:rsid w:val="00AE19C6"/>
    <w:rsid w:val="00AE1C6A"/>
    <w:rsid w:val="00AE1C97"/>
    <w:rsid w:val="00AE1E5B"/>
    <w:rsid w:val="00AE2765"/>
    <w:rsid w:val="00AE27BB"/>
    <w:rsid w:val="00AE2832"/>
    <w:rsid w:val="00AE2868"/>
    <w:rsid w:val="00AE2B4D"/>
    <w:rsid w:val="00AE34FC"/>
    <w:rsid w:val="00AE354A"/>
    <w:rsid w:val="00AE3589"/>
    <w:rsid w:val="00AE35E3"/>
    <w:rsid w:val="00AE3714"/>
    <w:rsid w:val="00AE3AD8"/>
    <w:rsid w:val="00AE3E19"/>
    <w:rsid w:val="00AE3FF8"/>
    <w:rsid w:val="00AE4129"/>
    <w:rsid w:val="00AE4589"/>
    <w:rsid w:val="00AE4B28"/>
    <w:rsid w:val="00AE4DCA"/>
    <w:rsid w:val="00AE526B"/>
    <w:rsid w:val="00AE5BE2"/>
    <w:rsid w:val="00AE5E84"/>
    <w:rsid w:val="00AE5EA3"/>
    <w:rsid w:val="00AE6180"/>
    <w:rsid w:val="00AE6723"/>
    <w:rsid w:val="00AE67AC"/>
    <w:rsid w:val="00AE67F2"/>
    <w:rsid w:val="00AE6A8E"/>
    <w:rsid w:val="00AE6BBB"/>
    <w:rsid w:val="00AE6C89"/>
    <w:rsid w:val="00AE6EEB"/>
    <w:rsid w:val="00AE73BA"/>
    <w:rsid w:val="00AE73EF"/>
    <w:rsid w:val="00AE7557"/>
    <w:rsid w:val="00AE7957"/>
    <w:rsid w:val="00AE7C75"/>
    <w:rsid w:val="00AF02DE"/>
    <w:rsid w:val="00AF03B4"/>
    <w:rsid w:val="00AF03F9"/>
    <w:rsid w:val="00AF0C6B"/>
    <w:rsid w:val="00AF0EBB"/>
    <w:rsid w:val="00AF1368"/>
    <w:rsid w:val="00AF13C8"/>
    <w:rsid w:val="00AF15DA"/>
    <w:rsid w:val="00AF1A12"/>
    <w:rsid w:val="00AF1A99"/>
    <w:rsid w:val="00AF1BBA"/>
    <w:rsid w:val="00AF1CB0"/>
    <w:rsid w:val="00AF2ED6"/>
    <w:rsid w:val="00AF31DB"/>
    <w:rsid w:val="00AF3C38"/>
    <w:rsid w:val="00AF3DD9"/>
    <w:rsid w:val="00AF48F1"/>
    <w:rsid w:val="00AF49B5"/>
    <w:rsid w:val="00AF49DE"/>
    <w:rsid w:val="00AF4EF1"/>
    <w:rsid w:val="00AF54B1"/>
    <w:rsid w:val="00AF55C6"/>
    <w:rsid w:val="00AF5669"/>
    <w:rsid w:val="00AF56D5"/>
    <w:rsid w:val="00AF5B3B"/>
    <w:rsid w:val="00AF6166"/>
    <w:rsid w:val="00AF657E"/>
    <w:rsid w:val="00AF6DAF"/>
    <w:rsid w:val="00AF71B2"/>
    <w:rsid w:val="00AF71CB"/>
    <w:rsid w:val="00AF77AD"/>
    <w:rsid w:val="00AF7D7A"/>
    <w:rsid w:val="00AF7EAC"/>
    <w:rsid w:val="00B00164"/>
    <w:rsid w:val="00B00D60"/>
    <w:rsid w:val="00B00D9D"/>
    <w:rsid w:val="00B011BF"/>
    <w:rsid w:val="00B01390"/>
    <w:rsid w:val="00B01648"/>
    <w:rsid w:val="00B016D7"/>
    <w:rsid w:val="00B019D7"/>
    <w:rsid w:val="00B01D88"/>
    <w:rsid w:val="00B02D11"/>
    <w:rsid w:val="00B032D6"/>
    <w:rsid w:val="00B032DA"/>
    <w:rsid w:val="00B03550"/>
    <w:rsid w:val="00B0373E"/>
    <w:rsid w:val="00B03855"/>
    <w:rsid w:val="00B03A48"/>
    <w:rsid w:val="00B03A49"/>
    <w:rsid w:val="00B04AB8"/>
    <w:rsid w:val="00B04F48"/>
    <w:rsid w:val="00B05137"/>
    <w:rsid w:val="00B052B2"/>
    <w:rsid w:val="00B05337"/>
    <w:rsid w:val="00B05346"/>
    <w:rsid w:val="00B05776"/>
    <w:rsid w:val="00B057AE"/>
    <w:rsid w:val="00B05DF0"/>
    <w:rsid w:val="00B06010"/>
    <w:rsid w:val="00B0610A"/>
    <w:rsid w:val="00B06648"/>
    <w:rsid w:val="00B067BD"/>
    <w:rsid w:val="00B06A16"/>
    <w:rsid w:val="00B0797E"/>
    <w:rsid w:val="00B07E5C"/>
    <w:rsid w:val="00B10097"/>
    <w:rsid w:val="00B102E1"/>
    <w:rsid w:val="00B10363"/>
    <w:rsid w:val="00B1073D"/>
    <w:rsid w:val="00B10B38"/>
    <w:rsid w:val="00B10BBE"/>
    <w:rsid w:val="00B10D2D"/>
    <w:rsid w:val="00B10D8C"/>
    <w:rsid w:val="00B10EC6"/>
    <w:rsid w:val="00B11148"/>
    <w:rsid w:val="00B1114B"/>
    <w:rsid w:val="00B11631"/>
    <w:rsid w:val="00B11640"/>
    <w:rsid w:val="00B1186B"/>
    <w:rsid w:val="00B1256D"/>
    <w:rsid w:val="00B126C1"/>
    <w:rsid w:val="00B134EC"/>
    <w:rsid w:val="00B138A0"/>
    <w:rsid w:val="00B13E6E"/>
    <w:rsid w:val="00B1413D"/>
    <w:rsid w:val="00B146DA"/>
    <w:rsid w:val="00B14A14"/>
    <w:rsid w:val="00B15867"/>
    <w:rsid w:val="00B158D1"/>
    <w:rsid w:val="00B15EFB"/>
    <w:rsid w:val="00B16B8F"/>
    <w:rsid w:val="00B172FD"/>
    <w:rsid w:val="00B17913"/>
    <w:rsid w:val="00B20337"/>
    <w:rsid w:val="00B20363"/>
    <w:rsid w:val="00B2062D"/>
    <w:rsid w:val="00B2066E"/>
    <w:rsid w:val="00B211FA"/>
    <w:rsid w:val="00B212E6"/>
    <w:rsid w:val="00B21B67"/>
    <w:rsid w:val="00B21F7F"/>
    <w:rsid w:val="00B2239E"/>
    <w:rsid w:val="00B226C6"/>
    <w:rsid w:val="00B2287B"/>
    <w:rsid w:val="00B22E6D"/>
    <w:rsid w:val="00B22FC6"/>
    <w:rsid w:val="00B2302D"/>
    <w:rsid w:val="00B230B5"/>
    <w:rsid w:val="00B23249"/>
    <w:rsid w:val="00B233CD"/>
    <w:rsid w:val="00B23A03"/>
    <w:rsid w:val="00B23B15"/>
    <w:rsid w:val="00B23D81"/>
    <w:rsid w:val="00B23F88"/>
    <w:rsid w:val="00B242AC"/>
    <w:rsid w:val="00B245AE"/>
    <w:rsid w:val="00B2481D"/>
    <w:rsid w:val="00B2500D"/>
    <w:rsid w:val="00B25088"/>
    <w:rsid w:val="00B250B2"/>
    <w:rsid w:val="00B256F4"/>
    <w:rsid w:val="00B261C7"/>
    <w:rsid w:val="00B2630F"/>
    <w:rsid w:val="00B26699"/>
    <w:rsid w:val="00B26EB3"/>
    <w:rsid w:val="00B274A6"/>
    <w:rsid w:val="00B2757D"/>
    <w:rsid w:val="00B278B5"/>
    <w:rsid w:val="00B279E9"/>
    <w:rsid w:val="00B279FD"/>
    <w:rsid w:val="00B27CD4"/>
    <w:rsid w:val="00B27E27"/>
    <w:rsid w:val="00B301CF"/>
    <w:rsid w:val="00B31274"/>
    <w:rsid w:val="00B3153F"/>
    <w:rsid w:val="00B32095"/>
    <w:rsid w:val="00B321D1"/>
    <w:rsid w:val="00B324DE"/>
    <w:rsid w:val="00B3257D"/>
    <w:rsid w:val="00B326E3"/>
    <w:rsid w:val="00B327B6"/>
    <w:rsid w:val="00B33735"/>
    <w:rsid w:val="00B339F0"/>
    <w:rsid w:val="00B33C3C"/>
    <w:rsid w:val="00B33E24"/>
    <w:rsid w:val="00B340A1"/>
    <w:rsid w:val="00B34514"/>
    <w:rsid w:val="00B346CB"/>
    <w:rsid w:val="00B34717"/>
    <w:rsid w:val="00B34857"/>
    <w:rsid w:val="00B34C87"/>
    <w:rsid w:val="00B3508F"/>
    <w:rsid w:val="00B35998"/>
    <w:rsid w:val="00B369A3"/>
    <w:rsid w:val="00B369E1"/>
    <w:rsid w:val="00B36BDF"/>
    <w:rsid w:val="00B36C48"/>
    <w:rsid w:val="00B36E42"/>
    <w:rsid w:val="00B37326"/>
    <w:rsid w:val="00B37630"/>
    <w:rsid w:val="00B3791C"/>
    <w:rsid w:val="00B37B18"/>
    <w:rsid w:val="00B37BAE"/>
    <w:rsid w:val="00B404DA"/>
    <w:rsid w:val="00B40A11"/>
    <w:rsid w:val="00B40A70"/>
    <w:rsid w:val="00B40F94"/>
    <w:rsid w:val="00B416BC"/>
    <w:rsid w:val="00B4171F"/>
    <w:rsid w:val="00B41756"/>
    <w:rsid w:val="00B41A8A"/>
    <w:rsid w:val="00B423F4"/>
    <w:rsid w:val="00B42402"/>
    <w:rsid w:val="00B424D5"/>
    <w:rsid w:val="00B42598"/>
    <w:rsid w:val="00B426AD"/>
    <w:rsid w:val="00B42774"/>
    <w:rsid w:val="00B429F7"/>
    <w:rsid w:val="00B42E5A"/>
    <w:rsid w:val="00B430E8"/>
    <w:rsid w:val="00B4474B"/>
    <w:rsid w:val="00B4489C"/>
    <w:rsid w:val="00B448F1"/>
    <w:rsid w:val="00B44AC9"/>
    <w:rsid w:val="00B44AD9"/>
    <w:rsid w:val="00B44CE4"/>
    <w:rsid w:val="00B44F1E"/>
    <w:rsid w:val="00B4513E"/>
    <w:rsid w:val="00B452A2"/>
    <w:rsid w:val="00B459A7"/>
    <w:rsid w:val="00B45C01"/>
    <w:rsid w:val="00B463A5"/>
    <w:rsid w:val="00B46EC5"/>
    <w:rsid w:val="00B472FE"/>
    <w:rsid w:val="00B474C5"/>
    <w:rsid w:val="00B477A4"/>
    <w:rsid w:val="00B47C0D"/>
    <w:rsid w:val="00B47E6C"/>
    <w:rsid w:val="00B508DF"/>
    <w:rsid w:val="00B50A7E"/>
    <w:rsid w:val="00B50AB7"/>
    <w:rsid w:val="00B50AD5"/>
    <w:rsid w:val="00B50F67"/>
    <w:rsid w:val="00B51134"/>
    <w:rsid w:val="00B521A8"/>
    <w:rsid w:val="00B52207"/>
    <w:rsid w:val="00B52835"/>
    <w:rsid w:val="00B528A0"/>
    <w:rsid w:val="00B53034"/>
    <w:rsid w:val="00B532BC"/>
    <w:rsid w:val="00B53461"/>
    <w:rsid w:val="00B53BE3"/>
    <w:rsid w:val="00B53D51"/>
    <w:rsid w:val="00B53D93"/>
    <w:rsid w:val="00B54290"/>
    <w:rsid w:val="00B54435"/>
    <w:rsid w:val="00B54C30"/>
    <w:rsid w:val="00B54F5F"/>
    <w:rsid w:val="00B55D20"/>
    <w:rsid w:val="00B5636A"/>
    <w:rsid w:val="00B568B9"/>
    <w:rsid w:val="00B56A12"/>
    <w:rsid w:val="00B56C8A"/>
    <w:rsid w:val="00B56F1C"/>
    <w:rsid w:val="00B56F88"/>
    <w:rsid w:val="00B57007"/>
    <w:rsid w:val="00B57016"/>
    <w:rsid w:val="00B60124"/>
    <w:rsid w:val="00B60931"/>
    <w:rsid w:val="00B60B58"/>
    <w:rsid w:val="00B6122A"/>
    <w:rsid w:val="00B61529"/>
    <w:rsid w:val="00B61530"/>
    <w:rsid w:val="00B61AE3"/>
    <w:rsid w:val="00B61CAC"/>
    <w:rsid w:val="00B61CC1"/>
    <w:rsid w:val="00B61FFD"/>
    <w:rsid w:val="00B621F7"/>
    <w:rsid w:val="00B62A1C"/>
    <w:rsid w:val="00B630CB"/>
    <w:rsid w:val="00B630E2"/>
    <w:rsid w:val="00B6325E"/>
    <w:rsid w:val="00B6443F"/>
    <w:rsid w:val="00B646B3"/>
    <w:rsid w:val="00B64C1F"/>
    <w:rsid w:val="00B64CCB"/>
    <w:rsid w:val="00B651C2"/>
    <w:rsid w:val="00B653ED"/>
    <w:rsid w:val="00B65AF6"/>
    <w:rsid w:val="00B6679B"/>
    <w:rsid w:val="00B66842"/>
    <w:rsid w:val="00B66975"/>
    <w:rsid w:val="00B66BD6"/>
    <w:rsid w:val="00B67077"/>
    <w:rsid w:val="00B671DA"/>
    <w:rsid w:val="00B67388"/>
    <w:rsid w:val="00B67428"/>
    <w:rsid w:val="00B67652"/>
    <w:rsid w:val="00B67895"/>
    <w:rsid w:val="00B67C3E"/>
    <w:rsid w:val="00B67CB8"/>
    <w:rsid w:val="00B67DCF"/>
    <w:rsid w:val="00B67DDF"/>
    <w:rsid w:val="00B70293"/>
    <w:rsid w:val="00B706A9"/>
    <w:rsid w:val="00B7093D"/>
    <w:rsid w:val="00B7099F"/>
    <w:rsid w:val="00B714D1"/>
    <w:rsid w:val="00B721FF"/>
    <w:rsid w:val="00B72BB7"/>
    <w:rsid w:val="00B72D0E"/>
    <w:rsid w:val="00B73852"/>
    <w:rsid w:val="00B740A4"/>
    <w:rsid w:val="00B741E1"/>
    <w:rsid w:val="00B7456E"/>
    <w:rsid w:val="00B74815"/>
    <w:rsid w:val="00B7482A"/>
    <w:rsid w:val="00B7490C"/>
    <w:rsid w:val="00B753BB"/>
    <w:rsid w:val="00B7545B"/>
    <w:rsid w:val="00B75897"/>
    <w:rsid w:val="00B75B7A"/>
    <w:rsid w:val="00B75BA9"/>
    <w:rsid w:val="00B75CA1"/>
    <w:rsid w:val="00B75DA5"/>
    <w:rsid w:val="00B7684D"/>
    <w:rsid w:val="00B76ACB"/>
    <w:rsid w:val="00B76C4D"/>
    <w:rsid w:val="00B76C6C"/>
    <w:rsid w:val="00B76E23"/>
    <w:rsid w:val="00B77276"/>
    <w:rsid w:val="00B772DD"/>
    <w:rsid w:val="00B7747A"/>
    <w:rsid w:val="00B77975"/>
    <w:rsid w:val="00B779DA"/>
    <w:rsid w:val="00B811F7"/>
    <w:rsid w:val="00B8134B"/>
    <w:rsid w:val="00B82175"/>
    <w:rsid w:val="00B82233"/>
    <w:rsid w:val="00B82AE1"/>
    <w:rsid w:val="00B82F20"/>
    <w:rsid w:val="00B83260"/>
    <w:rsid w:val="00B83413"/>
    <w:rsid w:val="00B83518"/>
    <w:rsid w:val="00B83759"/>
    <w:rsid w:val="00B847A5"/>
    <w:rsid w:val="00B8619F"/>
    <w:rsid w:val="00B862D4"/>
    <w:rsid w:val="00B86F63"/>
    <w:rsid w:val="00B875F5"/>
    <w:rsid w:val="00B87A8F"/>
    <w:rsid w:val="00B87CE3"/>
    <w:rsid w:val="00B87D50"/>
    <w:rsid w:val="00B87DAF"/>
    <w:rsid w:val="00B87FB0"/>
    <w:rsid w:val="00B9025C"/>
    <w:rsid w:val="00B905A8"/>
    <w:rsid w:val="00B907ED"/>
    <w:rsid w:val="00B90C30"/>
    <w:rsid w:val="00B91045"/>
    <w:rsid w:val="00B91237"/>
    <w:rsid w:val="00B91B83"/>
    <w:rsid w:val="00B92A52"/>
    <w:rsid w:val="00B92BF5"/>
    <w:rsid w:val="00B93017"/>
    <w:rsid w:val="00B933BF"/>
    <w:rsid w:val="00B93D00"/>
    <w:rsid w:val="00B93F2D"/>
    <w:rsid w:val="00B94538"/>
    <w:rsid w:val="00B94AE4"/>
    <w:rsid w:val="00B952C2"/>
    <w:rsid w:val="00B95322"/>
    <w:rsid w:val="00B958FF"/>
    <w:rsid w:val="00B95BFC"/>
    <w:rsid w:val="00B95D00"/>
    <w:rsid w:val="00B95F55"/>
    <w:rsid w:val="00B96225"/>
    <w:rsid w:val="00B96485"/>
    <w:rsid w:val="00B965AB"/>
    <w:rsid w:val="00B96851"/>
    <w:rsid w:val="00B9687F"/>
    <w:rsid w:val="00B969B1"/>
    <w:rsid w:val="00B96F14"/>
    <w:rsid w:val="00B97C93"/>
    <w:rsid w:val="00BA05FE"/>
    <w:rsid w:val="00BA0C34"/>
    <w:rsid w:val="00BA16B5"/>
    <w:rsid w:val="00BA1B39"/>
    <w:rsid w:val="00BA1CC4"/>
    <w:rsid w:val="00BA2108"/>
    <w:rsid w:val="00BA224E"/>
    <w:rsid w:val="00BA280B"/>
    <w:rsid w:val="00BA2BB4"/>
    <w:rsid w:val="00BA2BBD"/>
    <w:rsid w:val="00BA2EA8"/>
    <w:rsid w:val="00BA36C2"/>
    <w:rsid w:val="00BA377E"/>
    <w:rsid w:val="00BA3E7E"/>
    <w:rsid w:val="00BA4454"/>
    <w:rsid w:val="00BA502C"/>
    <w:rsid w:val="00BA5424"/>
    <w:rsid w:val="00BA5DC6"/>
    <w:rsid w:val="00BA6196"/>
    <w:rsid w:val="00BA61FE"/>
    <w:rsid w:val="00BA62A7"/>
    <w:rsid w:val="00BA638C"/>
    <w:rsid w:val="00BA6462"/>
    <w:rsid w:val="00BA6726"/>
    <w:rsid w:val="00BA6A81"/>
    <w:rsid w:val="00BA717E"/>
    <w:rsid w:val="00BA71B1"/>
    <w:rsid w:val="00BA71C4"/>
    <w:rsid w:val="00BA71F5"/>
    <w:rsid w:val="00BA77EE"/>
    <w:rsid w:val="00BA7A52"/>
    <w:rsid w:val="00BA7EC4"/>
    <w:rsid w:val="00BB04F7"/>
    <w:rsid w:val="00BB051E"/>
    <w:rsid w:val="00BB0AC8"/>
    <w:rsid w:val="00BB0BE3"/>
    <w:rsid w:val="00BB0BF1"/>
    <w:rsid w:val="00BB164A"/>
    <w:rsid w:val="00BB18C8"/>
    <w:rsid w:val="00BB1CB5"/>
    <w:rsid w:val="00BB21A8"/>
    <w:rsid w:val="00BB2383"/>
    <w:rsid w:val="00BB269F"/>
    <w:rsid w:val="00BB2832"/>
    <w:rsid w:val="00BB2B61"/>
    <w:rsid w:val="00BB2DDB"/>
    <w:rsid w:val="00BB37FD"/>
    <w:rsid w:val="00BB40AB"/>
    <w:rsid w:val="00BB4298"/>
    <w:rsid w:val="00BB466E"/>
    <w:rsid w:val="00BB487A"/>
    <w:rsid w:val="00BB4979"/>
    <w:rsid w:val="00BB5393"/>
    <w:rsid w:val="00BB54B4"/>
    <w:rsid w:val="00BB5BB3"/>
    <w:rsid w:val="00BB6A7E"/>
    <w:rsid w:val="00BB6E6B"/>
    <w:rsid w:val="00BB747B"/>
    <w:rsid w:val="00BB7E3B"/>
    <w:rsid w:val="00BB7E68"/>
    <w:rsid w:val="00BC0011"/>
    <w:rsid w:val="00BC0123"/>
    <w:rsid w:val="00BC0291"/>
    <w:rsid w:val="00BC108F"/>
    <w:rsid w:val="00BC11FA"/>
    <w:rsid w:val="00BC1389"/>
    <w:rsid w:val="00BC14C1"/>
    <w:rsid w:val="00BC1724"/>
    <w:rsid w:val="00BC2257"/>
    <w:rsid w:val="00BC2277"/>
    <w:rsid w:val="00BC25B1"/>
    <w:rsid w:val="00BC28D2"/>
    <w:rsid w:val="00BC2E38"/>
    <w:rsid w:val="00BC2F41"/>
    <w:rsid w:val="00BC3369"/>
    <w:rsid w:val="00BC3483"/>
    <w:rsid w:val="00BC3896"/>
    <w:rsid w:val="00BC3B1F"/>
    <w:rsid w:val="00BC475B"/>
    <w:rsid w:val="00BC4A31"/>
    <w:rsid w:val="00BC50B9"/>
    <w:rsid w:val="00BC5118"/>
    <w:rsid w:val="00BC57BD"/>
    <w:rsid w:val="00BC5F4D"/>
    <w:rsid w:val="00BC61D3"/>
    <w:rsid w:val="00BC632D"/>
    <w:rsid w:val="00BC643D"/>
    <w:rsid w:val="00BC6811"/>
    <w:rsid w:val="00BC6839"/>
    <w:rsid w:val="00BC695D"/>
    <w:rsid w:val="00BC6D8C"/>
    <w:rsid w:val="00BC6DE9"/>
    <w:rsid w:val="00BC7470"/>
    <w:rsid w:val="00BD0FD8"/>
    <w:rsid w:val="00BD1024"/>
    <w:rsid w:val="00BD1478"/>
    <w:rsid w:val="00BD15AF"/>
    <w:rsid w:val="00BD17A8"/>
    <w:rsid w:val="00BD1919"/>
    <w:rsid w:val="00BD1F42"/>
    <w:rsid w:val="00BD2003"/>
    <w:rsid w:val="00BD299F"/>
    <w:rsid w:val="00BD2B62"/>
    <w:rsid w:val="00BD2E6A"/>
    <w:rsid w:val="00BD2EFE"/>
    <w:rsid w:val="00BD335F"/>
    <w:rsid w:val="00BD3648"/>
    <w:rsid w:val="00BD38A2"/>
    <w:rsid w:val="00BD3AB5"/>
    <w:rsid w:val="00BD3BE0"/>
    <w:rsid w:val="00BD3D0A"/>
    <w:rsid w:val="00BD3ECB"/>
    <w:rsid w:val="00BD42E7"/>
    <w:rsid w:val="00BD4B5E"/>
    <w:rsid w:val="00BD4C1A"/>
    <w:rsid w:val="00BD4DB8"/>
    <w:rsid w:val="00BD4F61"/>
    <w:rsid w:val="00BD58AC"/>
    <w:rsid w:val="00BD5E07"/>
    <w:rsid w:val="00BD5FB4"/>
    <w:rsid w:val="00BD6012"/>
    <w:rsid w:val="00BD6158"/>
    <w:rsid w:val="00BD671B"/>
    <w:rsid w:val="00BD692F"/>
    <w:rsid w:val="00BD6BB0"/>
    <w:rsid w:val="00BD6D99"/>
    <w:rsid w:val="00BD72A1"/>
    <w:rsid w:val="00BD7339"/>
    <w:rsid w:val="00BD7432"/>
    <w:rsid w:val="00BD76D0"/>
    <w:rsid w:val="00BD7A30"/>
    <w:rsid w:val="00BE0663"/>
    <w:rsid w:val="00BE0FD1"/>
    <w:rsid w:val="00BE0FEC"/>
    <w:rsid w:val="00BE1CB1"/>
    <w:rsid w:val="00BE1EDA"/>
    <w:rsid w:val="00BE2253"/>
    <w:rsid w:val="00BE251A"/>
    <w:rsid w:val="00BE2545"/>
    <w:rsid w:val="00BE2737"/>
    <w:rsid w:val="00BE2A49"/>
    <w:rsid w:val="00BE2DDA"/>
    <w:rsid w:val="00BE31C8"/>
    <w:rsid w:val="00BE322D"/>
    <w:rsid w:val="00BE32C3"/>
    <w:rsid w:val="00BE3466"/>
    <w:rsid w:val="00BE36AE"/>
    <w:rsid w:val="00BE3A7D"/>
    <w:rsid w:val="00BE43DB"/>
    <w:rsid w:val="00BE45A8"/>
    <w:rsid w:val="00BE469F"/>
    <w:rsid w:val="00BE5095"/>
    <w:rsid w:val="00BE5A99"/>
    <w:rsid w:val="00BE5BF6"/>
    <w:rsid w:val="00BE5D0A"/>
    <w:rsid w:val="00BE5D68"/>
    <w:rsid w:val="00BE6A50"/>
    <w:rsid w:val="00BE70AC"/>
    <w:rsid w:val="00BE7629"/>
    <w:rsid w:val="00BE7AA7"/>
    <w:rsid w:val="00BE7D01"/>
    <w:rsid w:val="00BF06C9"/>
    <w:rsid w:val="00BF07D2"/>
    <w:rsid w:val="00BF0D6C"/>
    <w:rsid w:val="00BF0DE0"/>
    <w:rsid w:val="00BF0DF7"/>
    <w:rsid w:val="00BF0F02"/>
    <w:rsid w:val="00BF17B7"/>
    <w:rsid w:val="00BF1AFC"/>
    <w:rsid w:val="00BF26BB"/>
    <w:rsid w:val="00BF2728"/>
    <w:rsid w:val="00BF2B93"/>
    <w:rsid w:val="00BF2E6D"/>
    <w:rsid w:val="00BF2F91"/>
    <w:rsid w:val="00BF30E8"/>
    <w:rsid w:val="00BF3677"/>
    <w:rsid w:val="00BF3708"/>
    <w:rsid w:val="00BF3CB1"/>
    <w:rsid w:val="00BF42CC"/>
    <w:rsid w:val="00BF4335"/>
    <w:rsid w:val="00BF43EB"/>
    <w:rsid w:val="00BF51D9"/>
    <w:rsid w:val="00BF5EE7"/>
    <w:rsid w:val="00BF602F"/>
    <w:rsid w:val="00BF631D"/>
    <w:rsid w:val="00BF6643"/>
    <w:rsid w:val="00BF6FF4"/>
    <w:rsid w:val="00BF738A"/>
    <w:rsid w:val="00BF7A2A"/>
    <w:rsid w:val="00C0040E"/>
    <w:rsid w:val="00C00533"/>
    <w:rsid w:val="00C005D9"/>
    <w:rsid w:val="00C00672"/>
    <w:rsid w:val="00C00B4E"/>
    <w:rsid w:val="00C00DCA"/>
    <w:rsid w:val="00C01234"/>
    <w:rsid w:val="00C01414"/>
    <w:rsid w:val="00C01704"/>
    <w:rsid w:val="00C01A58"/>
    <w:rsid w:val="00C01AC5"/>
    <w:rsid w:val="00C01CCE"/>
    <w:rsid w:val="00C02653"/>
    <w:rsid w:val="00C02B4E"/>
    <w:rsid w:val="00C02D34"/>
    <w:rsid w:val="00C03812"/>
    <w:rsid w:val="00C038E1"/>
    <w:rsid w:val="00C03A08"/>
    <w:rsid w:val="00C03AE1"/>
    <w:rsid w:val="00C03C17"/>
    <w:rsid w:val="00C03C6A"/>
    <w:rsid w:val="00C03FCB"/>
    <w:rsid w:val="00C03FDA"/>
    <w:rsid w:val="00C043CD"/>
    <w:rsid w:val="00C04BF9"/>
    <w:rsid w:val="00C05236"/>
    <w:rsid w:val="00C05822"/>
    <w:rsid w:val="00C05A95"/>
    <w:rsid w:val="00C06108"/>
    <w:rsid w:val="00C06D5B"/>
    <w:rsid w:val="00C0703F"/>
    <w:rsid w:val="00C07409"/>
    <w:rsid w:val="00C0778D"/>
    <w:rsid w:val="00C07813"/>
    <w:rsid w:val="00C07F8E"/>
    <w:rsid w:val="00C1006D"/>
    <w:rsid w:val="00C106BA"/>
    <w:rsid w:val="00C1077D"/>
    <w:rsid w:val="00C10E8D"/>
    <w:rsid w:val="00C11402"/>
    <w:rsid w:val="00C11463"/>
    <w:rsid w:val="00C1179F"/>
    <w:rsid w:val="00C12863"/>
    <w:rsid w:val="00C12889"/>
    <w:rsid w:val="00C1295C"/>
    <w:rsid w:val="00C13149"/>
    <w:rsid w:val="00C134E5"/>
    <w:rsid w:val="00C13CA4"/>
    <w:rsid w:val="00C13ECF"/>
    <w:rsid w:val="00C14155"/>
    <w:rsid w:val="00C14300"/>
    <w:rsid w:val="00C14B06"/>
    <w:rsid w:val="00C15123"/>
    <w:rsid w:val="00C152D7"/>
    <w:rsid w:val="00C15838"/>
    <w:rsid w:val="00C15B2B"/>
    <w:rsid w:val="00C160D6"/>
    <w:rsid w:val="00C161F2"/>
    <w:rsid w:val="00C162C8"/>
    <w:rsid w:val="00C169AC"/>
    <w:rsid w:val="00C16AAC"/>
    <w:rsid w:val="00C16AF2"/>
    <w:rsid w:val="00C16B33"/>
    <w:rsid w:val="00C16DF3"/>
    <w:rsid w:val="00C16F93"/>
    <w:rsid w:val="00C17150"/>
    <w:rsid w:val="00C17558"/>
    <w:rsid w:val="00C17912"/>
    <w:rsid w:val="00C20498"/>
    <w:rsid w:val="00C204DB"/>
    <w:rsid w:val="00C20A02"/>
    <w:rsid w:val="00C20AC5"/>
    <w:rsid w:val="00C20B5C"/>
    <w:rsid w:val="00C20C5C"/>
    <w:rsid w:val="00C20EED"/>
    <w:rsid w:val="00C213D7"/>
    <w:rsid w:val="00C21CA3"/>
    <w:rsid w:val="00C21DF9"/>
    <w:rsid w:val="00C22088"/>
    <w:rsid w:val="00C2223D"/>
    <w:rsid w:val="00C222BE"/>
    <w:rsid w:val="00C228A3"/>
    <w:rsid w:val="00C22C7C"/>
    <w:rsid w:val="00C22D57"/>
    <w:rsid w:val="00C2302F"/>
    <w:rsid w:val="00C2358A"/>
    <w:rsid w:val="00C2365B"/>
    <w:rsid w:val="00C2371A"/>
    <w:rsid w:val="00C239A2"/>
    <w:rsid w:val="00C23ABC"/>
    <w:rsid w:val="00C23E83"/>
    <w:rsid w:val="00C25135"/>
    <w:rsid w:val="00C25516"/>
    <w:rsid w:val="00C259D2"/>
    <w:rsid w:val="00C25CB7"/>
    <w:rsid w:val="00C25CC2"/>
    <w:rsid w:val="00C25EDB"/>
    <w:rsid w:val="00C262E7"/>
    <w:rsid w:val="00C26503"/>
    <w:rsid w:val="00C2675D"/>
    <w:rsid w:val="00C26871"/>
    <w:rsid w:val="00C268D6"/>
    <w:rsid w:val="00C26A3F"/>
    <w:rsid w:val="00C26E9B"/>
    <w:rsid w:val="00C26F9C"/>
    <w:rsid w:val="00C2734A"/>
    <w:rsid w:val="00C27521"/>
    <w:rsid w:val="00C276B1"/>
    <w:rsid w:val="00C301D7"/>
    <w:rsid w:val="00C30631"/>
    <w:rsid w:val="00C30AF0"/>
    <w:rsid w:val="00C30BCE"/>
    <w:rsid w:val="00C30BF9"/>
    <w:rsid w:val="00C315DF"/>
    <w:rsid w:val="00C32006"/>
    <w:rsid w:val="00C32499"/>
    <w:rsid w:val="00C3299A"/>
    <w:rsid w:val="00C32F78"/>
    <w:rsid w:val="00C32FCC"/>
    <w:rsid w:val="00C3306E"/>
    <w:rsid w:val="00C3327A"/>
    <w:rsid w:val="00C332D8"/>
    <w:rsid w:val="00C338E4"/>
    <w:rsid w:val="00C33E5B"/>
    <w:rsid w:val="00C34006"/>
    <w:rsid w:val="00C3411B"/>
    <w:rsid w:val="00C34329"/>
    <w:rsid w:val="00C34363"/>
    <w:rsid w:val="00C34376"/>
    <w:rsid w:val="00C345B8"/>
    <w:rsid w:val="00C34BD9"/>
    <w:rsid w:val="00C34CC7"/>
    <w:rsid w:val="00C35254"/>
    <w:rsid w:val="00C354B3"/>
    <w:rsid w:val="00C3552D"/>
    <w:rsid w:val="00C356EF"/>
    <w:rsid w:val="00C35ECC"/>
    <w:rsid w:val="00C361D6"/>
    <w:rsid w:val="00C36F3A"/>
    <w:rsid w:val="00C371EB"/>
    <w:rsid w:val="00C374F3"/>
    <w:rsid w:val="00C3780D"/>
    <w:rsid w:val="00C37861"/>
    <w:rsid w:val="00C401EC"/>
    <w:rsid w:val="00C4058F"/>
    <w:rsid w:val="00C408F0"/>
    <w:rsid w:val="00C40A47"/>
    <w:rsid w:val="00C40B0E"/>
    <w:rsid w:val="00C40D31"/>
    <w:rsid w:val="00C40ED5"/>
    <w:rsid w:val="00C413E4"/>
    <w:rsid w:val="00C41481"/>
    <w:rsid w:val="00C418E7"/>
    <w:rsid w:val="00C426B1"/>
    <w:rsid w:val="00C42713"/>
    <w:rsid w:val="00C42E27"/>
    <w:rsid w:val="00C4340D"/>
    <w:rsid w:val="00C437DC"/>
    <w:rsid w:val="00C43857"/>
    <w:rsid w:val="00C43BDA"/>
    <w:rsid w:val="00C43F05"/>
    <w:rsid w:val="00C44716"/>
    <w:rsid w:val="00C44820"/>
    <w:rsid w:val="00C44AAD"/>
    <w:rsid w:val="00C451BC"/>
    <w:rsid w:val="00C45254"/>
    <w:rsid w:val="00C458CB"/>
    <w:rsid w:val="00C45DE7"/>
    <w:rsid w:val="00C45F88"/>
    <w:rsid w:val="00C463DF"/>
    <w:rsid w:val="00C4643E"/>
    <w:rsid w:val="00C46671"/>
    <w:rsid w:val="00C46F4D"/>
    <w:rsid w:val="00C47739"/>
    <w:rsid w:val="00C47CED"/>
    <w:rsid w:val="00C506B5"/>
    <w:rsid w:val="00C50718"/>
    <w:rsid w:val="00C5090A"/>
    <w:rsid w:val="00C50F33"/>
    <w:rsid w:val="00C510A9"/>
    <w:rsid w:val="00C51682"/>
    <w:rsid w:val="00C51B99"/>
    <w:rsid w:val="00C51E34"/>
    <w:rsid w:val="00C52032"/>
    <w:rsid w:val="00C5207A"/>
    <w:rsid w:val="00C522E0"/>
    <w:rsid w:val="00C522E3"/>
    <w:rsid w:val="00C52328"/>
    <w:rsid w:val="00C5236D"/>
    <w:rsid w:val="00C52777"/>
    <w:rsid w:val="00C52B26"/>
    <w:rsid w:val="00C52C3B"/>
    <w:rsid w:val="00C52D2E"/>
    <w:rsid w:val="00C52E31"/>
    <w:rsid w:val="00C53286"/>
    <w:rsid w:val="00C53437"/>
    <w:rsid w:val="00C53E89"/>
    <w:rsid w:val="00C54122"/>
    <w:rsid w:val="00C5441F"/>
    <w:rsid w:val="00C54449"/>
    <w:rsid w:val="00C5451F"/>
    <w:rsid w:val="00C54B39"/>
    <w:rsid w:val="00C54BA2"/>
    <w:rsid w:val="00C54CA6"/>
    <w:rsid w:val="00C54FDF"/>
    <w:rsid w:val="00C55470"/>
    <w:rsid w:val="00C55739"/>
    <w:rsid w:val="00C561B6"/>
    <w:rsid w:val="00C5665C"/>
    <w:rsid w:val="00C56E9C"/>
    <w:rsid w:val="00C5741B"/>
    <w:rsid w:val="00C57A1C"/>
    <w:rsid w:val="00C57BBE"/>
    <w:rsid w:val="00C57F4B"/>
    <w:rsid w:val="00C600E3"/>
    <w:rsid w:val="00C60889"/>
    <w:rsid w:val="00C60A39"/>
    <w:rsid w:val="00C60A8D"/>
    <w:rsid w:val="00C610B2"/>
    <w:rsid w:val="00C61C9D"/>
    <w:rsid w:val="00C622A4"/>
    <w:rsid w:val="00C622CB"/>
    <w:rsid w:val="00C6258B"/>
    <w:rsid w:val="00C626C3"/>
    <w:rsid w:val="00C62754"/>
    <w:rsid w:val="00C62D47"/>
    <w:rsid w:val="00C6315D"/>
    <w:rsid w:val="00C63202"/>
    <w:rsid w:val="00C632B7"/>
    <w:rsid w:val="00C6369C"/>
    <w:rsid w:val="00C636B0"/>
    <w:rsid w:val="00C636CB"/>
    <w:rsid w:val="00C638F0"/>
    <w:rsid w:val="00C63B8F"/>
    <w:rsid w:val="00C63C38"/>
    <w:rsid w:val="00C63E52"/>
    <w:rsid w:val="00C642D9"/>
    <w:rsid w:val="00C6474A"/>
    <w:rsid w:val="00C648AE"/>
    <w:rsid w:val="00C649F4"/>
    <w:rsid w:val="00C64BF8"/>
    <w:rsid w:val="00C64CB3"/>
    <w:rsid w:val="00C65292"/>
    <w:rsid w:val="00C652BC"/>
    <w:rsid w:val="00C6544E"/>
    <w:rsid w:val="00C65F8D"/>
    <w:rsid w:val="00C65FC2"/>
    <w:rsid w:val="00C66105"/>
    <w:rsid w:val="00C661A0"/>
    <w:rsid w:val="00C6683F"/>
    <w:rsid w:val="00C66E1B"/>
    <w:rsid w:val="00C66FE1"/>
    <w:rsid w:val="00C670C5"/>
    <w:rsid w:val="00C67150"/>
    <w:rsid w:val="00C672D3"/>
    <w:rsid w:val="00C67672"/>
    <w:rsid w:val="00C679B6"/>
    <w:rsid w:val="00C67B85"/>
    <w:rsid w:val="00C67EE6"/>
    <w:rsid w:val="00C70065"/>
    <w:rsid w:val="00C70424"/>
    <w:rsid w:val="00C707D5"/>
    <w:rsid w:val="00C70906"/>
    <w:rsid w:val="00C70E73"/>
    <w:rsid w:val="00C716BC"/>
    <w:rsid w:val="00C71850"/>
    <w:rsid w:val="00C7188B"/>
    <w:rsid w:val="00C718DE"/>
    <w:rsid w:val="00C71A7A"/>
    <w:rsid w:val="00C71B6E"/>
    <w:rsid w:val="00C71BCE"/>
    <w:rsid w:val="00C71CE0"/>
    <w:rsid w:val="00C72122"/>
    <w:rsid w:val="00C72F96"/>
    <w:rsid w:val="00C735DA"/>
    <w:rsid w:val="00C73C31"/>
    <w:rsid w:val="00C744ED"/>
    <w:rsid w:val="00C74832"/>
    <w:rsid w:val="00C74D7C"/>
    <w:rsid w:val="00C757B1"/>
    <w:rsid w:val="00C75C56"/>
    <w:rsid w:val="00C75E37"/>
    <w:rsid w:val="00C75F68"/>
    <w:rsid w:val="00C76614"/>
    <w:rsid w:val="00C76ED0"/>
    <w:rsid w:val="00C76FB9"/>
    <w:rsid w:val="00C8074D"/>
    <w:rsid w:val="00C809FD"/>
    <w:rsid w:val="00C80C72"/>
    <w:rsid w:val="00C80C94"/>
    <w:rsid w:val="00C81224"/>
    <w:rsid w:val="00C812A1"/>
    <w:rsid w:val="00C81360"/>
    <w:rsid w:val="00C81D1B"/>
    <w:rsid w:val="00C81DA9"/>
    <w:rsid w:val="00C8270A"/>
    <w:rsid w:val="00C82857"/>
    <w:rsid w:val="00C82954"/>
    <w:rsid w:val="00C82B6B"/>
    <w:rsid w:val="00C832F6"/>
    <w:rsid w:val="00C8340B"/>
    <w:rsid w:val="00C8348C"/>
    <w:rsid w:val="00C8351D"/>
    <w:rsid w:val="00C835AD"/>
    <w:rsid w:val="00C83921"/>
    <w:rsid w:val="00C83F12"/>
    <w:rsid w:val="00C8454B"/>
    <w:rsid w:val="00C848F7"/>
    <w:rsid w:val="00C84A71"/>
    <w:rsid w:val="00C84CED"/>
    <w:rsid w:val="00C84DB3"/>
    <w:rsid w:val="00C85A0D"/>
    <w:rsid w:val="00C863C4"/>
    <w:rsid w:val="00C863F0"/>
    <w:rsid w:val="00C86AEB"/>
    <w:rsid w:val="00C86B22"/>
    <w:rsid w:val="00C86D31"/>
    <w:rsid w:val="00C86F56"/>
    <w:rsid w:val="00C875AE"/>
    <w:rsid w:val="00C87B2B"/>
    <w:rsid w:val="00C87DEC"/>
    <w:rsid w:val="00C87ECD"/>
    <w:rsid w:val="00C90193"/>
    <w:rsid w:val="00C90650"/>
    <w:rsid w:val="00C907AA"/>
    <w:rsid w:val="00C908C5"/>
    <w:rsid w:val="00C90D6A"/>
    <w:rsid w:val="00C90E49"/>
    <w:rsid w:val="00C91A98"/>
    <w:rsid w:val="00C91BF4"/>
    <w:rsid w:val="00C91EAD"/>
    <w:rsid w:val="00C920C2"/>
    <w:rsid w:val="00C9252F"/>
    <w:rsid w:val="00C928A4"/>
    <w:rsid w:val="00C92A61"/>
    <w:rsid w:val="00C92C05"/>
    <w:rsid w:val="00C92C43"/>
    <w:rsid w:val="00C92CE1"/>
    <w:rsid w:val="00C92E09"/>
    <w:rsid w:val="00C9311A"/>
    <w:rsid w:val="00C937D5"/>
    <w:rsid w:val="00C93AC0"/>
    <w:rsid w:val="00C93C47"/>
    <w:rsid w:val="00C93E24"/>
    <w:rsid w:val="00C9446B"/>
    <w:rsid w:val="00C947CE"/>
    <w:rsid w:val="00C949E8"/>
    <w:rsid w:val="00C94B85"/>
    <w:rsid w:val="00C94CC4"/>
    <w:rsid w:val="00C95072"/>
    <w:rsid w:val="00C9569F"/>
    <w:rsid w:val="00C95ED4"/>
    <w:rsid w:val="00C95F7D"/>
    <w:rsid w:val="00C95FB8"/>
    <w:rsid w:val="00C96040"/>
    <w:rsid w:val="00C9639C"/>
    <w:rsid w:val="00C964C5"/>
    <w:rsid w:val="00C96A4D"/>
    <w:rsid w:val="00C96B7D"/>
    <w:rsid w:val="00C96BEA"/>
    <w:rsid w:val="00C97032"/>
    <w:rsid w:val="00C97AA3"/>
    <w:rsid w:val="00CA0831"/>
    <w:rsid w:val="00CA092A"/>
    <w:rsid w:val="00CA0941"/>
    <w:rsid w:val="00CA143A"/>
    <w:rsid w:val="00CA1789"/>
    <w:rsid w:val="00CA18F3"/>
    <w:rsid w:val="00CA1E13"/>
    <w:rsid w:val="00CA23B1"/>
    <w:rsid w:val="00CA2694"/>
    <w:rsid w:val="00CA26FA"/>
    <w:rsid w:val="00CA278F"/>
    <w:rsid w:val="00CA289E"/>
    <w:rsid w:val="00CA2935"/>
    <w:rsid w:val="00CA2E3B"/>
    <w:rsid w:val="00CA2FBC"/>
    <w:rsid w:val="00CA305D"/>
    <w:rsid w:val="00CA35E0"/>
    <w:rsid w:val="00CA3B14"/>
    <w:rsid w:val="00CA41D4"/>
    <w:rsid w:val="00CA41F6"/>
    <w:rsid w:val="00CA456D"/>
    <w:rsid w:val="00CA460E"/>
    <w:rsid w:val="00CA49BA"/>
    <w:rsid w:val="00CA4B31"/>
    <w:rsid w:val="00CA4DDE"/>
    <w:rsid w:val="00CA5008"/>
    <w:rsid w:val="00CA5038"/>
    <w:rsid w:val="00CA54DF"/>
    <w:rsid w:val="00CA56FD"/>
    <w:rsid w:val="00CA598F"/>
    <w:rsid w:val="00CA5F8A"/>
    <w:rsid w:val="00CA62C7"/>
    <w:rsid w:val="00CA668F"/>
    <w:rsid w:val="00CA66BC"/>
    <w:rsid w:val="00CA6BA4"/>
    <w:rsid w:val="00CA6EA7"/>
    <w:rsid w:val="00CA6F59"/>
    <w:rsid w:val="00CA6FBC"/>
    <w:rsid w:val="00CA7340"/>
    <w:rsid w:val="00CA79B7"/>
    <w:rsid w:val="00CA7DFE"/>
    <w:rsid w:val="00CB068B"/>
    <w:rsid w:val="00CB0A23"/>
    <w:rsid w:val="00CB0B41"/>
    <w:rsid w:val="00CB0B6D"/>
    <w:rsid w:val="00CB1130"/>
    <w:rsid w:val="00CB16C0"/>
    <w:rsid w:val="00CB1A0B"/>
    <w:rsid w:val="00CB1A88"/>
    <w:rsid w:val="00CB1FB7"/>
    <w:rsid w:val="00CB21AA"/>
    <w:rsid w:val="00CB21CA"/>
    <w:rsid w:val="00CB2274"/>
    <w:rsid w:val="00CB2EA5"/>
    <w:rsid w:val="00CB3337"/>
    <w:rsid w:val="00CB354E"/>
    <w:rsid w:val="00CB3A47"/>
    <w:rsid w:val="00CB3C22"/>
    <w:rsid w:val="00CB3CAB"/>
    <w:rsid w:val="00CB3DE3"/>
    <w:rsid w:val="00CB3E36"/>
    <w:rsid w:val="00CB4165"/>
    <w:rsid w:val="00CB41A5"/>
    <w:rsid w:val="00CB4667"/>
    <w:rsid w:val="00CB4796"/>
    <w:rsid w:val="00CB4C65"/>
    <w:rsid w:val="00CB4FB7"/>
    <w:rsid w:val="00CB50CA"/>
    <w:rsid w:val="00CB5348"/>
    <w:rsid w:val="00CB5587"/>
    <w:rsid w:val="00CB5611"/>
    <w:rsid w:val="00CB59CE"/>
    <w:rsid w:val="00CB5DC7"/>
    <w:rsid w:val="00CB6142"/>
    <w:rsid w:val="00CB650A"/>
    <w:rsid w:val="00CB6A1A"/>
    <w:rsid w:val="00CB6AD2"/>
    <w:rsid w:val="00CB6EA8"/>
    <w:rsid w:val="00CB73E9"/>
    <w:rsid w:val="00CB7548"/>
    <w:rsid w:val="00CB7A62"/>
    <w:rsid w:val="00CB7F5D"/>
    <w:rsid w:val="00CC0008"/>
    <w:rsid w:val="00CC0BEF"/>
    <w:rsid w:val="00CC22FA"/>
    <w:rsid w:val="00CC2717"/>
    <w:rsid w:val="00CC2C9A"/>
    <w:rsid w:val="00CC2EAF"/>
    <w:rsid w:val="00CC3371"/>
    <w:rsid w:val="00CC33E0"/>
    <w:rsid w:val="00CC4278"/>
    <w:rsid w:val="00CC43EE"/>
    <w:rsid w:val="00CC4844"/>
    <w:rsid w:val="00CC4D2D"/>
    <w:rsid w:val="00CC50BC"/>
    <w:rsid w:val="00CC5344"/>
    <w:rsid w:val="00CC59D7"/>
    <w:rsid w:val="00CC5AD7"/>
    <w:rsid w:val="00CC6248"/>
    <w:rsid w:val="00CC67E3"/>
    <w:rsid w:val="00CC6FF0"/>
    <w:rsid w:val="00CC717C"/>
    <w:rsid w:val="00CC72AD"/>
    <w:rsid w:val="00CC72B6"/>
    <w:rsid w:val="00CC74FB"/>
    <w:rsid w:val="00CD1679"/>
    <w:rsid w:val="00CD1E7D"/>
    <w:rsid w:val="00CD2833"/>
    <w:rsid w:val="00CD294B"/>
    <w:rsid w:val="00CD2BAD"/>
    <w:rsid w:val="00CD2C9A"/>
    <w:rsid w:val="00CD2D39"/>
    <w:rsid w:val="00CD2D44"/>
    <w:rsid w:val="00CD2EA1"/>
    <w:rsid w:val="00CD3193"/>
    <w:rsid w:val="00CD3352"/>
    <w:rsid w:val="00CD3EFC"/>
    <w:rsid w:val="00CD418F"/>
    <w:rsid w:val="00CD43F9"/>
    <w:rsid w:val="00CD46DD"/>
    <w:rsid w:val="00CD4967"/>
    <w:rsid w:val="00CD49B8"/>
    <w:rsid w:val="00CD53B5"/>
    <w:rsid w:val="00CD542F"/>
    <w:rsid w:val="00CD559A"/>
    <w:rsid w:val="00CD5FD7"/>
    <w:rsid w:val="00CD60FF"/>
    <w:rsid w:val="00CD6757"/>
    <w:rsid w:val="00CD681F"/>
    <w:rsid w:val="00CD704F"/>
    <w:rsid w:val="00CD70C8"/>
    <w:rsid w:val="00CD70F1"/>
    <w:rsid w:val="00CD72F5"/>
    <w:rsid w:val="00CD7586"/>
    <w:rsid w:val="00CD780B"/>
    <w:rsid w:val="00CD788E"/>
    <w:rsid w:val="00CD7A50"/>
    <w:rsid w:val="00CE00EC"/>
    <w:rsid w:val="00CE0108"/>
    <w:rsid w:val="00CE0118"/>
    <w:rsid w:val="00CE0282"/>
    <w:rsid w:val="00CE038F"/>
    <w:rsid w:val="00CE0918"/>
    <w:rsid w:val="00CE1367"/>
    <w:rsid w:val="00CE14C2"/>
    <w:rsid w:val="00CE17FC"/>
    <w:rsid w:val="00CE1C2A"/>
    <w:rsid w:val="00CE270A"/>
    <w:rsid w:val="00CE27CB"/>
    <w:rsid w:val="00CE29B9"/>
    <w:rsid w:val="00CE2CFB"/>
    <w:rsid w:val="00CE3378"/>
    <w:rsid w:val="00CE35E9"/>
    <w:rsid w:val="00CE36F3"/>
    <w:rsid w:val="00CE3FF0"/>
    <w:rsid w:val="00CE41B7"/>
    <w:rsid w:val="00CE42AD"/>
    <w:rsid w:val="00CE4353"/>
    <w:rsid w:val="00CE4370"/>
    <w:rsid w:val="00CE45E1"/>
    <w:rsid w:val="00CE48F7"/>
    <w:rsid w:val="00CE4B6A"/>
    <w:rsid w:val="00CE4EEB"/>
    <w:rsid w:val="00CE54F0"/>
    <w:rsid w:val="00CE5727"/>
    <w:rsid w:val="00CE5946"/>
    <w:rsid w:val="00CE6493"/>
    <w:rsid w:val="00CE67D6"/>
    <w:rsid w:val="00CE6876"/>
    <w:rsid w:val="00CE6F58"/>
    <w:rsid w:val="00CE7290"/>
    <w:rsid w:val="00CE7E85"/>
    <w:rsid w:val="00CF039A"/>
    <w:rsid w:val="00CF0660"/>
    <w:rsid w:val="00CF0741"/>
    <w:rsid w:val="00CF0996"/>
    <w:rsid w:val="00CF09A9"/>
    <w:rsid w:val="00CF1315"/>
    <w:rsid w:val="00CF13B2"/>
    <w:rsid w:val="00CF1688"/>
    <w:rsid w:val="00CF1C43"/>
    <w:rsid w:val="00CF22F5"/>
    <w:rsid w:val="00CF2669"/>
    <w:rsid w:val="00CF26E5"/>
    <w:rsid w:val="00CF287C"/>
    <w:rsid w:val="00CF305A"/>
    <w:rsid w:val="00CF32EE"/>
    <w:rsid w:val="00CF34BB"/>
    <w:rsid w:val="00CF4324"/>
    <w:rsid w:val="00CF47B5"/>
    <w:rsid w:val="00CF48F5"/>
    <w:rsid w:val="00CF5325"/>
    <w:rsid w:val="00CF53DF"/>
    <w:rsid w:val="00CF5C08"/>
    <w:rsid w:val="00CF618E"/>
    <w:rsid w:val="00CF6EF4"/>
    <w:rsid w:val="00CF6F6D"/>
    <w:rsid w:val="00CF72AF"/>
    <w:rsid w:val="00CF7616"/>
    <w:rsid w:val="00CF7B10"/>
    <w:rsid w:val="00D002FD"/>
    <w:rsid w:val="00D01296"/>
    <w:rsid w:val="00D012A5"/>
    <w:rsid w:val="00D01374"/>
    <w:rsid w:val="00D013D8"/>
    <w:rsid w:val="00D0158B"/>
    <w:rsid w:val="00D016FA"/>
    <w:rsid w:val="00D01775"/>
    <w:rsid w:val="00D01890"/>
    <w:rsid w:val="00D0218D"/>
    <w:rsid w:val="00D02C49"/>
    <w:rsid w:val="00D03105"/>
    <w:rsid w:val="00D0382B"/>
    <w:rsid w:val="00D039E2"/>
    <w:rsid w:val="00D03AA1"/>
    <w:rsid w:val="00D03BBC"/>
    <w:rsid w:val="00D04E56"/>
    <w:rsid w:val="00D05147"/>
    <w:rsid w:val="00D05A8C"/>
    <w:rsid w:val="00D05B9E"/>
    <w:rsid w:val="00D0652E"/>
    <w:rsid w:val="00D06830"/>
    <w:rsid w:val="00D06CB1"/>
    <w:rsid w:val="00D06CF8"/>
    <w:rsid w:val="00D06EF6"/>
    <w:rsid w:val="00D06F15"/>
    <w:rsid w:val="00D06F83"/>
    <w:rsid w:val="00D071E0"/>
    <w:rsid w:val="00D0759B"/>
    <w:rsid w:val="00D075B7"/>
    <w:rsid w:val="00D10016"/>
    <w:rsid w:val="00D10740"/>
    <w:rsid w:val="00D10840"/>
    <w:rsid w:val="00D1092F"/>
    <w:rsid w:val="00D1096B"/>
    <w:rsid w:val="00D10A4E"/>
    <w:rsid w:val="00D10C0A"/>
    <w:rsid w:val="00D10DE2"/>
    <w:rsid w:val="00D1121F"/>
    <w:rsid w:val="00D112C7"/>
    <w:rsid w:val="00D11406"/>
    <w:rsid w:val="00D11B9A"/>
    <w:rsid w:val="00D11BD2"/>
    <w:rsid w:val="00D12DF1"/>
    <w:rsid w:val="00D1327D"/>
    <w:rsid w:val="00D1334F"/>
    <w:rsid w:val="00D13389"/>
    <w:rsid w:val="00D135D9"/>
    <w:rsid w:val="00D13677"/>
    <w:rsid w:val="00D137AD"/>
    <w:rsid w:val="00D138AC"/>
    <w:rsid w:val="00D13B8D"/>
    <w:rsid w:val="00D13F4E"/>
    <w:rsid w:val="00D1428D"/>
    <w:rsid w:val="00D14B03"/>
    <w:rsid w:val="00D14B16"/>
    <w:rsid w:val="00D15129"/>
    <w:rsid w:val="00D15433"/>
    <w:rsid w:val="00D15562"/>
    <w:rsid w:val="00D158BA"/>
    <w:rsid w:val="00D15CA4"/>
    <w:rsid w:val="00D1640A"/>
    <w:rsid w:val="00D165F0"/>
    <w:rsid w:val="00D16BE7"/>
    <w:rsid w:val="00D171E0"/>
    <w:rsid w:val="00D17230"/>
    <w:rsid w:val="00D17345"/>
    <w:rsid w:val="00D1745E"/>
    <w:rsid w:val="00D17554"/>
    <w:rsid w:val="00D17626"/>
    <w:rsid w:val="00D17DF3"/>
    <w:rsid w:val="00D207AE"/>
    <w:rsid w:val="00D2089A"/>
    <w:rsid w:val="00D20AB9"/>
    <w:rsid w:val="00D20D8F"/>
    <w:rsid w:val="00D20D96"/>
    <w:rsid w:val="00D216CD"/>
    <w:rsid w:val="00D22370"/>
    <w:rsid w:val="00D224ED"/>
    <w:rsid w:val="00D2263B"/>
    <w:rsid w:val="00D226BB"/>
    <w:rsid w:val="00D22B21"/>
    <w:rsid w:val="00D22F38"/>
    <w:rsid w:val="00D230C1"/>
    <w:rsid w:val="00D233C5"/>
    <w:rsid w:val="00D233CA"/>
    <w:rsid w:val="00D239A1"/>
    <w:rsid w:val="00D23FC8"/>
    <w:rsid w:val="00D2413C"/>
    <w:rsid w:val="00D242FD"/>
    <w:rsid w:val="00D245FF"/>
    <w:rsid w:val="00D24609"/>
    <w:rsid w:val="00D246CC"/>
    <w:rsid w:val="00D24A54"/>
    <w:rsid w:val="00D24FFD"/>
    <w:rsid w:val="00D255E0"/>
    <w:rsid w:val="00D25744"/>
    <w:rsid w:val="00D25A8B"/>
    <w:rsid w:val="00D25CF7"/>
    <w:rsid w:val="00D25DBB"/>
    <w:rsid w:val="00D25DE6"/>
    <w:rsid w:val="00D26099"/>
    <w:rsid w:val="00D260D5"/>
    <w:rsid w:val="00D26239"/>
    <w:rsid w:val="00D264CC"/>
    <w:rsid w:val="00D26A62"/>
    <w:rsid w:val="00D26C3F"/>
    <w:rsid w:val="00D26D56"/>
    <w:rsid w:val="00D2721F"/>
    <w:rsid w:val="00D27726"/>
    <w:rsid w:val="00D279F2"/>
    <w:rsid w:val="00D27A53"/>
    <w:rsid w:val="00D27E58"/>
    <w:rsid w:val="00D30264"/>
    <w:rsid w:val="00D30671"/>
    <w:rsid w:val="00D30AEF"/>
    <w:rsid w:val="00D30B90"/>
    <w:rsid w:val="00D31058"/>
    <w:rsid w:val="00D313AA"/>
    <w:rsid w:val="00D32016"/>
    <w:rsid w:val="00D32178"/>
    <w:rsid w:val="00D3221B"/>
    <w:rsid w:val="00D32730"/>
    <w:rsid w:val="00D329BB"/>
    <w:rsid w:val="00D32E1B"/>
    <w:rsid w:val="00D32FAD"/>
    <w:rsid w:val="00D33283"/>
    <w:rsid w:val="00D339D9"/>
    <w:rsid w:val="00D33B1A"/>
    <w:rsid w:val="00D33EC6"/>
    <w:rsid w:val="00D341A3"/>
    <w:rsid w:val="00D34614"/>
    <w:rsid w:val="00D347CA"/>
    <w:rsid w:val="00D35035"/>
    <w:rsid w:val="00D350A5"/>
    <w:rsid w:val="00D352F7"/>
    <w:rsid w:val="00D357E8"/>
    <w:rsid w:val="00D35ABD"/>
    <w:rsid w:val="00D35CEE"/>
    <w:rsid w:val="00D35D28"/>
    <w:rsid w:val="00D35E1A"/>
    <w:rsid w:val="00D36AA4"/>
    <w:rsid w:val="00D37276"/>
    <w:rsid w:val="00D378B8"/>
    <w:rsid w:val="00D37A42"/>
    <w:rsid w:val="00D37C44"/>
    <w:rsid w:val="00D40220"/>
    <w:rsid w:val="00D40A6C"/>
    <w:rsid w:val="00D41109"/>
    <w:rsid w:val="00D411F8"/>
    <w:rsid w:val="00D413F4"/>
    <w:rsid w:val="00D41691"/>
    <w:rsid w:val="00D41753"/>
    <w:rsid w:val="00D41771"/>
    <w:rsid w:val="00D42425"/>
    <w:rsid w:val="00D4270F"/>
    <w:rsid w:val="00D43215"/>
    <w:rsid w:val="00D4343F"/>
    <w:rsid w:val="00D4344D"/>
    <w:rsid w:val="00D43818"/>
    <w:rsid w:val="00D43B9E"/>
    <w:rsid w:val="00D43D36"/>
    <w:rsid w:val="00D44184"/>
    <w:rsid w:val="00D44243"/>
    <w:rsid w:val="00D44482"/>
    <w:rsid w:val="00D444A3"/>
    <w:rsid w:val="00D44835"/>
    <w:rsid w:val="00D45A28"/>
    <w:rsid w:val="00D45B95"/>
    <w:rsid w:val="00D45DFA"/>
    <w:rsid w:val="00D463F8"/>
    <w:rsid w:val="00D4654C"/>
    <w:rsid w:val="00D466A8"/>
    <w:rsid w:val="00D46849"/>
    <w:rsid w:val="00D468B9"/>
    <w:rsid w:val="00D4696D"/>
    <w:rsid w:val="00D46C1B"/>
    <w:rsid w:val="00D471A4"/>
    <w:rsid w:val="00D47502"/>
    <w:rsid w:val="00D47C03"/>
    <w:rsid w:val="00D47ED7"/>
    <w:rsid w:val="00D47F89"/>
    <w:rsid w:val="00D5004F"/>
    <w:rsid w:val="00D50E12"/>
    <w:rsid w:val="00D50F32"/>
    <w:rsid w:val="00D510D1"/>
    <w:rsid w:val="00D510D7"/>
    <w:rsid w:val="00D512D1"/>
    <w:rsid w:val="00D513A1"/>
    <w:rsid w:val="00D51429"/>
    <w:rsid w:val="00D51633"/>
    <w:rsid w:val="00D51970"/>
    <w:rsid w:val="00D51A01"/>
    <w:rsid w:val="00D51E06"/>
    <w:rsid w:val="00D52151"/>
    <w:rsid w:val="00D53EBD"/>
    <w:rsid w:val="00D547F4"/>
    <w:rsid w:val="00D54858"/>
    <w:rsid w:val="00D549DD"/>
    <w:rsid w:val="00D54B8D"/>
    <w:rsid w:val="00D54C44"/>
    <w:rsid w:val="00D54C6C"/>
    <w:rsid w:val="00D5560E"/>
    <w:rsid w:val="00D55961"/>
    <w:rsid w:val="00D56039"/>
    <w:rsid w:val="00D5623D"/>
    <w:rsid w:val="00D56541"/>
    <w:rsid w:val="00D566FE"/>
    <w:rsid w:val="00D56780"/>
    <w:rsid w:val="00D569C2"/>
    <w:rsid w:val="00D569C6"/>
    <w:rsid w:val="00D56BAE"/>
    <w:rsid w:val="00D56FFE"/>
    <w:rsid w:val="00D5724B"/>
    <w:rsid w:val="00D57341"/>
    <w:rsid w:val="00D57D29"/>
    <w:rsid w:val="00D57D2A"/>
    <w:rsid w:val="00D57F6D"/>
    <w:rsid w:val="00D60D2A"/>
    <w:rsid w:val="00D60E4B"/>
    <w:rsid w:val="00D6131B"/>
    <w:rsid w:val="00D61C47"/>
    <w:rsid w:val="00D61FAD"/>
    <w:rsid w:val="00D62250"/>
    <w:rsid w:val="00D62622"/>
    <w:rsid w:val="00D626A1"/>
    <w:rsid w:val="00D62F30"/>
    <w:rsid w:val="00D633BF"/>
    <w:rsid w:val="00D635BE"/>
    <w:rsid w:val="00D637E0"/>
    <w:rsid w:val="00D6380A"/>
    <w:rsid w:val="00D63E70"/>
    <w:rsid w:val="00D63F50"/>
    <w:rsid w:val="00D64270"/>
    <w:rsid w:val="00D643DA"/>
    <w:rsid w:val="00D647C7"/>
    <w:rsid w:val="00D64B7A"/>
    <w:rsid w:val="00D64BAB"/>
    <w:rsid w:val="00D64DB4"/>
    <w:rsid w:val="00D64DD9"/>
    <w:rsid w:val="00D64ECA"/>
    <w:rsid w:val="00D65147"/>
    <w:rsid w:val="00D65387"/>
    <w:rsid w:val="00D65438"/>
    <w:rsid w:val="00D654CE"/>
    <w:rsid w:val="00D65624"/>
    <w:rsid w:val="00D657B4"/>
    <w:rsid w:val="00D65B53"/>
    <w:rsid w:val="00D65E99"/>
    <w:rsid w:val="00D66738"/>
    <w:rsid w:val="00D668E7"/>
    <w:rsid w:val="00D66925"/>
    <w:rsid w:val="00D66AA4"/>
    <w:rsid w:val="00D66BA2"/>
    <w:rsid w:val="00D67562"/>
    <w:rsid w:val="00D675D7"/>
    <w:rsid w:val="00D675FB"/>
    <w:rsid w:val="00D6761E"/>
    <w:rsid w:val="00D6764F"/>
    <w:rsid w:val="00D70609"/>
    <w:rsid w:val="00D70C5D"/>
    <w:rsid w:val="00D71065"/>
    <w:rsid w:val="00D716FA"/>
    <w:rsid w:val="00D7190A"/>
    <w:rsid w:val="00D71AC9"/>
    <w:rsid w:val="00D71D79"/>
    <w:rsid w:val="00D71DD4"/>
    <w:rsid w:val="00D72410"/>
    <w:rsid w:val="00D72ACD"/>
    <w:rsid w:val="00D72BDC"/>
    <w:rsid w:val="00D73011"/>
    <w:rsid w:val="00D73424"/>
    <w:rsid w:val="00D735BB"/>
    <w:rsid w:val="00D73614"/>
    <w:rsid w:val="00D7364B"/>
    <w:rsid w:val="00D73A7F"/>
    <w:rsid w:val="00D74559"/>
    <w:rsid w:val="00D746A9"/>
    <w:rsid w:val="00D74715"/>
    <w:rsid w:val="00D748A4"/>
    <w:rsid w:val="00D74A36"/>
    <w:rsid w:val="00D74B8C"/>
    <w:rsid w:val="00D74E5A"/>
    <w:rsid w:val="00D74F96"/>
    <w:rsid w:val="00D75200"/>
    <w:rsid w:val="00D75926"/>
    <w:rsid w:val="00D75FD7"/>
    <w:rsid w:val="00D760E2"/>
    <w:rsid w:val="00D76128"/>
    <w:rsid w:val="00D76986"/>
    <w:rsid w:val="00D76A2E"/>
    <w:rsid w:val="00D76B00"/>
    <w:rsid w:val="00D76CD2"/>
    <w:rsid w:val="00D76D9D"/>
    <w:rsid w:val="00D76DA6"/>
    <w:rsid w:val="00D76DE0"/>
    <w:rsid w:val="00D76E34"/>
    <w:rsid w:val="00D76F15"/>
    <w:rsid w:val="00D773B1"/>
    <w:rsid w:val="00D77519"/>
    <w:rsid w:val="00D775C1"/>
    <w:rsid w:val="00D77644"/>
    <w:rsid w:val="00D776AA"/>
    <w:rsid w:val="00D7779E"/>
    <w:rsid w:val="00D77DF1"/>
    <w:rsid w:val="00D80022"/>
    <w:rsid w:val="00D8020D"/>
    <w:rsid w:val="00D804D1"/>
    <w:rsid w:val="00D806A4"/>
    <w:rsid w:val="00D80B4C"/>
    <w:rsid w:val="00D80F1B"/>
    <w:rsid w:val="00D81106"/>
    <w:rsid w:val="00D811A5"/>
    <w:rsid w:val="00D817B5"/>
    <w:rsid w:val="00D818C1"/>
    <w:rsid w:val="00D818F9"/>
    <w:rsid w:val="00D81BE8"/>
    <w:rsid w:val="00D81C17"/>
    <w:rsid w:val="00D81C18"/>
    <w:rsid w:val="00D81CC5"/>
    <w:rsid w:val="00D828E3"/>
    <w:rsid w:val="00D82BFD"/>
    <w:rsid w:val="00D82C37"/>
    <w:rsid w:val="00D82CD5"/>
    <w:rsid w:val="00D82E81"/>
    <w:rsid w:val="00D83271"/>
    <w:rsid w:val="00D832CF"/>
    <w:rsid w:val="00D83570"/>
    <w:rsid w:val="00D840C6"/>
    <w:rsid w:val="00D84457"/>
    <w:rsid w:val="00D84697"/>
    <w:rsid w:val="00D84FFB"/>
    <w:rsid w:val="00D85275"/>
    <w:rsid w:val="00D8532E"/>
    <w:rsid w:val="00D855C9"/>
    <w:rsid w:val="00D855E2"/>
    <w:rsid w:val="00D85DB3"/>
    <w:rsid w:val="00D85EC7"/>
    <w:rsid w:val="00D85F72"/>
    <w:rsid w:val="00D85FEA"/>
    <w:rsid w:val="00D86283"/>
    <w:rsid w:val="00D865FD"/>
    <w:rsid w:val="00D86612"/>
    <w:rsid w:val="00D86B36"/>
    <w:rsid w:val="00D86C03"/>
    <w:rsid w:val="00D870FA"/>
    <w:rsid w:val="00D871A2"/>
    <w:rsid w:val="00D87BE7"/>
    <w:rsid w:val="00D87C65"/>
    <w:rsid w:val="00D87D53"/>
    <w:rsid w:val="00D87D9E"/>
    <w:rsid w:val="00D87E4E"/>
    <w:rsid w:val="00D87EA3"/>
    <w:rsid w:val="00D9017E"/>
    <w:rsid w:val="00D902CF"/>
    <w:rsid w:val="00D907C4"/>
    <w:rsid w:val="00D90C0F"/>
    <w:rsid w:val="00D910DF"/>
    <w:rsid w:val="00D917E9"/>
    <w:rsid w:val="00D91BA2"/>
    <w:rsid w:val="00D91DC5"/>
    <w:rsid w:val="00D92182"/>
    <w:rsid w:val="00D926E0"/>
    <w:rsid w:val="00D9287C"/>
    <w:rsid w:val="00D92899"/>
    <w:rsid w:val="00D92993"/>
    <w:rsid w:val="00D929E8"/>
    <w:rsid w:val="00D92B1E"/>
    <w:rsid w:val="00D92BE7"/>
    <w:rsid w:val="00D93691"/>
    <w:rsid w:val="00D936B0"/>
    <w:rsid w:val="00D9383D"/>
    <w:rsid w:val="00D93A65"/>
    <w:rsid w:val="00D9424E"/>
    <w:rsid w:val="00D94603"/>
    <w:rsid w:val="00D94B81"/>
    <w:rsid w:val="00D94D11"/>
    <w:rsid w:val="00D94DF6"/>
    <w:rsid w:val="00D95177"/>
    <w:rsid w:val="00D95659"/>
    <w:rsid w:val="00D9577C"/>
    <w:rsid w:val="00D95E4D"/>
    <w:rsid w:val="00D96431"/>
    <w:rsid w:val="00D96744"/>
    <w:rsid w:val="00D96850"/>
    <w:rsid w:val="00D96C1B"/>
    <w:rsid w:val="00D97585"/>
    <w:rsid w:val="00D978F8"/>
    <w:rsid w:val="00D97F18"/>
    <w:rsid w:val="00DA01C1"/>
    <w:rsid w:val="00DA071F"/>
    <w:rsid w:val="00DA09CB"/>
    <w:rsid w:val="00DA0D63"/>
    <w:rsid w:val="00DA1245"/>
    <w:rsid w:val="00DA1267"/>
    <w:rsid w:val="00DA1462"/>
    <w:rsid w:val="00DA1772"/>
    <w:rsid w:val="00DA1788"/>
    <w:rsid w:val="00DA1828"/>
    <w:rsid w:val="00DA1B01"/>
    <w:rsid w:val="00DA21D0"/>
    <w:rsid w:val="00DA237F"/>
    <w:rsid w:val="00DA2462"/>
    <w:rsid w:val="00DA2529"/>
    <w:rsid w:val="00DA25DA"/>
    <w:rsid w:val="00DA2AB8"/>
    <w:rsid w:val="00DA2C65"/>
    <w:rsid w:val="00DA2ED9"/>
    <w:rsid w:val="00DA301F"/>
    <w:rsid w:val="00DA3083"/>
    <w:rsid w:val="00DA3566"/>
    <w:rsid w:val="00DA3632"/>
    <w:rsid w:val="00DA3A5B"/>
    <w:rsid w:val="00DA3E67"/>
    <w:rsid w:val="00DA3F80"/>
    <w:rsid w:val="00DA42C2"/>
    <w:rsid w:val="00DA4754"/>
    <w:rsid w:val="00DA4947"/>
    <w:rsid w:val="00DA4A95"/>
    <w:rsid w:val="00DA4BDC"/>
    <w:rsid w:val="00DA4E92"/>
    <w:rsid w:val="00DA517C"/>
    <w:rsid w:val="00DA5503"/>
    <w:rsid w:val="00DA6249"/>
    <w:rsid w:val="00DA63E6"/>
    <w:rsid w:val="00DA7375"/>
    <w:rsid w:val="00DA75B3"/>
    <w:rsid w:val="00DA766F"/>
    <w:rsid w:val="00DA7700"/>
    <w:rsid w:val="00DA7B91"/>
    <w:rsid w:val="00DB038D"/>
    <w:rsid w:val="00DB04EF"/>
    <w:rsid w:val="00DB0B2E"/>
    <w:rsid w:val="00DB0CC3"/>
    <w:rsid w:val="00DB1135"/>
    <w:rsid w:val="00DB1251"/>
    <w:rsid w:val="00DB130A"/>
    <w:rsid w:val="00DB1394"/>
    <w:rsid w:val="00DB1434"/>
    <w:rsid w:val="00DB184C"/>
    <w:rsid w:val="00DB22F3"/>
    <w:rsid w:val="00DB285C"/>
    <w:rsid w:val="00DB28C2"/>
    <w:rsid w:val="00DB2931"/>
    <w:rsid w:val="00DB2D47"/>
    <w:rsid w:val="00DB300B"/>
    <w:rsid w:val="00DB3012"/>
    <w:rsid w:val="00DB3156"/>
    <w:rsid w:val="00DB3633"/>
    <w:rsid w:val="00DB37BD"/>
    <w:rsid w:val="00DB38C6"/>
    <w:rsid w:val="00DB3D3A"/>
    <w:rsid w:val="00DB3F55"/>
    <w:rsid w:val="00DB404C"/>
    <w:rsid w:val="00DB47B8"/>
    <w:rsid w:val="00DB491C"/>
    <w:rsid w:val="00DB4A9B"/>
    <w:rsid w:val="00DB4F7E"/>
    <w:rsid w:val="00DB510D"/>
    <w:rsid w:val="00DB6B4E"/>
    <w:rsid w:val="00DB7323"/>
    <w:rsid w:val="00DB7599"/>
    <w:rsid w:val="00DB7DA1"/>
    <w:rsid w:val="00DB7FD4"/>
    <w:rsid w:val="00DC00E9"/>
    <w:rsid w:val="00DC0455"/>
    <w:rsid w:val="00DC0517"/>
    <w:rsid w:val="00DC10A1"/>
    <w:rsid w:val="00DC116D"/>
    <w:rsid w:val="00DC143A"/>
    <w:rsid w:val="00DC148E"/>
    <w:rsid w:val="00DC14D5"/>
    <w:rsid w:val="00DC1D7F"/>
    <w:rsid w:val="00DC230D"/>
    <w:rsid w:val="00DC2377"/>
    <w:rsid w:val="00DC29B8"/>
    <w:rsid w:val="00DC2C74"/>
    <w:rsid w:val="00DC2E99"/>
    <w:rsid w:val="00DC30A5"/>
    <w:rsid w:val="00DC30E4"/>
    <w:rsid w:val="00DC33B5"/>
    <w:rsid w:val="00DC39BC"/>
    <w:rsid w:val="00DC3B8D"/>
    <w:rsid w:val="00DC404E"/>
    <w:rsid w:val="00DC4410"/>
    <w:rsid w:val="00DC48F3"/>
    <w:rsid w:val="00DC50AB"/>
    <w:rsid w:val="00DC536C"/>
    <w:rsid w:val="00DC53C3"/>
    <w:rsid w:val="00DC53D5"/>
    <w:rsid w:val="00DC5443"/>
    <w:rsid w:val="00DC5524"/>
    <w:rsid w:val="00DC655F"/>
    <w:rsid w:val="00DC6821"/>
    <w:rsid w:val="00DC6C6F"/>
    <w:rsid w:val="00DC6D5D"/>
    <w:rsid w:val="00DC7173"/>
    <w:rsid w:val="00DC7875"/>
    <w:rsid w:val="00DC7C45"/>
    <w:rsid w:val="00DC7C99"/>
    <w:rsid w:val="00DC7F30"/>
    <w:rsid w:val="00DD04FA"/>
    <w:rsid w:val="00DD055A"/>
    <w:rsid w:val="00DD0B36"/>
    <w:rsid w:val="00DD0D18"/>
    <w:rsid w:val="00DD1B5D"/>
    <w:rsid w:val="00DD1F59"/>
    <w:rsid w:val="00DD232C"/>
    <w:rsid w:val="00DD27C4"/>
    <w:rsid w:val="00DD2944"/>
    <w:rsid w:val="00DD2CD4"/>
    <w:rsid w:val="00DD2D56"/>
    <w:rsid w:val="00DD3190"/>
    <w:rsid w:val="00DD37E7"/>
    <w:rsid w:val="00DD3BC8"/>
    <w:rsid w:val="00DD3C32"/>
    <w:rsid w:val="00DD4068"/>
    <w:rsid w:val="00DD40D8"/>
    <w:rsid w:val="00DD40E0"/>
    <w:rsid w:val="00DD419F"/>
    <w:rsid w:val="00DD46EF"/>
    <w:rsid w:val="00DD4D05"/>
    <w:rsid w:val="00DD4EBC"/>
    <w:rsid w:val="00DD5090"/>
    <w:rsid w:val="00DD5145"/>
    <w:rsid w:val="00DD52E9"/>
    <w:rsid w:val="00DD56C7"/>
    <w:rsid w:val="00DD5B89"/>
    <w:rsid w:val="00DD5E41"/>
    <w:rsid w:val="00DD5F26"/>
    <w:rsid w:val="00DD619E"/>
    <w:rsid w:val="00DD65C9"/>
    <w:rsid w:val="00DD6921"/>
    <w:rsid w:val="00DD6CBB"/>
    <w:rsid w:val="00DD6ECB"/>
    <w:rsid w:val="00DD70BA"/>
    <w:rsid w:val="00DD7433"/>
    <w:rsid w:val="00DD77ED"/>
    <w:rsid w:val="00DD79C2"/>
    <w:rsid w:val="00DD7C06"/>
    <w:rsid w:val="00DD7EBD"/>
    <w:rsid w:val="00DE0B43"/>
    <w:rsid w:val="00DE0FD7"/>
    <w:rsid w:val="00DE20D2"/>
    <w:rsid w:val="00DE280D"/>
    <w:rsid w:val="00DE2E6C"/>
    <w:rsid w:val="00DE2F36"/>
    <w:rsid w:val="00DE3365"/>
    <w:rsid w:val="00DE3411"/>
    <w:rsid w:val="00DE3529"/>
    <w:rsid w:val="00DE36CA"/>
    <w:rsid w:val="00DE3921"/>
    <w:rsid w:val="00DE3E9A"/>
    <w:rsid w:val="00DE400E"/>
    <w:rsid w:val="00DE4285"/>
    <w:rsid w:val="00DE51AA"/>
    <w:rsid w:val="00DE51E4"/>
    <w:rsid w:val="00DE543B"/>
    <w:rsid w:val="00DE54C9"/>
    <w:rsid w:val="00DE562F"/>
    <w:rsid w:val="00DE5855"/>
    <w:rsid w:val="00DE5D64"/>
    <w:rsid w:val="00DE6042"/>
    <w:rsid w:val="00DE66AE"/>
    <w:rsid w:val="00DE6834"/>
    <w:rsid w:val="00DE686A"/>
    <w:rsid w:val="00DE6BBB"/>
    <w:rsid w:val="00DE6CAC"/>
    <w:rsid w:val="00DE6E42"/>
    <w:rsid w:val="00DE6FC0"/>
    <w:rsid w:val="00DE76ED"/>
    <w:rsid w:val="00DF0096"/>
    <w:rsid w:val="00DF0455"/>
    <w:rsid w:val="00DF04F8"/>
    <w:rsid w:val="00DF0B53"/>
    <w:rsid w:val="00DF0CC5"/>
    <w:rsid w:val="00DF0D02"/>
    <w:rsid w:val="00DF117C"/>
    <w:rsid w:val="00DF14D7"/>
    <w:rsid w:val="00DF1622"/>
    <w:rsid w:val="00DF1970"/>
    <w:rsid w:val="00DF2349"/>
    <w:rsid w:val="00DF266E"/>
    <w:rsid w:val="00DF289F"/>
    <w:rsid w:val="00DF2989"/>
    <w:rsid w:val="00DF319C"/>
    <w:rsid w:val="00DF3490"/>
    <w:rsid w:val="00DF380C"/>
    <w:rsid w:val="00DF3D2B"/>
    <w:rsid w:val="00DF4221"/>
    <w:rsid w:val="00DF4719"/>
    <w:rsid w:val="00DF48AE"/>
    <w:rsid w:val="00DF4AC7"/>
    <w:rsid w:val="00DF4AE6"/>
    <w:rsid w:val="00DF4DF4"/>
    <w:rsid w:val="00DF4E71"/>
    <w:rsid w:val="00DF4FBC"/>
    <w:rsid w:val="00DF5570"/>
    <w:rsid w:val="00DF58CD"/>
    <w:rsid w:val="00DF5955"/>
    <w:rsid w:val="00DF5988"/>
    <w:rsid w:val="00DF5CF1"/>
    <w:rsid w:val="00DF5E7E"/>
    <w:rsid w:val="00DF62B6"/>
    <w:rsid w:val="00DF6363"/>
    <w:rsid w:val="00DF6B69"/>
    <w:rsid w:val="00DF6BE5"/>
    <w:rsid w:val="00DF6DB0"/>
    <w:rsid w:val="00DF6E6F"/>
    <w:rsid w:val="00DF6F0A"/>
    <w:rsid w:val="00DF7071"/>
    <w:rsid w:val="00DF772A"/>
    <w:rsid w:val="00DF7875"/>
    <w:rsid w:val="00DF79D8"/>
    <w:rsid w:val="00DF7DB9"/>
    <w:rsid w:val="00E00BB3"/>
    <w:rsid w:val="00E00E63"/>
    <w:rsid w:val="00E00F7B"/>
    <w:rsid w:val="00E0104B"/>
    <w:rsid w:val="00E014E6"/>
    <w:rsid w:val="00E01CA2"/>
    <w:rsid w:val="00E02068"/>
    <w:rsid w:val="00E02EF3"/>
    <w:rsid w:val="00E0309F"/>
    <w:rsid w:val="00E0330D"/>
    <w:rsid w:val="00E03340"/>
    <w:rsid w:val="00E03579"/>
    <w:rsid w:val="00E0366D"/>
    <w:rsid w:val="00E03960"/>
    <w:rsid w:val="00E03AC7"/>
    <w:rsid w:val="00E03AFA"/>
    <w:rsid w:val="00E03E1F"/>
    <w:rsid w:val="00E03EE3"/>
    <w:rsid w:val="00E04091"/>
    <w:rsid w:val="00E04237"/>
    <w:rsid w:val="00E04CFC"/>
    <w:rsid w:val="00E05009"/>
    <w:rsid w:val="00E050F0"/>
    <w:rsid w:val="00E05893"/>
    <w:rsid w:val="00E05C6A"/>
    <w:rsid w:val="00E05E6C"/>
    <w:rsid w:val="00E061CB"/>
    <w:rsid w:val="00E0687F"/>
    <w:rsid w:val="00E0697D"/>
    <w:rsid w:val="00E06AEC"/>
    <w:rsid w:val="00E06BF4"/>
    <w:rsid w:val="00E06E85"/>
    <w:rsid w:val="00E07225"/>
    <w:rsid w:val="00E0734A"/>
    <w:rsid w:val="00E073FE"/>
    <w:rsid w:val="00E07472"/>
    <w:rsid w:val="00E075E0"/>
    <w:rsid w:val="00E07623"/>
    <w:rsid w:val="00E07ABE"/>
    <w:rsid w:val="00E07C6E"/>
    <w:rsid w:val="00E101B3"/>
    <w:rsid w:val="00E10490"/>
    <w:rsid w:val="00E1103D"/>
    <w:rsid w:val="00E11087"/>
    <w:rsid w:val="00E11DBA"/>
    <w:rsid w:val="00E1201D"/>
    <w:rsid w:val="00E12551"/>
    <w:rsid w:val="00E1268B"/>
    <w:rsid w:val="00E12F9C"/>
    <w:rsid w:val="00E13703"/>
    <w:rsid w:val="00E13C2D"/>
    <w:rsid w:val="00E13F56"/>
    <w:rsid w:val="00E1441A"/>
    <w:rsid w:val="00E149F0"/>
    <w:rsid w:val="00E15578"/>
    <w:rsid w:val="00E15585"/>
    <w:rsid w:val="00E155B7"/>
    <w:rsid w:val="00E156DF"/>
    <w:rsid w:val="00E15E99"/>
    <w:rsid w:val="00E1619F"/>
    <w:rsid w:val="00E167AB"/>
    <w:rsid w:val="00E1684D"/>
    <w:rsid w:val="00E1692B"/>
    <w:rsid w:val="00E16B33"/>
    <w:rsid w:val="00E16D75"/>
    <w:rsid w:val="00E171BC"/>
    <w:rsid w:val="00E17AFD"/>
    <w:rsid w:val="00E17F86"/>
    <w:rsid w:val="00E20224"/>
    <w:rsid w:val="00E20341"/>
    <w:rsid w:val="00E20516"/>
    <w:rsid w:val="00E205A9"/>
    <w:rsid w:val="00E20720"/>
    <w:rsid w:val="00E20865"/>
    <w:rsid w:val="00E20A9F"/>
    <w:rsid w:val="00E20AE7"/>
    <w:rsid w:val="00E20C0A"/>
    <w:rsid w:val="00E21030"/>
    <w:rsid w:val="00E21375"/>
    <w:rsid w:val="00E22303"/>
    <w:rsid w:val="00E2240A"/>
    <w:rsid w:val="00E22988"/>
    <w:rsid w:val="00E22E94"/>
    <w:rsid w:val="00E22F35"/>
    <w:rsid w:val="00E23219"/>
    <w:rsid w:val="00E2348E"/>
    <w:rsid w:val="00E23929"/>
    <w:rsid w:val="00E23B10"/>
    <w:rsid w:val="00E23CEA"/>
    <w:rsid w:val="00E24715"/>
    <w:rsid w:val="00E24951"/>
    <w:rsid w:val="00E24956"/>
    <w:rsid w:val="00E251DC"/>
    <w:rsid w:val="00E252A4"/>
    <w:rsid w:val="00E25318"/>
    <w:rsid w:val="00E25620"/>
    <w:rsid w:val="00E2577D"/>
    <w:rsid w:val="00E25977"/>
    <w:rsid w:val="00E25CFF"/>
    <w:rsid w:val="00E25DBB"/>
    <w:rsid w:val="00E25E6E"/>
    <w:rsid w:val="00E263C8"/>
    <w:rsid w:val="00E266FF"/>
    <w:rsid w:val="00E26B3A"/>
    <w:rsid w:val="00E26BE5"/>
    <w:rsid w:val="00E26C44"/>
    <w:rsid w:val="00E26D09"/>
    <w:rsid w:val="00E27302"/>
    <w:rsid w:val="00E27681"/>
    <w:rsid w:val="00E27A70"/>
    <w:rsid w:val="00E27DD4"/>
    <w:rsid w:val="00E30078"/>
    <w:rsid w:val="00E30514"/>
    <w:rsid w:val="00E30592"/>
    <w:rsid w:val="00E306B4"/>
    <w:rsid w:val="00E308FA"/>
    <w:rsid w:val="00E30F87"/>
    <w:rsid w:val="00E30FFA"/>
    <w:rsid w:val="00E31068"/>
    <w:rsid w:val="00E3147F"/>
    <w:rsid w:val="00E314EC"/>
    <w:rsid w:val="00E319DD"/>
    <w:rsid w:val="00E31AAE"/>
    <w:rsid w:val="00E3235A"/>
    <w:rsid w:val="00E328A1"/>
    <w:rsid w:val="00E32942"/>
    <w:rsid w:val="00E32A03"/>
    <w:rsid w:val="00E32D3E"/>
    <w:rsid w:val="00E32E2C"/>
    <w:rsid w:val="00E33140"/>
    <w:rsid w:val="00E33149"/>
    <w:rsid w:val="00E331C4"/>
    <w:rsid w:val="00E33907"/>
    <w:rsid w:val="00E33E0A"/>
    <w:rsid w:val="00E34985"/>
    <w:rsid w:val="00E34B15"/>
    <w:rsid w:val="00E34E2F"/>
    <w:rsid w:val="00E34E62"/>
    <w:rsid w:val="00E3527C"/>
    <w:rsid w:val="00E35401"/>
    <w:rsid w:val="00E35693"/>
    <w:rsid w:val="00E3654E"/>
    <w:rsid w:val="00E365B5"/>
    <w:rsid w:val="00E366AD"/>
    <w:rsid w:val="00E36D0C"/>
    <w:rsid w:val="00E37529"/>
    <w:rsid w:val="00E37A4F"/>
    <w:rsid w:val="00E37EFE"/>
    <w:rsid w:val="00E40642"/>
    <w:rsid w:val="00E40AAB"/>
    <w:rsid w:val="00E40ACD"/>
    <w:rsid w:val="00E40B79"/>
    <w:rsid w:val="00E41181"/>
    <w:rsid w:val="00E41C1C"/>
    <w:rsid w:val="00E42437"/>
    <w:rsid w:val="00E429F9"/>
    <w:rsid w:val="00E43141"/>
    <w:rsid w:val="00E4364A"/>
    <w:rsid w:val="00E4369A"/>
    <w:rsid w:val="00E4399B"/>
    <w:rsid w:val="00E439A9"/>
    <w:rsid w:val="00E43B71"/>
    <w:rsid w:val="00E43F37"/>
    <w:rsid w:val="00E44099"/>
    <w:rsid w:val="00E44A37"/>
    <w:rsid w:val="00E45413"/>
    <w:rsid w:val="00E459D8"/>
    <w:rsid w:val="00E45A02"/>
    <w:rsid w:val="00E45C59"/>
    <w:rsid w:val="00E460BD"/>
    <w:rsid w:val="00E46514"/>
    <w:rsid w:val="00E466B0"/>
    <w:rsid w:val="00E46A8F"/>
    <w:rsid w:val="00E46ECE"/>
    <w:rsid w:val="00E47256"/>
    <w:rsid w:val="00E47546"/>
    <w:rsid w:val="00E4793C"/>
    <w:rsid w:val="00E47AD7"/>
    <w:rsid w:val="00E5003F"/>
    <w:rsid w:val="00E501DB"/>
    <w:rsid w:val="00E50329"/>
    <w:rsid w:val="00E50AED"/>
    <w:rsid w:val="00E511A2"/>
    <w:rsid w:val="00E5122A"/>
    <w:rsid w:val="00E515F3"/>
    <w:rsid w:val="00E517E5"/>
    <w:rsid w:val="00E522CD"/>
    <w:rsid w:val="00E52634"/>
    <w:rsid w:val="00E52E7C"/>
    <w:rsid w:val="00E52E7E"/>
    <w:rsid w:val="00E52F60"/>
    <w:rsid w:val="00E52F71"/>
    <w:rsid w:val="00E53010"/>
    <w:rsid w:val="00E53419"/>
    <w:rsid w:val="00E5390C"/>
    <w:rsid w:val="00E53FBA"/>
    <w:rsid w:val="00E5409F"/>
    <w:rsid w:val="00E54743"/>
    <w:rsid w:val="00E549AE"/>
    <w:rsid w:val="00E54A6E"/>
    <w:rsid w:val="00E54FA5"/>
    <w:rsid w:val="00E55166"/>
    <w:rsid w:val="00E55D28"/>
    <w:rsid w:val="00E5604A"/>
    <w:rsid w:val="00E5678C"/>
    <w:rsid w:val="00E56CA9"/>
    <w:rsid w:val="00E579E1"/>
    <w:rsid w:val="00E57A9E"/>
    <w:rsid w:val="00E57D6F"/>
    <w:rsid w:val="00E57E88"/>
    <w:rsid w:val="00E57EE4"/>
    <w:rsid w:val="00E6007C"/>
    <w:rsid w:val="00E604C9"/>
    <w:rsid w:val="00E60840"/>
    <w:rsid w:val="00E609B3"/>
    <w:rsid w:val="00E60D70"/>
    <w:rsid w:val="00E60E8E"/>
    <w:rsid w:val="00E610B8"/>
    <w:rsid w:val="00E6146C"/>
    <w:rsid w:val="00E61BBD"/>
    <w:rsid w:val="00E61C2B"/>
    <w:rsid w:val="00E61CDF"/>
    <w:rsid w:val="00E61D85"/>
    <w:rsid w:val="00E61D99"/>
    <w:rsid w:val="00E61F51"/>
    <w:rsid w:val="00E61FCC"/>
    <w:rsid w:val="00E62034"/>
    <w:rsid w:val="00E62403"/>
    <w:rsid w:val="00E627CC"/>
    <w:rsid w:val="00E628E0"/>
    <w:rsid w:val="00E62E9C"/>
    <w:rsid w:val="00E63406"/>
    <w:rsid w:val="00E638A6"/>
    <w:rsid w:val="00E63B45"/>
    <w:rsid w:val="00E63EBE"/>
    <w:rsid w:val="00E63F44"/>
    <w:rsid w:val="00E642ED"/>
    <w:rsid w:val="00E64473"/>
    <w:rsid w:val="00E644C4"/>
    <w:rsid w:val="00E647ED"/>
    <w:rsid w:val="00E64878"/>
    <w:rsid w:val="00E64D9C"/>
    <w:rsid w:val="00E650C7"/>
    <w:rsid w:val="00E6561F"/>
    <w:rsid w:val="00E65683"/>
    <w:rsid w:val="00E65806"/>
    <w:rsid w:val="00E664FA"/>
    <w:rsid w:val="00E6655D"/>
    <w:rsid w:val="00E6669E"/>
    <w:rsid w:val="00E66898"/>
    <w:rsid w:val="00E67414"/>
    <w:rsid w:val="00E67D05"/>
    <w:rsid w:val="00E70114"/>
    <w:rsid w:val="00E705FA"/>
    <w:rsid w:val="00E70846"/>
    <w:rsid w:val="00E70A3D"/>
    <w:rsid w:val="00E70C97"/>
    <w:rsid w:val="00E7102B"/>
    <w:rsid w:val="00E713E7"/>
    <w:rsid w:val="00E71C43"/>
    <w:rsid w:val="00E72333"/>
    <w:rsid w:val="00E7298F"/>
    <w:rsid w:val="00E72ADD"/>
    <w:rsid w:val="00E73504"/>
    <w:rsid w:val="00E73AC9"/>
    <w:rsid w:val="00E73D2A"/>
    <w:rsid w:val="00E73EBC"/>
    <w:rsid w:val="00E73F8F"/>
    <w:rsid w:val="00E7451D"/>
    <w:rsid w:val="00E7462B"/>
    <w:rsid w:val="00E74C8B"/>
    <w:rsid w:val="00E753CB"/>
    <w:rsid w:val="00E75710"/>
    <w:rsid w:val="00E75749"/>
    <w:rsid w:val="00E75834"/>
    <w:rsid w:val="00E75E7A"/>
    <w:rsid w:val="00E75FBA"/>
    <w:rsid w:val="00E76137"/>
    <w:rsid w:val="00E7629C"/>
    <w:rsid w:val="00E76BC1"/>
    <w:rsid w:val="00E77069"/>
    <w:rsid w:val="00E771FB"/>
    <w:rsid w:val="00E77291"/>
    <w:rsid w:val="00E77692"/>
    <w:rsid w:val="00E7775B"/>
    <w:rsid w:val="00E80837"/>
    <w:rsid w:val="00E80E02"/>
    <w:rsid w:val="00E80F59"/>
    <w:rsid w:val="00E811E7"/>
    <w:rsid w:val="00E814F4"/>
    <w:rsid w:val="00E816EA"/>
    <w:rsid w:val="00E81A3F"/>
    <w:rsid w:val="00E81BEA"/>
    <w:rsid w:val="00E82539"/>
    <w:rsid w:val="00E82948"/>
    <w:rsid w:val="00E83249"/>
    <w:rsid w:val="00E837B5"/>
    <w:rsid w:val="00E84581"/>
    <w:rsid w:val="00E84954"/>
    <w:rsid w:val="00E84AC4"/>
    <w:rsid w:val="00E84EA6"/>
    <w:rsid w:val="00E850F5"/>
    <w:rsid w:val="00E852ED"/>
    <w:rsid w:val="00E8533E"/>
    <w:rsid w:val="00E854CA"/>
    <w:rsid w:val="00E85D62"/>
    <w:rsid w:val="00E861CB"/>
    <w:rsid w:val="00E8698C"/>
    <w:rsid w:val="00E86F3B"/>
    <w:rsid w:val="00E8740C"/>
    <w:rsid w:val="00E8773A"/>
    <w:rsid w:val="00E878D6"/>
    <w:rsid w:val="00E9047E"/>
    <w:rsid w:val="00E9048F"/>
    <w:rsid w:val="00E90C60"/>
    <w:rsid w:val="00E90E8B"/>
    <w:rsid w:val="00E90EE0"/>
    <w:rsid w:val="00E91120"/>
    <w:rsid w:val="00E91495"/>
    <w:rsid w:val="00E91D5D"/>
    <w:rsid w:val="00E92049"/>
    <w:rsid w:val="00E9224D"/>
    <w:rsid w:val="00E924CE"/>
    <w:rsid w:val="00E9298E"/>
    <w:rsid w:val="00E93106"/>
    <w:rsid w:val="00E93AB0"/>
    <w:rsid w:val="00E93D94"/>
    <w:rsid w:val="00E940D6"/>
    <w:rsid w:val="00E941BC"/>
    <w:rsid w:val="00E94287"/>
    <w:rsid w:val="00E943E2"/>
    <w:rsid w:val="00E94476"/>
    <w:rsid w:val="00E9466D"/>
    <w:rsid w:val="00E94C70"/>
    <w:rsid w:val="00E94D4D"/>
    <w:rsid w:val="00E94FF0"/>
    <w:rsid w:val="00E950DD"/>
    <w:rsid w:val="00E9527F"/>
    <w:rsid w:val="00E953A5"/>
    <w:rsid w:val="00E9583A"/>
    <w:rsid w:val="00E95AC1"/>
    <w:rsid w:val="00E96307"/>
    <w:rsid w:val="00E96B20"/>
    <w:rsid w:val="00E96BD9"/>
    <w:rsid w:val="00E96DF6"/>
    <w:rsid w:val="00E972D2"/>
    <w:rsid w:val="00E9732A"/>
    <w:rsid w:val="00E97724"/>
    <w:rsid w:val="00E97776"/>
    <w:rsid w:val="00E97C4E"/>
    <w:rsid w:val="00E97C54"/>
    <w:rsid w:val="00E97EC2"/>
    <w:rsid w:val="00E97F13"/>
    <w:rsid w:val="00E97FF5"/>
    <w:rsid w:val="00EA0113"/>
    <w:rsid w:val="00EA05F7"/>
    <w:rsid w:val="00EA06D2"/>
    <w:rsid w:val="00EA10F8"/>
    <w:rsid w:val="00EA1CAB"/>
    <w:rsid w:val="00EA1FB4"/>
    <w:rsid w:val="00EA2252"/>
    <w:rsid w:val="00EA2256"/>
    <w:rsid w:val="00EA2AAB"/>
    <w:rsid w:val="00EA2F06"/>
    <w:rsid w:val="00EA3463"/>
    <w:rsid w:val="00EA3555"/>
    <w:rsid w:val="00EA357E"/>
    <w:rsid w:val="00EA3714"/>
    <w:rsid w:val="00EA3931"/>
    <w:rsid w:val="00EA393A"/>
    <w:rsid w:val="00EA3C2C"/>
    <w:rsid w:val="00EA4B90"/>
    <w:rsid w:val="00EA4DF6"/>
    <w:rsid w:val="00EA524A"/>
    <w:rsid w:val="00EA586C"/>
    <w:rsid w:val="00EA63E4"/>
    <w:rsid w:val="00EA679B"/>
    <w:rsid w:val="00EA693E"/>
    <w:rsid w:val="00EA6963"/>
    <w:rsid w:val="00EA71C7"/>
    <w:rsid w:val="00EA7725"/>
    <w:rsid w:val="00EA7C20"/>
    <w:rsid w:val="00EB0098"/>
    <w:rsid w:val="00EB00C7"/>
    <w:rsid w:val="00EB012E"/>
    <w:rsid w:val="00EB023A"/>
    <w:rsid w:val="00EB06F4"/>
    <w:rsid w:val="00EB082B"/>
    <w:rsid w:val="00EB0911"/>
    <w:rsid w:val="00EB0C18"/>
    <w:rsid w:val="00EB0C90"/>
    <w:rsid w:val="00EB1225"/>
    <w:rsid w:val="00EB1493"/>
    <w:rsid w:val="00EB1756"/>
    <w:rsid w:val="00EB1777"/>
    <w:rsid w:val="00EB192C"/>
    <w:rsid w:val="00EB19E5"/>
    <w:rsid w:val="00EB1AC1"/>
    <w:rsid w:val="00EB1B64"/>
    <w:rsid w:val="00EB1E45"/>
    <w:rsid w:val="00EB2034"/>
    <w:rsid w:val="00EB2513"/>
    <w:rsid w:val="00EB2562"/>
    <w:rsid w:val="00EB2C43"/>
    <w:rsid w:val="00EB2F18"/>
    <w:rsid w:val="00EB2FA8"/>
    <w:rsid w:val="00EB334D"/>
    <w:rsid w:val="00EB34E8"/>
    <w:rsid w:val="00EB36D6"/>
    <w:rsid w:val="00EB3726"/>
    <w:rsid w:val="00EB3D4F"/>
    <w:rsid w:val="00EB3EAA"/>
    <w:rsid w:val="00EB430D"/>
    <w:rsid w:val="00EB450D"/>
    <w:rsid w:val="00EB4729"/>
    <w:rsid w:val="00EB4860"/>
    <w:rsid w:val="00EB4AAB"/>
    <w:rsid w:val="00EB4E0C"/>
    <w:rsid w:val="00EB4E42"/>
    <w:rsid w:val="00EB4E8F"/>
    <w:rsid w:val="00EB5899"/>
    <w:rsid w:val="00EB5ABD"/>
    <w:rsid w:val="00EB5B8C"/>
    <w:rsid w:val="00EB5EDA"/>
    <w:rsid w:val="00EB6328"/>
    <w:rsid w:val="00EB6363"/>
    <w:rsid w:val="00EB6629"/>
    <w:rsid w:val="00EB662B"/>
    <w:rsid w:val="00EB6D0B"/>
    <w:rsid w:val="00EB6DE3"/>
    <w:rsid w:val="00EB6F9E"/>
    <w:rsid w:val="00EB739B"/>
    <w:rsid w:val="00EB7789"/>
    <w:rsid w:val="00EB7F52"/>
    <w:rsid w:val="00EC0185"/>
    <w:rsid w:val="00EC01EC"/>
    <w:rsid w:val="00EC0467"/>
    <w:rsid w:val="00EC0A73"/>
    <w:rsid w:val="00EC174B"/>
    <w:rsid w:val="00EC1912"/>
    <w:rsid w:val="00EC1A73"/>
    <w:rsid w:val="00EC1AE7"/>
    <w:rsid w:val="00EC1DCC"/>
    <w:rsid w:val="00EC2D9C"/>
    <w:rsid w:val="00EC348A"/>
    <w:rsid w:val="00EC3630"/>
    <w:rsid w:val="00EC3E8E"/>
    <w:rsid w:val="00EC4296"/>
    <w:rsid w:val="00EC461A"/>
    <w:rsid w:val="00EC4673"/>
    <w:rsid w:val="00EC47E2"/>
    <w:rsid w:val="00EC49C0"/>
    <w:rsid w:val="00EC49F9"/>
    <w:rsid w:val="00EC4C99"/>
    <w:rsid w:val="00EC52EE"/>
    <w:rsid w:val="00EC598D"/>
    <w:rsid w:val="00EC6E5A"/>
    <w:rsid w:val="00EC7120"/>
    <w:rsid w:val="00EC7142"/>
    <w:rsid w:val="00EC72DE"/>
    <w:rsid w:val="00EC77E8"/>
    <w:rsid w:val="00EC7C50"/>
    <w:rsid w:val="00ED05A6"/>
    <w:rsid w:val="00ED0BAA"/>
    <w:rsid w:val="00ED0C0C"/>
    <w:rsid w:val="00ED1221"/>
    <w:rsid w:val="00ED147C"/>
    <w:rsid w:val="00ED161F"/>
    <w:rsid w:val="00ED215F"/>
    <w:rsid w:val="00ED2EA9"/>
    <w:rsid w:val="00ED2F30"/>
    <w:rsid w:val="00ED2FFE"/>
    <w:rsid w:val="00ED3850"/>
    <w:rsid w:val="00ED38D0"/>
    <w:rsid w:val="00ED3A23"/>
    <w:rsid w:val="00ED4B07"/>
    <w:rsid w:val="00ED4B78"/>
    <w:rsid w:val="00ED4D64"/>
    <w:rsid w:val="00ED5875"/>
    <w:rsid w:val="00ED632C"/>
    <w:rsid w:val="00ED643B"/>
    <w:rsid w:val="00ED66A9"/>
    <w:rsid w:val="00ED694E"/>
    <w:rsid w:val="00ED6B26"/>
    <w:rsid w:val="00ED6DB8"/>
    <w:rsid w:val="00ED6DFD"/>
    <w:rsid w:val="00ED71A4"/>
    <w:rsid w:val="00ED79CF"/>
    <w:rsid w:val="00ED7E6B"/>
    <w:rsid w:val="00ED7EBB"/>
    <w:rsid w:val="00ED7F44"/>
    <w:rsid w:val="00ED7FE0"/>
    <w:rsid w:val="00EE0402"/>
    <w:rsid w:val="00EE05F5"/>
    <w:rsid w:val="00EE0BE5"/>
    <w:rsid w:val="00EE0C31"/>
    <w:rsid w:val="00EE0C6D"/>
    <w:rsid w:val="00EE12C8"/>
    <w:rsid w:val="00EE188D"/>
    <w:rsid w:val="00EE18A7"/>
    <w:rsid w:val="00EE1A2B"/>
    <w:rsid w:val="00EE1E37"/>
    <w:rsid w:val="00EE1EEC"/>
    <w:rsid w:val="00EE2233"/>
    <w:rsid w:val="00EE22FB"/>
    <w:rsid w:val="00EE263D"/>
    <w:rsid w:val="00EE314C"/>
    <w:rsid w:val="00EE3364"/>
    <w:rsid w:val="00EE34CC"/>
    <w:rsid w:val="00EE372F"/>
    <w:rsid w:val="00EE3B41"/>
    <w:rsid w:val="00EE3DE6"/>
    <w:rsid w:val="00EE41DE"/>
    <w:rsid w:val="00EE43D6"/>
    <w:rsid w:val="00EE48DB"/>
    <w:rsid w:val="00EE4C8A"/>
    <w:rsid w:val="00EE4E4E"/>
    <w:rsid w:val="00EE507F"/>
    <w:rsid w:val="00EE586A"/>
    <w:rsid w:val="00EE5F20"/>
    <w:rsid w:val="00EE64A8"/>
    <w:rsid w:val="00EE67C5"/>
    <w:rsid w:val="00EE6CBF"/>
    <w:rsid w:val="00EE7089"/>
    <w:rsid w:val="00EE75D5"/>
    <w:rsid w:val="00EE75FB"/>
    <w:rsid w:val="00EE7705"/>
    <w:rsid w:val="00EE7981"/>
    <w:rsid w:val="00EE7BAA"/>
    <w:rsid w:val="00EE7CA5"/>
    <w:rsid w:val="00EF039A"/>
    <w:rsid w:val="00EF043C"/>
    <w:rsid w:val="00EF051B"/>
    <w:rsid w:val="00EF12DF"/>
    <w:rsid w:val="00EF1926"/>
    <w:rsid w:val="00EF2872"/>
    <w:rsid w:val="00EF2F26"/>
    <w:rsid w:val="00EF301A"/>
    <w:rsid w:val="00EF325D"/>
    <w:rsid w:val="00EF32DA"/>
    <w:rsid w:val="00EF336C"/>
    <w:rsid w:val="00EF35ED"/>
    <w:rsid w:val="00EF3AAB"/>
    <w:rsid w:val="00EF400A"/>
    <w:rsid w:val="00EF4605"/>
    <w:rsid w:val="00EF4883"/>
    <w:rsid w:val="00EF4B32"/>
    <w:rsid w:val="00EF4F3D"/>
    <w:rsid w:val="00EF51B7"/>
    <w:rsid w:val="00EF61B5"/>
    <w:rsid w:val="00EF6990"/>
    <w:rsid w:val="00EF6A8C"/>
    <w:rsid w:val="00EF6D42"/>
    <w:rsid w:val="00EF706C"/>
    <w:rsid w:val="00EF711E"/>
    <w:rsid w:val="00EF7190"/>
    <w:rsid w:val="00EF730F"/>
    <w:rsid w:val="00EF737F"/>
    <w:rsid w:val="00EF7641"/>
    <w:rsid w:val="00EF7A78"/>
    <w:rsid w:val="00EF7D81"/>
    <w:rsid w:val="00EF7EAA"/>
    <w:rsid w:val="00F00042"/>
    <w:rsid w:val="00F000E8"/>
    <w:rsid w:val="00F001F7"/>
    <w:rsid w:val="00F00371"/>
    <w:rsid w:val="00F006F8"/>
    <w:rsid w:val="00F00C2B"/>
    <w:rsid w:val="00F01122"/>
    <w:rsid w:val="00F01950"/>
    <w:rsid w:val="00F019D2"/>
    <w:rsid w:val="00F01C18"/>
    <w:rsid w:val="00F021FA"/>
    <w:rsid w:val="00F02E15"/>
    <w:rsid w:val="00F034AA"/>
    <w:rsid w:val="00F03527"/>
    <w:rsid w:val="00F035B5"/>
    <w:rsid w:val="00F0425C"/>
    <w:rsid w:val="00F04396"/>
    <w:rsid w:val="00F0465F"/>
    <w:rsid w:val="00F0486F"/>
    <w:rsid w:val="00F04960"/>
    <w:rsid w:val="00F04AA5"/>
    <w:rsid w:val="00F04E2C"/>
    <w:rsid w:val="00F04E3A"/>
    <w:rsid w:val="00F05375"/>
    <w:rsid w:val="00F05975"/>
    <w:rsid w:val="00F065B0"/>
    <w:rsid w:val="00F0668C"/>
    <w:rsid w:val="00F06B7E"/>
    <w:rsid w:val="00F06EB3"/>
    <w:rsid w:val="00F06ED4"/>
    <w:rsid w:val="00F07456"/>
    <w:rsid w:val="00F079D1"/>
    <w:rsid w:val="00F07CF5"/>
    <w:rsid w:val="00F07D06"/>
    <w:rsid w:val="00F07F68"/>
    <w:rsid w:val="00F103DE"/>
    <w:rsid w:val="00F10D0C"/>
    <w:rsid w:val="00F10D1C"/>
    <w:rsid w:val="00F11342"/>
    <w:rsid w:val="00F114E5"/>
    <w:rsid w:val="00F11887"/>
    <w:rsid w:val="00F1192B"/>
    <w:rsid w:val="00F11944"/>
    <w:rsid w:val="00F12246"/>
    <w:rsid w:val="00F12520"/>
    <w:rsid w:val="00F127A1"/>
    <w:rsid w:val="00F12BA5"/>
    <w:rsid w:val="00F12E26"/>
    <w:rsid w:val="00F12EE4"/>
    <w:rsid w:val="00F12F91"/>
    <w:rsid w:val="00F13347"/>
    <w:rsid w:val="00F1354C"/>
    <w:rsid w:val="00F1368E"/>
    <w:rsid w:val="00F13BE9"/>
    <w:rsid w:val="00F13CF1"/>
    <w:rsid w:val="00F13D79"/>
    <w:rsid w:val="00F143A8"/>
    <w:rsid w:val="00F1459C"/>
    <w:rsid w:val="00F14B36"/>
    <w:rsid w:val="00F14BBC"/>
    <w:rsid w:val="00F1504F"/>
    <w:rsid w:val="00F15349"/>
    <w:rsid w:val="00F153E3"/>
    <w:rsid w:val="00F157D2"/>
    <w:rsid w:val="00F1668A"/>
    <w:rsid w:val="00F16A92"/>
    <w:rsid w:val="00F16DBD"/>
    <w:rsid w:val="00F16E6F"/>
    <w:rsid w:val="00F16F5F"/>
    <w:rsid w:val="00F173F0"/>
    <w:rsid w:val="00F17C7F"/>
    <w:rsid w:val="00F2005A"/>
    <w:rsid w:val="00F20095"/>
    <w:rsid w:val="00F20314"/>
    <w:rsid w:val="00F2043C"/>
    <w:rsid w:val="00F20D75"/>
    <w:rsid w:val="00F20F0D"/>
    <w:rsid w:val="00F212B1"/>
    <w:rsid w:val="00F212CE"/>
    <w:rsid w:val="00F216F4"/>
    <w:rsid w:val="00F21ABE"/>
    <w:rsid w:val="00F21F81"/>
    <w:rsid w:val="00F21F94"/>
    <w:rsid w:val="00F227B7"/>
    <w:rsid w:val="00F22B54"/>
    <w:rsid w:val="00F22D2B"/>
    <w:rsid w:val="00F23208"/>
    <w:rsid w:val="00F239DF"/>
    <w:rsid w:val="00F2407B"/>
    <w:rsid w:val="00F2411F"/>
    <w:rsid w:val="00F241FB"/>
    <w:rsid w:val="00F243BF"/>
    <w:rsid w:val="00F24418"/>
    <w:rsid w:val="00F24581"/>
    <w:rsid w:val="00F247B2"/>
    <w:rsid w:val="00F247C1"/>
    <w:rsid w:val="00F2491A"/>
    <w:rsid w:val="00F249E0"/>
    <w:rsid w:val="00F24B0A"/>
    <w:rsid w:val="00F2588B"/>
    <w:rsid w:val="00F25ED2"/>
    <w:rsid w:val="00F25FAB"/>
    <w:rsid w:val="00F2606E"/>
    <w:rsid w:val="00F26204"/>
    <w:rsid w:val="00F269A7"/>
    <w:rsid w:val="00F269E0"/>
    <w:rsid w:val="00F26D2F"/>
    <w:rsid w:val="00F26DF0"/>
    <w:rsid w:val="00F26EC0"/>
    <w:rsid w:val="00F26FF1"/>
    <w:rsid w:val="00F27640"/>
    <w:rsid w:val="00F27E91"/>
    <w:rsid w:val="00F30786"/>
    <w:rsid w:val="00F30950"/>
    <w:rsid w:val="00F30AEB"/>
    <w:rsid w:val="00F30B94"/>
    <w:rsid w:val="00F30D5E"/>
    <w:rsid w:val="00F30D64"/>
    <w:rsid w:val="00F30D7A"/>
    <w:rsid w:val="00F30D88"/>
    <w:rsid w:val="00F31088"/>
    <w:rsid w:val="00F3109D"/>
    <w:rsid w:val="00F311B5"/>
    <w:rsid w:val="00F312E1"/>
    <w:rsid w:val="00F31670"/>
    <w:rsid w:val="00F318D3"/>
    <w:rsid w:val="00F31BD0"/>
    <w:rsid w:val="00F32017"/>
    <w:rsid w:val="00F3261B"/>
    <w:rsid w:val="00F32ABE"/>
    <w:rsid w:val="00F33671"/>
    <w:rsid w:val="00F337FE"/>
    <w:rsid w:val="00F3390C"/>
    <w:rsid w:val="00F33A3F"/>
    <w:rsid w:val="00F33CD1"/>
    <w:rsid w:val="00F33ECE"/>
    <w:rsid w:val="00F34090"/>
    <w:rsid w:val="00F34343"/>
    <w:rsid w:val="00F3548C"/>
    <w:rsid w:val="00F35C3A"/>
    <w:rsid w:val="00F3640C"/>
    <w:rsid w:val="00F36485"/>
    <w:rsid w:val="00F364E9"/>
    <w:rsid w:val="00F368E9"/>
    <w:rsid w:val="00F36B7B"/>
    <w:rsid w:val="00F37562"/>
    <w:rsid w:val="00F37645"/>
    <w:rsid w:val="00F40447"/>
    <w:rsid w:val="00F406F6"/>
    <w:rsid w:val="00F40AAB"/>
    <w:rsid w:val="00F40CAF"/>
    <w:rsid w:val="00F41046"/>
    <w:rsid w:val="00F4109C"/>
    <w:rsid w:val="00F41250"/>
    <w:rsid w:val="00F413C5"/>
    <w:rsid w:val="00F41B80"/>
    <w:rsid w:val="00F41C14"/>
    <w:rsid w:val="00F41F79"/>
    <w:rsid w:val="00F4202A"/>
    <w:rsid w:val="00F430EE"/>
    <w:rsid w:val="00F435D8"/>
    <w:rsid w:val="00F4371C"/>
    <w:rsid w:val="00F4395E"/>
    <w:rsid w:val="00F43BE0"/>
    <w:rsid w:val="00F43E56"/>
    <w:rsid w:val="00F4412B"/>
    <w:rsid w:val="00F4469F"/>
    <w:rsid w:val="00F44A09"/>
    <w:rsid w:val="00F44C5D"/>
    <w:rsid w:val="00F45083"/>
    <w:rsid w:val="00F4512D"/>
    <w:rsid w:val="00F451E2"/>
    <w:rsid w:val="00F451F9"/>
    <w:rsid w:val="00F45650"/>
    <w:rsid w:val="00F458A1"/>
    <w:rsid w:val="00F4591F"/>
    <w:rsid w:val="00F461C7"/>
    <w:rsid w:val="00F46780"/>
    <w:rsid w:val="00F46C09"/>
    <w:rsid w:val="00F46C66"/>
    <w:rsid w:val="00F47078"/>
    <w:rsid w:val="00F4727E"/>
    <w:rsid w:val="00F475BA"/>
    <w:rsid w:val="00F47676"/>
    <w:rsid w:val="00F477E4"/>
    <w:rsid w:val="00F47A22"/>
    <w:rsid w:val="00F47AD6"/>
    <w:rsid w:val="00F50380"/>
    <w:rsid w:val="00F505BE"/>
    <w:rsid w:val="00F50652"/>
    <w:rsid w:val="00F5098A"/>
    <w:rsid w:val="00F50C1A"/>
    <w:rsid w:val="00F50D81"/>
    <w:rsid w:val="00F50E2F"/>
    <w:rsid w:val="00F50F9C"/>
    <w:rsid w:val="00F510D4"/>
    <w:rsid w:val="00F51656"/>
    <w:rsid w:val="00F51870"/>
    <w:rsid w:val="00F51918"/>
    <w:rsid w:val="00F51924"/>
    <w:rsid w:val="00F51D4D"/>
    <w:rsid w:val="00F520C7"/>
    <w:rsid w:val="00F5250A"/>
    <w:rsid w:val="00F52751"/>
    <w:rsid w:val="00F528DF"/>
    <w:rsid w:val="00F53265"/>
    <w:rsid w:val="00F53456"/>
    <w:rsid w:val="00F53B93"/>
    <w:rsid w:val="00F54249"/>
    <w:rsid w:val="00F54A8A"/>
    <w:rsid w:val="00F54C5E"/>
    <w:rsid w:val="00F5535C"/>
    <w:rsid w:val="00F5539B"/>
    <w:rsid w:val="00F5545E"/>
    <w:rsid w:val="00F55654"/>
    <w:rsid w:val="00F5576F"/>
    <w:rsid w:val="00F55DEE"/>
    <w:rsid w:val="00F55E43"/>
    <w:rsid w:val="00F55E4E"/>
    <w:rsid w:val="00F55FA0"/>
    <w:rsid w:val="00F56119"/>
    <w:rsid w:val="00F569A7"/>
    <w:rsid w:val="00F575A1"/>
    <w:rsid w:val="00F57727"/>
    <w:rsid w:val="00F57ACA"/>
    <w:rsid w:val="00F57C94"/>
    <w:rsid w:val="00F600EB"/>
    <w:rsid w:val="00F60292"/>
    <w:rsid w:val="00F60709"/>
    <w:rsid w:val="00F6109F"/>
    <w:rsid w:val="00F61646"/>
    <w:rsid w:val="00F61BE5"/>
    <w:rsid w:val="00F62110"/>
    <w:rsid w:val="00F62520"/>
    <w:rsid w:val="00F625FA"/>
    <w:rsid w:val="00F62A40"/>
    <w:rsid w:val="00F62E97"/>
    <w:rsid w:val="00F63191"/>
    <w:rsid w:val="00F63E0F"/>
    <w:rsid w:val="00F64209"/>
    <w:rsid w:val="00F6452D"/>
    <w:rsid w:val="00F648AF"/>
    <w:rsid w:val="00F64F1B"/>
    <w:rsid w:val="00F64FBC"/>
    <w:rsid w:val="00F65282"/>
    <w:rsid w:val="00F655BE"/>
    <w:rsid w:val="00F65860"/>
    <w:rsid w:val="00F6634C"/>
    <w:rsid w:val="00F6646B"/>
    <w:rsid w:val="00F665B2"/>
    <w:rsid w:val="00F6688D"/>
    <w:rsid w:val="00F66A4E"/>
    <w:rsid w:val="00F66C24"/>
    <w:rsid w:val="00F66E94"/>
    <w:rsid w:val="00F66F72"/>
    <w:rsid w:val="00F67026"/>
    <w:rsid w:val="00F670B6"/>
    <w:rsid w:val="00F6723D"/>
    <w:rsid w:val="00F6733F"/>
    <w:rsid w:val="00F6741A"/>
    <w:rsid w:val="00F67C08"/>
    <w:rsid w:val="00F67D47"/>
    <w:rsid w:val="00F701F6"/>
    <w:rsid w:val="00F706C5"/>
    <w:rsid w:val="00F70AD4"/>
    <w:rsid w:val="00F70B02"/>
    <w:rsid w:val="00F70B32"/>
    <w:rsid w:val="00F70D21"/>
    <w:rsid w:val="00F70F76"/>
    <w:rsid w:val="00F715D6"/>
    <w:rsid w:val="00F715E7"/>
    <w:rsid w:val="00F71816"/>
    <w:rsid w:val="00F719F2"/>
    <w:rsid w:val="00F71FA4"/>
    <w:rsid w:val="00F7200C"/>
    <w:rsid w:val="00F7265D"/>
    <w:rsid w:val="00F727AA"/>
    <w:rsid w:val="00F72B45"/>
    <w:rsid w:val="00F72CEC"/>
    <w:rsid w:val="00F7400D"/>
    <w:rsid w:val="00F74097"/>
    <w:rsid w:val="00F7473C"/>
    <w:rsid w:val="00F74821"/>
    <w:rsid w:val="00F7506C"/>
    <w:rsid w:val="00F7517E"/>
    <w:rsid w:val="00F7524F"/>
    <w:rsid w:val="00F7554B"/>
    <w:rsid w:val="00F7556F"/>
    <w:rsid w:val="00F757FA"/>
    <w:rsid w:val="00F75D28"/>
    <w:rsid w:val="00F76137"/>
    <w:rsid w:val="00F76331"/>
    <w:rsid w:val="00F7649F"/>
    <w:rsid w:val="00F764EF"/>
    <w:rsid w:val="00F767E9"/>
    <w:rsid w:val="00F76A06"/>
    <w:rsid w:val="00F76E66"/>
    <w:rsid w:val="00F76EAD"/>
    <w:rsid w:val="00F7736A"/>
    <w:rsid w:val="00F77F14"/>
    <w:rsid w:val="00F77FA6"/>
    <w:rsid w:val="00F8032C"/>
    <w:rsid w:val="00F8065F"/>
    <w:rsid w:val="00F80720"/>
    <w:rsid w:val="00F809D6"/>
    <w:rsid w:val="00F80C3C"/>
    <w:rsid w:val="00F811F5"/>
    <w:rsid w:val="00F81269"/>
    <w:rsid w:val="00F8188B"/>
    <w:rsid w:val="00F81E10"/>
    <w:rsid w:val="00F81F9F"/>
    <w:rsid w:val="00F820A2"/>
    <w:rsid w:val="00F822A3"/>
    <w:rsid w:val="00F8243E"/>
    <w:rsid w:val="00F824E8"/>
    <w:rsid w:val="00F8285E"/>
    <w:rsid w:val="00F8296A"/>
    <w:rsid w:val="00F82A4D"/>
    <w:rsid w:val="00F82DF9"/>
    <w:rsid w:val="00F831C3"/>
    <w:rsid w:val="00F832AE"/>
    <w:rsid w:val="00F83691"/>
    <w:rsid w:val="00F83EBA"/>
    <w:rsid w:val="00F84194"/>
    <w:rsid w:val="00F84BA6"/>
    <w:rsid w:val="00F855B2"/>
    <w:rsid w:val="00F85771"/>
    <w:rsid w:val="00F85FFE"/>
    <w:rsid w:val="00F860EA"/>
    <w:rsid w:val="00F8639A"/>
    <w:rsid w:val="00F865AF"/>
    <w:rsid w:val="00F866A0"/>
    <w:rsid w:val="00F868D2"/>
    <w:rsid w:val="00F86974"/>
    <w:rsid w:val="00F86F24"/>
    <w:rsid w:val="00F871B8"/>
    <w:rsid w:val="00F9046D"/>
    <w:rsid w:val="00F9056E"/>
    <w:rsid w:val="00F907B1"/>
    <w:rsid w:val="00F90B90"/>
    <w:rsid w:val="00F90BBA"/>
    <w:rsid w:val="00F90D58"/>
    <w:rsid w:val="00F910D2"/>
    <w:rsid w:val="00F919EA"/>
    <w:rsid w:val="00F91AF3"/>
    <w:rsid w:val="00F91CA6"/>
    <w:rsid w:val="00F91D65"/>
    <w:rsid w:val="00F92BBB"/>
    <w:rsid w:val="00F92E74"/>
    <w:rsid w:val="00F92F1F"/>
    <w:rsid w:val="00F92FA7"/>
    <w:rsid w:val="00F934EF"/>
    <w:rsid w:val="00F9381D"/>
    <w:rsid w:val="00F93B44"/>
    <w:rsid w:val="00F93BF5"/>
    <w:rsid w:val="00F93DC9"/>
    <w:rsid w:val="00F94187"/>
    <w:rsid w:val="00F94668"/>
    <w:rsid w:val="00F95675"/>
    <w:rsid w:val="00F957F6"/>
    <w:rsid w:val="00F9587D"/>
    <w:rsid w:val="00F95B1E"/>
    <w:rsid w:val="00F95B7E"/>
    <w:rsid w:val="00F95FF5"/>
    <w:rsid w:val="00F96592"/>
    <w:rsid w:val="00F969F3"/>
    <w:rsid w:val="00F96A55"/>
    <w:rsid w:val="00F96B28"/>
    <w:rsid w:val="00F96E34"/>
    <w:rsid w:val="00F96E40"/>
    <w:rsid w:val="00F96F63"/>
    <w:rsid w:val="00F9724F"/>
    <w:rsid w:val="00F975E9"/>
    <w:rsid w:val="00F97712"/>
    <w:rsid w:val="00F977EE"/>
    <w:rsid w:val="00F97AF8"/>
    <w:rsid w:val="00F97E9E"/>
    <w:rsid w:val="00FA0AE1"/>
    <w:rsid w:val="00FA0EC2"/>
    <w:rsid w:val="00FA11AE"/>
    <w:rsid w:val="00FA1391"/>
    <w:rsid w:val="00FA1440"/>
    <w:rsid w:val="00FA1530"/>
    <w:rsid w:val="00FA17E2"/>
    <w:rsid w:val="00FA1826"/>
    <w:rsid w:val="00FA1E24"/>
    <w:rsid w:val="00FA209E"/>
    <w:rsid w:val="00FA2658"/>
    <w:rsid w:val="00FA2AA1"/>
    <w:rsid w:val="00FA2AD4"/>
    <w:rsid w:val="00FA2CF2"/>
    <w:rsid w:val="00FA337A"/>
    <w:rsid w:val="00FA3743"/>
    <w:rsid w:val="00FA3A59"/>
    <w:rsid w:val="00FA3A5D"/>
    <w:rsid w:val="00FA3CA0"/>
    <w:rsid w:val="00FA4433"/>
    <w:rsid w:val="00FA4548"/>
    <w:rsid w:val="00FA4FFF"/>
    <w:rsid w:val="00FA598C"/>
    <w:rsid w:val="00FA5C80"/>
    <w:rsid w:val="00FA5C87"/>
    <w:rsid w:val="00FA5DED"/>
    <w:rsid w:val="00FA5E8C"/>
    <w:rsid w:val="00FA6689"/>
    <w:rsid w:val="00FA6AE6"/>
    <w:rsid w:val="00FA6C93"/>
    <w:rsid w:val="00FA7727"/>
    <w:rsid w:val="00FA7778"/>
    <w:rsid w:val="00FA7A8E"/>
    <w:rsid w:val="00FA7C52"/>
    <w:rsid w:val="00FB0025"/>
    <w:rsid w:val="00FB013C"/>
    <w:rsid w:val="00FB0396"/>
    <w:rsid w:val="00FB082A"/>
    <w:rsid w:val="00FB088F"/>
    <w:rsid w:val="00FB0B5A"/>
    <w:rsid w:val="00FB19B9"/>
    <w:rsid w:val="00FB1AAE"/>
    <w:rsid w:val="00FB1C81"/>
    <w:rsid w:val="00FB1EA1"/>
    <w:rsid w:val="00FB1F88"/>
    <w:rsid w:val="00FB225A"/>
    <w:rsid w:val="00FB246C"/>
    <w:rsid w:val="00FB2A31"/>
    <w:rsid w:val="00FB2BE5"/>
    <w:rsid w:val="00FB2CCC"/>
    <w:rsid w:val="00FB2D43"/>
    <w:rsid w:val="00FB2D8D"/>
    <w:rsid w:val="00FB37A4"/>
    <w:rsid w:val="00FB3ACD"/>
    <w:rsid w:val="00FB4199"/>
    <w:rsid w:val="00FB4409"/>
    <w:rsid w:val="00FB4828"/>
    <w:rsid w:val="00FB4B0E"/>
    <w:rsid w:val="00FB5205"/>
    <w:rsid w:val="00FB56D7"/>
    <w:rsid w:val="00FB5748"/>
    <w:rsid w:val="00FB5836"/>
    <w:rsid w:val="00FB5AF0"/>
    <w:rsid w:val="00FB60B4"/>
    <w:rsid w:val="00FB6A83"/>
    <w:rsid w:val="00FB6BF7"/>
    <w:rsid w:val="00FB6E05"/>
    <w:rsid w:val="00FB6E30"/>
    <w:rsid w:val="00FB7045"/>
    <w:rsid w:val="00FB70BF"/>
    <w:rsid w:val="00FB7318"/>
    <w:rsid w:val="00FB7BD3"/>
    <w:rsid w:val="00FB7E80"/>
    <w:rsid w:val="00FC011E"/>
    <w:rsid w:val="00FC03FB"/>
    <w:rsid w:val="00FC0497"/>
    <w:rsid w:val="00FC0502"/>
    <w:rsid w:val="00FC068F"/>
    <w:rsid w:val="00FC0786"/>
    <w:rsid w:val="00FC0A9A"/>
    <w:rsid w:val="00FC0BC5"/>
    <w:rsid w:val="00FC0FC9"/>
    <w:rsid w:val="00FC10B3"/>
    <w:rsid w:val="00FC1F16"/>
    <w:rsid w:val="00FC2005"/>
    <w:rsid w:val="00FC2392"/>
    <w:rsid w:val="00FC249E"/>
    <w:rsid w:val="00FC2719"/>
    <w:rsid w:val="00FC2E17"/>
    <w:rsid w:val="00FC2E4E"/>
    <w:rsid w:val="00FC30F4"/>
    <w:rsid w:val="00FC3153"/>
    <w:rsid w:val="00FC3171"/>
    <w:rsid w:val="00FC321D"/>
    <w:rsid w:val="00FC3B13"/>
    <w:rsid w:val="00FC407E"/>
    <w:rsid w:val="00FC4251"/>
    <w:rsid w:val="00FC45D7"/>
    <w:rsid w:val="00FC4617"/>
    <w:rsid w:val="00FC48FD"/>
    <w:rsid w:val="00FC4A3D"/>
    <w:rsid w:val="00FC4AF9"/>
    <w:rsid w:val="00FC4B1B"/>
    <w:rsid w:val="00FC4D94"/>
    <w:rsid w:val="00FC4F1A"/>
    <w:rsid w:val="00FC5263"/>
    <w:rsid w:val="00FC5787"/>
    <w:rsid w:val="00FC59C0"/>
    <w:rsid w:val="00FC5D5B"/>
    <w:rsid w:val="00FC6084"/>
    <w:rsid w:val="00FC60C2"/>
    <w:rsid w:val="00FC644E"/>
    <w:rsid w:val="00FC677B"/>
    <w:rsid w:val="00FC71E1"/>
    <w:rsid w:val="00FC7269"/>
    <w:rsid w:val="00FC7274"/>
    <w:rsid w:val="00FC75E0"/>
    <w:rsid w:val="00FC775A"/>
    <w:rsid w:val="00FC7C56"/>
    <w:rsid w:val="00FC7E1B"/>
    <w:rsid w:val="00FC7E9E"/>
    <w:rsid w:val="00FD00A8"/>
    <w:rsid w:val="00FD028A"/>
    <w:rsid w:val="00FD0557"/>
    <w:rsid w:val="00FD05F1"/>
    <w:rsid w:val="00FD0999"/>
    <w:rsid w:val="00FD12D6"/>
    <w:rsid w:val="00FD1B2A"/>
    <w:rsid w:val="00FD2908"/>
    <w:rsid w:val="00FD2D9E"/>
    <w:rsid w:val="00FD2FF1"/>
    <w:rsid w:val="00FD311C"/>
    <w:rsid w:val="00FD3743"/>
    <w:rsid w:val="00FD3766"/>
    <w:rsid w:val="00FD43B0"/>
    <w:rsid w:val="00FD4607"/>
    <w:rsid w:val="00FD47F3"/>
    <w:rsid w:val="00FD48B2"/>
    <w:rsid w:val="00FD4A9D"/>
    <w:rsid w:val="00FD4B24"/>
    <w:rsid w:val="00FD55AB"/>
    <w:rsid w:val="00FD5859"/>
    <w:rsid w:val="00FD5D23"/>
    <w:rsid w:val="00FD5D85"/>
    <w:rsid w:val="00FD6F13"/>
    <w:rsid w:val="00FD6F43"/>
    <w:rsid w:val="00FD7163"/>
    <w:rsid w:val="00FD73E3"/>
    <w:rsid w:val="00FE0335"/>
    <w:rsid w:val="00FE040C"/>
    <w:rsid w:val="00FE1E4C"/>
    <w:rsid w:val="00FE2A60"/>
    <w:rsid w:val="00FE2D65"/>
    <w:rsid w:val="00FE3074"/>
    <w:rsid w:val="00FE38E7"/>
    <w:rsid w:val="00FE3E13"/>
    <w:rsid w:val="00FE413A"/>
    <w:rsid w:val="00FE45A5"/>
    <w:rsid w:val="00FE47A6"/>
    <w:rsid w:val="00FE48AF"/>
    <w:rsid w:val="00FE4A06"/>
    <w:rsid w:val="00FE52AD"/>
    <w:rsid w:val="00FE59B6"/>
    <w:rsid w:val="00FE6B9B"/>
    <w:rsid w:val="00FE6DDB"/>
    <w:rsid w:val="00FE6EC0"/>
    <w:rsid w:val="00FE7D5E"/>
    <w:rsid w:val="00FE7E78"/>
    <w:rsid w:val="00FF017F"/>
    <w:rsid w:val="00FF0AD8"/>
    <w:rsid w:val="00FF0CA6"/>
    <w:rsid w:val="00FF0DB2"/>
    <w:rsid w:val="00FF1BEB"/>
    <w:rsid w:val="00FF1D90"/>
    <w:rsid w:val="00FF2105"/>
    <w:rsid w:val="00FF2141"/>
    <w:rsid w:val="00FF2599"/>
    <w:rsid w:val="00FF29ED"/>
    <w:rsid w:val="00FF2BDF"/>
    <w:rsid w:val="00FF2E25"/>
    <w:rsid w:val="00FF34B4"/>
    <w:rsid w:val="00FF3BAC"/>
    <w:rsid w:val="00FF432F"/>
    <w:rsid w:val="00FF4368"/>
    <w:rsid w:val="00FF5A7A"/>
    <w:rsid w:val="00FF5ABF"/>
    <w:rsid w:val="00FF5B22"/>
    <w:rsid w:val="00FF5D11"/>
    <w:rsid w:val="00FF5DB4"/>
    <w:rsid w:val="00FF6127"/>
    <w:rsid w:val="00FF627D"/>
    <w:rsid w:val="00FF6A76"/>
    <w:rsid w:val="00FF6ACE"/>
    <w:rsid w:val="00FF6D65"/>
    <w:rsid w:val="00FF7595"/>
    <w:rsid w:val="0188EBB3"/>
    <w:rsid w:val="0361353F"/>
    <w:rsid w:val="05C4D809"/>
    <w:rsid w:val="07B80FC5"/>
    <w:rsid w:val="10700008"/>
    <w:rsid w:val="14273D7F"/>
    <w:rsid w:val="1D01E42E"/>
    <w:rsid w:val="1F91D684"/>
    <w:rsid w:val="222E08C7"/>
    <w:rsid w:val="22CC958D"/>
    <w:rsid w:val="268881DF"/>
    <w:rsid w:val="26C828EF"/>
    <w:rsid w:val="282C584A"/>
    <w:rsid w:val="29415E7D"/>
    <w:rsid w:val="29F69557"/>
    <w:rsid w:val="2BC5DD79"/>
    <w:rsid w:val="2F5761B4"/>
    <w:rsid w:val="2FD6EEC7"/>
    <w:rsid w:val="31F6CF29"/>
    <w:rsid w:val="3224B1D4"/>
    <w:rsid w:val="33A8959A"/>
    <w:rsid w:val="366B147F"/>
    <w:rsid w:val="376D2AC9"/>
    <w:rsid w:val="3A6B8E01"/>
    <w:rsid w:val="3A8D8A72"/>
    <w:rsid w:val="3EED2D78"/>
    <w:rsid w:val="4469C5AD"/>
    <w:rsid w:val="4C7A2949"/>
    <w:rsid w:val="4F0B0876"/>
    <w:rsid w:val="508FDDE7"/>
    <w:rsid w:val="540DD061"/>
    <w:rsid w:val="56EBAF94"/>
    <w:rsid w:val="571AA40E"/>
    <w:rsid w:val="5BA6043D"/>
    <w:rsid w:val="5D0E3770"/>
    <w:rsid w:val="5DD770E2"/>
    <w:rsid w:val="60AB30D1"/>
    <w:rsid w:val="6328F50D"/>
    <w:rsid w:val="64391779"/>
    <w:rsid w:val="66B3A294"/>
    <w:rsid w:val="673B55A1"/>
    <w:rsid w:val="6BF0953F"/>
    <w:rsid w:val="6E7F0504"/>
    <w:rsid w:val="6F30BC49"/>
    <w:rsid w:val="75AE0BC4"/>
    <w:rsid w:val="7A8AB4DE"/>
    <w:rsid w:val="7C86C08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AB5F592-22E5-4753-BA1F-828ABCBA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44EB2"/>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B4667"/>
    <w:pPr>
      <w:numPr>
        <w:numId w:val="2"/>
      </w:numPr>
      <w:spacing w:after="120"/>
      <w:ind w:left="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link w:val="FootnoteTextChar1"/>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D33283"/>
    <w:rPr>
      <w:rFonts w:ascii="Segoe UI" w:hAnsi="Segoe UI" w:cs="Segoe UI"/>
      <w:sz w:val="18"/>
      <w:szCs w:val="18"/>
    </w:rPr>
  </w:style>
  <w:style w:type="character" w:customStyle="1" w:styleId="BalloonTextChar">
    <w:name w:val="Balloon Text Char"/>
    <w:link w:val="BalloonText"/>
    <w:uiPriority w:val="99"/>
    <w:semiHidden/>
    <w:rsid w:val="00D33283"/>
    <w:rPr>
      <w:rFonts w:ascii="Segoe UI" w:hAnsi="Segoe UI" w:cs="Segoe UI"/>
      <w:snapToGrid w:val="0"/>
      <w:kern w:val="28"/>
      <w:sz w:val="18"/>
      <w:szCs w:val="18"/>
    </w:rPr>
  </w:style>
  <w:style w:type="character" w:styleId="CommentReference">
    <w:name w:val="annotation reference"/>
    <w:uiPriority w:val="99"/>
    <w:semiHidden/>
    <w:unhideWhenUsed/>
    <w:rsid w:val="00D33283"/>
    <w:rPr>
      <w:sz w:val="16"/>
      <w:szCs w:val="16"/>
    </w:rPr>
  </w:style>
  <w:style w:type="paragraph" w:styleId="CommentText">
    <w:name w:val="annotation text"/>
    <w:basedOn w:val="Normal"/>
    <w:link w:val="CommentTextChar"/>
    <w:uiPriority w:val="99"/>
    <w:unhideWhenUsed/>
    <w:rsid w:val="00D33283"/>
    <w:rPr>
      <w:sz w:val="20"/>
    </w:rPr>
  </w:style>
  <w:style w:type="character" w:customStyle="1" w:styleId="CommentTextChar">
    <w:name w:val="Comment Text Char"/>
    <w:link w:val="CommentText"/>
    <w:uiPriority w:val="99"/>
    <w:rsid w:val="00D33283"/>
    <w:rPr>
      <w:snapToGrid w:val="0"/>
      <w:kern w:val="28"/>
    </w:rPr>
  </w:style>
  <w:style w:type="character" w:customStyle="1" w:styleId="FootnoteTextChar1">
    <w:name w:val="Footnote Text Char1"/>
    <w:aliases w:val="Footnote Text Char Char,Footnote Text Char Char Char Char,Footnote Text Char Char Char Char1 Char Char,Footnote Text Char1 Char Char Char Char,Footnote Text Char2 Char,Footnote Text Char2 Char Char Char Char Char Char"/>
    <w:link w:val="FootnoteText"/>
    <w:uiPriority w:val="99"/>
    <w:locked/>
    <w:rsid w:val="00D33283"/>
  </w:style>
  <w:style w:type="paragraph" w:customStyle="1" w:styleId="Paranum0">
    <w:name w:val="Paranum"/>
    <w:basedOn w:val="Normal"/>
    <w:uiPriority w:val="99"/>
    <w:rsid w:val="00D33283"/>
    <w:pPr>
      <w:spacing w:after="220"/>
      <w:jc w:val="both"/>
    </w:pPr>
    <w:rPr>
      <w:snapToGrid/>
      <w:kern w:val="0"/>
    </w:rPr>
  </w:style>
  <w:style w:type="paragraph" w:styleId="CommentSubject">
    <w:name w:val="annotation subject"/>
    <w:basedOn w:val="CommentText"/>
    <w:next w:val="CommentText"/>
    <w:link w:val="CommentSubjectChar"/>
    <w:uiPriority w:val="99"/>
    <w:semiHidden/>
    <w:unhideWhenUsed/>
    <w:rsid w:val="008C4517"/>
    <w:rPr>
      <w:b/>
      <w:bCs/>
    </w:rPr>
  </w:style>
  <w:style w:type="character" w:customStyle="1" w:styleId="CommentSubjectChar">
    <w:name w:val="Comment Subject Char"/>
    <w:link w:val="CommentSubject"/>
    <w:uiPriority w:val="99"/>
    <w:semiHidden/>
    <w:rsid w:val="008C4517"/>
    <w:rPr>
      <w:b/>
      <w:bCs/>
      <w:snapToGrid w:val="0"/>
      <w:kern w:val="28"/>
    </w:rPr>
  </w:style>
  <w:style w:type="character" w:customStyle="1" w:styleId="UnresolvedMention">
    <w:name w:val="Unresolved Mention"/>
    <w:uiPriority w:val="99"/>
    <w:semiHidden/>
    <w:unhideWhenUsed/>
    <w:rsid w:val="004A1438"/>
    <w:rPr>
      <w:color w:val="605E5C"/>
      <w:shd w:val="clear" w:color="auto" w:fill="E1DFDD"/>
    </w:rPr>
  </w:style>
  <w:style w:type="paragraph" w:styleId="ListParagraph">
    <w:name w:val="List Paragraph"/>
    <w:basedOn w:val="Normal"/>
    <w:uiPriority w:val="34"/>
    <w:qFormat/>
    <w:rsid w:val="00C2675D"/>
    <w:pPr>
      <w:widowControl/>
      <w:spacing w:after="160" w:line="259" w:lineRule="auto"/>
      <w:ind w:left="720"/>
      <w:contextualSpacing/>
    </w:pPr>
    <w:rPr>
      <w:rFonts w:ascii="Calibri" w:eastAsia="Calibri" w:hAnsi="Calibri"/>
      <w:snapToGrid/>
      <w:kern w:val="0"/>
      <w:szCs w:val="22"/>
    </w:rPr>
  </w:style>
  <w:style w:type="paragraph" w:styleId="Revision">
    <w:name w:val="Revision"/>
    <w:hidden/>
    <w:uiPriority w:val="99"/>
    <w:semiHidden/>
    <w:rsid w:val="00922C3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Susan.Mort@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