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D5B16" w:rsidRPr="0031237C" w:rsidP="00DD5B16">
      <w:pPr>
        <w:jc w:val="right"/>
        <w:rPr>
          <w:b/>
          <w:szCs w:val="22"/>
        </w:rPr>
      </w:pPr>
      <w:bookmarkStart w:id="0" w:name="_Hlk502044717"/>
      <w:r w:rsidRPr="0031237C">
        <w:rPr>
          <w:b/>
          <w:szCs w:val="22"/>
        </w:rPr>
        <w:t xml:space="preserve">DA </w:t>
      </w:r>
      <w:r w:rsidR="00F615C2">
        <w:rPr>
          <w:b/>
          <w:szCs w:val="22"/>
        </w:rPr>
        <w:t>20-</w:t>
      </w:r>
      <w:r w:rsidR="00AB762F">
        <w:rPr>
          <w:b/>
          <w:szCs w:val="22"/>
        </w:rPr>
        <w:t>806</w:t>
      </w:r>
      <w:bookmarkStart w:id="1" w:name="_GoBack"/>
      <w:bookmarkEnd w:id="1"/>
    </w:p>
    <w:p w:rsidR="00DD5B16" w:rsidRPr="0031237C" w:rsidP="00DD5B16">
      <w:pPr>
        <w:spacing w:before="60"/>
        <w:jc w:val="right"/>
        <w:rPr>
          <w:b/>
          <w:szCs w:val="22"/>
        </w:rPr>
      </w:pPr>
      <w:r>
        <w:rPr>
          <w:b/>
          <w:szCs w:val="22"/>
        </w:rPr>
        <w:t>July</w:t>
      </w:r>
      <w:r w:rsidR="00F615C2">
        <w:rPr>
          <w:b/>
          <w:szCs w:val="22"/>
        </w:rPr>
        <w:t xml:space="preserve"> </w:t>
      </w:r>
      <w:r w:rsidR="00497F4D">
        <w:rPr>
          <w:b/>
          <w:szCs w:val="22"/>
        </w:rPr>
        <w:t>30</w:t>
      </w:r>
      <w:r w:rsidRPr="0031237C">
        <w:rPr>
          <w:b/>
          <w:szCs w:val="22"/>
        </w:rPr>
        <w:t>, 20</w:t>
      </w:r>
      <w:r w:rsidR="00F615C2">
        <w:rPr>
          <w:b/>
          <w:szCs w:val="22"/>
        </w:rPr>
        <w:t>20</w:t>
      </w:r>
    </w:p>
    <w:p w:rsidR="00DD5B16" w:rsidRPr="0031237C" w:rsidP="00DD5B16">
      <w:pPr>
        <w:tabs>
          <w:tab w:val="left" w:pos="5900"/>
        </w:tabs>
        <w:rPr>
          <w:szCs w:val="22"/>
        </w:rPr>
      </w:pPr>
      <w:r w:rsidRPr="0031237C">
        <w:rPr>
          <w:szCs w:val="22"/>
        </w:rPr>
        <w:tab/>
      </w:r>
    </w:p>
    <w:p w:rsidR="00DD5B16" w:rsidRPr="0031237C" w:rsidP="00DD5B16">
      <w:pPr>
        <w:autoSpaceDE w:val="0"/>
        <w:autoSpaceDN w:val="0"/>
        <w:adjustRightInd w:val="0"/>
        <w:jc w:val="center"/>
        <w:rPr>
          <w:b/>
          <w:bCs/>
          <w:szCs w:val="22"/>
        </w:rPr>
      </w:pPr>
      <w:bookmarkStart w:id="2" w:name="_Hlk519509475"/>
      <w:bookmarkStart w:id="3" w:name="_Hlk516578398"/>
      <w:r w:rsidRPr="0031237C">
        <w:rPr>
          <w:b/>
          <w:bCs/>
          <w:szCs w:val="22"/>
        </w:rPr>
        <w:t xml:space="preserve">APPLICATIONS FILED FOR THE TRANSFER OF CONTROL OF </w:t>
      </w:r>
    </w:p>
    <w:p w:rsidR="00DD5B16" w:rsidRPr="0031237C" w:rsidP="00DD5B16">
      <w:pPr>
        <w:autoSpaceDE w:val="0"/>
        <w:autoSpaceDN w:val="0"/>
        <w:adjustRightInd w:val="0"/>
        <w:jc w:val="center"/>
        <w:rPr>
          <w:b/>
          <w:bCs/>
          <w:szCs w:val="22"/>
        </w:rPr>
      </w:pPr>
      <w:r w:rsidRPr="0031237C">
        <w:rPr>
          <w:b/>
          <w:bCs/>
          <w:szCs w:val="22"/>
        </w:rPr>
        <w:t xml:space="preserve">FUSION CONNECT, INC. AND SUBSIDIARIES </w:t>
      </w:r>
      <w:bookmarkEnd w:id="2"/>
      <w:bookmarkEnd w:id="3"/>
    </w:p>
    <w:p w:rsidR="00DD5B16" w:rsidRPr="0031237C" w:rsidP="00DD5B16">
      <w:pPr>
        <w:jc w:val="center"/>
        <w:rPr>
          <w:b/>
          <w:bCs/>
          <w:szCs w:val="22"/>
        </w:rPr>
      </w:pPr>
    </w:p>
    <w:p w:rsidR="00DD5B16" w:rsidRPr="0031237C" w:rsidP="00DD5B16">
      <w:pPr>
        <w:jc w:val="center"/>
        <w:rPr>
          <w:b/>
          <w:szCs w:val="22"/>
        </w:rPr>
      </w:pPr>
      <w:r w:rsidRPr="0031237C">
        <w:rPr>
          <w:b/>
          <w:szCs w:val="22"/>
        </w:rPr>
        <w:t>PLEADING CYCLE ESTABLISHED</w:t>
      </w:r>
    </w:p>
    <w:p w:rsidR="00DD5B16" w:rsidRPr="0031237C" w:rsidP="00DD5B16">
      <w:pPr>
        <w:jc w:val="center"/>
        <w:rPr>
          <w:b/>
          <w:szCs w:val="22"/>
        </w:rPr>
      </w:pPr>
    </w:p>
    <w:p w:rsidR="00DD5B16" w:rsidRPr="0031237C" w:rsidP="00DD5B16">
      <w:pPr>
        <w:jc w:val="center"/>
        <w:rPr>
          <w:b/>
          <w:szCs w:val="22"/>
        </w:rPr>
      </w:pPr>
      <w:r w:rsidRPr="0031237C">
        <w:rPr>
          <w:b/>
          <w:szCs w:val="22"/>
        </w:rPr>
        <w:t xml:space="preserve"> WC Docket No.</w:t>
      </w:r>
      <w:r w:rsidR="00F615C2">
        <w:rPr>
          <w:b/>
          <w:szCs w:val="22"/>
        </w:rPr>
        <w:t xml:space="preserve"> 20-44</w:t>
      </w:r>
    </w:p>
    <w:p w:rsidR="00DD5B16" w:rsidRPr="0031237C" w:rsidP="00DD5B16">
      <w:pPr>
        <w:jc w:val="center"/>
        <w:rPr>
          <w:szCs w:val="22"/>
        </w:rPr>
      </w:pPr>
    </w:p>
    <w:p w:rsidR="00DD5B16" w:rsidRPr="0031237C" w:rsidP="00DD5B16">
      <w:pPr>
        <w:pStyle w:val="NoSpacing"/>
        <w:rPr>
          <w:b/>
          <w:szCs w:val="22"/>
        </w:rPr>
      </w:pPr>
      <w:r w:rsidRPr="0031237C">
        <w:rPr>
          <w:b/>
          <w:szCs w:val="22"/>
        </w:rPr>
        <w:t xml:space="preserve">Comments Due:  </w:t>
      </w:r>
      <w:r w:rsidR="00790EE2">
        <w:rPr>
          <w:b/>
          <w:szCs w:val="22"/>
        </w:rPr>
        <w:t>August</w:t>
      </w:r>
      <w:r w:rsidR="00F615C2">
        <w:rPr>
          <w:b/>
          <w:szCs w:val="22"/>
        </w:rPr>
        <w:t xml:space="preserve"> </w:t>
      </w:r>
      <w:r w:rsidR="00497F4D">
        <w:rPr>
          <w:b/>
          <w:szCs w:val="22"/>
        </w:rPr>
        <w:t>13</w:t>
      </w:r>
      <w:r w:rsidRPr="0031237C">
        <w:rPr>
          <w:b/>
          <w:szCs w:val="22"/>
        </w:rPr>
        <w:t>, 20</w:t>
      </w:r>
      <w:r w:rsidR="00F615C2">
        <w:rPr>
          <w:b/>
          <w:szCs w:val="22"/>
        </w:rPr>
        <w:t>20</w:t>
      </w:r>
    </w:p>
    <w:p w:rsidR="00DD5B16" w:rsidRPr="0031237C" w:rsidP="00DD5B16">
      <w:pPr>
        <w:pStyle w:val="NoSpacing"/>
        <w:rPr>
          <w:b/>
          <w:szCs w:val="22"/>
        </w:rPr>
      </w:pPr>
      <w:r w:rsidRPr="0031237C">
        <w:rPr>
          <w:b/>
          <w:szCs w:val="22"/>
        </w:rPr>
        <w:t xml:space="preserve">Reply Comments Due:  </w:t>
      </w:r>
      <w:r w:rsidR="00C57B23">
        <w:rPr>
          <w:b/>
          <w:szCs w:val="22"/>
        </w:rPr>
        <w:t>August</w:t>
      </w:r>
      <w:r w:rsidR="00F615C2">
        <w:rPr>
          <w:b/>
          <w:szCs w:val="22"/>
        </w:rPr>
        <w:t xml:space="preserve"> </w:t>
      </w:r>
      <w:r w:rsidR="00497F4D">
        <w:rPr>
          <w:b/>
          <w:szCs w:val="22"/>
        </w:rPr>
        <w:t>20</w:t>
      </w:r>
      <w:r w:rsidRPr="0031237C">
        <w:rPr>
          <w:b/>
          <w:szCs w:val="22"/>
        </w:rPr>
        <w:t>, 20</w:t>
      </w:r>
      <w:r w:rsidR="00F615C2">
        <w:rPr>
          <w:b/>
          <w:szCs w:val="22"/>
        </w:rPr>
        <w:t>20</w:t>
      </w:r>
    </w:p>
    <w:p w:rsidR="00DD5B16" w:rsidRPr="0031237C" w:rsidP="00DD5B16">
      <w:pPr>
        <w:autoSpaceDE w:val="0"/>
        <w:autoSpaceDN w:val="0"/>
        <w:adjustRightInd w:val="0"/>
        <w:rPr>
          <w:rFonts w:ascii="TimesNewRomanPSMT" w:hAnsi="TimesNewRomanPSMT" w:cs="TimesNewRomanPSMT"/>
          <w:szCs w:val="22"/>
        </w:rPr>
      </w:pPr>
    </w:p>
    <w:p w:rsidR="00DD5B16" w:rsidP="00E061C8">
      <w:pPr>
        <w:autoSpaceDE w:val="0"/>
        <w:autoSpaceDN w:val="0"/>
        <w:adjustRightInd w:val="0"/>
        <w:spacing w:before="120"/>
        <w:ind w:firstLine="720"/>
        <w:rPr>
          <w:szCs w:val="22"/>
        </w:rPr>
      </w:pPr>
      <w:r w:rsidRPr="0031237C">
        <w:rPr>
          <w:szCs w:val="22"/>
        </w:rPr>
        <w:t xml:space="preserve">By this Public Notice, the Wireline Competition Bureau and International Bureau </w:t>
      </w:r>
      <w:r w:rsidR="009067F7">
        <w:rPr>
          <w:szCs w:val="22"/>
        </w:rPr>
        <w:t xml:space="preserve">(Bureaus) </w:t>
      </w:r>
      <w:r w:rsidRPr="0031237C">
        <w:rPr>
          <w:szCs w:val="22"/>
        </w:rPr>
        <w:t>seek comment from interested parties on applications filed by</w:t>
      </w:r>
      <w:r w:rsidRPr="0031237C">
        <w:rPr>
          <w:color w:val="231F20"/>
          <w:szCs w:val="22"/>
        </w:rPr>
        <w:t xml:space="preserve"> </w:t>
      </w:r>
      <w:r w:rsidRPr="0031237C">
        <w:rPr>
          <w:szCs w:val="22"/>
        </w:rPr>
        <w:t>Fusion Connect, Inc. (Fusion</w:t>
      </w:r>
      <w:r w:rsidR="005A1790">
        <w:rPr>
          <w:szCs w:val="22"/>
        </w:rPr>
        <w:t xml:space="preserve"> and Applicant</w:t>
      </w:r>
      <w:r w:rsidRPr="0031237C">
        <w:rPr>
          <w:szCs w:val="22"/>
        </w:rPr>
        <w:t>)</w:t>
      </w:r>
      <w:r w:rsidRPr="009463B9">
        <w:rPr>
          <w:szCs w:val="22"/>
        </w:rPr>
        <w:t xml:space="preserve">, </w:t>
      </w:r>
      <w:r w:rsidRPr="007656E1">
        <w:rPr>
          <w:snapToGrid w:val="0"/>
          <w:kern w:val="28"/>
          <w:szCs w:val="22"/>
        </w:rPr>
        <w:t>pursuant to section 214 of the Communications Act of 1934, as amended, and sections 63.03-04, 63.18, and 63.24 of the Commission’s rules</w:t>
      </w:r>
      <w:r w:rsidR="00AB07BD">
        <w:rPr>
          <w:snapToGrid w:val="0"/>
          <w:kern w:val="28"/>
          <w:szCs w:val="22"/>
        </w:rPr>
        <w:t>,</w:t>
      </w:r>
      <w:r>
        <w:rPr>
          <w:snapToGrid w:val="0"/>
          <w:kern w:val="28"/>
          <w:szCs w:val="22"/>
          <w:vertAlign w:val="superscript"/>
        </w:rPr>
        <w:footnoteReference w:id="3"/>
      </w:r>
      <w:r>
        <w:rPr>
          <w:snapToGrid w:val="0"/>
          <w:kern w:val="28"/>
          <w:szCs w:val="22"/>
        </w:rPr>
        <w:t xml:space="preserve"> </w:t>
      </w:r>
      <w:r w:rsidRPr="009463B9">
        <w:rPr>
          <w:szCs w:val="22"/>
        </w:rPr>
        <w:t xml:space="preserve">requesting consent </w:t>
      </w:r>
      <w:r>
        <w:rPr>
          <w:szCs w:val="22"/>
        </w:rPr>
        <w:t xml:space="preserve">for the transfer of control of </w:t>
      </w:r>
      <w:r w:rsidR="00D26193">
        <w:rPr>
          <w:szCs w:val="22"/>
        </w:rPr>
        <w:t>Fusion</w:t>
      </w:r>
      <w:r>
        <w:rPr>
          <w:szCs w:val="22"/>
        </w:rPr>
        <w:t xml:space="preserve"> and its </w:t>
      </w:r>
      <w:r w:rsidR="00F25958">
        <w:rPr>
          <w:szCs w:val="22"/>
        </w:rPr>
        <w:t xml:space="preserve">wholly-owned </w:t>
      </w:r>
      <w:r>
        <w:rPr>
          <w:szCs w:val="22"/>
        </w:rPr>
        <w:t>subsidiaries</w:t>
      </w:r>
      <w:r w:rsidR="00056247">
        <w:rPr>
          <w:szCs w:val="22"/>
        </w:rPr>
        <w:t>.</w:t>
      </w:r>
      <w:r>
        <w:rPr>
          <w:rStyle w:val="FootnoteReference"/>
          <w:szCs w:val="22"/>
        </w:rPr>
        <w:footnoteReference w:id="4"/>
      </w:r>
      <w:r w:rsidR="00056247">
        <w:rPr>
          <w:szCs w:val="22"/>
        </w:rPr>
        <w:t xml:space="preserve">  </w:t>
      </w:r>
      <w:r>
        <w:rPr>
          <w:szCs w:val="22"/>
        </w:rPr>
        <w:t xml:space="preserve">       </w:t>
      </w:r>
    </w:p>
    <w:p w:rsidR="00DD5B16" w:rsidRPr="004F731A" w:rsidP="00E061C8">
      <w:pPr>
        <w:autoSpaceDE w:val="0"/>
        <w:autoSpaceDN w:val="0"/>
        <w:adjustRightInd w:val="0"/>
        <w:spacing w:before="120"/>
        <w:ind w:firstLine="720"/>
        <w:rPr>
          <w:szCs w:val="22"/>
        </w:rPr>
      </w:pPr>
      <w:r>
        <w:rPr>
          <w:szCs w:val="22"/>
        </w:rPr>
        <w:t xml:space="preserve">Fusion is a </w:t>
      </w:r>
      <w:r w:rsidR="007B3F7E">
        <w:rPr>
          <w:szCs w:val="22"/>
        </w:rPr>
        <w:t xml:space="preserve">private </w:t>
      </w:r>
      <w:r>
        <w:rPr>
          <w:szCs w:val="22"/>
        </w:rPr>
        <w:t xml:space="preserve">Delaware corporation.  Through the following </w:t>
      </w:r>
      <w:r w:rsidR="00AB07BD">
        <w:rPr>
          <w:szCs w:val="22"/>
        </w:rPr>
        <w:t>U.S.</w:t>
      </w:r>
      <w:r w:rsidR="00717C54">
        <w:rPr>
          <w:szCs w:val="22"/>
        </w:rPr>
        <w:t>-</w:t>
      </w:r>
      <w:r w:rsidR="00AB07BD">
        <w:rPr>
          <w:szCs w:val="22"/>
        </w:rPr>
        <w:t xml:space="preserve">based </w:t>
      </w:r>
      <w:r>
        <w:rPr>
          <w:szCs w:val="22"/>
        </w:rPr>
        <w:t>subsidiaries, it provides competitive telecommunications services primarily to business customers located throughout the United States:  Fusion LLC, Fusion Cloud Services, LLC, Fusion Communications, LLC, Fusion Telecom of Kansas, LLC</w:t>
      </w:r>
      <w:r w:rsidRPr="00310D5D">
        <w:rPr>
          <w:szCs w:val="22"/>
        </w:rPr>
        <w:t>,</w:t>
      </w:r>
      <w:r>
        <w:rPr>
          <w:szCs w:val="22"/>
        </w:rPr>
        <w:t xml:space="preserve"> and Fusion Telecom of Texas Ltd., LLP (collectively, Fusion </w:t>
      </w:r>
      <w:r w:rsidR="00F25958">
        <w:rPr>
          <w:szCs w:val="22"/>
        </w:rPr>
        <w:t>Licensees</w:t>
      </w:r>
      <w:r>
        <w:rPr>
          <w:szCs w:val="22"/>
        </w:rPr>
        <w:t>).</w:t>
      </w:r>
      <w:r>
        <w:rPr>
          <w:rStyle w:val="FootnoteReference"/>
          <w:szCs w:val="22"/>
        </w:rPr>
        <w:footnoteReference w:id="5"/>
      </w:r>
      <w:r>
        <w:rPr>
          <w:szCs w:val="22"/>
        </w:rPr>
        <w:t xml:space="preserve">  </w:t>
      </w:r>
      <w:r w:rsidR="00D031BC">
        <w:rPr>
          <w:szCs w:val="22"/>
        </w:rPr>
        <w:t xml:space="preserve">Telecom Holdings, LLC (Telecom Holdings), </w:t>
      </w:r>
      <w:r w:rsidRPr="00B90293" w:rsidR="00D031BC">
        <w:t xml:space="preserve">a Delaware </w:t>
      </w:r>
      <w:r w:rsidR="00D031BC">
        <w:t>h</w:t>
      </w:r>
      <w:r w:rsidRPr="00B90293" w:rsidR="00D031BC">
        <w:t>olding company</w:t>
      </w:r>
      <w:r w:rsidR="00DD7AFD">
        <w:t>,</w:t>
      </w:r>
      <w:r w:rsidR="00D031BC">
        <w:t xml:space="preserve"> </w:t>
      </w:r>
      <w:r w:rsidR="00D031BC">
        <w:rPr>
          <w:szCs w:val="22"/>
        </w:rPr>
        <w:t xml:space="preserve">currently holds approximately 65% of the common stock and </w:t>
      </w:r>
      <w:r w:rsidR="00D031BC">
        <w:rPr>
          <w:i/>
          <w:iCs/>
          <w:szCs w:val="22"/>
        </w:rPr>
        <w:t xml:space="preserve">de jure </w:t>
      </w:r>
      <w:r w:rsidR="00D031BC">
        <w:rPr>
          <w:szCs w:val="22"/>
        </w:rPr>
        <w:t xml:space="preserve">and </w:t>
      </w:r>
      <w:r w:rsidR="00D031BC">
        <w:rPr>
          <w:i/>
          <w:iCs/>
          <w:szCs w:val="22"/>
        </w:rPr>
        <w:t>de facto</w:t>
      </w:r>
      <w:r w:rsidR="00D031BC">
        <w:rPr>
          <w:szCs w:val="22"/>
        </w:rPr>
        <w:t xml:space="preserve"> control of Fusion</w:t>
      </w:r>
      <w:r w:rsidR="000D169E">
        <w:t>.</w:t>
      </w:r>
      <w:r>
        <w:rPr>
          <w:rStyle w:val="FootnoteReference"/>
        </w:rPr>
        <w:footnoteReference w:id="6"/>
      </w:r>
    </w:p>
    <w:p w:rsidR="00B56640" w:rsidP="00BD6022">
      <w:pPr>
        <w:autoSpaceDE w:val="0"/>
        <w:autoSpaceDN w:val="0"/>
        <w:adjustRightInd w:val="0"/>
        <w:spacing w:before="120"/>
        <w:ind w:firstLine="720"/>
      </w:pPr>
      <w:bookmarkStart w:id="4" w:name="_Hlk21685671"/>
      <w:r>
        <w:rPr>
          <w:szCs w:val="22"/>
        </w:rPr>
        <w:t xml:space="preserve">The proposed </w:t>
      </w:r>
      <w:r>
        <w:t xml:space="preserve">transfer of control </w:t>
      </w:r>
      <w:r>
        <w:t>is</w:t>
      </w:r>
      <w:r w:rsidR="000D169E">
        <w:t xml:space="preserve"> the</w:t>
      </w:r>
      <w:r>
        <w:t xml:space="preserve"> second of two related transactions </w:t>
      </w:r>
      <w:r w:rsidR="0031710C">
        <w:t xml:space="preserve">seeking Commission approval </w:t>
      </w:r>
      <w:r w:rsidR="0038502C">
        <w:t>a</w:t>
      </w:r>
      <w:r w:rsidRPr="0038502C" w:rsidR="0038502C">
        <w:t xml:space="preserve">s part of Fusion’s </w:t>
      </w:r>
      <w:r w:rsidR="00A00FB5">
        <w:t xml:space="preserve">bankruptcy </w:t>
      </w:r>
      <w:r w:rsidRPr="0038502C" w:rsidR="0038502C">
        <w:t>reorganization plan</w:t>
      </w:r>
      <w:r w:rsidR="0038502C">
        <w:t>.</w:t>
      </w:r>
      <w:r>
        <w:rPr>
          <w:vertAlign w:val="superscript"/>
        </w:rPr>
        <w:footnoteReference w:id="7"/>
      </w:r>
      <w:r w:rsidRPr="0038502C" w:rsidR="0038502C">
        <w:t xml:space="preserve">  </w:t>
      </w:r>
      <w:r w:rsidR="0031710C">
        <w:t>In the first transaction,</w:t>
      </w:r>
      <w:r w:rsidRPr="0031710C" w:rsidR="00497948">
        <w:t xml:space="preserve"> </w:t>
      </w:r>
      <w:r w:rsidRPr="00497948" w:rsidR="00497948">
        <w:t xml:space="preserve">all </w:t>
      </w:r>
      <w:r w:rsidR="00B4459B">
        <w:t>the</w:t>
      </w:r>
      <w:r w:rsidRPr="00497948" w:rsidR="00497948">
        <w:t xml:space="preserve"> equity interests in </w:t>
      </w:r>
      <w:r w:rsidR="00D26193">
        <w:t>Fusion</w:t>
      </w:r>
      <w:r w:rsidRPr="00497948" w:rsidR="00497948">
        <w:t xml:space="preserve"> were cancelled, certain debt extinguished, and first and second lien lenders (Lenders) received shares of </w:t>
      </w:r>
      <w:r w:rsidR="002A04B8">
        <w:t>Fusion’s</w:t>
      </w:r>
      <w:r w:rsidRPr="00497948" w:rsidR="00497948">
        <w:t xml:space="preserve"> voting common stock and/or</w:t>
      </w:r>
      <w:r w:rsidR="00965FF1">
        <w:t xml:space="preserve"> special warrants</w:t>
      </w:r>
      <w:r w:rsidRPr="00497948" w:rsidR="00497948">
        <w:t xml:space="preserve"> (Special Warrants)</w:t>
      </w:r>
      <w:r w:rsidR="00497948">
        <w:t>.</w:t>
      </w:r>
      <w:r>
        <w:rPr>
          <w:rStyle w:val="FootnoteReference"/>
        </w:rPr>
        <w:footnoteReference w:id="8"/>
      </w:r>
      <w:r w:rsidRPr="00497948" w:rsidR="00497948">
        <w:t xml:space="preserve"> </w:t>
      </w:r>
      <w:r w:rsidR="00D26193">
        <w:t xml:space="preserve"> </w:t>
      </w:r>
      <w:r w:rsidR="00BE1096">
        <w:t>According to Applicant, t</w:t>
      </w:r>
      <w:r w:rsidRPr="00BD6022" w:rsidR="00BD6022">
        <w:t xml:space="preserve">he Special Warrants represent a future right to acquire shares of </w:t>
      </w:r>
      <w:r w:rsidR="002A04B8">
        <w:t>Fusion’s</w:t>
      </w:r>
      <w:r w:rsidRPr="00BD6022" w:rsidR="00BD6022">
        <w:t xml:space="preserve"> common stock and can</w:t>
      </w:r>
      <w:r w:rsidR="002A04B8">
        <w:t xml:space="preserve">not </w:t>
      </w:r>
      <w:r w:rsidRPr="00BD6022" w:rsidR="00BD6022">
        <w:t xml:space="preserve">be exercised until </w:t>
      </w:r>
      <w:r w:rsidR="002A04B8">
        <w:t>Fusion</w:t>
      </w:r>
      <w:r w:rsidRPr="00BD6022" w:rsidR="00BD6022">
        <w:t xml:space="preserve"> has secured any necessary Commission approval</w:t>
      </w:r>
      <w:r w:rsidR="003419D1">
        <w:t>s</w:t>
      </w:r>
      <w:r w:rsidRPr="00BD6022" w:rsidR="00BD6022">
        <w:t>.</w:t>
      </w:r>
      <w:r>
        <w:rPr>
          <w:rStyle w:val="FootnoteReference"/>
        </w:rPr>
        <w:footnoteReference w:id="9"/>
      </w:r>
      <w:r w:rsidRPr="00BD6022" w:rsidR="00BD6022">
        <w:rPr>
          <w:vertAlign w:val="superscript"/>
        </w:rPr>
        <w:t xml:space="preserve"> </w:t>
      </w:r>
      <w:r w:rsidRPr="00BD6022" w:rsidR="00BD6022">
        <w:t xml:space="preserve"> </w:t>
      </w:r>
    </w:p>
    <w:p w:rsidR="00DD5B16" w:rsidRPr="00E061C8" w:rsidP="00756708">
      <w:pPr>
        <w:autoSpaceDE w:val="0"/>
        <w:autoSpaceDN w:val="0"/>
        <w:adjustRightInd w:val="0"/>
        <w:spacing w:before="120"/>
        <w:ind w:firstLine="720"/>
      </w:pPr>
      <w:r>
        <w:t>In th</w:t>
      </w:r>
      <w:r w:rsidR="0067304E">
        <w:t xml:space="preserve">is current </w:t>
      </w:r>
      <w:r>
        <w:t>second transaction,</w:t>
      </w:r>
      <w:r w:rsidR="00393996">
        <w:t xml:space="preserve"> Applicant seeks Commission approval for the transfer of control that </w:t>
      </w:r>
      <w:r w:rsidR="000208C6">
        <w:t>would</w:t>
      </w:r>
      <w:r w:rsidR="00393996">
        <w:t xml:space="preserve"> </w:t>
      </w:r>
      <w:r w:rsidR="003419D1">
        <w:t>occur</w:t>
      </w:r>
      <w:r w:rsidR="00393996">
        <w:t xml:space="preserve"> </w:t>
      </w:r>
      <w:r w:rsidR="00756708">
        <w:t>from the exercise</w:t>
      </w:r>
      <w:r w:rsidR="001C49AE">
        <w:t xml:space="preserve"> of</w:t>
      </w:r>
      <w:r w:rsidR="00756708">
        <w:t xml:space="preserve"> </w:t>
      </w:r>
      <w:r w:rsidR="00D26DAC">
        <w:t xml:space="preserve">the </w:t>
      </w:r>
      <w:r w:rsidR="005F14D2">
        <w:t xml:space="preserve">Special Warrants </w:t>
      </w:r>
      <w:r w:rsidR="00756708">
        <w:t xml:space="preserve">and </w:t>
      </w:r>
      <w:r w:rsidR="005F14D2">
        <w:t xml:space="preserve">the </w:t>
      </w:r>
      <w:r w:rsidR="00756708">
        <w:t xml:space="preserve">exchange </w:t>
      </w:r>
      <w:r w:rsidR="005F14D2">
        <w:t xml:space="preserve">of those warrants </w:t>
      </w:r>
      <w:r w:rsidR="00393996">
        <w:t xml:space="preserve">for common stock in </w:t>
      </w:r>
      <w:r w:rsidR="000208C6">
        <w:t>Fusion</w:t>
      </w:r>
      <w:r w:rsidR="00D26DAC">
        <w:t xml:space="preserve"> to be held by the holders of the Special Warrants</w:t>
      </w:r>
      <w:r w:rsidR="003419D1">
        <w:t>.</w:t>
      </w:r>
      <w:r>
        <w:rPr>
          <w:rStyle w:val="FootnoteReference"/>
        </w:rPr>
        <w:footnoteReference w:id="10"/>
      </w:r>
      <w:r w:rsidR="003419D1">
        <w:t xml:space="preserve">  </w:t>
      </w:r>
      <w:r w:rsidRPr="00884F7A" w:rsidR="003419D1">
        <w:t xml:space="preserve">As a result of the exercise of Special Warrants and the issuance of new </w:t>
      </w:r>
      <w:r w:rsidR="003419D1">
        <w:t>c</w:t>
      </w:r>
      <w:r w:rsidRPr="00884F7A" w:rsidR="003419D1">
        <w:t xml:space="preserve">ommon </w:t>
      </w:r>
      <w:r w:rsidR="003419D1">
        <w:t>s</w:t>
      </w:r>
      <w:r w:rsidRPr="00884F7A" w:rsidR="003419D1">
        <w:t>tock in exchange, the voting and equity interests of Telecom Holdings w</w:t>
      </w:r>
      <w:r w:rsidR="00E513B7">
        <w:t>ould</w:t>
      </w:r>
      <w:r w:rsidRPr="00884F7A" w:rsidR="003419D1">
        <w:t xml:space="preserve"> decrease to non-controlling levels</w:t>
      </w:r>
      <w:r w:rsidR="000208C6">
        <w:t>, resulting in a negative transfer of control</w:t>
      </w:r>
      <w:r w:rsidRPr="00884F7A" w:rsidR="003419D1">
        <w:t>.</w:t>
      </w:r>
      <w:r>
        <w:rPr>
          <w:rStyle w:val="FootnoteReference"/>
        </w:rPr>
        <w:footnoteReference w:id="11"/>
      </w:r>
      <w:r w:rsidRPr="00884F7A" w:rsidR="003419D1">
        <w:t xml:space="preserve"> </w:t>
      </w:r>
      <w:r w:rsidR="003419D1">
        <w:t xml:space="preserve"> </w:t>
      </w:r>
      <w:bookmarkEnd w:id="4"/>
      <w:r w:rsidR="001F1207">
        <w:t>Applicant state</w:t>
      </w:r>
      <w:r w:rsidR="00756708">
        <w:t>s</w:t>
      </w:r>
      <w:r w:rsidR="001F1207">
        <w:t xml:space="preserve"> that, f</w:t>
      </w:r>
      <w:r w:rsidRPr="00884F7A" w:rsidR="00884F7A">
        <w:t xml:space="preserve">ollowing the </w:t>
      </w:r>
      <w:r w:rsidR="001F1207">
        <w:t>consummation of the proposed t</w:t>
      </w:r>
      <w:r w:rsidRPr="00884F7A" w:rsidR="00884F7A">
        <w:t>ransaction,</w:t>
      </w:r>
      <w:r w:rsidR="0075029A">
        <w:t xml:space="preserve"> </w:t>
      </w:r>
      <w:r w:rsidR="002A04B8">
        <w:t>Fusion</w:t>
      </w:r>
      <w:r w:rsidRPr="00710A84" w:rsidR="00884F7A">
        <w:t xml:space="preserve"> will be widely held by numerous stockholders, nearly all of whom will hold non-disclosable interests in </w:t>
      </w:r>
      <w:r w:rsidR="002A04B8">
        <w:t>Fusion</w:t>
      </w:r>
      <w:r w:rsidRPr="00710A84" w:rsidR="001F1207">
        <w:t xml:space="preserve">, and that no single </w:t>
      </w:r>
      <w:r w:rsidRPr="00710A84" w:rsidR="00884F7A">
        <w:t>person or entity</w:t>
      </w:r>
      <w:r w:rsidRPr="00710A84" w:rsidR="001F1207">
        <w:t xml:space="preserve"> will obtain</w:t>
      </w:r>
      <w:r w:rsidRPr="00710A84" w:rsidR="00884F7A">
        <w:t xml:space="preserve"> </w:t>
      </w:r>
      <w:r w:rsidRPr="00710A84" w:rsidR="00884F7A">
        <w:rPr>
          <w:i/>
          <w:iCs/>
        </w:rPr>
        <w:t xml:space="preserve">de jure </w:t>
      </w:r>
      <w:r w:rsidRPr="00710A84" w:rsidR="00884F7A">
        <w:t xml:space="preserve">or </w:t>
      </w:r>
      <w:r w:rsidRPr="00710A84" w:rsidR="00884F7A">
        <w:rPr>
          <w:i/>
          <w:iCs/>
        </w:rPr>
        <w:t xml:space="preserve">de facto </w:t>
      </w:r>
      <w:r w:rsidRPr="00710A84" w:rsidR="00884F7A">
        <w:t>control.</w:t>
      </w:r>
      <w:r>
        <w:rPr>
          <w:rStyle w:val="FootnoteReference"/>
        </w:rPr>
        <w:footnoteReference w:id="12"/>
      </w:r>
      <w:r w:rsidRPr="00710A84" w:rsidR="00884F7A">
        <w:t xml:space="preserve"> </w:t>
      </w:r>
      <w:r w:rsidRPr="00710A84" w:rsidR="001F1207">
        <w:t xml:space="preserve"> </w:t>
      </w:r>
      <w:r w:rsidRPr="00710A84" w:rsidR="00057C39">
        <w:t xml:space="preserve">Upon their exercise of the Special Warrants, the following </w:t>
      </w:r>
      <w:r w:rsidR="00516819">
        <w:t xml:space="preserve">institutional investor </w:t>
      </w:r>
      <w:r w:rsidRPr="00710A84" w:rsidR="00057C39">
        <w:t>entities w</w:t>
      </w:r>
      <w:r w:rsidR="00E513B7">
        <w:t>ould</w:t>
      </w:r>
      <w:r w:rsidRPr="00710A84" w:rsidR="00057C39">
        <w:t xml:space="preserve"> hold </w:t>
      </w:r>
      <w:r w:rsidR="00E900FA">
        <w:t xml:space="preserve">in excess of </w:t>
      </w:r>
      <w:r w:rsidRPr="00710A84" w:rsidR="00057C39">
        <w:t xml:space="preserve">10% </w:t>
      </w:r>
      <w:r w:rsidR="00E900FA">
        <w:t>of Fusion’s common stock</w:t>
      </w:r>
      <w:r w:rsidR="00057C39">
        <w:t>:</w:t>
      </w:r>
      <w:r w:rsidR="00E72EB6">
        <w:t xml:space="preserve">  </w:t>
      </w:r>
      <w:r w:rsidR="00516819">
        <w:t>entities managed by CBAM CLO Management, LLC (</w:t>
      </w:r>
      <w:r w:rsidR="00C83FBD">
        <w:t>CBAM Entities</w:t>
      </w:r>
      <w:r w:rsidR="00516819">
        <w:t>) (Cayman Islands</w:t>
      </w:r>
      <w:r w:rsidR="00F25958">
        <w:t xml:space="preserve">, Kansas, and Delaware </w:t>
      </w:r>
      <w:r w:rsidR="00516819">
        <w:t xml:space="preserve">citizenship, </w:t>
      </w:r>
      <w:r w:rsidR="004C173F">
        <w:t xml:space="preserve">approximately </w:t>
      </w:r>
      <w:r w:rsidR="00C83FBD">
        <w:t>12.63%);</w:t>
      </w:r>
      <w:r>
        <w:rPr>
          <w:rStyle w:val="FootnoteReference"/>
        </w:rPr>
        <w:footnoteReference w:id="13"/>
      </w:r>
      <w:r w:rsidR="00C83FBD">
        <w:t xml:space="preserve"> </w:t>
      </w:r>
      <w:r w:rsidR="00B83FFF">
        <w:t>Invesco Ltd. (</w:t>
      </w:r>
      <w:r w:rsidR="00C83FBD">
        <w:t>the Invesco Entities</w:t>
      </w:r>
      <w:r w:rsidR="00B83FFF">
        <w:t>)</w:t>
      </w:r>
      <w:r w:rsidR="00C83FBD">
        <w:t xml:space="preserve"> (</w:t>
      </w:r>
      <w:r w:rsidR="00B83FFF">
        <w:t xml:space="preserve">Bermuda, Delaware, </w:t>
      </w:r>
      <w:r w:rsidR="00C773B2">
        <w:t xml:space="preserve">Colorado, </w:t>
      </w:r>
      <w:r w:rsidR="00B83FFF">
        <w:t xml:space="preserve">and United Kingdom citizenship, </w:t>
      </w:r>
      <w:r w:rsidR="004C173F">
        <w:t xml:space="preserve">approximately </w:t>
      </w:r>
      <w:r w:rsidR="00C83FBD">
        <w:t>11.49%),</w:t>
      </w:r>
      <w:r>
        <w:rPr>
          <w:rStyle w:val="FootnoteReference"/>
        </w:rPr>
        <w:footnoteReference w:id="14"/>
      </w:r>
      <w:r w:rsidR="00C83FBD">
        <w:t xml:space="preserve"> </w:t>
      </w:r>
      <w:r w:rsidRPr="00F51CCA" w:rsidR="00E72EB6">
        <w:t>Morgan Stanley</w:t>
      </w:r>
      <w:r w:rsidR="00E70950">
        <w:t>/North Haven Entities</w:t>
      </w:r>
      <w:r w:rsidR="00E72EB6">
        <w:t xml:space="preserve"> </w:t>
      </w:r>
      <w:r w:rsidR="00B83FFF">
        <w:t xml:space="preserve">(Delaware citizenship, </w:t>
      </w:r>
      <w:r w:rsidR="00E72EB6">
        <w:t>approximately 12.</w:t>
      </w:r>
      <w:r w:rsidR="009377FD">
        <w:t>88</w:t>
      </w:r>
      <w:r w:rsidR="00E72EB6">
        <w:t>%)</w:t>
      </w:r>
      <w:r>
        <w:rPr>
          <w:rStyle w:val="FootnoteReference"/>
        </w:rPr>
        <w:footnoteReference w:id="15"/>
      </w:r>
      <w:r w:rsidR="00E72EB6">
        <w:t xml:space="preserve"> and </w:t>
      </w:r>
      <w:r w:rsidR="008D04F3">
        <w:t>Vector Fusion Holdings (Cayman)</w:t>
      </w:r>
      <w:r w:rsidR="00C773B2">
        <w:t>,</w:t>
      </w:r>
      <w:r w:rsidR="008D04F3">
        <w:t xml:space="preserve"> </w:t>
      </w:r>
      <w:r w:rsidR="008D04F3">
        <w:t xml:space="preserve">LTD (Vector Fusion, together with funds of Vector Capital Management, L.P., </w:t>
      </w:r>
      <w:r w:rsidR="00E72EB6">
        <w:t>Vector Funds</w:t>
      </w:r>
      <w:r w:rsidR="008D04F3">
        <w:t>)</w:t>
      </w:r>
      <w:r w:rsidR="00E72EB6">
        <w:t xml:space="preserve"> (</w:t>
      </w:r>
      <w:r w:rsidR="008D04F3">
        <w:t xml:space="preserve">Cayman Islands and Delaware citizenship, </w:t>
      </w:r>
      <w:r w:rsidR="00E900FA">
        <w:t xml:space="preserve">approximately </w:t>
      </w:r>
      <w:r w:rsidR="006F2911">
        <w:t>27.87</w:t>
      </w:r>
      <w:r w:rsidR="00E72EB6">
        <w:t>%)</w:t>
      </w:r>
      <w:r>
        <w:rPr>
          <w:rStyle w:val="FootnoteReference"/>
        </w:rPr>
        <w:footnoteReference w:id="16"/>
      </w:r>
      <w:r w:rsidR="00E72EB6">
        <w:t xml:space="preserve"> (collectively, the Reportable Stockholders).</w:t>
      </w:r>
      <w:r>
        <w:rPr>
          <w:rStyle w:val="FootnoteReference"/>
        </w:rPr>
        <w:footnoteReference w:id="17"/>
      </w:r>
      <w:r w:rsidR="00E72EB6">
        <w:t xml:space="preserve"> </w:t>
      </w:r>
      <w:r w:rsidR="00190A6B">
        <w:t xml:space="preserve"> </w:t>
      </w:r>
      <w:r w:rsidR="00386241">
        <w:t>Applicant states that none of these entities hold an interest in any other telecommunications provider.</w:t>
      </w:r>
      <w:r>
        <w:rPr>
          <w:rStyle w:val="FootnoteReference"/>
        </w:rPr>
        <w:footnoteReference w:id="18"/>
      </w:r>
    </w:p>
    <w:p w:rsidR="00091113" w:rsidP="00091113">
      <w:pPr>
        <w:autoSpaceDE w:val="0"/>
        <w:autoSpaceDN w:val="0"/>
        <w:adjustRightInd w:val="0"/>
        <w:spacing w:before="120"/>
        <w:ind w:firstLine="720"/>
        <w:rPr>
          <w:szCs w:val="22"/>
        </w:rPr>
      </w:pPr>
      <w:r w:rsidRPr="00091113">
        <w:rPr>
          <w:szCs w:val="22"/>
        </w:rPr>
        <w:t>Applicant</w:t>
      </w:r>
      <w:r>
        <w:rPr>
          <w:szCs w:val="22"/>
        </w:rPr>
        <w:t xml:space="preserve"> </w:t>
      </w:r>
      <w:r w:rsidRPr="00091113">
        <w:rPr>
          <w:szCs w:val="22"/>
        </w:rPr>
        <w:t>assert</w:t>
      </w:r>
      <w:r>
        <w:rPr>
          <w:szCs w:val="22"/>
        </w:rPr>
        <w:t>s</w:t>
      </w:r>
      <w:r w:rsidRPr="00091113">
        <w:rPr>
          <w:szCs w:val="22"/>
        </w:rPr>
        <w:t xml:space="preserve"> that a grant of the application</w:t>
      </w:r>
      <w:r w:rsidR="00A00FB5">
        <w:rPr>
          <w:szCs w:val="22"/>
        </w:rPr>
        <w:t>s</w:t>
      </w:r>
      <w:r w:rsidRPr="00091113">
        <w:rPr>
          <w:szCs w:val="22"/>
        </w:rPr>
        <w:t xml:space="preserve"> w</w:t>
      </w:r>
      <w:r w:rsidR="00846F1C">
        <w:rPr>
          <w:szCs w:val="22"/>
        </w:rPr>
        <w:t>ould</w:t>
      </w:r>
      <w:r w:rsidRPr="00091113">
        <w:rPr>
          <w:szCs w:val="22"/>
        </w:rPr>
        <w:t xml:space="preserve"> serve the public interest, convenience, and necessity</w:t>
      </w:r>
      <w:r w:rsidR="00DC208E">
        <w:rPr>
          <w:szCs w:val="22"/>
        </w:rPr>
        <w:t>, as well as allow</w:t>
      </w:r>
      <w:r w:rsidR="000208C6">
        <w:rPr>
          <w:szCs w:val="22"/>
        </w:rPr>
        <w:t xml:space="preserve"> Fusion</w:t>
      </w:r>
      <w:r w:rsidR="00DC208E">
        <w:rPr>
          <w:szCs w:val="22"/>
        </w:rPr>
        <w:t xml:space="preserve"> to implement it</w:t>
      </w:r>
      <w:r w:rsidR="000208C6">
        <w:rPr>
          <w:szCs w:val="22"/>
        </w:rPr>
        <w:t>s commitment</w:t>
      </w:r>
      <w:r w:rsidR="00DC208E">
        <w:rPr>
          <w:szCs w:val="22"/>
        </w:rPr>
        <w:t>s</w:t>
      </w:r>
      <w:r w:rsidR="000208C6">
        <w:rPr>
          <w:szCs w:val="22"/>
        </w:rPr>
        <w:t xml:space="preserve"> under its bankruptcy reorganization plan</w:t>
      </w:r>
      <w:r w:rsidR="0050002D">
        <w:rPr>
          <w:szCs w:val="22"/>
        </w:rPr>
        <w:t>, have no adverse effects upon the operations of Fusion, and</w:t>
      </w:r>
      <w:r w:rsidR="00901CA0">
        <w:rPr>
          <w:szCs w:val="22"/>
        </w:rPr>
        <w:t xml:space="preserve"> result in no anti-competitive</w:t>
      </w:r>
      <w:r w:rsidR="00DD321E">
        <w:rPr>
          <w:szCs w:val="22"/>
        </w:rPr>
        <w:t xml:space="preserve"> </w:t>
      </w:r>
      <w:r w:rsidR="00901CA0">
        <w:rPr>
          <w:szCs w:val="22"/>
        </w:rPr>
        <w:t>concerns</w:t>
      </w:r>
      <w:r w:rsidRPr="00091113">
        <w:rPr>
          <w:szCs w:val="22"/>
        </w:rPr>
        <w:t>.</w:t>
      </w:r>
      <w:r>
        <w:rPr>
          <w:rStyle w:val="FootnoteReference"/>
          <w:szCs w:val="22"/>
        </w:rPr>
        <w:footnoteReference w:id="19"/>
      </w:r>
      <w:r w:rsidRPr="00091113">
        <w:rPr>
          <w:szCs w:val="22"/>
        </w:rPr>
        <w:t xml:space="preserve"> </w:t>
      </w:r>
      <w:r>
        <w:rPr>
          <w:szCs w:val="22"/>
        </w:rPr>
        <w:t xml:space="preserve"> </w:t>
      </w:r>
    </w:p>
    <w:p w:rsidR="00790EE2" w:rsidRPr="00091113" w:rsidP="00091113">
      <w:pPr>
        <w:autoSpaceDE w:val="0"/>
        <w:autoSpaceDN w:val="0"/>
        <w:adjustRightInd w:val="0"/>
        <w:spacing w:before="120"/>
        <w:ind w:firstLine="720"/>
        <w:rPr>
          <w:szCs w:val="22"/>
        </w:rPr>
      </w:pPr>
      <w:r w:rsidRPr="00497F4D">
        <w:rPr>
          <w:szCs w:val="22"/>
          <w:u w:val="single"/>
        </w:rPr>
        <w:t>Referral to Executive Branch Agencies</w:t>
      </w:r>
      <w:r>
        <w:rPr>
          <w:szCs w:val="22"/>
        </w:rPr>
        <w:t xml:space="preserve">.  </w:t>
      </w:r>
      <w:r w:rsidRPr="00790EE2">
        <w:rPr>
          <w:szCs w:val="22"/>
        </w:rPr>
        <w:t>Through this Public Notice, pursuant to Commission practice, these applications are being referred to the relevant Executive Branch agencies for their views on any national security, law enforcement, foreign policy or trade policy concerns related to the foreign ownership of the Applicants.</w:t>
      </w:r>
      <w:r>
        <w:rPr>
          <w:rStyle w:val="FootnoteReference"/>
          <w:szCs w:val="22"/>
        </w:rPr>
        <w:footnoteReference w:id="20"/>
      </w:r>
      <w:r w:rsidRPr="00790EE2">
        <w:rPr>
          <w:szCs w:val="22"/>
        </w:rPr>
        <w:t xml:space="preserve">  </w:t>
      </w:r>
    </w:p>
    <w:p w:rsidR="00DD5B16" w:rsidRPr="004F731A" w:rsidP="00E061C8">
      <w:pPr>
        <w:autoSpaceDE w:val="0"/>
        <w:autoSpaceDN w:val="0"/>
        <w:adjustRightInd w:val="0"/>
        <w:spacing w:before="120"/>
        <w:rPr>
          <w:szCs w:val="22"/>
        </w:rPr>
      </w:pPr>
    </w:p>
    <w:p w:rsidR="00883C73" w:rsidRPr="00883C73" w:rsidP="00883C73">
      <w:pPr>
        <w:autoSpaceDE w:val="0"/>
        <w:autoSpaceDN w:val="0"/>
        <w:adjustRightInd w:val="0"/>
        <w:rPr>
          <w:szCs w:val="22"/>
        </w:rPr>
      </w:pPr>
      <w:r w:rsidRPr="00883C73">
        <w:rPr>
          <w:b/>
          <w:szCs w:val="22"/>
          <w:u w:val="single"/>
        </w:rPr>
        <w:t>GENERAL INFORMATION</w:t>
      </w:r>
    </w:p>
    <w:p w:rsidR="00883C73" w:rsidRPr="00883C73" w:rsidP="00883C73">
      <w:pPr>
        <w:autoSpaceDE w:val="0"/>
        <w:autoSpaceDN w:val="0"/>
        <w:adjustRightInd w:val="0"/>
        <w:rPr>
          <w:szCs w:val="22"/>
        </w:rPr>
      </w:pPr>
    </w:p>
    <w:p w:rsidR="00883C73" w:rsidRPr="00883C73" w:rsidP="00883C73">
      <w:pPr>
        <w:autoSpaceDE w:val="0"/>
        <w:autoSpaceDN w:val="0"/>
        <w:adjustRightInd w:val="0"/>
        <w:spacing w:after="120"/>
        <w:ind w:firstLine="720"/>
        <w:rPr>
          <w:szCs w:val="22"/>
        </w:rPr>
      </w:pPr>
      <w:r w:rsidRPr="00883C73">
        <w:rPr>
          <w:szCs w:val="22"/>
        </w:rPr>
        <w:t xml:space="preserve">The applications identified herein </w:t>
      </w:r>
      <w:r w:rsidR="00A00FB5">
        <w:rPr>
          <w:szCs w:val="22"/>
        </w:rPr>
        <w:t>have</w:t>
      </w:r>
      <w:r w:rsidRPr="00883C73">
        <w:rPr>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p>
    <w:p w:rsidR="00883C73" w:rsidRPr="00883C73" w:rsidP="00883C73">
      <w:pPr>
        <w:autoSpaceDE w:val="0"/>
        <w:autoSpaceDN w:val="0"/>
        <w:adjustRightInd w:val="0"/>
        <w:spacing w:after="120"/>
        <w:ind w:firstLine="720"/>
        <w:rPr>
          <w:szCs w:val="22"/>
        </w:rPr>
      </w:pPr>
      <w:r w:rsidRPr="00883C73">
        <w:rPr>
          <w:szCs w:val="22"/>
        </w:rPr>
        <w:t xml:space="preserve">Interested parties may file comments and petitions </w:t>
      </w:r>
      <w:r w:rsidRPr="00883C73">
        <w:rPr>
          <w:b/>
          <w:szCs w:val="22"/>
        </w:rPr>
        <w:t>on or before</w:t>
      </w:r>
      <w:r w:rsidRPr="00883C73">
        <w:rPr>
          <w:szCs w:val="22"/>
        </w:rPr>
        <w:t xml:space="preserve"> </w:t>
      </w:r>
      <w:r w:rsidRPr="00883C73">
        <w:rPr>
          <w:b/>
          <w:bCs/>
          <w:szCs w:val="22"/>
        </w:rPr>
        <w:t xml:space="preserve">August </w:t>
      </w:r>
      <w:r w:rsidR="00497F4D">
        <w:rPr>
          <w:b/>
          <w:bCs/>
          <w:szCs w:val="22"/>
        </w:rPr>
        <w:t>13</w:t>
      </w:r>
      <w:r w:rsidRPr="00883C73">
        <w:rPr>
          <w:b/>
          <w:szCs w:val="22"/>
        </w:rPr>
        <w:t>, 2020</w:t>
      </w:r>
      <w:r w:rsidRPr="00883C73">
        <w:rPr>
          <w:szCs w:val="22"/>
        </w:rPr>
        <w:t xml:space="preserve"> and reply comments or oppositions to petitions </w:t>
      </w:r>
      <w:r w:rsidRPr="00883C73">
        <w:rPr>
          <w:b/>
          <w:szCs w:val="22"/>
        </w:rPr>
        <w:t xml:space="preserve">on or before </w:t>
      </w:r>
      <w:r w:rsidR="00F25958">
        <w:rPr>
          <w:b/>
          <w:szCs w:val="22"/>
        </w:rPr>
        <w:t>August</w:t>
      </w:r>
      <w:r w:rsidRPr="00883C73">
        <w:rPr>
          <w:b/>
          <w:szCs w:val="22"/>
        </w:rPr>
        <w:t xml:space="preserve"> </w:t>
      </w:r>
      <w:r w:rsidR="00497F4D">
        <w:rPr>
          <w:b/>
          <w:szCs w:val="22"/>
        </w:rPr>
        <w:t>20</w:t>
      </w:r>
      <w:r w:rsidRPr="00883C73">
        <w:rPr>
          <w:b/>
          <w:szCs w:val="22"/>
        </w:rPr>
        <w:t>, 2020</w:t>
      </w:r>
      <w:r w:rsidRPr="00883C73">
        <w:rPr>
          <w:szCs w:val="22"/>
        </w:rPr>
        <w:t>.  Comments may be filed using the Commission’s Electronic Comment Filing System (ECFS) or by paper.  All filings must be addressed to the Commission’s Secretary, Office of the Secretary, Federal Communications Commission.</w:t>
      </w:r>
    </w:p>
    <w:p w:rsidR="00883C73" w:rsidRPr="00883C73" w:rsidP="00883C73">
      <w:pPr>
        <w:numPr>
          <w:ilvl w:val="0"/>
          <w:numId w:val="9"/>
        </w:numPr>
        <w:autoSpaceDE w:val="0"/>
        <w:autoSpaceDN w:val="0"/>
        <w:adjustRightInd w:val="0"/>
        <w:rPr>
          <w:szCs w:val="22"/>
        </w:rPr>
      </w:pPr>
      <w:r w:rsidRPr="00883C73">
        <w:rPr>
          <w:szCs w:val="22"/>
        </w:rPr>
        <w:t>Electronic Filers:  Comments may be filed electronically by accessing ECFS at </w:t>
      </w:r>
      <w:hyperlink r:id="rId5" w:history="1">
        <w:r w:rsidRPr="00883C73">
          <w:rPr>
            <w:color w:val="0000FF"/>
            <w:szCs w:val="22"/>
            <w:u w:val="single"/>
          </w:rPr>
          <w:t>http://apps.fcc.gov/ecfs/</w:t>
        </w:r>
      </w:hyperlink>
      <w:r w:rsidRPr="00883C73">
        <w:rPr>
          <w:szCs w:val="22"/>
        </w:rPr>
        <w:t>.</w:t>
      </w:r>
    </w:p>
    <w:p w:rsidR="00883C73" w:rsidRPr="00883C73" w:rsidP="00883C73">
      <w:pPr>
        <w:autoSpaceDE w:val="0"/>
        <w:autoSpaceDN w:val="0"/>
        <w:adjustRightInd w:val="0"/>
        <w:ind w:left="720"/>
        <w:rPr>
          <w:szCs w:val="22"/>
        </w:rPr>
      </w:pPr>
    </w:p>
    <w:p w:rsidR="00883C73" w:rsidRPr="00883C73" w:rsidP="00883C73">
      <w:pPr>
        <w:numPr>
          <w:ilvl w:val="0"/>
          <w:numId w:val="10"/>
        </w:numPr>
        <w:autoSpaceDE w:val="0"/>
        <w:autoSpaceDN w:val="0"/>
        <w:adjustRightInd w:val="0"/>
        <w:rPr>
          <w:szCs w:val="22"/>
        </w:rPr>
      </w:pPr>
      <w:r w:rsidRPr="00883C73">
        <w:rPr>
          <w:i/>
          <w:iCs/>
          <w:szCs w:val="22"/>
        </w:rPr>
        <w:t>Paper Filers</w:t>
      </w:r>
      <w:r w:rsidRPr="00883C73">
        <w:rPr>
          <w:szCs w:val="22"/>
        </w:rPr>
        <w:t>: Parties who choose to file by paper must file an original and one copy of each filing.  If more than one docket or rulemaking number appears in the caption of this proceeding, filers must submit one additional copy for each additional docket or rulemaking number.</w:t>
      </w:r>
    </w:p>
    <w:p w:rsidR="00883C73" w:rsidRPr="00883C73" w:rsidP="00883C73">
      <w:pPr>
        <w:autoSpaceDE w:val="0"/>
        <w:autoSpaceDN w:val="0"/>
        <w:adjustRightInd w:val="0"/>
        <w:ind w:left="720"/>
        <w:rPr>
          <w:szCs w:val="22"/>
        </w:rPr>
      </w:pPr>
    </w:p>
    <w:p w:rsidR="00883C73" w:rsidRPr="00883C73" w:rsidP="00883C73">
      <w:pPr>
        <w:numPr>
          <w:ilvl w:val="1"/>
          <w:numId w:val="10"/>
        </w:numPr>
        <w:autoSpaceDE w:val="0"/>
        <w:autoSpaceDN w:val="0"/>
        <w:adjustRightInd w:val="0"/>
        <w:rPr>
          <w:szCs w:val="22"/>
        </w:rPr>
      </w:pPr>
      <w:r w:rsidRPr="00883C73">
        <w:rPr>
          <w:szCs w:val="22"/>
        </w:rPr>
        <w:t>Filings can be sent by commercial overnight courier or by first-class or overnight U.S. Postal Service mail.</w:t>
      </w:r>
      <w:r>
        <w:rPr>
          <w:szCs w:val="22"/>
          <w:vertAlign w:val="superscript"/>
        </w:rPr>
        <w:footnoteReference w:id="21"/>
      </w:r>
      <w:r w:rsidRPr="00883C73">
        <w:rPr>
          <w:szCs w:val="22"/>
        </w:rPr>
        <w:t xml:space="preserve">  All filings must be addressed to the Commission’s Secretary, Office of the Secretary, Federal Communications Commission.</w:t>
      </w:r>
    </w:p>
    <w:p w:rsidR="00883C73" w:rsidRPr="00883C73" w:rsidP="00883C73">
      <w:pPr>
        <w:autoSpaceDE w:val="0"/>
        <w:autoSpaceDN w:val="0"/>
        <w:adjustRightInd w:val="0"/>
        <w:ind w:left="720"/>
        <w:rPr>
          <w:szCs w:val="22"/>
        </w:rPr>
      </w:pPr>
    </w:p>
    <w:p w:rsidR="00883C73" w:rsidRPr="00883C73" w:rsidP="00883C73">
      <w:pPr>
        <w:numPr>
          <w:ilvl w:val="1"/>
          <w:numId w:val="10"/>
        </w:numPr>
        <w:autoSpaceDE w:val="0"/>
        <w:autoSpaceDN w:val="0"/>
        <w:adjustRightInd w:val="0"/>
        <w:rPr>
          <w:szCs w:val="22"/>
        </w:rPr>
      </w:pPr>
      <w:r w:rsidRPr="00883C73">
        <w:rPr>
          <w:szCs w:val="22"/>
        </w:rPr>
        <w:t>Commercial overnight mail (other than U.S. Postal Service Express Mail and Priority Mail) must be sent to 9050 Junction Drive, Annapolis Junction, MD 20701.</w:t>
      </w:r>
    </w:p>
    <w:p w:rsidR="00883C73" w:rsidRPr="00883C73" w:rsidP="00883C73">
      <w:pPr>
        <w:autoSpaceDE w:val="0"/>
        <w:autoSpaceDN w:val="0"/>
        <w:adjustRightInd w:val="0"/>
        <w:ind w:left="720"/>
        <w:rPr>
          <w:szCs w:val="22"/>
        </w:rPr>
      </w:pPr>
    </w:p>
    <w:p w:rsidR="00883C73" w:rsidRPr="00883C73" w:rsidP="00883C73">
      <w:pPr>
        <w:numPr>
          <w:ilvl w:val="1"/>
          <w:numId w:val="10"/>
        </w:numPr>
        <w:autoSpaceDE w:val="0"/>
        <w:autoSpaceDN w:val="0"/>
        <w:adjustRightInd w:val="0"/>
        <w:rPr>
          <w:szCs w:val="22"/>
        </w:rPr>
      </w:pPr>
      <w:r w:rsidRPr="00883C73">
        <w:rPr>
          <w:szCs w:val="22"/>
        </w:rPr>
        <w:t>U.S. Postal Service first-class, Express, and Priority mail must be addressed to 445 12</w:t>
      </w:r>
      <w:r w:rsidRPr="00883C73">
        <w:rPr>
          <w:szCs w:val="22"/>
          <w:vertAlign w:val="superscript"/>
        </w:rPr>
        <w:t>th</w:t>
      </w:r>
      <w:r w:rsidRPr="00883C73">
        <w:rPr>
          <w:szCs w:val="22"/>
        </w:rPr>
        <w:t xml:space="preserve"> Street, SW, Washington, DC 20554.</w:t>
      </w:r>
    </w:p>
    <w:p w:rsidR="00ED4757" w:rsidP="00883C73">
      <w:pPr>
        <w:autoSpaceDE w:val="0"/>
        <w:autoSpaceDN w:val="0"/>
        <w:adjustRightInd w:val="0"/>
        <w:spacing w:after="120"/>
        <w:ind w:firstLine="720"/>
        <w:rPr>
          <w:szCs w:val="22"/>
        </w:rPr>
      </w:pPr>
    </w:p>
    <w:p w:rsidR="00883C73" w:rsidRPr="00883C73" w:rsidP="00883C73">
      <w:pPr>
        <w:autoSpaceDE w:val="0"/>
        <w:autoSpaceDN w:val="0"/>
        <w:adjustRightInd w:val="0"/>
        <w:spacing w:after="120"/>
        <w:ind w:firstLine="720"/>
        <w:rPr>
          <w:szCs w:val="22"/>
        </w:rPr>
      </w:pPr>
      <w:r w:rsidRPr="00883C73">
        <w:rPr>
          <w:szCs w:val="22"/>
        </w:rPr>
        <w:t xml:space="preserve">People with Disabilities:  To request materials in accessible formats for people with disabilities (braille, large print, electronic files, audio format), send an e-mail to fcc504@fcc.gov or call the Consumer and Governmental Affairs Bureau at 202-418-0530 (voice), 1-888-835-5322 (tty). </w:t>
      </w:r>
    </w:p>
    <w:p w:rsidR="00883C73" w:rsidRPr="00883C73" w:rsidP="00883C73">
      <w:pPr>
        <w:autoSpaceDE w:val="0"/>
        <w:autoSpaceDN w:val="0"/>
        <w:adjustRightInd w:val="0"/>
        <w:ind w:firstLine="720"/>
        <w:rPr>
          <w:b/>
          <w:szCs w:val="22"/>
        </w:rPr>
      </w:pPr>
    </w:p>
    <w:p w:rsidR="00883C73" w:rsidRPr="00883C73" w:rsidP="00883C73">
      <w:pPr>
        <w:autoSpaceDE w:val="0"/>
        <w:autoSpaceDN w:val="0"/>
        <w:adjustRightInd w:val="0"/>
        <w:ind w:firstLine="720"/>
        <w:rPr>
          <w:b/>
          <w:szCs w:val="22"/>
        </w:rPr>
      </w:pPr>
      <w:r w:rsidRPr="00883C73">
        <w:rPr>
          <w:b/>
          <w:szCs w:val="22"/>
        </w:rPr>
        <w:t>In addition, e-mail one copy of each pleading to each of the following:</w:t>
      </w:r>
    </w:p>
    <w:p w:rsidR="00883C73" w:rsidRPr="00883C73" w:rsidP="00883C73">
      <w:pPr>
        <w:autoSpaceDE w:val="0"/>
        <w:autoSpaceDN w:val="0"/>
        <w:adjustRightInd w:val="0"/>
        <w:ind w:firstLine="720"/>
        <w:rPr>
          <w:b/>
          <w:szCs w:val="22"/>
        </w:rPr>
      </w:pPr>
    </w:p>
    <w:p w:rsidR="00883C73" w:rsidP="00883C73">
      <w:pPr>
        <w:numPr>
          <w:ilvl w:val="0"/>
          <w:numId w:val="8"/>
        </w:numPr>
        <w:autoSpaceDE w:val="0"/>
        <w:autoSpaceDN w:val="0"/>
        <w:adjustRightInd w:val="0"/>
        <w:rPr>
          <w:szCs w:val="22"/>
        </w:rPr>
      </w:pPr>
      <w:r w:rsidRPr="00883C73">
        <w:rPr>
          <w:szCs w:val="22"/>
        </w:rPr>
        <w:t xml:space="preserve">Greg Kwan, Competition Policy Division, Wireline Competition Bureau,  </w:t>
      </w:r>
      <w:hyperlink r:id="rId6" w:history="1">
        <w:r w:rsidRPr="00AD5E6D">
          <w:rPr>
            <w:rStyle w:val="Hyperlink"/>
            <w:szCs w:val="22"/>
          </w:rPr>
          <w:t>gregory.kwan@fcc.gov</w:t>
        </w:r>
      </w:hyperlink>
      <w:r>
        <w:rPr>
          <w:szCs w:val="22"/>
        </w:rPr>
        <w:t>;</w:t>
      </w:r>
    </w:p>
    <w:p w:rsidR="00883C73" w:rsidRPr="00883C73" w:rsidP="00883C73">
      <w:pPr>
        <w:autoSpaceDE w:val="0"/>
        <w:autoSpaceDN w:val="0"/>
        <w:adjustRightInd w:val="0"/>
        <w:ind w:left="720"/>
        <w:rPr>
          <w:szCs w:val="22"/>
        </w:rPr>
      </w:pPr>
    </w:p>
    <w:p w:rsidR="00883C73" w:rsidRPr="00883C73" w:rsidP="00883C73">
      <w:pPr>
        <w:numPr>
          <w:ilvl w:val="0"/>
          <w:numId w:val="8"/>
        </w:numPr>
        <w:autoSpaceDE w:val="0"/>
        <w:autoSpaceDN w:val="0"/>
        <w:adjustRightInd w:val="0"/>
        <w:rPr>
          <w:szCs w:val="22"/>
        </w:rPr>
      </w:pPr>
      <w:r w:rsidRPr="00883C73">
        <w:rPr>
          <w:szCs w:val="22"/>
        </w:rPr>
        <w:t>Kimberly Cook, Telecommunications &amp; Analysis Division, International Bureau,</w:t>
      </w:r>
      <w:hyperlink r:id="rId7" w:history="1"/>
      <w:r>
        <w:rPr>
          <w:szCs w:val="22"/>
        </w:rPr>
        <w:t xml:space="preserve"> </w:t>
      </w:r>
      <w:hyperlink r:id="rId8" w:history="1">
        <w:r w:rsidRPr="00883C73">
          <w:rPr>
            <w:color w:val="0000FF"/>
            <w:szCs w:val="22"/>
            <w:u w:val="single"/>
          </w:rPr>
          <w:t>kimberly.cook@fcc.gov</w:t>
        </w:r>
      </w:hyperlink>
      <w:r w:rsidRPr="00883C73">
        <w:rPr>
          <w:szCs w:val="22"/>
        </w:rPr>
        <w:t xml:space="preserve">; </w:t>
      </w:r>
      <w:r w:rsidRPr="00883C73">
        <w:rPr>
          <w:snapToGrid w:val="0"/>
          <w:color w:val="000000"/>
          <w:kern w:val="28"/>
          <w:szCs w:val="22"/>
        </w:rPr>
        <w:t>and</w:t>
      </w:r>
    </w:p>
    <w:p w:rsidR="00883C73" w:rsidRPr="00883C73" w:rsidP="00883C73">
      <w:pPr>
        <w:autoSpaceDE w:val="0"/>
        <w:autoSpaceDN w:val="0"/>
        <w:adjustRightInd w:val="0"/>
        <w:ind w:left="720"/>
        <w:rPr>
          <w:szCs w:val="22"/>
        </w:rPr>
      </w:pPr>
    </w:p>
    <w:p w:rsidR="00883C73" w:rsidRPr="00883C73" w:rsidP="00883C73">
      <w:pPr>
        <w:numPr>
          <w:ilvl w:val="0"/>
          <w:numId w:val="8"/>
        </w:numPr>
        <w:autoSpaceDE w:val="0"/>
        <w:autoSpaceDN w:val="0"/>
        <w:adjustRightInd w:val="0"/>
        <w:rPr>
          <w:szCs w:val="22"/>
        </w:rPr>
      </w:pPr>
      <w:r w:rsidRPr="00883C73">
        <w:rPr>
          <w:szCs w:val="22"/>
        </w:rPr>
        <w:t xml:space="preserve">Jim Bird, Office of General Counsel, </w:t>
      </w:r>
      <w:hyperlink r:id="rId9" w:history="1">
        <w:r w:rsidRPr="00883C73">
          <w:rPr>
            <w:color w:val="0000FF"/>
            <w:szCs w:val="22"/>
            <w:u w:val="single"/>
          </w:rPr>
          <w:t>jim.bird@fcc.gov</w:t>
        </w:r>
      </w:hyperlink>
      <w:r w:rsidRPr="00883C73">
        <w:rPr>
          <w:szCs w:val="22"/>
        </w:rPr>
        <w:t>.</w:t>
      </w:r>
    </w:p>
    <w:p w:rsidR="00883C73" w:rsidRPr="00883C73" w:rsidP="00883C73">
      <w:pPr>
        <w:autoSpaceDE w:val="0"/>
        <w:autoSpaceDN w:val="0"/>
        <w:adjustRightInd w:val="0"/>
        <w:ind w:firstLine="720"/>
        <w:rPr>
          <w:szCs w:val="22"/>
        </w:rPr>
      </w:pPr>
    </w:p>
    <w:p w:rsidR="00883C73" w:rsidRPr="00883C73" w:rsidP="00883C73">
      <w:pPr>
        <w:autoSpaceDE w:val="0"/>
        <w:autoSpaceDN w:val="0"/>
        <w:adjustRightInd w:val="0"/>
        <w:spacing w:after="120"/>
        <w:ind w:firstLine="720"/>
        <w:rPr>
          <w:szCs w:val="22"/>
        </w:rPr>
      </w:pPr>
      <w:r w:rsidRPr="00883C73">
        <w:rPr>
          <w:szCs w:val="22"/>
        </w:rPr>
        <w:t xml:space="preserve">The proceeding in this Notice shall be treated as a “permit-but-disclose” proceeding in accordance with the Commission’s </w:t>
      </w:r>
      <w:r w:rsidRPr="00883C73">
        <w:rPr>
          <w:i/>
          <w:szCs w:val="22"/>
        </w:rPr>
        <w:t>ex parte</w:t>
      </w:r>
      <w:r w:rsidRPr="00883C73">
        <w:rPr>
          <w:szCs w:val="22"/>
        </w:rPr>
        <w:t xml:space="preserve"> rules.  Persons making </w:t>
      </w:r>
      <w:r w:rsidRPr="00883C73">
        <w:rPr>
          <w:i/>
          <w:szCs w:val="22"/>
        </w:rPr>
        <w:t>ex parte</w:t>
      </w:r>
      <w:r w:rsidRPr="00883C73">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83C73">
        <w:rPr>
          <w:i/>
          <w:szCs w:val="22"/>
        </w:rPr>
        <w:t>ex parte</w:t>
      </w:r>
      <w:r w:rsidRPr="00883C73">
        <w:rPr>
          <w:szCs w:val="22"/>
        </w:rPr>
        <w:t xml:space="preserve"> presentations are reminded that memoranda summarizing the presentation must (1) list all persons attending or otherwise participating in the meeting at which the </w:t>
      </w:r>
      <w:r w:rsidRPr="00883C73">
        <w:rPr>
          <w:i/>
          <w:szCs w:val="22"/>
        </w:rPr>
        <w:t>ex parte</w:t>
      </w:r>
      <w:r w:rsidRPr="00883C73">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83C73">
        <w:rPr>
          <w:i/>
          <w:szCs w:val="22"/>
        </w:rPr>
        <w:t>ex parte</w:t>
      </w:r>
      <w:r w:rsidRPr="00883C73">
        <w:rPr>
          <w:szCs w:val="22"/>
        </w:rPr>
        <w:t xml:space="preserve"> meetings are deemed to be written </w:t>
      </w:r>
      <w:r w:rsidRPr="00883C73">
        <w:rPr>
          <w:i/>
          <w:szCs w:val="22"/>
        </w:rPr>
        <w:t>ex parte</w:t>
      </w:r>
      <w:r w:rsidRPr="00883C73">
        <w:rPr>
          <w:szCs w:val="22"/>
        </w:rPr>
        <w:t xml:space="preserve"> presentations and must be filed consistent with rule 1.1206(b), 47 CFR § 1.1206(b).  Participants in this proceeding should familiarize themselves with the Commission’s </w:t>
      </w:r>
      <w:r w:rsidRPr="00883C73">
        <w:rPr>
          <w:i/>
          <w:szCs w:val="22"/>
        </w:rPr>
        <w:t>ex parte</w:t>
      </w:r>
      <w:r w:rsidRPr="00883C73">
        <w:rPr>
          <w:szCs w:val="22"/>
        </w:rPr>
        <w:t xml:space="preserve"> rules.</w:t>
      </w:r>
    </w:p>
    <w:p w:rsidR="00883C73" w:rsidRPr="00883C73" w:rsidP="00883C73">
      <w:pPr>
        <w:autoSpaceDE w:val="0"/>
        <w:autoSpaceDN w:val="0"/>
        <w:adjustRightInd w:val="0"/>
        <w:spacing w:after="120"/>
        <w:ind w:firstLine="720"/>
        <w:rPr>
          <w:szCs w:val="22"/>
        </w:rPr>
      </w:pPr>
      <w:r w:rsidRPr="00883C73">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2"/>
      </w:r>
      <w:r w:rsidRPr="00883C73">
        <w:rPr>
          <w:szCs w:val="22"/>
        </w:rPr>
        <w:t xml:space="preserve">  A party or interested person </w:t>
      </w:r>
      <w:r w:rsidRPr="00883C73">
        <w:rPr>
          <w:szCs w:val="22"/>
        </w:rPr>
        <w:t>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25958" w:rsidP="00F25958">
      <w:pPr>
        <w:spacing w:before="120"/>
        <w:ind w:firstLine="720"/>
        <w:rPr>
          <w:color w:val="000000"/>
          <w:szCs w:val="22"/>
        </w:rPr>
      </w:pPr>
      <w:r w:rsidRPr="0009631D">
        <w:rPr>
          <w:color w:val="000000"/>
          <w:szCs w:val="22"/>
        </w:rPr>
        <w:t xml:space="preserve">For further information, please contact </w:t>
      </w:r>
      <w:r>
        <w:rPr>
          <w:color w:val="000000"/>
          <w:szCs w:val="22"/>
        </w:rPr>
        <w:t>Gregory Kwan, Wireline Competition Bureau, (202) 418-1191; or Kimberly Cook, International Bureau, (202) 418-7532</w:t>
      </w:r>
      <w:r w:rsidRPr="0009631D">
        <w:rPr>
          <w:color w:val="000000"/>
          <w:szCs w:val="22"/>
        </w:rPr>
        <w:t>.</w:t>
      </w:r>
    </w:p>
    <w:p w:rsidR="00BF4038" w:rsidP="00DD5B16">
      <w:pPr>
        <w:ind w:firstLine="720"/>
        <w:rPr>
          <w:color w:val="000000"/>
          <w:szCs w:val="22"/>
        </w:rPr>
      </w:pPr>
    </w:p>
    <w:p w:rsidR="00BF4038" w:rsidRPr="0009631D" w:rsidP="00DD5B16">
      <w:pPr>
        <w:ind w:firstLine="720"/>
        <w:rPr>
          <w:color w:val="000000"/>
          <w:szCs w:val="22"/>
        </w:rPr>
      </w:pPr>
    </w:p>
    <w:p w:rsidR="00DD5B16" w:rsidRPr="00585942" w:rsidP="0031237C">
      <w:pPr>
        <w:jc w:val="center"/>
        <w:rPr>
          <w:b/>
          <w:color w:val="000000"/>
          <w:szCs w:val="22"/>
          <w:u w:val="single"/>
        </w:rPr>
      </w:pPr>
      <w:r>
        <w:rPr>
          <w:b/>
          <w:color w:val="000000"/>
          <w:szCs w:val="22"/>
        </w:rPr>
        <w:br w:type="page"/>
      </w:r>
      <w:r w:rsidRPr="00585942">
        <w:rPr>
          <w:b/>
          <w:color w:val="000000"/>
          <w:szCs w:val="22"/>
          <w:u w:val="single"/>
        </w:rPr>
        <w:t>ATTACHMENT A</w:t>
      </w:r>
    </w:p>
    <w:p w:rsidR="00DD5B16" w:rsidRPr="00585942" w:rsidP="00DD5B16">
      <w:pPr>
        <w:rPr>
          <w:b/>
          <w:color w:val="000000"/>
          <w:szCs w:val="22"/>
        </w:rPr>
      </w:pPr>
    </w:p>
    <w:p w:rsidR="00DD5B16" w:rsidRPr="00585942" w:rsidP="00DD5B16">
      <w:pPr>
        <w:rPr>
          <w:b/>
          <w:color w:val="000000"/>
          <w:szCs w:val="22"/>
        </w:rPr>
      </w:pPr>
    </w:p>
    <w:p w:rsidR="00DD5B16" w:rsidRPr="0022664E" w:rsidP="00DD5B16">
      <w:pPr>
        <w:rPr>
          <w:color w:val="000000"/>
          <w:szCs w:val="22"/>
        </w:rPr>
      </w:pPr>
      <w:r w:rsidRPr="00585942">
        <w:rPr>
          <w:b/>
          <w:color w:val="000000"/>
          <w:szCs w:val="22"/>
        </w:rPr>
        <w:t>SECTION 214 AUTHORIZATIONS</w:t>
      </w:r>
    </w:p>
    <w:p w:rsidR="00DD5B16" w:rsidRPr="0022664E" w:rsidP="00DD5B16">
      <w:pPr>
        <w:rPr>
          <w:color w:val="000000"/>
          <w:szCs w:val="22"/>
        </w:rPr>
      </w:pPr>
    </w:p>
    <w:p w:rsidR="00DD5B16" w:rsidRPr="00585942" w:rsidP="00DD5B16">
      <w:pPr>
        <w:rPr>
          <w:b/>
          <w:color w:val="000000"/>
          <w:szCs w:val="22"/>
        </w:rPr>
      </w:pPr>
      <w:r w:rsidRPr="00585942">
        <w:rPr>
          <w:b/>
          <w:color w:val="000000"/>
          <w:szCs w:val="22"/>
        </w:rPr>
        <w:t>A.</w:t>
      </w:r>
      <w:r w:rsidRPr="00585942">
        <w:rPr>
          <w:b/>
          <w:color w:val="000000"/>
          <w:szCs w:val="22"/>
        </w:rPr>
        <w:tab/>
        <w:t>International</w:t>
      </w:r>
    </w:p>
    <w:p w:rsidR="00DD5B16" w:rsidRPr="0022664E" w:rsidP="00DD5B16">
      <w:pPr>
        <w:rPr>
          <w:color w:val="000000"/>
          <w:szCs w:val="22"/>
        </w:rPr>
      </w:pPr>
    </w:p>
    <w:p w:rsidR="00DD5B16" w:rsidRPr="0022664E" w:rsidP="00DD5B16">
      <w:pPr>
        <w:rPr>
          <w:color w:val="000000"/>
          <w:szCs w:val="22"/>
        </w:rPr>
      </w:pPr>
      <w:bookmarkStart w:id="7" w:name="_Hlk1664737"/>
      <w:r w:rsidRPr="0022664E">
        <w:rPr>
          <w:color w:val="000000"/>
          <w:szCs w:val="22"/>
        </w:rPr>
        <w:t>The application for consent to the transfer of control of certain international section 214 authorizations ha</w:t>
      </w:r>
      <w:r>
        <w:rPr>
          <w:color w:val="000000"/>
          <w:szCs w:val="22"/>
        </w:rPr>
        <w:t>s</w:t>
      </w:r>
      <w:r w:rsidRPr="0022664E">
        <w:rPr>
          <w:color w:val="000000"/>
          <w:szCs w:val="22"/>
        </w:rPr>
        <w:t xml:space="preserve"> been assigned the file number listed below.</w:t>
      </w:r>
    </w:p>
    <w:bookmarkEnd w:id="7"/>
    <w:p w:rsidR="00DD5B16" w:rsidRPr="0022664E" w:rsidP="00DD5B16">
      <w:pPr>
        <w:rPr>
          <w:color w:val="000000"/>
          <w:szCs w:val="22"/>
        </w:rPr>
      </w:pPr>
    </w:p>
    <w:tbl>
      <w:tblPr>
        <w:tblW w:w="9738" w:type="dxa"/>
        <w:tblLook w:val="01E0"/>
      </w:tblPr>
      <w:tblGrid>
        <w:gridCol w:w="2880"/>
        <w:gridCol w:w="3888"/>
        <w:gridCol w:w="2970"/>
      </w:tblGrid>
      <w:tr w:rsidTr="00434531">
        <w:tblPrEx>
          <w:tblW w:w="9738" w:type="dxa"/>
          <w:tblLook w:val="01E0"/>
        </w:tblPrEx>
        <w:tc>
          <w:tcPr>
            <w:tcW w:w="2880" w:type="dxa"/>
          </w:tcPr>
          <w:p w:rsidR="00DD5B16" w:rsidRPr="0022664E" w:rsidP="00434531">
            <w:pPr>
              <w:rPr>
                <w:color w:val="000000"/>
                <w:szCs w:val="22"/>
              </w:rPr>
            </w:pPr>
            <w:bookmarkStart w:id="8" w:name="_Hlk1656452"/>
            <w:r w:rsidRPr="0022664E">
              <w:rPr>
                <w:color w:val="000000"/>
                <w:szCs w:val="22"/>
                <w:u w:val="single"/>
              </w:rPr>
              <w:t>File Number</w:t>
            </w:r>
          </w:p>
        </w:tc>
        <w:tc>
          <w:tcPr>
            <w:tcW w:w="3888" w:type="dxa"/>
          </w:tcPr>
          <w:p w:rsidR="00DD5B16" w:rsidRPr="0022664E" w:rsidP="00434531">
            <w:pPr>
              <w:rPr>
                <w:color w:val="000000"/>
                <w:szCs w:val="22"/>
              </w:rPr>
            </w:pPr>
            <w:r w:rsidRPr="0022664E">
              <w:rPr>
                <w:color w:val="000000"/>
                <w:szCs w:val="22"/>
                <w:u w:val="single"/>
              </w:rPr>
              <w:t>Authorization Holder</w:t>
            </w:r>
          </w:p>
        </w:tc>
        <w:tc>
          <w:tcPr>
            <w:tcW w:w="2970" w:type="dxa"/>
          </w:tcPr>
          <w:p w:rsidR="00DD5B16" w:rsidRPr="0022664E" w:rsidP="00434531">
            <w:pPr>
              <w:rPr>
                <w:color w:val="000000"/>
                <w:szCs w:val="22"/>
                <w:u w:val="single"/>
              </w:rPr>
            </w:pPr>
            <w:r w:rsidRPr="0022664E">
              <w:rPr>
                <w:color w:val="000000"/>
                <w:szCs w:val="22"/>
                <w:u w:val="single"/>
              </w:rPr>
              <w:t>Authorization Number</w:t>
            </w:r>
          </w:p>
          <w:p w:rsidR="00DD5B16" w:rsidRPr="0022664E" w:rsidP="00434531">
            <w:pPr>
              <w:rPr>
                <w:color w:val="000000"/>
                <w:szCs w:val="22"/>
                <w:u w:val="single"/>
              </w:rPr>
            </w:pPr>
          </w:p>
        </w:tc>
      </w:tr>
      <w:tr w:rsidTr="00434531">
        <w:tblPrEx>
          <w:tblW w:w="9738" w:type="dxa"/>
          <w:tblLook w:val="01E0"/>
        </w:tblPrEx>
        <w:tc>
          <w:tcPr>
            <w:tcW w:w="2880" w:type="dxa"/>
          </w:tcPr>
          <w:p w:rsidR="00DD5B16" w:rsidRPr="00704B2F" w:rsidP="00434531">
            <w:pPr>
              <w:rPr>
                <w:color w:val="000000"/>
                <w:szCs w:val="22"/>
                <w:highlight w:val="yellow"/>
              </w:rPr>
            </w:pPr>
            <w:bookmarkStart w:id="9" w:name="_Hlk1728800"/>
          </w:p>
        </w:tc>
        <w:tc>
          <w:tcPr>
            <w:tcW w:w="3888" w:type="dxa"/>
          </w:tcPr>
          <w:p w:rsidR="00DD5B16" w:rsidRPr="0022664E" w:rsidP="00434531">
            <w:pPr>
              <w:rPr>
                <w:color w:val="000000"/>
                <w:szCs w:val="22"/>
              </w:rPr>
            </w:pPr>
          </w:p>
        </w:tc>
        <w:tc>
          <w:tcPr>
            <w:tcW w:w="2970" w:type="dxa"/>
          </w:tcPr>
          <w:p w:rsidR="00DD5B16" w:rsidRPr="00704B2F" w:rsidP="00434531">
            <w:pPr>
              <w:rPr>
                <w:color w:val="000000"/>
                <w:szCs w:val="22"/>
                <w:highlight w:val="yellow"/>
              </w:rPr>
            </w:pPr>
          </w:p>
        </w:tc>
      </w:tr>
      <w:bookmarkEnd w:id="8"/>
      <w:bookmarkEnd w:id="9"/>
      <w:tr w:rsidTr="00434531">
        <w:tblPrEx>
          <w:tblW w:w="9738" w:type="dxa"/>
          <w:tblLook w:val="01E0"/>
        </w:tblPrEx>
        <w:tc>
          <w:tcPr>
            <w:tcW w:w="2880" w:type="dxa"/>
          </w:tcPr>
          <w:p w:rsidR="00DD5B16" w:rsidRPr="00704B2F" w:rsidP="00434531">
            <w:pPr>
              <w:rPr>
                <w:color w:val="000000"/>
                <w:szCs w:val="22"/>
                <w:highlight w:val="yellow"/>
              </w:rPr>
            </w:pPr>
            <w:r w:rsidRPr="008D3514">
              <w:rPr>
                <w:color w:val="000000"/>
                <w:szCs w:val="22"/>
              </w:rPr>
              <w:t>ITC-</w:t>
            </w:r>
            <w:r w:rsidR="00913C6C">
              <w:rPr>
                <w:color w:val="000000"/>
                <w:szCs w:val="22"/>
              </w:rPr>
              <w:t>T/C</w:t>
            </w:r>
            <w:r>
              <w:rPr>
                <w:color w:val="000000"/>
                <w:szCs w:val="22"/>
              </w:rPr>
              <w:t>-20</w:t>
            </w:r>
            <w:r w:rsidR="005C0296">
              <w:rPr>
                <w:color w:val="000000"/>
                <w:szCs w:val="22"/>
              </w:rPr>
              <w:t>20</w:t>
            </w:r>
            <w:r w:rsidR="00913C6C">
              <w:rPr>
                <w:color w:val="000000"/>
                <w:szCs w:val="22"/>
              </w:rPr>
              <w:t>0213</w:t>
            </w:r>
            <w:r w:rsidR="005C0296">
              <w:rPr>
                <w:color w:val="000000"/>
                <w:szCs w:val="22"/>
              </w:rPr>
              <w:t>-</w:t>
            </w:r>
            <w:r w:rsidR="0018672C">
              <w:rPr>
                <w:color w:val="000000"/>
                <w:szCs w:val="22"/>
              </w:rPr>
              <w:t>00030</w:t>
            </w:r>
          </w:p>
        </w:tc>
        <w:tc>
          <w:tcPr>
            <w:tcW w:w="3888" w:type="dxa"/>
          </w:tcPr>
          <w:p w:rsidR="00DD5B16" w:rsidRPr="0022664E" w:rsidP="00434531">
            <w:pPr>
              <w:rPr>
                <w:color w:val="000000"/>
                <w:szCs w:val="22"/>
              </w:rPr>
            </w:pPr>
            <w:r w:rsidRPr="008D3514">
              <w:rPr>
                <w:color w:val="000000"/>
                <w:szCs w:val="22"/>
              </w:rPr>
              <w:t>F</w:t>
            </w:r>
            <w:r>
              <w:rPr>
                <w:color w:val="000000"/>
                <w:szCs w:val="22"/>
              </w:rPr>
              <w:t>usion Connect, Inc.</w:t>
            </w:r>
          </w:p>
        </w:tc>
        <w:tc>
          <w:tcPr>
            <w:tcW w:w="2970" w:type="dxa"/>
          </w:tcPr>
          <w:p w:rsidR="00DD5B16" w:rsidRPr="00704B2F" w:rsidP="00434531">
            <w:pPr>
              <w:rPr>
                <w:color w:val="000000"/>
                <w:szCs w:val="22"/>
                <w:highlight w:val="yellow"/>
              </w:rPr>
            </w:pPr>
            <w:r w:rsidRPr="00267774">
              <w:rPr>
                <w:color w:val="000000"/>
                <w:szCs w:val="22"/>
              </w:rPr>
              <w:t>ITC-214-19971001-00592</w:t>
            </w:r>
          </w:p>
        </w:tc>
      </w:tr>
      <w:tr w:rsidTr="00434531">
        <w:tblPrEx>
          <w:tblW w:w="9738" w:type="dxa"/>
          <w:tblLook w:val="01E0"/>
        </w:tblPrEx>
        <w:tc>
          <w:tcPr>
            <w:tcW w:w="2880" w:type="dxa"/>
          </w:tcPr>
          <w:p w:rsidR="00DD5B16" w:rsidRPr="00704B2F" w:rsidP="00434531">
            <w:pPr>
              <w:rPr>
                <w:color w:val="000000"/>
                <w:szCs w:val="22"/>
                <w:highlight w:val="yellow"/>
              </w:rPr>
            </w:pPr>
          </w:p>
        </w:tc>
        <w:tc>
          <w:tcPr>
            <w:tcW w:w="3888" w:type="dxa"/>
          </w:tcPr>
          <w:p w:rsidR="00DD5B16" w:rsidRPr="0022664E" w:rsidP="00434531">
            <w:pPr>
              <w:rPr>
                <w:color w:val="000000"/>
                <w:szCs w:val="22"/>
              </w:rPr>
            </w:pPr>
          </w:p>
        </w:tc>
        <w:tc>
          <w:tcPr>
            <w:tcW w:w="2970" w:type="dxa"/>
          </w:tcPr>
          <w:p w:rsidR="00DD5B16" w:rsidRPr="00704B2F" w:rsidP="00434531">
            <w:pPr>
              <w:rPr>
                <w:color w:val="000000"/>
                <w:szCs w:val="22"/>
                <w:highlight w:val="yellow"/>
              </w:rPr>
            </w:pPr>
          </w:p>
        </w:tc>
      </w:tr>
      <w:tr w:rsidTr="00434531">
        <w:tblPrEx>
          <w:tblW w:w="9738" w:type="dxa"/>
          <w:tblLook w:val="01E0"/>
        </w:tblPrEx>
        <w:tc>
          <w:tcPr>
            <w:tcW w:w="2880" w:type="dxa"/>
          </w:tcPr>
          <w:p w:rsidR="00DD5B16" w:rsidRPr="00704B2F" w:rsidP="00434531">
            <w:pPr>
              <w:rPr>
                <w:color w:val="000000"/>
                <w:szCs w:val="22"/>
                <w:highlight w:val="yellow"/>
              </w:rPr>
            </w:pPr>
          </w:p>
        </w:tc>
        <w:tc>
          <w:tcPr>
            <w:tcW w:w="3888" w:type="dxa"/>
          </w:tcPr>
          <w:p w:rsidR="00DD5B16" w:rsidRPr="0022664E" w:rsidP="00434531">
            <w:pPr>
              <w:rPr>
                <w:color w:val="000000"/>
                <w:szCs w:val="22"/>
              </w:rPr>
            </w:pPr>
          </w:p>
        </w:tc>
        <w:tc>
          <w:tcPr>
            <w:tcW w:w="2970" w:type="dxa"/>
          </w:tcPr>
          <w:p w:rsidR="00DD5B16" w:rsidRPr="00704B2F" w:rsidP="00434531">
            <w:pPr>
              <w:rPr>
                <w:color w:val="000000"/>
                <w:szCs w:val="22"/>
                <w:highlight w:val="yellow"/>
              </w:rPr>
            </w:pPr>
          </w:p>
        </w:tc>
      </w:tr>
    </w:tbl>
    <w:p w:rsidR="00DD5B16" w:rsidRPr="00585942" w:rsidP="00DD5B16">
      <w:pPr>
        <w:rPr>
          <w:b/>
          <w:color w:val="000000"/>
          <w:szCs w:val="22"/>
        </w:rPr>
      </w:pPr>
      <w:r w:rsidRPr="00585942">
        <w:rPr>
          <w:b/>
          <w:color w:val="000000"/>
          <w:szCs w:val="22"/>
        </w:rPr>
        <w:t>B.</w:t>
      </w:r>
      <w:r w:rsidRPr="00585942">
        <w:rPr>
          <w:b/>
          <w:color w:val="000000"/>
          <w:szCs w:val="22"/>
        </w:rPr>
        <w:tab/>
        <w:t>Domestic</w:t>
      </w:r>
    </w:p>
    <w:p w:rsidR="00DD5B16" w:rsidRPr="0022664E" w:rsidP="00DD5B16">
      <w:pPr>
        <w:rPr>
          <w:color w:val="000000"/>
          <w:szCs w:val="22"/>
        </w:rPr>
      </w:pPr>
    </w:p>
    <w:p w:rsidR="00DD5B16" w:rsidP="00DD5B16">
      <w:pPr>
        <w:rPr>
          <w:color w:val="000000"/>
          <w:szCs w:val="22"/>
        </w:rPr>
      </w:pPr>
      <w:r w:rsidRPr="0022664E">
        <w:rPr>
          <w:color w:val="000000"/>
          <w:szCs w:val="22"/>
        </w:rPr>
        <w:t>Applicant</w:t>
      </w:r>
      <w:r w:rsidR="00C06F18">
        <w:rPr>
          <w:color w:val="000000"/>
          <w:szCs w:val="22"/>
        </w:rPr>
        <w:t xml:space="preserve"> </w:t>
      </w:r>
      <w:r w:rsidRPr="0022664E">
        <w:rPr>
          <w:color w:val="000000"/>
          <w:szCs w:val="22"/>
        </w:rPr>
        <w:t>filed an application to transfer control of domestic section 214 authority in connection with the proposed transaction – WC Docket No</w:t>
      </w:r>
      <w:r w:rsidRPr="00D463D2">
        <w:rPr>
          <w:color w:val="000000"/>
          <w:szCs w:val="22"/>
        </w:rPr>
        <w:t xml:space="preserve">. </w:t>
      </w:r>
      <w:r w:rsidR="00710A84">
        <w:rPr>
          <w:szCs w:val="22"/>
        </w:rPr>
        <w:t>20-44</w:t>
      </w:r>
      <w:r w:rsidRPr="008E581F">
        <w:rPr>
          <w:color w:val="000000"/>
          <w:szCs w:val="22"/>
        </w:rPr>
        <w:t>.</w:t>
      </w:r>
      <w:bookmarkStart w:id="10" w:name="sp_999_4"/>
      <w:bookmarkStart w:id="11" w:name="SDU_4"/>
      <w:bookmarkStart w:id="12" w:name="citeas((Cite_as:_26_F.C.C.R._13372,_*133"/>
      <w:bookmarkEnd w:id="10"/>
      <w:bookmarkEnd w:id="11"/>
      <w:bookmarkEnd w:id="12"/>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vertAlign w:val="superscript"/>
        </w:rPr>
        <w:footnoteReference w:id="23"/>
      </w:r>
      <w:r w:rsidRPr="00B62EDB">
        <w:rPr>
          <w:color w:val="000000"/>
          <w:szCs w:val="22"/>
        </w:rPr>
        <w:t xml:space="preserve"> </w:t>
      </w:r>
    </w:p>
    <w:p w:rsidR="00DD5B16" w:rsidP="00DD5B16">
      <w:pPr>
        <w:rPr>
          <w:color w:val="000000"/>
          <w:szCs w:val="22"/>
        </w:rPr>
      </w:pPr>
    </w:p>
    <w:bookmarkEnd w:id="0"/>
    <w:p w:rsidR="005C0296" w:rsidP="00DD5B16">
      <w:pPr>
        <w:rPr>
          <w:color w:val="000000"/>
          <w:szCs w:val="22"/>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531" w:rsidP="0055614C">
    <w:pPr>
      <w:pStyle w:val="Footer"/>
      <w:framePr w:wrap="around" w:vAnchor="text" w:hAnchor="margin" w:xAlign="center" w:y="1"/>
    </w:pPr>
    <w:r>
      <w:fldChar w:fldCharType="begin"/>
    </w:r>
    <w:r>
      <w:instrText xml:space="preserve">PAGE  </w:instrText>
    </w:r>
    <w:r>
      <w:fldChar w:fldCharType="separate"/>
    </w:r>
    <w:r>
      <w:fldChar w:fldCharType="end"/>
    </w:r>
  </w:p>
  <w:p w:rsidR="00434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531" w:rsidP="00910F12">
    <w:pPr>
      <w:pStyle w:val="Footer"/>
      <w:jc w:val="center"/>
    </w:pPr>
    <w:r>
      <w:fldChar w:fldCharType="begin"/>
    </w:r>
    <w:r>
      <w:instrText xml:space="preserve"> PAGE   \* MERGEFORMAT </w:instrText>
    </w:r>
    <w:r>
      <w:fldChar w:fldCharType="separate"/>
    </w:r>
    <w:r w:rsidR="00AB7729">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53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2A10">
      <w:r>
        <w:separator/>
      </w:r>
    </w:p>
  </w:footnote>
  <w:footnote w:type="continuationSeparator" w:id="1">
    <w:p w:rsidR="00712A10">
      <w:pPr>
        <w:rPr>
          <w:sz w:val="20"/>
        </w:rPr>
      </w:pPr>
      <w:r>
        <w:rPr>
          <w:sz w:val="20"/>
        </w:rPr>
        <w:t xml:space="preserve">(Continued from previous page)  </w:t>
      </w:r>
      <w:r>
        <w:rPr>
          <w:sz w:val="20"/>
        </w:rPr>
        <w:separator/>
      </w:r>
    </w:p>
  </w:footnote>
  <w:footnote w:type="continuationNotice" w:id="2">
    <w:p w:rsidR="00712A10" w:rsidP="00910F12">
      <w:pPr>
        <w:jc w:val="right"/>
        <w:rPr>
          <w:sz w:val="20"/>
        </w:rPr>
      </w:pPr>
      <w:r>
        <w:rPr>
          <w:sz w:val="20"/>
        </w:rPr>
        <w:t>(continued….)</w:t>
      </w:r>
    </w:p>
  </w:footnote>
  <w:footnote w:id="3">
    <w:p w:rsidR="00434531" w:rsidRPr="004E72B7" w:rsidP="00DD5B16">
      <w:pPr>
        <w:pStyle w:val="FootnoteText"/>
      </w:pPr>
      <w:r w:rsidRPr="00021F2D">
        <w:rPr>
          <w:rStyle w:val="FootnoteReference"/>
        </w:rPr>
        <w:footnoteRef/>
      </w:r>
      <w:r w:rsidRPr="00021F2D">
        <w:t xml:space="preserve"> </w:t>
      </w:r>
      <w:r w:rsidRPr="004E72B7">
        <w:t>47 U.S.C. §§ 214; 47 CFR §§ 63.03-04, 63.18, 63.24.</w:t>
      </w:r>
    </w:p>
  </w:footnote>
  <w:footnote w:id="4">
    <w:p w:rsidR="00EA2417" w:rsidRPr="004E72B7" w:rsidP="00635615">
      <w:pPr>
        <w:pStyle w:val="FootnoteText"/>
      </w:pPr>
      <w:r w:rsidRPr="004E72B7">
        <w:rPr>
          <w:rStyle w:val="FootnoteReference"/>
          <w:sz w:val="20"/>
        </w:rPr>
        <w:footnoteRef/>
      </w:r>
      <w:r w:rsidRPr="004E72B7">
        <w:t xml:space="preserve"> Joint Application of Fusion Connect, Inc., for Consent to a Transaction that </w:t>
      </w:r>
      <w:r w:rsidR="003F697E">
        <w:t>W</w:t>
      </w:r>
      <w:r w:rsidRPr="004E72B7">
        <w:t>ill Result in a Change of Control of Companies Holding Domestic and International Authority Pursuant to Section 214 of the Communications Act of 1934, as Amended, WC Docket No. 20-44, IB File No. ITC-</w:t>
      </w:r>
      <w:r w:rsidR="007B3F7E">
        <w:t>T/C</w:t>
      </w:r>
      <w:r w:rsidRPr="004E72B7">
        <w:t>-2020</w:t>
      </w:r>
      <w:r w:rsidR="007B3F7E">
        <w:t>0213</w:t>
      </w:r>
      <w:r w:rsidRPr="004E72B7">
        <w:t>-</w:t>
      </w:r>
      <w:r w:rsidR="007B3F7E">
        <w:t>00030</w:t>
      </w:r>
      <w:r w:rsidRPr="004E72B7">
        <w:t xml:space="preserve"> (filed Feb. 13, 2020) (Application).</w:t>
      </w:r>
      <w:r w:rsidR="00724C47">
        <w:t xml:space="preserve">  On </w:t>
      </w:r>
      <w:r w:rsidR="005A1245">
        <w:t xml:space="preserve">July </w:t>
      </w:r>
      <w:r w:rsidR="0067304E">
        <w:t>22</w:t>
      </w:r>
      <w:r w:rsidR="005A1245">
        <w:t>, 2020</w:t>
      </w:r>
      <w:r w:rsidR="00724C47">
        <w:t xml:space="preserve">, Applicant filed supplemental information and revisions to its Application. </w:t>
      </w:r>
      <w:r w:rsidR="00164F1D">
        <w:t xml:space="preserve"> </w:t>
      </w:r>
      <w:r w:rsidR="006A5570">
        <w:t>Restated</w:t>
      </w:r>
      <w:r w:rsidRPr="00164F1D" w:rsidR="00164F1D">
        <w:t xml:space="preserve"> Application of Fusion Connect, Inc., for Consent to a Transaction that Will Result in a Change of Control of Companies Holding Domestic and International Authority Pursuant to Section 214 of the Communications Act of 1934, as Amended, WC Docket No. 20-44, IB File No. ITC-T/C-20200213-00030 (filed </w:t>
      </w:r>
      <w:r w:rsidR="005A1245">
        <w:t xml:space="preserve">July </w:t>
      </w:r>
      <w:r w:rsidR="0067304E">
        <w:t>22</w:t>
      </w:r>
      <w:r w:rsidRPr="00164F1D" w:rsidR="00164F1D">
        <w:t xml:space="preserve">, 2020) </w:t>
      </w:r>
      <w:r w:rsidR="00E9385A">
        <w:t>(Re</w:t>
      </w:r>
      <w:r w:rsidR="006A5570">
        <w:t>stated</w:t>
      </w:r>
      <w:r w:rsidR="00E9385A">
        <w:t xml:space="preserve"> Application)</w:t>
      </w:r>
      <w:r w:rsidR="00724C47">
        <w:t>.</w:t>
      </w:r>
    </w:p>
  </w:footnote>
  <w:footnote w:id="5">
    <w:p w:rsidR="00434531" w:rsidRPr="0090545D" w:rsidP="00DD5B16">
      <w:pPr>
        <w:pStyle w:val="FootnoteText"/>
        <w:rPr>
          <w:i/>
          <w:iCs/>
        </w:rPr>
      </w:pPr>
      <w:r w:rsidRPr="004E72B7">
        <w:rPr>
          <w:rStyle w:val="FootnoteReference"/>
          <w:sz w:val="20"/>
        </w:rPr>
        <w:footnoteRef/>
      </w:r>
      <w:r w:rsidRPr="004E72B7">
        <w:t xml:space="preserve"> </w:t>
      </w:r>
      <w:r w:rsidRPr="0090545D" w:rsidR="0067304E">
        <w:t>Restated Application</w:t>
      </w:r>
      <w:r w:rsidRPr="0090545D">
        <w:t xml:space="preserve"> at 2-4</w:t>
      </w:r>
      <w:r w:rsidRPr="0090545D" w:rsidR="0067304E">
        <w:t xml:space="preserve"> and n.4 (listing </w:t>
      </w:r>
      <w:r w:rsidRPr="0090545D" w:rsidR="00FE33BC">
        <w:t>subsidiaries</w:t>
      </w:r>
      <w:r w:rsidRPr="0090545D" w:rsidR="0067304E">
        <w:t xml:space="preserve"> and stating that effective June 1, 2020, Fusion Telecom of Oklahoma, LLC and Fusion Telecom of Missouri, LLC completed a </w:t>
      </w:r>
      <w:r w:rsidRPr="0090545D" w:rsidR="0067304E">
        <w:rPr>
          <w:i/>
          <w:iCs/>
        </w:rPr>
        <w:t>pro forma</w:t>
      </w:r>
      <w:r w:rsidRPr="0090545D" w:rsidR="0067304E">
        <w:t xml:space="preserve"> transaction consolidating their regulat</w:t>
      </w:r>
      <w:r w:rsidRPr="0090545D" w:rsidR="00FE33BC">
        <w:t>ed</w:t>
      </w:r>
      <w:r w:rsidRPr="0090545D" w:rsidR="0067304E">
        <w:t xml:space="preserve"> assets into Fusion Cloud Services, LLC, the direct parent of Fusion Telecom of Oklahoma, LLC and Fusion Telecom of Missouri, LLC)</w:t>
      </w:r>
      <w:r w:rsidRPr="0090545D">
        <w:t xml:space="preserve">.  </w:t>
      </w:r>
      <w:r w:rsidRPr="0090545D" w:rsidR="00AB07BD">
        <w:t xml:space="preserve">On June 3, 2019, Fusion and its subsidiaries filed with the United States Bankruptcy Court for the Southern District of New York (Bankruptcy Court) a voluntary case under </w:t>
      </w:r>
      <w:r w:rsidRPr="0090545D" w:rsidR="0090545D">
        <w:t>C</w:t>
      </w:r>
      <w:r w:rsidRPr="0090545D" w:rsidR="00AB07BD">
        <w:t xml:space="preserve">hapter 11 of the United States Code.  </w:t>
      </w:r>
      <w:r w:rsidRPr="0090545D" w:rsidR="0090545D">
        <w:t xml:space="preserve">On December 17, 2019, the Bankruptcy Court approved the reorganization plan.  Restated </w:t>
      </w:r>
      <w:r w:rsidRPr="0090545D" w:rsidR="0090545D">
        <w:rPr>
          <w:iCs/>
        </w:rPr>
        <w:t>Application at 4</w:t>
      </w:r>
      <w:r w:rsidR="00717C54">
        <w:rPr>
          <w:iCs/>
        </w:rPr>
        <w:t xml:space="preserve"> </w:t>
      </w:r>
      <w:r w:rsidRPr="0090545D" w:rsidR="0090545D">
        <w:t>(citing</w:t>
      </w:r>
      <w:r w:rsidRPr="0090545D" w:rsidR="0090545D">
        <w:rPr>
          <w:i/>
        </w:rPr>
        <w:t xml:space="preserve"> Fusion Connect, Inc., et al., Debtors</w:t>
      </w:r>
      <w:r w:rsidRPr="0090545D" w:rsidR="0090545D">
        <w:t xml:space="preserve">, Case No. 19-11811 (Bankr. S.D.N.Y. June 3, 2019); </w:t>
      </w:r>
      <w:r w:rsidRPr="0090545D" w:rsidR="0090545D">
        <w:rPr>
          <w:i/>
          <w:iCs/>
        </w:rPr>
        <w:t>Fusion Connect, Inc., et al.</w:t>
      </w:r>
      <w:r w:rsidRPr="0090545D" w:rsidR="0090545D">
        <w:t>, Order (I) Confirming Third Amended Joint Chapter 11 Plan of Fusion Connect, Inc. and its Subsidiary Debtors and (II) Granting Related Relief, Case No. 19-11811 (SMB) (Bankr. S.D.N.Y. December 17, 2019)).</w:t>
      </w:r>
    </w:p>
  </w:footnote>
  <w:footnote w:id="6">
    <w:p w:rsidR="00434531">
      <w:pPr>
        <w:pStyle w:val="FootnoteText"/>
      </w:pPr>
      <w:r w:rsidRPr="004E72B7">
        <w:rPr>
          <w:rStyle w:val="FootnoteReference"/>
          <w:sz w:val="20"/>
        </w:rPr>
        <w:footnoteRef/>
      </w:r>
      <w:r w:rsidRPr="004E72B7">
        <w:t xml:space="preserve"> </w:t>
      </w:r>
      <w:r w:rsidR="001B5296">
        <w:t xml:space="preserve">Restated Application at </w:t>
      </w:r>
      <w:r w:rsidR="0090545D">
        <w:t>6</w:t>
      </w:r>
      <w:r w:rsidR="001B5296">
        <w:t>.</w:t>
      </w:r>
      <w:r w:rsidRPr="004E72B7">
        <w:t xml:space="preserve">    </w:t>
      </w:r>
    </w:p>
  </w:footnote>
  <w:footnote w:id="7">
    <w:p w:rsidR="00434531" w:rsidRPr="004E72B7" w:rsidP="000D169E">
      <w:pPr>
        <w:pStyle w:val="FootnoteText"/>
      </w:pPr>
      <w:r>
        <w:rPr>
          <w:rStyle w:val="FootnoteReference"/>
        </w:rPr>
        <w:footnoteRef/>
      </w:r>
      <w:r>
        <w:t xml:space="preserve"> </w:t>
      </w:r>
      <w:r w:rsidRPr="0090545D" w:rsidR="0090545D">
        <w:t>Id</w:t>
      </w:r>
      <w:r w:rsidR="00BE1096">
        <w:t>.</w:t>
      </w:r>
      <w:r w:rsidR="0090545D">
        <w:t xml:space="preserve"> at 5-6.  </w:t>
      </w:r>
      <w:r w:rsidRPr="0090545D">
        <w:t>On</w:t>
      </w:r>
      <w:r w:rsidRPr="004E72B7">
        <w:t xml:space="preserve"> January 10, 2020, the </w:t>
      </w:r>
      <w:r w:rsidR="009067F7">
        <w:t>Bureaus</w:t>
      </w:r>
      <w:r w:rsidRPr="004E72B7">
        <w:t xml:space="preserve"> granted the application</w:t>
      </w:r>
      <w:r w:rsidR="00AB07BD">
        <w:t>s</w:t>
      </w:r>
      <w:r w:rsidR="00BE1096">
        <w:t xml:space="preserve"> to</w:t>
      </w:r>
      <w:r w:rsidRPr="004E72B7">
        <w:t xml:space="preserve"> transfer control of Fusion Connect</w:t>
      </w:r>
      <w:r w:rsidR="00AA3631">
        <w:t>,</w:t>
      </w:r>
      <w:r w:rsidRPr="004E72B7">
        <w:t xml:space="preserve"> debtor-in-possession</w:t>
      </w:r>
      <w:r w:rsidR="00AA3631">
        <w:t>,</w:t>
      </w:r>
      <w:r w:rsidRPr="004E72B7">
        <w:t xml:space="preserve"> to Telecom Holdings, </w:t>
      </w:r>
      <w:r w:rsidR="00DC208E">
        <w:t>conditioned “</w:t>
      </w:r>
      <w:r w:rsidR="00BE1096">
        <w:t>up</w:t>
      </w:r>
      <w:r w:rsidR="00DC208E">
        <w:t>on the filing, no later than 30 days after closing the transaction authorized by such grant, of a petition for declaratory ruling to exceed the aggregate foreign ownership benchmark set forth in section 310(b)(4) of the Act and necessary transfer applications</w:t>
      </w:r>
      <w:r w:rsidRPr="004E72B7">
        <w:t>.</w:t>
      </w:r>
      <w:r w:rsidR="00002821">
        <w:t>”</w:t>
      </w:r>
      <w:r w:rsidRPr="004E72B7">
        <w:t xml:space="preserve">  </w:t>
      </w:r>
      <w:r w:rsidRPr="004E72B7">
        <w:rPr>
          <w:i/>
          <w:iCs/>
        </w:rPr>
        <w:t>Applications Granted for the Transfer of Control of Fusion Connect, Inc., Debtor-in-Possession, and Subsidiaries</w:t>
      </w:r>
      <w:r w:rsidRPr="004E72B7">
        <w:t>, Public Notice, DA 20-43</w:t>
      </w:r>
      <w:r w:rsidR="00DC208E">
        <w:t>, at 5-6</w:t>
      </w:r>
      <w:r w:rsidRPr="004E72B7">
        <w:t xml:space="preserve"> (WCB/IB, Jan. 10, 2020) (</w:t>
      </w:r>
      <w:r w:rsidRPr="00BD50BA">
        <w:rPr>
          <w:i/>
          <w:iCs/>
        </w:rPr>
        <w:t>First Transaction Grant</w:t>
      </w:r>
      <w:r w:rsidRPr="00BD50BA" w:rsidR="002A04B8">
        <w:rPr>
          <w:i/>
          <w:iCs/>
        </w:rPr>
        <w:t xml:space="preserve"> Public Notice</w:t>
      </w:r>
      <w:r w:rsidRPr="004E72B7">
        <w:t>)</w:t>
      </w:r>
      <w:r w:rsidR="009067F7">
        <w:t xml:space="preserve">.  </w:t>
      </w:r>
      <w:r w:rsidR="0090545D">
        <w:t xml:space="preserve">Fusion emerged from </w:t>
      </w:r>
      <w:r w:rsidR="00ED4757">
        <w:t>C</w:t>
      </w:r>
      <w:r w:rsidR="0090545D">
        <w:t xml:space="preserve">hapter 11 protection on January 14, 2020.  Restated Application at 6.  </w:t>
      </w:r>
      <w:r w:rsidR="00E513B7">
        <w:t xml:space="preserve">Fusion Cloud surrendered its wireless licenses on January 28, 2020, and Fusion states that it will therefore not file a petition for declaratory ruling to exceed the aggregate foreign ownership benchmark set forth in section 310(b)(4) of the Act.  </w:t>
      </w:r>
      <w:r w:rsidR="001B5296">
        <w:t xml:space="preserve">Restated Application at </w:t>
      </w:r>
      <w:r w:rsidR="0090545D">
        <w:t>6, n.15</w:t>
      </w:r>
      <w:r w:rsidR="00E513B7">
        <w:t>.</w:t>
      </w:r>
      <w:r w:rsidR="009067F7">
        <w:t xml:space="preserve"> </w:t>
      </w:r>
    </w:p>
  </w:footnote>
  <w:footnote w:id="8">
    <w:p w:rsidR="00434531" w:rsidRPr="004E72B7">
      <w:pPr>
        <w:pStyle w:val="FootnoteText"/>
      </w:pPr>
      <w:r w:rsidRPr="004E72B7">
        <w:rPr>
          <w:rStyle w:val="FootnoteReference"/>
          <w:sz w:val="20"/>
        </w:rPr>
        <w:footnoteRef/>
      </w:r>
      <w:r w:rsidRPr="004E72B7">
        <w:t xml:space="preserve"> </w:t>
      </w:r>
      <w:r w:rsidRPr="00BD50BA" w:rsidR="0090545D">
        <w:rPr>
          <w:i/>
          <w:iCs/>
        </w:rPr>
        <w:t>First Transaction Grant Public Notice</w:t>
      </w:r>
      <w:r w:rsidR="0090545D">
        <w:t xml:space="preserve"> </w:t>
      </w:r>
      <w:r w:rsidRPr="004E72B7" w:rsidR="0090545D">
        <w:t>at 3</w:t>
      </w:r>
      <w:r w:rsidR="0090545D">
        <w:t xml:space="preserve">.  </w:t>
      </w:r>
      <w:r w:rsidRPr="004E72B7">
        <w:t xml:space="preserve">Special Warrants, rather than, or in addition to, shares of common stock of </w:t>
      </w:r>
      <w:r w:rsidR="002A04B8">
        <w:t>Fusion</w:t>
      </w:r>
      <w:r w:rsidRPr="004E72B7">
        <w:t xml:space="preserve"> were issued to certain Lenders insofar as their equity ownership of </w:t>
      </w:r>
      <w:r w:rsidR="002A04B8">
        <w:t>Fusion</w:t>
      </w:r>
      <w:r w:rsidRPr="004E72B7">
        <w:t xml:space="preserve"> required review under the foreign ownership provisions in</w:t>
      </w:r>
      <w:r w:rsidR="00DD321E">
        <w:t xml:space="preserve"> section</w:t>
      </w:r>
      <w:r w:rsidRPr="004E72B7">
        <w:t xml:space="preserve"> 310(b)(4), in addition to the transfer of control provisions in sections 214 and 310(d) of the Act and associated Commission rules.  47 U.S.C. §§ 214, 310(b)(4) and (d).  </w:t>
      </w:r>
      <w:r w:rsidR="00E513B7">
        <w:t xml:space="preserve">According to Fusion, </w:t>
      </w:r>
      <w:r w:rsidR="00EC399A">
        <w:t xml:space="preserve">one purpose of </w:t>
      </w:r>
      <w:r w:rsidRPr="004E72B7">
        <w:t>the issuance of Special Warrants w</w:t>
      </w:r>
      <w:r w:rsidR="00EC399A">
        <w:t>as to</w:t>
      </w:r>
      <w:r w:rsidRPr="004E72B7">
        <w:t xml:space="preserve"> ensure that, at emergence, no more than 25% of </w:t>
      </w:r>
      <w:r w:rsidR="002A04B8">
        <w:t>Fusion’s</w:t>
      </w:r>
      <w:r w:rsidRPr="004E72B7">
        <w:t xml:space="preserve"> equity or voting interests would be held, in the aggregate, by foreign individuals or foreign-organized entities, and no single foreign individual or foreign-organized entity would hold as much as 10% of </w:t>
      </w:r>
      <w:r w:rsidR="00E513B7">
        <w:t>Fusion’s</w:t>
      </w:r>
      <w:r w:rsidRPr="004E72B7">
        <w:t xml:space="preserve"> equity or voting interests.</w:t>
      </w:r>
      <w:r w:rsidRPr="004E72B7">
        <w:rPr>
          <w:i/>
          <w:iCs/>
        </w:rPr>
        <w:t xml:space="preserve">  </w:t>
      </w:r>
      <w:bookmarkStart w:id="5" w:name="_Hlk32994003"/>
      <w:bookmarkStart w:id="6" w:name="_Hlk46489574"/>
      <w:r w:rsidRPr="00BD50BA">
        <w:rPr>
          <w:i/>
          <w:iCs/>
        </w:rPr>
        <w:t xml:space="preserve">First Transaction Grant </w:t>
      </w:r>
      <w:r w:rsidRPr="00BD50BA" w:rsidR="002A04B8">
        <w:rPr>
          <w:i/>
          <w:iCs/>
        </w:rPr>
        <w:t>Public Notice</w:t>
      </w:r>
      <w:r w:rsidR="002A04B8">
        <w:t xml:space="preserve"> </w:t>
      </w:r>
      <w:r w:rsidRPr="004E72B7">
        <w:t>at 3</w:t>
      </w:r>
      <w:bookmarkEnd w:id="6"/>
      <w:r w:rsidRPr="004E72B7">
        <w:t>.</w:t>
      </w:r>
      <w:r w:rsidR="00E355DD">
        <w:t xml:space="preserve"> </w:t>
      </w:r>
      <w:r w:rsidR="008544F8">
        <w:t xml:space="preserve"> </w:t>
      </w:r>
    </w:p>
    <w:bookmarkEnd w:id="5"/>
  </w:footnote>
  <w:footnote w:id="9">
    <w:p w:rsidR="00434531" w:rsidRPr="004E72B7">
      <w:pPr>
        <w:pStyle w:val="FootnoteText"/>
      </w:pPr>
      <w:r w:rsidRPr="004E72B7">
        <w:rPr>
          <w:rStyle w:val="FootnoteReference"/>
          <w:sz w:val="20"/>
        </w:rPr>
        <w:footnoteRef/>
      </w:r>
      <w:r w:rsidRPr="004E72B7">
        <w:t xml:space="preserve"> </w:t>
      </w:r>
      <w:r w:rsidR="001B5296">
        <w:t xml:space="preserve">Restated Application at </w:t>
      </w:r>
      <w:r w:rsidR="00E900FA">
        <w:t>5-6</w:t>
      </w:r>
      <w:r w:rsidR="001B5296">
        <w:t xml:space="preserve">; </w:t>
      </w:r>
      <w:r w:rsidRPr="00516819">
        <w:t>First</w:t>
      </w:r>
      <w:r w:rsidRPr="00BD50BA">
        <w:rPr>
          <w:i/>
          <w:iCs/>
        </w:rPr>
        <w:t xml:space="preserve"> Transaction Grant </w:t>
      </w:r>
      <w:r w:rsidRPr="00BD50BA" w:rsidR="00D2753E">
        <w:rPr>
          <w:i/>
          <w:iCs/>
        </w:rPr>
        <w:t>Public Notice</w:t>
      </w:r>
      <w:r w:rsidR="00D2753E">
        <w:t xml:space="preserve"> </w:t>
      </w:r>
      <w:r w:rsidRPr="004E72B7">
        <w:t>at 3.</w:t>
      </w:r>
      <w:r w:rsidR="009067F7">
        <w:t xml:space="preserve">  </w:t>
      </w:r>
    </w:p>
  </w:footnote>
  <w:footnote w:id="10">
    <w:p w:rsidR="00E21481" w:rsidRPr="00516819" w:rsidP="00516819">
      <w:pPr>
        <w:pStyle w:val="FootnoteText"/>
      </w:pPr>
      <w:r w:rsidRPr="004E72B7">
        <w:rPr>
          <w:rStyle w:val="FootnoteReference"/>
          <w:sz w:val="20"/>
        </w:rPr>
        <w:footnoteRef/>
      </w:r>
      <w:r w:rsidRPr="004E72B7">
        <w:t xml:space="preserve"> </w:t>
      </w:r>
      <w:r w:rsidRPr="00516819" w:rsidR="00E900FA">
        <w:t xml:space="preserve">Restated Application at 6-7. </w:t>
      </w:r>
    </w:p>
  </w:footnote>
  <w:footnote w:id="11">
    <w:p w:rsidR="00434531" w:rsidRPr="00516819" w:rsidP="003419D1">
      <w:pPr>
        <w:pStyle w:val="FootnoteText"/>
      </w:pPr>
      <w:r w:rsidRPr="00516819">
        <w:rPr>
          <w:rStyle w:val="FootnoteReference"/>
          <w:sz w:val="20"/>
        </w:rPr>
        <w:footnoteRef/>
      </w:r>
      <w:r w:rsidRPr="00516819">
        <w:t xml:space="preserve"> </w:t>
      </w:r>
      <w:r w:rsidRPr="00516819" w:rsidR="00E900FA">
        <w:rPr>
          <w:i/>
          <w:iCs/>
        </w:rPr>
        <w:t>Id</w:t>
      </w:r>
      <w:r w:rsidRPr="00516819" w:rsidR="00E900FA">
        <w:t>. at 7.</w:t>
      </w:r>
    </w:p>
  </w:footnote>
  <w:footnote w:id="12">
    <w:p w:rsidR="00434531" w:rsidRPr="00901CA0">
      <w:pPr>
        <w:pStyle w:val="FootnoteText"/>
      </w:pPr>
      <w:r w:rsidRPr="00516819">
        <w:rPr>
          <w:rStyle w:val="FootnoteReference"/>
          <w:sz w:val="20"/>
        </w:rPr>
        <w:footnoteRef/>
      </w:r>
      <w:r w:rsidRPr="00516819">
        <w:t xml:space="preserve"> </w:t>
      </w:r>
      <w:r w:rsidR="00901CA0">
        <w:rPr>
          <w:i/>
          <w:iCs/>
        </w:rPr>
        <w:t>Id</w:t>
      </w:r>
      <w:r w:rsidR="00901CA0">
        <w:t>.</w:t>
      </w:r>
    </w:p>
  </w:footnote>
  <w:footnote w:id="13">
    <w:p w:rsidR="008A2944">
      <w:pPr>
        <w:pStyle w:val="FootnoteText"/>
      </w:pPr>
      <w:r>
        <w:rPr>
          <w:rStyle w:val="FootnoteReference"/>
        </w:rPr>
        <w:footnoteRef/>
      </w:r>
      <w:r>
        <w:t xml:space="preserve"> </w:t>
      </w:r>
      <w:r w:rsidRPr="00901CA0" w:rsidR="00901CA0">
        <w:rPr>
          <w:i/>
          <w:iCs/>
        </w:rPr>
        <w:t>Id</w:t>
      </w:r>
      <w:r w:rsidR="00901CA0">
        <w:t>.</w:t>
      </w:r>
      <w:r w:rsidR="00516819">
        <w:t xml:space="preserve"> at Attach</w:t>
      </w:r>
      <w:r w:rsidR="00567CD5">
        <w:t>.</w:t>
      </w:r>
      <w:r w:rsidR="00516819">
        <w:t xml:space="preserve"> 1 (Ten Percent or Greater Interest Holders/Interlocking Director) at 18-23.  </w:t>
      </w:r>
      <w:r w:rsidR="00272BA8">
        <w:t xml:space="preserve">Applicant </w:t>
      </w:r>
      <w:r w:rsidR="00516819">
        <w:t xml:space="preserve">provided detailed </w:t>
      </w:r>
      <w:r w:rsidR="008D04F3">
        <w:t xml:space="preserve">ownership </w:t>
      </w:r>
      <w:r w:rsidR="00516819">
        <w:t>information on the Reportable Stockhol</w:t>
      </w:r>
      <w:r w:rsidR="00B83FFF">
        <w:t>d</w:t>
      </w:r>
      <w:r w:rsidR="00516819">
        <w:t>ers in Attach. 1</w:t>
      </w:r>
      <w:r w:rsidR="008D04F3">
        <w:t>, as well as pre-and pos</w:t>
      </w:r>
      <w:r w:rsidR="00901CA0">
        <w:t>t</w:t>
      </w:r>
      <w:r w:rsidR="008D04F3">
        <w:t>-transaction ownership charts in Attach. 3.</w:t>
      </w:r>
      <w:r w:rsidR="00516819">
        <w:t xml:space="preserve">  </w:t>
      </w:r>
      <w:r w:rsidR="009E6D5E">
        <w:t xml:space="preserve"> </w:t>
      </w:r>
    </w:p>
  </w:footnote>
  <w:footnote w:id="14">
    <w:p w:rsidR="00C83FBD">
      <w:pPr>
        <w:pStyle w:val="FootnoteText"/>
      </w:pPr>
      <w:r>
        <w:rPr>
          <w:rStyle w:val="FootnoteReference"/>
        </w:rPr>
        <w:footnoteRef/>
      </w:r>
      <w:r>
        <w:t xml:space="preserve"> </w:t>
      </w:r>
      <w:r w:rsidR="00B83FFF">
        <w:t>Restated Application at Attach</w:t>
      </w:r>
      <w:r w:rsidR="00567CD5">
        <w:t>.</w:t>
      </w:r>
      <w:r w:rsidR="00B83FFF">
        <w:t xml:space="preserve"> 1 at 24-26.  </w:t>
      </w:r>
    </w:p>
  </w:footnote>
  <w:footnote w:id="15">
    <w:p w:rsidR="00434531" w:rsidRPr="004E72B7">
      <w:pPr>
        <w:pStyle w:val="FootnoteText"/>
      </w:pPr>
      <w:r w:rsidRPr="004E72B7">
        <w:rPr>
          <w:rStyle w:val="FootnoteReference"/>
          <w:sz w:val="20"/>
        </w:rPr>
        <w:footnoteRef/>
      </w:r>
      <w:r w:rsidRPr="004E72B7">
        <w:t xml:space="preserve"> </w:t>
      </w:r>
      <w:r w:rsidR="00901CA0">
        <w:rPr>
          <w:i/>
          <w:iCs/>
        </w:rPr>
        <w:t>Id</w:t>
      </w:r>
      <w:r w:rsidR="00901CA0">
        <w:t>. at</w:t>
      </w:r>
      <w:r w:rsidR="008D04F3">
        <w:t xml:space="preserve"> Attach</w:t>
      </w:r>
      <w:r w:rsidR="00567CD5">
        <w:t>.</w:t>
      </w:r>
      <w:r w:rsidR="008D04F3">
        <w:t xml:space="preserve"> 1 at 27-29.  </w:t>
      </w:r>
      <w:r w:rsidRPr="004E72B7">
        <w:t xml:space="preserve"> </w:t>
      </w:r>
      <w:r w:rsidR="00E21961">
        <w:t xml:space="preserve"> </w:t>
      </w:r>
      <w:r w:rsidRPr="004E72B7">
        <w:t xml:space="preserve"> </w:t>
      </w:r>
    </w:p>
  </w:footnote>
  <w:footnote w:id="16">
    <w:p w:rsidR="00434531" w:rsidRPr="00E34242">
      <w:pPr>
        <w:pStyle w:val="FootnoteText"/>
      </w:pPr>
      <w:r w:rsidRPr="004E72B7">
        <w:rPr>
          <w:rStyle w:val="FootnoteReference"/>
          <w:sz w:val="20"/>
        </w:rPr>
        <w:footnoteRef/>
      </w:r>
      <w:r w:rsidRPr="004E72B7">
        <w:t xml:space="preserve"> </w:t>
      </w:r>
      <w:r w:rsidR="00901CA0">
        <w:rPr>
          <w:i/>
          <w:iCs/>
        </w:rPr>
        <w:t>Id</w:t>
      </w:r>
      <w:r w:rsidR="00901CA0">
        <w:t>.</w:t>
      </w:r>
      <w:r w:rsidR="008D04F3">
        <w:t xml:space="preserve"> at Attach. 1 at 29-32.  </w:t>
      </w:r>
    </w:p>
  </w:footnote>
  <w:footnote w:id="17">
    <w:p w:rsidR="00434531" w:rsidRPr="00BD50BA">
      <w:pPr>
        <w:pStyle w:val="FootnoteText"/>
      </w:pPr>
      <w:r w:rsidRPr="00E34242">
        <w:rPr>
          <w:rStyle w:val="FootnoteReference"/>
          <w:sz w:val="20"/>
        </w:rPr>
        <w:footnoteRef/>
      </w:r>
      <w:r w:rsidRPr="00E34242">
        <w:t xml:space="preserve"> Applicant states that the Reportable Stockholders are institutional investors and will not have an active role in managing the day-to-day operation of the Fusion </w:t>
      </w:r>
      <w:r w:rsidR="00ED4757">
        <w:t>Licensees</w:t>
      </w:r>
      <w:r w:rsidRPr="00E34242">
        <w:t>, although t</w:t>
      </w:r>
      <w:r w:rsidRPr="00E34242" w:rsidR="00E34242">
        <w:t>he CBAM Entities, the Invesco Entities, and the Vector Funds</w:t>
      </w:r>
      <w:r w:rsidRPr="00E34242">
        <w:t xml:space="preserve"> will have certain rights as to the nomination of members to the </w:t>
      </w:r>
      <w:r w:rsidRPr="00E34242" w:rsidR="00E355DD">
        <w:t>Fusion</w:t>
      </w:r>
      <w:r w:rsidRPr="00E34242">
        <w:t xml:space="preserve"> </w:t>
      </w:r>
      <w:r w:rsidR="00ED4757">
        <w:t>B</w:t>
      </w:r>
      <w:r w:rsidRPr="00E34242">
        <w:t xml:space="preserve">oard of </w:t>
      </w:r>
      <w:r w:rsidR="00ED4757">
        <w:t>D</w:t>
      </w:r>
      <w:r w:rsidRPr="00E34242">
        <w:t xml:space="preserve">irectors.  </w:t>
      </w:r>
      <w:r w:rsidR="00ED4757">
        <w:t xml:space="preserve">Restated Application at 7-8.  </w:t>
      </w:r>
      <w:r w:rsidRPr="00E34242">
        <w:t xml:space="preserve">Applicant further states that while the </w:t>
      </w:r>
      <w:r w:rsidR="00ED4757">
        <w:t>B</w:t>
      </w:r>
      <w:r w:rsidRPr="00E34242">
        <w:t>oard will provide high-level oversight over Fusion’s executive management, it will not be involved in day-to-day decision-making</w:t>
      </w:r>
      <w:r w:rsidRPr="00E34242" w:rsidR="00E355DD">
        <w:t>, and that</w:t>
      </w:r>
      <w:r w:rsidRPr="00E34242">
        <w:t xml:space="preserve"> none of the </w:t>
      </w:r>
      <w:r w:rsidRPr="00E34242" w:rsidR="00AA009E">
        <w:t>s</w:t>
      </w:r>
      <w:r w:rsidRPr="00E34242">
        <w:t xml:space="preserve">tockholders, alone or in combination, will have or exercise control over the </w:t>
      </w:r>
      <w:r w:rsidR="00ED4757">
        <w:t>B</w:t>
      </w:r>
      <w:r w:rsidRPr="00E34242">
        <w:t xml:space="preserve">oard.  </w:t>
      </w:r>
      <w:r w:rsidR="00901CA0">
        <w:rPr>
          <w:i/>
          <w:iCs/>
        </w:rPr>
        <w:t>Id</w:t>
      </w:r>
      <w:r w:rsidR="00901CA0">
        <w:t xml:space="preserve">. at 7-8.  </w:t>
      </w:r>
      <w:r w:rsidR="00901CA0">
        <w:rPr>
          <w:i/>
          <w:iCs/>
        </w:rPr>
        <w:t xml:space="preserve"> </w:t>
      </w:r>
      <w:r w:rsidRPr="00E34242">
        <w:t xml:space="preserve">The Vector Funds will have the right to nominate two of the seven </w:t>
      </w:r>
      <w:r w:rsidR="00ED4757">
        <w:t>B</w:t>
      </w:r>
      <w:r w:rsidRPr="00E34242">
        <w:t>oard members</w:t>
      </w:r>
      <w:r w:rsidR="00901CA0">
        <w:t>,</w:t>
      </w:r>
      <w:r w:rsidRPr="00E34242">
        <w:t xml:space="preserve"> and</w:t>
      </w:r>
      <w:r w:rsidRPr="00E34242" w:rsidR="00E34242">
        <w:t xml:space="preserve"> the CBAM Entities and the Invesco Entities each currently have the right to nominate and to have its </w:t>
      </w:r>
      <w:r w:rsidRPr="00E34242">
        <w:t xml:space="preserve">nominees elected by the </w:t>
      </w:r>
      <w:r w:rsidRPr="00E34242" w:rsidR="00AA009E">
        <w:t>s</w:t>
      </w:r>
      <w:r w:rsidRPr="00E34242">
        <w:t>tockholders</w:t>
      </w:r>
      <w:r w:rsidRPr="00E34242" w:rsidR="00E513B7">
        <w:t>;</w:t>
      </w:r>
      <w:r w:rsidRPr="00E34242">
        <w:t xml:space="preserve"> however, Applicant states these nomination rights do not confer control over the seven-person </w:t>
      </w:r>
      <w:r w:rsidR="00407E3A">
        <w:t>B</w:t>
      </w:r>
      <w:r w:rsidRPr="00E34242">
        <w:t xml:space="preserve">oard.  </w:t>
      </w:r>
      <w:r w:rsidR="00901CA0">
        <w:rPr>
          <w:i/>
          <w:iCs/>
        </w:rPr>
        <w:t>Id</w:t>
      </w:r>
      <w:r w:rsidR="00E34242">
        <w:t>.</w:t>
      </w:r>
    </w:p>
  </w:footnote>
  <w:footnote w:id="18">
    <w:p w:rsidR="0050002D">
      <w:pPr>
        <w:pStyle w:val="FootnoteText"/>
      </w:pPr>
      <w:r>
        <w:rPr>
          <w:rStyle w:val="FootnoteReference"/>
        </w:rPr>
        <w:footnoteRef/>
      </w:r>
      <w:r>
        <w:t xml:space="preserve"> </w:t>
      </w:r>
      <w:r w:rsidR="00901CA0">
        <w:rPr>
          <w:i/>
          <w:iCs/>
        </w:rPr>
        <w:t>Id</w:t>
      </w:r>
      <w:r w:rsidR="00901CA0">
        <w:t>.</w:t>
      </w:r>
      <w:r>
        <w:t xml:space="preserve"> at n.20 and Attach. 1 at 29, 32</w:t>
      </w:r>
      <w:r w:rsidR="00901CA0">
        <w:t>.</w:t>
      </w:r>
    </w:p>
  </w:footnote>
  <w:footnote w:id="19">
    <w:p w:rsidR="00434531" w:rsidRPr="004E72B7">
      <w:pPr>
        <w:pStyle w:val="FootnoteText"/>
      </w:pPr>
      <w:r w:rsidRPr="004E72B7">
        <w:rPr>
          <w:rStyle w:val="FootnoteReference"/>
          <w:sz w:val="20"/>
        </w:rPr>
        <w:footnoteRef/>
      </w:r>
      <w:r w:rsidRPr="004E72B7">
        <w:t xml:space="preserve"> </w:t>
      </w:r>
      <w:r w:rsidR="00901CA0">
        <w:rPr>
          <w:i/>
          <w:iCs/>
        </w:rPr>
        <w:t>Id</w:t>
      </w:r>
      <w:r w:rsidR="00901CA0">
        <w:t>.</w:t>
      </w:r>
      <w:r w:rsidR="001B5296">
        <w:t xml:space="preserve"> at</w:t>
      </w:r>
      <w:r w:rsidR="0050002D">
        <w:t xml:space="preserve"> 8-10</w:t>
      </w:r>
      <w:r w:rsidRPr="004E72B7">
        <w:t xml:space="preserve">. </w:t>
      </w:r>
    </w:p>
  </w:footnote>
  <w:footnote w:id="20">
    <w:p w:rsidR="00790EE2">
      <w:pPr>
        <w:pStyle w:val="FootnoteText"/>
      </w:pPr>
      <w:r>
        <w:rPr>
          <w:rStyle w:val="FootnoteReference"/>
        </w:rPr>
        <w:footnoteRef/>
      </w:r>
      <w:r>
        <w:t xml:space="preserve"> </w:t>
      </w:r>
      <w:r w:rsidRPr="00497F4D">
        <w:rPr>
          <w:i/>
          <w:iCs/>
          <w:szCs w:val="22"/>
        </w:rPr>
        <w:t>See</w:t>
      </w:r>
      <w:r w:rsidRPr="00790EE2">
        <w:rPr>
          <w:szCs w:val="22"/>
        </w:rPr>
        <w:t xml:space="preserve"> </w:t>
      </w:r>
      <w:r w:rsidRPr="00635615">
        <w:rPr>
          <w:i/>
          <w:iCs/>
          <w:szCs w:val="22"/>
        </w:rPr>
        <w:t>Rules and Policies on Foreign Participation in the U.S. Telecommunications Market; Market Entry and Regulation of Foreign- Affiliated Entities</w:t>
      </w:r>
      <w:r w:rsidRPr="00790EE2">
        <w:rPr>
          <w:szCs w:val="22"/>
        </w:rPr>
        <w:t>, IB Docket Nos. 97-142 and 95-22, Report and Order and Order on Reconsideration, 12 FCC Rcd 23891, 23918-19, paras. 61-63 (1997) (</w:t>
      </w:r>
      <w:r w:rsidRPr="00497F4D">
        <w:rPr>
          <w:i/>
          <w:iCs/>
          <w:szCs w:val="22"/>
        </w:rPr>
        <w:t>Foreign Participation Order</w:t>
      </w:r>
      <w:r w:rsidRPr="00790EE2">
        <w:rPr>
          <w:szCs w:val="22"/>
        </w:rPr>
        <w:t>), recon. denied, 15 FCC Rcd 18158 (2000).</w:t>
      </w:r>
    </w:p>
  </w:footnote>
  <w:footnote w:id="21">
    <w:p w:rsidR="00883C73" w:rsidRPr="00735DB4" w:rsidP="00883C73">
      <w:pPr>
        <w:pStyle w:val="FootnoteText"/>
      </w:pPr>
      <w:r w:rsidRPr="00735DB4">
        <w:rPr>
          <w:rStyle w:val="FootnoteReference"/>
        </w:rPr>
        <w:footnoteRef/>
      </w:r>
      <w:r w:rsidRPr="00735DB4">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35DB4">
        <w:rPr>
          <w:i/>
          <w:iCs/>
        </w:rPr>
        <w:t xml:space="preserve">  FCC Announces Closure of FCC Headquarters Open Window and Change in Hand-Delivery Filing</w:t>
      </w:r>
      <w:r w:rsidRPr="00735DB4">
        <w:t>,</w:t>
      </w:r>
      <w:r w:rsidRPr="00735DB4">
        <w:rPr>
          <w:i/>
          <w:iCs/>
        </w:rPr>
        <w:t xml:space="preserve"> </w:t>
      </w:r>
      <w:r w:rsidRPr="00735DB4">
        <w:t xml:space="preserve">Public Notice, DA 20-304 (rel. Mar. 19, 2020).  </w:t>
      </w:r>
      <w:r w:rsidRPr="00735DB4">
        <w:rPr>
          <w:b/>
          <w:bCs/>
          <w:color w:val="201F1E"/>
          <w:shd w:val="clear" w:color="auto" w:fill="FFFFFF"/>
        </w:rPr>
        <w:t> </w:t>
      </w:r>
      <w:hyperlink r:id="rId1" w:tgtFrame="_blank" w:history="1">
        <w:r w:rsidRPr="00735DB4">
          <w:rPr>
            <w:color w:val="0563C1"/>
            <w:u w:val="single"/>
            <w:bdr w:val="none" w:sz="0" w:space="0" w:color="auto" w:frame="1"/>
            <w:shd w:val="clear" w:color="auto" w:fill="FFFFFF"/>
          </w:rPr>
          <w:t>https://www.fcc.gov/document/fcc-closes-headquarters-open-window-and-changes-hand-delivery-policy</w:t>
        </w:r>
      </w:hyperlink>
      <w:r w:rsidRPr="00735DB4">
        <w:t>.</w:t>
      </w:r>
      <w:r w:rsidRPr="00735DB4">
        <w:rPr>
          <w:color w:val="201F1E"/>
          <w:shd w:val="clear" w:color="auto" w:fill="FFFFFF"/>
        </w:rPr>
        <w:t> </w:t>
      </w:r>
    </w:p>
  </w:footnote>
  <w:footnote w:id="22">
    <w:p w:rsidR="00883C73" w:rsidRPr="00D77BE4" w:rsidP="00883C73">
      <w:pPr>
        <w:pStyle w:val="FootnoteText"/>
      </w:pPr>
      <w:r w:rsidRPr="00202C10">
        <w:rPr>
          <w:rStyle w:val="FootnoteReference"/>
        </w:rPr>
        <w:footnoteRef/>
      </w:r>
      <w:r w:rsidRPr="00202C10">
        <w:t xml:space="preserve"> </w:t>
      </w:r>
      <w:r w:rsidRPr="00202C10">
        <w:rPr>
          <w:i/>
        </w:rPr>
        <w:t>See</w:t>
      </w:r>
      <w:r w:rsidRPr="00202C10">
        <w:t xml:space="preserve"> 47 CFR § 1.45(c).</w:t>
      </w:r>
    </w:p>
  </w:footnote>
  <w:footnote w:id="23">
    <w:p w:rsidR="00434531" w:rsidRPr="00021F2D" w:rsidP="00DD5B16">
      <w:pPr>
        <w:pStyle w:val="FootnoteText"/>
        <w:rPr>
          <w:color w:val="000000"/>
        </w:rPr>
      </w:pPr>
      <w:r w:rsidRPr="00021F2D">
        <w:rPr>
          <w:rStyle w:val="FootnoteReference"/>
          <w:color w:val="000000"/>
        </w:rPr>
        <w:footnoteRef/>
      </w:r>
      <w:r w:rsidRPr="00021F2D">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531"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531"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434531" w:rsidP="009838BC">
                <w:pPr>
                  <w:rPr>
                    <w:rFonts w:ascii="Arial" w:hAnsi="Arial"/>
                    <w:b/>
                  </w:rPr>
                </w:pPr>
                <w:r>
                  <w:rPr>
                    <w:rFonts w:ascii="Arial" w:hAnsi="Arial"/>
                    <w:b/>
                  </w:rPr>
                  <w:t>Federal Communications Commission</w:t>
                </w:r>
              </w:p>
              <w:p w:rsidR="00434531"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34531"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434531" w:rsidRPr="00357D50" w:rsidP="009838BC">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1678.4pt,56.7pt" to="2146.4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434531" w:rsidP="009838BC">
                <w:pPr>
                  <w:spacing w:before="40"/>
                  <w:jc w:val="right"/>
                  <w:rPr>
                    <w:rFonts w:ascii="Arial" w:hAnsi="Arial"/>
                    <w:b/>
                    <w:sz w:val="16"/>
                  </w:rPr>
                </w:pPr>
                <w:r>
                  <w:rPr>
                    <w:rFonts w:ascii="Arial" w:hAnsi="Arial"/>
                    <w:b/>
                    <w:sz w:val="16"/>
                  </w:rPr>
                  <w:t>News Media Information 202 / 418-0500</w:t>
                </w:r>
              </w:p>
              <w:p w:rsidR="00434531" w:rsidP="009838BC">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434531" w:rsidP="009838BC">
                <w:pPr>
                  <w:jc w:val="right"/>
                </w:pPr>
                <w:r>
                  <w:rPr>
                    <w:rFonts w:ascii="Arial" w:hAnsi="Arial"/>
                    <w:b/>
                    <w:sz w:val="16"/>
                  </w:rPr>
                  <w:t>TTY: 1-888-835-5322</w:t>
                </w:r>
              </w:p>
            </w:txbxContent>
          </v:textbox>
        </v:shape>
      </w:pict>
    </w:r>
  </w:p>
  <w:p w:rsidR="00434531"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16"/>
    <w:rsid w:val="00002821"/>
    <w:rsid w:val="00002DE9"/>
    <w:rsid w:val="000072CE"/>
    <w:rsid w:val="00013A8B"/>
    <w:rsid w:val="000208C6"/>
    <w:rsid w:val="00021445"/>
    <w:rsid w:val="00021F2D"/>
    <w:rsid w:val="00024F33"/>
    <w:rsid w:val="00035CCD"/>
    <w:rsid w:val="00036039"/>
    <w:rsid w:val="00037F90"/>
    <w:rsid w:val="00056247"/>
    <w:rsid w:val="00057C39"/>
    <w:rsid w:val="00063A1E"/>
    <w:rsid w:val="000875BF"/>
    <w:rsid w:val="00091113"/>
    <w:rsid w:val="0009631D"/>
    <w:rsid w:val="00096D8C"/>
    <w:rsid w:val="000A2B5F"/>
    <w:rsid w:val="000C0B65"/>
    <w:rsid w:val="000D169E"/>
    <w:rsid w:val="000D1AAE"/>
    <w:rsid w:val="000E3D42"/>
    <w:rsid w:val="000E5884"/>
    <w:rsid w:val="00103254"/>
    <w:rsid w:val="00105C58"/>
    <w:rsid w:val="00110FC8"/>
    <w:rsid w:val="00122BD5"/>
    <w:rsid w:val="00137490"/>
    <w:rsid w:val="001402A5"/>
    <w:rsid w:val="001547A6"/>
    <w:rsid w:val="00155CE3"/>
    <w:rsid w:val="00164F1D"/>
    <w:rsid w:val="00171430"/>
    <w:rsid w:val="00185B57"/>
    <w:rsid w:val="0018672C"/>
    <w:rsid w:val="00190A6B"/>
    <w:rsid w:val="001979D9"/>
    <w:rsid w:val="001A7002"/>
    <w:rsid w:val="001B5296"/>
    <w:rsid w:val="001B709A"/>
    <w:rsid w:val="001C432E"/>
    <w:rsid w:val="001C49AE"/>
    <w:rsid w:val="001C5568"/>
    <w:rsid w:val="001D581A"/>
    <w:rsid w:val="001D6BCF"/>
    <w:rsid w:val="001E01CA"/>
    <w:rsid w:val="001F1207"/>
    <w:rsid w:val="001F1781"/>
    <w:rsid w:val="001F3E4B"/>
    <w:rsid w:val="001F6509"/>
    <w:rsid w:val="0020284D"/>
    <w:rsid w:val="00202C10"/>
    <w:rsid w:val="002060D9"/>
    <w:rsid w:val="0022664E"/>
    <w:rsid w:val="00226822"/>
    <w:rsid w:val="00241C7B"/>
    <w:rsid w:val="002455B2"/>
    <w:rsid w:val="00260594"/>
    <w:rsid w:val="00261F7A"/>
    <w:rsid w:val="00267774"/>
    <w:rsid w:val="00272BA8"/>
    <w:rsid w:val="00275F27"/>
    <w:rsid w:val="00285017"/>
    <w:rsid w:val="002A04B8"/>
    <w:rsid w:val="002A161E"/>
    <w:rsid w:val="002A2D2E"/>
    <w:rsid w:val="002C6CC9"/>
    <w:rsid w:val="003045ED"/>
    <w:rsid w:val="00310D5D"/>
    <w:rsid w:val="0031237C"/>
    <w:rsid w:val="0031710C"/>
    <w:rsid w:val="00324DB6"/>
    <w:rsid w:val="00335040"/>
    <w:rsid w:val="003419D1"/>
    <w:rsid w:val="00343749"/>
    <w:rsid w:val="0035206E"/>
    <w:rsid w:val="00357D50"/>
    <w:rsid w:val="0037020D"/>
    <w:rsid w:val="003774E2"/>
    <w:rsid w:val="0038502C"/>
    <w:rsid w:val="00386241"/>
    <w:rsid w:val="0039068F"/>
    <w:rsid w:val="003925DC"/>
    <w:rsid w:val="00393996"/>
    <w:rsid w:val="003A103D"/>
    <w:rsid w:val="003B0550"/>
    <w:rsid w:val="003B2667"/>
    <w:rsid w:val="003B531C"/>
    <w:rsid w:val="003B694F"/>
    <w:rsid w:val="003F171C"/>
    <w:rsid w:val="003F1882"/>
    <w:rsid w:val="003F697E"/>
    <w:rsid w:val="00401E03"/>
    <w:rsid w:val="004020C9"/>
    <w:rsid w:val="00404354"/>
    <w:rsid w:val="00407E3A"/>
    <w:rsid w:val="00412FC5"/>
    <w:rsid w:val="00422276"/>
    <w:rsid w:val="004242F1"/>
    <w:rsid w:val="004250E3"/>
    <w:rsid w:val="00434514"/>
    <w:rsid w:val="00434531"/>
    <w:rsid w:val="00437841"/>
    <w:rsid w:val="00445A00"/>
    <w:rsid w:val="00451B0F"/>
    <w:rsid w:val="0046125F"/>
    <w:rsid w:val="004778F5"/>
    <w:rsid w:val="00480095"/>
    <w:rsid w:val="004869B6"/>
    <w:rsid w:val="00487524"/>
    <w:rsid w:val="00494536"/>
    <w:rsid w:val="00496106"/>
    <w:rsid w:val="00497948"/>
    <w:rsid w:val="00497F4D"/>
    <w:rsid w:val="004B4E1F"/>
    <w:rsid w:val="004C12D0"/>
    <w:rsid w:val="004C173F"/>
    <w:rsid w:val="004C19AE"/>
    <w:rsid w:val="004C2EE3"/>
    <w:rsid w:val="004D05C1"/>
    <w:rsid w:val="004E4A22"/>
    <w:rsid w:val="004E72B7"/>
    <w:rsid w:val="004F731A"/>
    <w:rsid w:val="0050002D"/>
    <w:rsid w:val="00501C9E"/>
    <w:rsid w:val="00511968"/>
    <w:rsid w:val="00516819"/>
    <w:rsid w:val="00521A37"/>
    <w:rsid w:val="00525E8A"/>
    <w:rsid w:val="00535388"/>
    <w:rsid w:val="00546A17"/>
    <w:rsid w:val="00551FB2"/>
    <w:rsid w:val="00555317"/>
    <w:rsid w:val="0055614C"/>
    <w:rsid w:val="00567CD5"/>
    <w:rsid w:val="005706D9"/>
    <w:rsid w:val="0058438D"/>
    <w:rsid w:val="00585942"/>
    <w:rsid w:val="00585B9C"/>
    <w:rsid w:val="00591A7D"/>
    <w:rsid w:val="005A1245"/>
    <w:rsid w:val="005A1790"/>
    <w:rsid w:val="005A2F1C"/>
    <w:rsid w:val="005B5A00"/>
    <w:rsid w:val="005C010B"/>
    <w:rsid w:val="005C0296"/>
    <w:rsid w:val="005C7A28"/>
    <w:rsid w:val="005D1E32"/>
    <w:rsid w:val="005D4474"/>
    <w:rsid w:val="005E7686"/>
    <w:rsid w:val="005F14D2"/>
    <w:rsid w:val="0060113B"/>
    <w:rsid w:val="00607BA5"/>
    <w:rsid w:val="00620D15"/>
    <w:rsid w:val="00626EB6"/>
    <w:rsid w:val="006353A3"/>
    <w:rsid w:val="00635615"/>
    <w:rsid w:val="006377FA"/>
    <w:rsid w:val="00640105"/>
    <w:rsid w:val="00646370"/>
    <w:rsid w:val="0064795F"/>
    <w:rsid w:val="0065371F"/>
    <w:rsid w:val="00655D03"/>
    <w:rsid w:val="0067304E"/>
    <w:rsid w:val="006807CE"/>
    <w:rsid w:val="00680A66"/>
    <w:rsid w:val="00683F84"/>
    <w:rsid w:val="0068630B"/>
    <w:rsid w:val="00695750"/>
    <w:rsid w:val="00696679"/>
    <w:rsid w:val="006A5570"/>
    <w:rsid w:val="006A6A81"/>
    <w:rsid w:val="006B538A"/>
    <w:rsid w:val="006C0540"/>
    <w:rsid w:val="006E26AF"/>
    <w:rsid w:val="006F1DE2"/>
    <w:rsid w:val="006F2911"/>
    <w:rsid w:val="006F7393"/>
    <w:rsid w:val="0070224F"/>
    <w:rsid w:val="00704B2F"/>
    <w:rsid w:val="0070564B"/>
    <w:rsid w:val="00710A84"/>
    <w:rsid w:val="007115F7"/>
    <w:rsid w:val="00712A10"/>
    <w:rsid w:val="00717C54"/>
    <w:rsid w:val="00724C47"/>
    <w:rsid w:val="00732B6E"/>
    <w:rsid w:val="00735DB4"/>
    <w:rsid w:val="0075029A"/>
    <w:rsid w:val="00750DCC"/>
    <w:rsid w:val="00756708"/>
    <w:rsid w:val="007656E1"/>
    <w:rsid w:val="00773651"/>
    <w:rsid w:val="00785689"/>
    <w:rsid w:val="00790EE2"/>
    <w:rsid w:val="00795159"/>
    <w:rsid w:val="0079754B"/>
    <w:rsid w:val="00797F9C"/>
    <w:rsid w:val="007A1E6D"/>
    <w:rsid w:val="007B0FAF"/>
    <w:rsid w:val="007B3F7E"/>
    <w:rsid w:val="007B5A31"/>
    <w:rsid w:val="007C0611"/>
    <w:rsid w:val="007C4E21"/>
    <w:rsid w:val="007D165F"/>
    <w:rsid w:val="007D384B"/>
    <w:rsid w:val="007E234E"/>
    <w:rsid w:val="00812BE8"/>
    <w:rsid w:val="0081338A"/>
    <w:rsid w:val="00822CE0"/>
    <w:rsid w:val="008253BC"/>
    <w:rsid w:val="0082651F"/>
    <w:rsid w:val="00837C62"/>
    <w:rsid w:val="00841AB1"/>
    <w:rsid w:val="00846F1C"/>
    <w:rsid w:val="00850040"/>
    <w:rsid w:val="00853C23"/>
    <w:rsid w:val="008544F8"/>
    <w:rsid w:val="008724CF"/>
    <w:rsid w:val="0087618C"/>
    <w:rsid w:val="00883C73"/>
    <w:rsid w:val="00884F7A"/>
    <w:rsid w:val="0089374D"/>
    <w:rsid w:val="008A2944"/>
    <w:rsid w:val="008C22FD"/>
    <w:rsid w:val="008C5331"/>
    <w:rsid w:val="008D04F3"/>
    <w:rsid w:val="008D34EB"/>
    <w:rsid w:val="008D3514"/>
    <w:rsid w:val="008E581F"/>
    <w:rsid w:val="008F4D79"/>
    <w:rsid w:val="00901CA0"/>
    <w:rsid w:val="0090545D"/>
    <w:rsid w:val="009067F7"/>
    <w:rsid w:val="00910F12"/>
    <w:rsid w:val="00913C6C"/>
    <w:rsid w:val="00926503"/>
    <w:rsid w:val="00930ECF"/>
    <w:rsid w:val="00933DFF"/>
    <w:rsid w:val="009377FD"/>
    <w:rsid w:val="009463B9"/>
    <w:rsid w:val="00947C18"/>
    <w:rsid w:val="00965FF1"/>
    <w:rsid w:val="009813E9"/>
    <w:rsid w:val="009838BC"/>
    <w:rsid w:val="00986B64"/>
    <w:rsid w:val="0099367A"/>
    <w:rsid w:val="009966FD"/>
    <w:rsid w:val="00996E74"/>
    <w:rsid w:val="009B4D8B"/>
    <w:rsid w:val="009C50F6"/>
    <w:rsid w:val="009D44A7"/>
    <w:rsid w:val="009E6D5E"/>
    <w:rsid w:val="00A00FB5"/>
    <w:rsid w:val="00A06C90"/>
    <w:rsid w:val="00A1437E"/>
    <w:rsid w:val="00A14F73"/>
    <w:rsid w:val="00A353BC"/>
    <w:rsid w:val="00A45F4F"/>
    <w:rsid w:val="00A600A9"/>
    <w:rsid w:val="00A866AC"/>
    <w:rsid w:val="00AA009E"/>
    <w:rsid w:val="00AA3631"/>
    <w:rsid w:val="00AA55B7"/>
    <w:rsid w:val="00AA5B9E"/>
    <w:rsid w:val="00AA7EC5"/>
    <w:rsid w:val="00AB07BD"/>
    <w:rsid w:val="00AB2407"/>
    <w:rsid w:val="00AB53DF"/>
    <w:rsid w:val="00AB762F"/>
    <w:rsid w:val="00AB7729"/>
    <w:rsid w:val="00AD5E6D"/>
    <w:rsid w:val="00AE0AB1"/>
    <w:rsid w:val="00AE3CEC"/>
    <w:rsid w:val="00AF1592"/>
    <w:rsid w:val="00AF2AD6"/>
    <w:rsid w:val="00B045D1"/>
    <w:rsid w:val="00B048B2"/>
    <w:rsid w:val="00B07E5C"/>
    <w:rsid w:val="00B23D4E"/>
    <w:rsid w:val="00B326E3"/>
    <w:rsid w:val="00B4459B"/>
    <w:rsid w:val="00B56640"/>
    <w:rsid w:val="00B62EDB"/>
    <w:rsid w:val="00B7235D"/>
    <w:rsid w:val="00B811F7"/>
    <w:rsid w:val="00B83FFF"/>
    <w:rsid w:val="00B90293"/>
    <w:rsid w:val="00B9136E"/>
    <w:rsid w:val="00BA3D07"/>
    <w:rsid w:val="00BA5DC6"/>
    <w:rsid w:val="00BA6196"/>
    <w:rsid w:val="00BB2954"/>
    <w:rsid w:val="00BC6D8C"/>
    <w:rsid w:val="00BD3B1D"/>
    <w:rsid w:val="00BD50BA"/>
    <w:rsid w:val="00BD5A52"/>
    <w:rsid w:val="00BD6022"/>
    <w:rsid w:val="00BE0F14"/>
    <w:rsid w:val="00BE1096"/>
    <w:rsid w:val="00BE3A29"/>
    <w:rsid w:val="00BE49BB"/>
    <w:rsid w:val="00BE54FA"/>
    <w:rsid w:val="00BF4038"/>
    <w:rsid w:val="00C06F18"/>
    <w:rsid w:val="00C16AF2"/>
    <w:rsid w:val="00C27382"/>
    <w:rsid w:val="00C34006"/>
    <w:rsid w:val="00C426B1"/>
    <w:rsid w:val="00C57B23"/>
    <w:rsid w:val="00C773B2"/>
    <w:rsid w:val="00C821AE"/>
    <w:rsid w:val="00C82B6B"/>
    <w:rsid w:val="00C83FBD"/>
    <w:rsid w:val="00C85E31"/>
    <w:rsid w:val="00C90D6A"/>
    <w:rsid w:val="00C95D55"/>
    <w:rsid w:val="00CC72B6"/>
    <w:rsid w:val="00CF7DC5"/>
    <w:rsid w:val="00D01D03"/>
    <w:rsid w:val="00D0218D"/>
    <w:rsid w:val="00D031BC"/>
    <w:rsid w:val="00D216CD"/>
    <w:rsid w:val="00D2341B"/>
    <w:rsid w:val="00D26193"/>
    <w:rsid w:val="00D26DAC"/>
    <w:rsid w:val="00D2753E"/>
    <w:rsid w:val="00D34009"/>
    <w:rsid w:val="00D45BA1"/>
    <w:rsid w:val="00D463D2"/>
    <w:rsid w:val="00D71D7B"/>
    <w:rsid w:val="00D77BE4"/>
    <w:rsid w:val="00D8040C"/>
    <w:rsid w:val="00D81C2D"/>
    <w:rsid w:val="00D87946"/>
    <w:rsid w:val="00DA2529"/>
    <w:rsid w:val="00DB130A"/>
    <w:rsid w:val="00DC10A1"/>
    <w:rsid w:val="00DC208E"/>
    <w:rsid w:val="00DC380D"/>
    <w:rsid w:val="00DC521C"/>
    <w:rsid w:val="00DC655F"/>
    <w:rsid w:val="00DC7DA4"/>
    <w:rsid w:val="00DD321E"/>
    <w:rsid w:val="00DD3C0B"/>
    <w:rsid w:val="00DD5B16"/>
    <w:rsid w:val="00DD7AFD"/>
    <w:rsid w:val="00DD7EBD"/>
    <w:rsid w:val="00DE33D9"/>
    <w:rsid w:val="00DE3945"/>
    <w:rsid w:val="00DE48B1"/>
    <w:rsid w:val="00DE59A1"/>
    <w:rsid w:val="00DF2506"/>
    <w:rsid w:val="00DF62B6"/>
    <w:rsid w:val="00E00BBC"/>
    <w:rsid w:val="00E061C8"/>
    <w:rsid w:val="00E07225"/>
    <w:rsid w:val="00E155B7"/>
    <w:rsid w:val="00E21481"/>
    <w:rsid w:val="00E21961"/>
    <w:rsid w:val="00E33494"/>
    <w:rsid w:val="00E34242"/>
    <w:rsid w:val="00E355DD"/>
    <w:rsid w:val="00E42D57"/>
    <w:rsid w:val="00E513B7"/>
    <w:rsid w:val="00E53C1E"/>
    <w:rsid w:val="00E5409F"/>
    <w:rsid w:val="00E5485B"/>
    <w:rsid w:val="00E56FAD"/>
    <w:rsid w:val="00E678D2"/>
    <w:rsid w:val="00E70950"/>
    <w:rsid w:val="00E72EB6"/>
    <w:rsid w:val="00E83848"/>
    <w:rsid w:val="00E900FA"/>
    <w:rsid w:val="00E9385A"/>
    <w:rsid w:val="00EA0867"/>
    <w:rsid w:val="00EA2417"/>
    <w:rsid w:val="00EB0E04"/>
    <w:rsid w:val="00EC0185"/>
    <w:rsid w:val="00EC399A"/>
    <w:rsid w:val="00ED4757"/>
    <w:rsid w:val="00F021FA"/>
    <w:rsid w:val="00F16B88"/>
    <w:rsid w:val="00F17434"/>
    <w:rsid w:val="00F25958"/>
    <w:rsid w:val="00F263B2"/>
    <w:rsid w:val="00F32843"/>
    <w:rsid w:val="00F44595"/>
    <w:rsid w:val="00F447FD"/>
    <w:rsid w:val="00F47226"/>
    <w:rsid w:val="00F51CCA"/>
    <w:rsid w:val="00F54F5E"/>
    <w:rsid w:val="00F55970"/>
    <w:rsid w:val="00F57ACA"/>
    <w:rsid w:val="00F615C2"/>
    <w:rsid w:val="00F62E97"/>
    <w:rsid w:val="00F64209"/>
    <w:rsid w:val="00F70063"/>
    <w:rsid w:val="00F8346D"/>
    <w:rsid w:val="00F87181"/>
    <w:rsid w:val="00F93BF5"/>
    <w:rsid w:val="00F94A90"/>
    <w:rsid w:val="00F96F63"/>
    <w:rsid w:val="00FC1F78"/>
    <w:rsid w:val="00FC4326"/>
    <w:rsid w:val="00FC4D4B"/>
    <w:rsid w:val="00FD3DB5"/>
    <w:rsid w:val="00FE2E2E"/>
    <w:rsid w:val="00FE33BC"/>
    <w:rsid w:val="00FE4C84"/>
    <w:rsid w:val="00FE5BF4"/>
    <w:rsid w:val="00FE76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B7B5D30-AAD0-4E31-BB48-1E644DFC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16"/>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DD5B16"/>
  </w:style>
  <w:style w:type="character" w:customStyle="1" w:styleId="HeaderChar">
    <w:name w:val="Header Char"/>
    <w:link w:val="Header"/>
    <w:rsid w:val="00DD5B16"/>
    <w:rPr>
      <w:rFonts w:ascii="Arial" w:hAnsi="Arial" w:cs="Arial"/>
      <w:b/>
      <w:snapToGrid w:val="0"/>
      <w:kern w:val="28"/>
      <w:sz w:val="96"/>
      <w:szCs w:val="96"/>
    </w:rPr>
  </w:style>
  <w:style w:type="paragraph" w:styleId="NoSpacing">
    <w:name w:val="No Spacing"/>
    <w:uiPriority w:val="1"/>
    <w:qFormat/>
    <w:rsid w:val="00DD5B16"/>
    <w:rPr>
      <w:sz w:val="22"/>
    </w:rPr>
  </w:style>
  <w:style w:type="character" w:styleId="CommentReference">
    <w:name w:val="annotation reference"/>
    <w:uiPriority w:val="99"/>
    <w:semiHidden/>
    <w:unhideWhenUsed/>
    <w:rsid w:val="00750DCC"/>
    <w:rPr>
      <w:sz w:val="16"/>
      <w:szCs w:val="16"/>
    </w:rPr>
  </w:style>
  <w:style w:type="paragraph" w:styleId="CommentText">
    <w:name w:val="annotation text"/>
    <w:basedOn w:val="Normal"/>
    <w:link w:val="CommentTextChar"/>
    <w:uiPriority w:val="99"/>
    <w:semiHidden/>
    <w:unhideWhenUsed/>
    <w:rsid w:val="00750DCC"/>
    <w:rPr>
      <w:sz w:val="20"/>
    </w:rPr>
  </w:style>
  <w:style w:type="character" w:customStyle="1" w:styleId="CommentTextChar">
    <w:name w:val="Comment Text Char"/>
    <w:basedOn w:val="DefaultParagraphFont"/>
    <w:link w:val="CommentText"/>
    <w:uiPriority w:val="99"/>
    <w:semiHidden/>
    <w:rsid w:val="00750DCC"/>
  </w:style>
  <w:style w:type="paragraph" w:styleId="CommentSubject">
    <w:name w:val="annotation subject"/>
    <w:basedOn w:val="CommentText"/>
    <w:next w:val="CommentText"/>
    <w:link w:val="CommentSubjectChar"/>
    <w:uiPriority w:val="99"/>
    <w:semiHidden/>
    <w:unhideWhenUsed/>
    <w:rsid w:val="00750DCC"/>
    <w:rPr>
      <w:b/>
      <w:bCs/>
    </w:rPr>
  </w:style>
  <w:style w:type="character" w:customStyle="1" w:styleId="CommentSubjectChar">
    <w:name w:val="Comment Subject Char"/>
    <w:link w:val="CommentSubject"/>
    <w:uiPriority w:val="99"/>
    <w:semiHidden/>
    <w:rsid w:val="00750DCC"/>
    <w:rPr>
      <w:b/>
      <w:bCs/>
    </w:rPr>
  </w:style>
  <w:style w:type="paragraph" w:styleId="BalloonText">
    <w:name w:val="Balloon Text"/>
    <w:basedOn w:val="Normal"/>
    <w:link w:val="BalloonTextChar"/>
    <w:uiPriority w:val="99"/>
    <w:semiHidden/>
    <w:unhideWhenUsed/>
    <w:rsid w:val="00750DCC"/>
    <w:rPr>
      <w:rFonts w:ascii="Segoe UI" w:hAnsi="Segoe UI" w:cs="Segoe UI"/>
      <w:sz w:val="18"/>
      <w:szCs w:val="18"/>
    </w:rPr>
  </w:style>
  <w:style w:type="character" w:customStyle="1" w:styleId="BalloonTextChar">
    <w:name w:val="Balloon Text Char"/>
    <w:link w:val="BalloonText"/>
    <w:uiPriority w:val="99"/>
    <w:semiHidden/>
    <w:rsid w:val="00750DCC"/>
    <w:rPr>
      <w:rFonts w:ascii="Segoe UI" w:hAnsi="Segoe UI" w:cs="Segoe UI"/>
      <w:sz w:val="18"/>
      <w:szCs w:val="18"/>
    </w:rPr>
  </w:style>
  <w:style w:type="character" w:customStyle="1" w:styleId="UnresolvedMention">
    <w:name w:val="Unresolved Mention"/>
    <w:uiPriority w:val="99"/>
    <w:semiHidden/>
    <w:unhideWhenUsed/>
    <w:rsid w:val="0075029A"/>
    <w:rPr>
      <w:color w:val="605E5C"/>
      <w:shd w:val="clear" w:color="auto" w:fill="E1DFDD"/>
    </w:rPr>
  </w:style>
  <w:style w:type="paragraph" w:styleId="ListParagraph">
    <w:name w:val="List Paragraph"/>
    <w:basedOn w:val="Normal"/>
    <w:uiPriority w:val="34"/>
    <w:qFormat/>
    <w:rsid w:val="00155C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gregory.kwan@fcc.gov" TargetMode="External" /><Relationship Id="rId7" Type="http://schemas.openxmlformats.org/officeDocument/2006/relationships/hyperlink" Target="mailto:" TargetMode="External" /><Relationship Id="rId8" Type="http://schemas.openxmlformats.org/officeDocument/2006/relationships/hyperlink" Target="mailto:kimberly.cook@fcc.gov" TargetMode="External" /><Relationship Id="rId9" Type="http://schemas.openxmlformats.org/officeDocument/2006/relationships/hyperlink" Target="mailto:jim.bir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