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524102" w:rsidRPr="00A81848" w:rsidP="00524102" w14:paraId="3C1CA42A" w14:textId="77777777">
      <w:pPr>
        <w:widowControl/>
        <w:jc w:val="center"/>
        <w:rPr>
          <w:b/>
          <w:szCs w:val="24"/>
        </w:rPr>
      </w:pPr>
      <w:r w:rsidRPr="00A81848">
        <w:rPr>
          <w:b/>
          <w:szCs w:val="24"/>
        </w:rPr>
        <w:t>Before the</w:t>
      </w:r>
    </w:p>
    <w:p w:rsidR="00524102" w:rsidRPr="00A81848" w:rsidP="00524102" w14:paraId="31D2A6BE" w14:textId="77777777">
      <w:pPr>
        <w:jc w:val="center"/>
        <w:rPr>
          <w:b/>
          <w:szCs w:val="24"/>
        </w:rPr>
      </w:pPr>
      <w:r w:rsidRPr="00A81848">
        <w:rPr>
          <w:b/>
          <w:szCs w:val="24"/>
        </w:rPr>
        <w:t>Federal Communications Commission</w:t>
      </w:r>
    </w:p>
    <w:p w:rsidR="00524102" w:rsidRPr="00A81848" w:rsidP="00524102" w14:paraId="7953856F" w14:textId="77777777">
      <w:pPr>
        <w:jc w:val="center"/>
        <w:rPr>
          <w:szCs w:val="24"/>
        </w:rPr>
      </w:pPr>
      <w:smartTag w:uri="urn:schemas-microsoft-com:office:smarttags" w:element="PersonName">
        <w:smartTag w:uri="urn:schemas-microsoft-com:office:smarttags" w:element="City">
          <w:r w:rsidRPr="00A81848">
            <w:rPr>
              <w:b/>
              <w:szCs w:val="24"/>
            </w:rPr>
            <w:t>Washington</w:t>
          </w:r>
        </w:smartTag>
        <w:r w:rsidRPr="00A81848">
          <w:rPr>
            <w:b/>
            <w:szCs w:val="24"/>
          </w:rPr>
          <w:t xml:space="preserve">, </w:t>
        </w:r>
        <w:smartTag w:uri="urn:schemas-microsoft-com:office:smarttags" w:element="State">
          <w:r w:rsidRPr="00A81848">
            <w:rPr>
              <w:b/>
              <w:szCs w:val="24"/>
            </w:rPr>
            <w:t>D.C.</w:t>
          </w:r>
        </w:smartTag>
        <w:r w:rsidRPr="00A81848">
          <w:rPr>
            <w:b/>
            <w:szCs w:val="24"/>
          </w:rPr>
          <w:t xml:space="preserve"> </w:t>
        </w:r>
        <w:smartTag w:uri="urn:schemas-microsoft-com:office:smarttags" w:element="PostalCode">
          <w:r w:rsidRPr="00A81848">
            <w:rPr>
              <w:b/>
              <w:szCs w:val="24"/>
            </w:rPr>
            <w:t>20554</w:t>
          </w:r>
        </w:smartTag>
      </w:smartTag>
    </w:p>
    <w:p w:rsidR="00524102" w:rsidRPr="001106B2" w:rsidP="00524102" w14:paraId="1432FF4B" w14:textId="77777777">
      <w:r>
        <w:t xml:space="preserve">  </w:t>
      </w:r>
    </w:p>
    <w:tbl>
      <w:tblPr>
        <w:tblW w:w="20754" w:type="dxa"/>
        <w:tblLayout w:type="fixed"/>
        <w:tblLook w:val="0000"/>
      </w:tblPr>
      <w:tblGrid>
        <w:gridCol w:w="4698"/>
        <w:gridCol w:w="810"/>
        <w:gridCol w:w="5850"/>
        <w:gridCol w:w="4698"/>
        <w:gridCol w:w="4698"/>
      </w:tblGrid>
      <w:tr w14:paraId="2CEDEE0E" w14:textId="77777777" w:rsidTr="000B3E31">
        <w:tblPrEx>
          <w:tblW w:w="20754" w:type="dxa"/>
          <w:tblLayout w:type="fixed"/>
          <w:tblLook w:val="0000"/>
        </w:tblPrEx>
        <w:tc>
          <w:tcPr>
            <w:tcW w:w="4698" w:type="dxa"/>
          </w:tcPr>
          <w:p w:rsidR="00524102" w:rsidP="000B3E31" w14:paraId="03789F6A" w14:textId="77777777">
            <w:pPr>
              <w:tabs>
                <w:tab w:val="center" w:pos="4680"/>
              </w:tabs>
              <w:suppressAutoHyphens/>
              <w:rPr>
                <w:spacing w:val="-2"/>
                <w:szCs w:val="22"/>
              </w:rPr>
            </w:pPr>
            <w:r>
              <w:rPr>
                <w:spacing w:val="-2"/>
                <w:szCs w:val="22"/>
              </w:rPr>
              <w:t>In the Matter of</w:t>
            </w:r>
          </w:p>
          <w:p w:rsidR="00524102" w:rsidP="000B3E31" w14:paraId="45885DB4" w14:textId="77777777">
            <w:pPr>
              <w:tabs>
                <w:tab w:val="center" w:pos="4680"/>
              </w:tabs>
              <w:suppressAutoHyphens/>
              <w:rPr>
                <w:kern w:val="0"/>
                <w:szCs w:val="22"/>
              </w:rPr>
            </w:pPr>
          </w:p>
          <w:p w:rsidR="00524102" w:rsidRPr="00503DA8" w:rsidP="000B3E31" w14:paraId="1B7FA513" w14:textId="77777777">
            <w:pPr>
              <w:tabs>
                <w:tab w:val="center" w:pos="4680"/>
              </w:tabs>
              <w:suppressAutoHyphens/>
              <w:rPr>
                <w:kern w:val="0"/>
                <w:szCs w:val="22"/>
              </w:rPr>
            </w:pPr>
            <w:r w:rsidRPr="00503DA8">
              <w:rPr>
                <w:kern w:val="0"/>
                <w:szCs w:val="22"/>
              </w:rPr>
              <w:t xml:space="preserve">Lingo Communications of Kentucky, LLC  </w:t>
            </w:r>
          </w:p>
          <w:p w:rsidR="00524102" w:rsidRPr="00503DA8" w:rsidP="000B3E31" w14:paraId="0AEC85D9" w14:textId="77777777">
            <w:pPr>
              <w:tabs>
                <w:tab w:val="center" w:pos="4680"/>
              </w:tabs>
              <w:suppressAutoHyphens/>
              <w:rPr>
                <w:kern w:val="0"/>
                <w:szCs w:val="22"/>
              </w:rPr>
            </w:pPr>
            <w:r w:rsidRPr="00503DA8">
              <w:rPr>
                <w:kern w:val="0"/>
                <w:szCs w:val="22"/>
              </w:rPr>
              <w:t>Tariff F.C.C. No. 1</w:t>
            </w:r>
          </w:p>
          <w:p w:rsidR="00524102" w:rsidP="000B3E31" w14:paraId="2ED7954C" w14:textId="77777777">
            <w:pPr>
              <w:tabs>
                <w:tab w:val="center" w:pos="4680"/>
              </w:tabs>
              <w:suppressAutoHyphens/>
              <w:rPr>
                <w:spacing w:val="-2"/>
                <w:szCs w:val="22"/>
              </w:rPr>
            </w:pPr>
          </w:p>
        </w:tc>
        <w:tc>
          <w:tcPr>
            <w:tcW w:w="810" w:type="dxa"/>
          </w:tcPr>
          <w:p w:rsidR="00524102" w:rsidP="000B3E31" w14:paraId="1F8758AE" w14:textId="77777777">
            <w:pPr>
              <w:tabs>
                <w:tab w:val="center" w:pos="4680"/>
              </w:tabs>
              <w:suppressAutoHyphens/>
              <w:rPr>
                <w:b/>
                <w:spacing w:val="-2"/>
                <w:szCs w:val="22"/>
              </w:rPr>
            </w:pPr>
            <w:r>
              <w:rPr>
                <w:b/>
                <w:spacing w:val="-2"/>
                <w:szCs w:val="22"/>
              </w:rPr>
              <w:t>)</w:t>
            </w:r>
          </w:p>
          <w:p w:rsidR="00524102" w:rsidP="000B3E31" w14:paraId="2661DD69" w14:textId="77777777">
            <w:pPr>
              <w:tabs>
                <w:tab w:val="center" w:pos="4680"/>
              </w:tabs>
              <w:suppressAutoHyphens/>
              <w:rPr>
                <w:b/>
                <w:spacing w:val="-2"/>
                <w:szCs w:val="22"/>
              </w:rPr>
            </w:pPr>
            <w:r>
              <w:rPr>
                <w:b/>
                <w:spacing w:val="-2"/>
                <w:szCs w:val="22"/>
              </w:rPr>
              <w:t>)</w:t>
            </w:r>
          </w:p>
          <w:p w:rsidR="00524102" w:rsidP="000B3E31" w14:paraId="1377C297" w14:textId="77777777">
            <w:pPr>
              <w:tabs>
                <w:tab w:val="center" w:pos="4680"/>
              </w:tabs>
              <w:suppressAutoHyphens/>
              <w:rPr>
                <w:b/>
                <w:spacing w:val="-2"/>
                <w:szCs w:val="22"/>
              </w:rPr>
            </w:pPr>
            <w:r>
              <w:rPr>
                <w:b/>
                <w:spacing w:val="-2"/>
                <w:szCs w:val="22"/>
              </w:rPr>
              <w:t>)</w:t>
            </w:r>
          </w:p>
          <w:p w:rsidR="00524102" w:rsidP="000B3E31" w14:paraId="7470CC3B" w14:textId="4F70D182">
            <w:pPr>
              <w:tabs>
                <w:tab w:val="center" w:pos="4680"/>
              </w:tabs>
              <w:suppressAutoHyphens/>
              <w:rPr>
                <w:b/>
                <w:spacing w:val="-2"/>
                <w:szCs w:val="22"/>
              </w:rPr>
            </w:pPr>
            <w:r>
              <w:rPr>
                <w:b/>
                <w:spacing w:val="-2"/>
                <w:szCs w:val="22"/>
              </w:rPr>
              <w:t>)</w:t>
            </w:r>
          </w:p>
          <w:p w:rsidR="00524102" w:rsidP="000B3E31" w14:paraId="36224391" w14:textId="5B86D542">
            <w:pPr>
              <w:tabs>
                <w:tab w:val="center" w:pos="4680"/>
              </w:tabs>
              <w:suppressAutoHyphens/>
              <w:rPr>
                <w:b/>
                <w:spacing w:val="-2"/>
                <w:szCs w:val="22"/>
              </w:rPr>
            </w:pPr>
            <w:r>
              <w:rPr>
                <w:b/>
                <w:spacing w:val="-2"/>
                <w:szCs w:val="22"/>
              </w:rPr>
              <w:t>)</w:t>
            </w:r>
          </w:p>
          <w:p w:rsidR="00524102" w:rsidP="000B3E31" w14:paraId="2657E82C" w14:textId="77777777">
            <w:pPr>
              <w:tabs>
                <w:tab w:val="center" w:pos="4680"/>
              </w:tabs>
              <w:suppressAutoHyphens/>
              <w:rPr>
                <w:b/>
                <w:spacing w:val="-2"/>
                <w:szCs w:val="22"/>
              </w:rPr>
            </w:pPr>
          </w:p>
        </w:tc>
        <w:tc>
          <w:tcPr>
            <w:tcW w:w="5850" w:type="dxa"/>
          </w:tcPr>
          <w:p w:rsidR="00524102" w:rsidP="00524102" w14:paraId="57ED15D0" w14:textId="77777777">
            <w:pPr>
              <w:tabs>
                <w:tab w:val="center" w:pos="4680"/>
              </w:tabs>
              <w:suppressAutoHyphens/>
              <w:ind w:left="-108"/>
              <w:rPr>
                <w:spacing w:val="-2"/>
                <w:szCs w:val="22"/>
              </w:rPr>
            </w:pPr>
          </w:p>
          <w:p w:rsidR="00524102" w:rsidP="00524102" w14:paraId="1572B9D4" w14:textId="75805941">
            <w:pPr>
              <w:tabs>
                <w:tab w:val="center" w:pos="4680"/>
              </w:tabs>
              <w:suppressAutoHyphens/>
              <w:ind w:left="-108"/>
              <w:rPr>
                <w:spacing w:val="-2"/>
                <w:szCs w:val="22"/>
              </w:rPr>
            </w:pPr>
            <w:r>
              <w:rPr>
                <w:spacing w:val="-2"/>
                <w:szCs w:val="22"/>
              </w:rPr>
              <w:t>WC</w:t>
            </w:r>
            <w:r>
              <w:rPr>
                <w:spacing w:val="-2"/>
                <w:szCs w:val="22"/>
              </w:rPr>
              <w:t xml:space="preserve"> Docket </w:t>
            </w:r>
            <w:r w:rsidRPr="002825CB">
              <w:rPr>
                <w:spacing w:val="-2"/>
                <w:szCs w:val="22"/>
              </w:rPr>
              <w:t>No. 20-245</w:t>
            </w:r>
          </w:p>
          <w:p w:rsidR="00524102" w:rsidP="000B3E31" w14:paraId="6D4FA552" w14:textId="77777777">
            <w:pPr>
              <w:tabs>
                <w:tab w:val="center" w:pos="4680"/>
              </w:tabs>
              <w:suppressAutoHyphens/>
              <w:ind w:left="-108" w:firstLine="3"/>
              <w:rPr>
                <w:spacing w:val="-2"/>
                <w:szCs w:val="22"/>
              </w:rPr>
            </w:pPr>
          </w:p>
          <w:p w:rsidR="00524102" w:rsidP="000B3E31" w14:paraId="23863A8B" w14:textId="77777777">
            <w:pPr>
              <w:tabs>
                <w:tab w:val="center" w:pos="4680"/>
              </w:tabs>
              <w:suppressAutoHyphens/>
              <w:ind w:left="-108" w:firstLine="3"/>
              <w:rPr>
                <w:spacing w:val="-2"/>
                <w:szCs w:val="22"/>
              </w:rPr>
            </w:pPr>
            <w:r>
              <w:rPr>
                <w:spacing w:val="-2"/>
                <w:szCs w:val="22"/>
              </w:rPr>
              <w:t>Transmittal No. 3</w:t>
            </w:r>
          </w:p>
          <w:p w:rsidR="00524102" w:rsidP="000B3E31" w14:paraId="6F80B4CB" w14:textId="77777777">
            <w:pPr>
              <w:tabs>
                <w:tab w:val="center" w:pos="4680"/>
              </w:tabs>
              <w:suppressAutoHyphens/>
              <w:rPr>
                <w:spacing w:val="-2"/>
                <w:szCs w:val="22"/>
              </w:rPr>
            </w:pPr>
          </w:p>
        </w:tc>
        <w:tc>
          <w:tcPr>
            <w:tcW w:w="4698" w:type="dxa"/>
          </w:tcPr>
          <w:p w:rsidR="00524102" w:rsidRPr="001106B2" w:rsidP="000B3E31" w14:paraId="37A4C8D5" w14:textId="77777777">
            <w:pPr>
              <w:snapToGrid w:val="0"/>
            </w:pPr>
          </w:p>
        </w:tc>
        <w:tc>
          <w:tcPr>
            <w:tcW w:w="4698" w:type="dxa"/>
          </w:tcPr>
          <w:p w:rsidR="00524102" w:rsidRPr="001106B2" w:rsidP="000B3E31" w14:paraId="47B95B3C" w14:textId="77777777">
            <w:pPr>
              <w:rPr>
                <w:b/>
              </w:rPr>
            </w:pPr>
          </w:p>
        </w:tc>
      </w:tr>
    </w:tbl>
    <w:p w:rsidR="00524102" w:rsidRPr="00C27F15" w:rsidP="00524102" w14:paraId="3ED26015" w14:textId="77777777">
      <w:pPr>
        <w:spacing w:before="120"/>
        <w:jc w:val="center"/>
        <w:rPr>
          <w:b/>
          <w:szCs w:val="24"/>
        </w:rPr>
      </w:pPr>
      <w:r>
        <w:rPr>
          <w:b/>
          <w:spacing w:val="-2"/>
          <w:szCs w:val="24"/>
        </w:rPr>
        <w:t>ORD</w:t>
      </w:r>
      <w:r w:rsidRPr="00A81848">
        <w:rPr>
          <w:b/>
          <w:spacing w:val="-2"/>
          <w:szCs w:val="24"/>
        </w:rPr>
        <w:t>ER</w:t>
      </w:r>
    </w:p>
    <w:p w:rsidR="00524102" w:rsidP="00524102" w14:paraId="27BCED08" w14:textId="77777777">
      <w:pPr>
        <w:tabs>
          <w:tab w:val="left" w:pos="5760"/>
        </w:tabs>
        <w:rPr>
          <w:b/>
          <w:szCs w:val="24"/>
        </w:rPr>
      </w:pPr>
      <w:r w:rsidRPr="00A81848">
        <w:rPr>
          <w:b/>
          <w:szCs w:val="24"/>
        </w:rPr>
        <w:t xml:space="preserve">Adopted:  </w:t>
      </w:r>
      <w:r>
        <w:rPr>
          <w:b/>
          <w:szCs w:val="24"/>
        </w:rPr>
        <w:t>July 30, 2020</w:t>
      </w:r>
      <w:r w:rsidRPr="00A81848">
        <w:rPr>
          <w:b/>
          <w:szCs w:val="24"/>
        </w:rPr>
        <w:tab/>
      </w:r>
      <w:r>
        <w:rPr>
          <w:b/>
          <w:szCs w:val="24"/>
        </w:rPr>
        <w:tab/>
      </w:r>
      <w:r w:rsidRPr="00A81848">
        <w:rPr>
          <w:b/>
          <w:szCs w:val="24"/>
        </w:rPr>
        <w:t xml:space="preserve">Released:  </w:t>
      </w:r>
      <w:r>
        <w:rPr>
          <w:b/>
          <w:szCs w:val="24"/>
        </w:rPr>
        <w:t>July 30, 2020</w:t>
      </w:r>
    </w:p>
    <w:p w:rsidR="00524102" w:rsidRPr="00A81848" w:rsidP="00524102" w14:paraId="15DE18DC" w14:textId="77777777">
      <w:pPr>
        <w:tabs>
          <w:tab w:val="left" w:pos="5760"/>
        </w:tabs>
        <w:rPr>
          <w:b/>
          <w:szCs w:val="24"/>
        </w:rPr>
      </w:pPr>
    </w:p>
    <w:p w:rsidR="00524102" w:rsidRPr="00A81848" w:rsidP="00524102" w14:paraId="046C784E" w14:textId="77777777">
      <w:pPr>
        <w:tabs>
          <w:tab w:val="left" w:pos="5760"/>
        </w:tabs>
        <w:rPr>
          <w:spacing w:val="-2"/>
          <w:szCs w:val="24"/>
        </w:rPr>
      </w:pPr>
      <w:r w:rsidRPr="00A81848">
        <w:rPr>
          <w:szCs w:val="24"/>
        </w:rPr>
        <w:t xml:space="preserve">By the </w:t>
      </w:r>
      <w:r w:rsidRPr="00A81848">
        <w:rPr>
          <w:spacing w:val="-2"/>
          <w:szCs w:val="24"/>
        </w:rPr>
        <w:t xml:space="preserve">Chief, </w:t>
      </w:r>
      <w:r>
        <w:rPr>
          <w:spacing w:val="-2"/>
          <w:szCs w:val="24"/>
        </w:rPr>
        <w:t>Pricing Policy Division</w:t>
      </w:r>
      <w:r w:rsidRPr="00A81848">
        <w:rPr>
          <w:spacing w:val="-2"/>
          <w:szCs w:val="24"/>
        </w:rPr>
        <w:t>:</w:t>
      </w:r>
    </w:p>
    <w:p w:rsidR="00524102" w:rsidRPr="00A81848" w:rsidP="00524102" w14:paraId="50500DA5" w14:textId="77777777">
      <w:pPr>
        <w:tabs>
          <w:tab w:val="left" w:pos="5760"/>
        </w:tabs>
        <w:rPr>
          <w:spacing w:val="-2"/>
          <w:szCs w:val="24"/>
        </w:rPr>
      </w:pPr>
    </w:p>
    <w:p w:rsidR="00524102" w:rsidRPr="00A81848" w:rsidP="00524102" w14:paraId="2A284D75" w14:textId="77777777">
      <w:pPr>
        <w:pStyle w:val="Heading1"/>
        <w:rPr>
          <w:szCs w:val="24"/>
        </w:rPr>
      </w:pPr>
      <w:r w:rsidRPr="00A81848">
        <w:rPr>
          <w:szCs w:val="24"/>
        </w:rPr>
        <w:t>INTRODUCTION</w:t>
      </w:r>
    </w:p>
    <w:p w:rsidR="00524102" w:rsidP="00524102" w14:paraId="67304529" w14:textId="77777777">
      <w:pPr>
        <w:pStyle w:val="ParaNum"/>
      </w:pPr>
      <w:r>
        <w:t xml:space="preserve">On July 16, 2020, </w:t>
      </w:r>
      <w:r w:rsidRPr="006123A7">
        <w:t xml:space="preserve">Lingo Communications of Kentucky, LLC </w:t>
      </w:r>
      <w:r>
        <w:t xml:space="preserve">(Lingo) filed Transmittal No. 3 proposing </w:t>
      </w:r>
      <w:r w:rsidRPr="00524102">
        <w:t>revisions</w:t>
      </w:r>
      <w:r>
        <w:t xml:space="preserve"> to its interstate access service Tariff F.C.C. No. 1 </w:t>
      </w:r>
      <w:bookmarkStart w:id="0" w:name="_Hlk47011622"/>
      <w:r>
        <w:t>to revise its originating and terminating end office switched access rates.</w:t>
      </w:r>
      <w:r>
        <w:rPr>
          <w:vertAlign w:val="superscript"/>
        </w:rPr>
        <w:footnoteReference w:id="3"/>
      </w:r>
      <w:r w:rsidRPr="006123A7">
        <w:t xml:space="preserve"> </w:t>
      </w:r>
      <w:r>
        <w:t xml:space="preserve"> </w:t>
      </w:r>
      <w:bookmarkEnd w:id="0"/>
      <w:r>
        <w:t>The proposed revisions are scheduled to become effective on July 31, 2020.</w:t>
      </w:r>
      <w:r>
        <w:rPr>
          <w:rStyle w:val="FootnoteReference"/>
        </w:rPr>
        <w:footnoteReference w:id="4"/>
      </w:r>
      <w:r>
        <w:t xml:space="preserve">  Because we conclude that substantial questions of lawfulness exist regarding Lingo’s proposed tariff revisions, we suspend the proposed revisions for one day and set for investigation the question of whether Lingo’s proposed revisions comply with the Commission’s </w:t>
      </w:r>
      <w:bookmarkStart w:id="1" w:name="_Hlk47011829"/>
      <w:r w:rsidRPr="00CF1544">
        <w:rPr>
          <w:i/>
          <w:iCs/>
        </w:rPr>
        <w:t>USF/ICC Transformation Order</w:t>
      </w:r>
      <w:bookmarkEnd w:id="1"/>
      <w:r>
        <w:t>, the Communications Act of 1934, as amended (Act), and the Commission’s rules.</w:t>
      </w:r>
      <w:r>
        <w:rPr>
          <w:rStyle w:val="FootnoteReference"/>
        </w:rPr>
        <w:footnoteReference w:id="5"/>
      </w:r>
    </w:p>
    <w:p w:rsidR="00524102" w:rsidP="00524102" w14:paraId="41DA36EC" w14:textId="77777777">
      <w:pPr>
        <w:pStyle w:val="Heading1"/>
      </w:pPr>
      <w:r w:rsidRPr="00F650AA">
        <w:t>BACKGROUND</w:t>
      </w:r>
    </w:p>
    <w:p w:rsidR="00524102" w:rsidP="00524102" w14:paraId="6B79CD54" w14:textId="77777777">
      <w:pPr>
        <w:pStyle w:val="ParaNum"/>
      </w:pPr>
      <w:r>
        <w:t xml:space="preserve">Lingo is a competitive local exchange carrier (LEC).  As such, it is required to comply with both the intercarrier </w:t>
      </w:r>
      <w:bookmarkStart w:id="4" w:name="_Hlk47012757"/>
      <w:r>
        <w:t xml:space="preserve">compensation (ICC) rate transition requirements established in the </w:t>
      </w:r>
      <w:r w:rsidRPr="00AA460C">
        <w:rPr>
          <w:i/>
          <w:iCs/>
        </w:rPr>
        <w:t>USF/ICC Transformation Order</w:t>
      </w:r>
      <w:r w:rsidRPr="00FA0A18">
        <w:t xml:space="preserve"> </w:t>
      </w:r>
      <w:r>
        <w:t>and the “CLEC benchmark rule</w:t>
      </w:r>
      <w:bookmarkEnd w:id="4"/>
      <w:r>
        <w:t>.”</w:t>
      </w:r>
      <w:r>
        <w:rPr>
          <w:rStyle w:val="FootnoteReference"/>
        </w:rPr>
        <w:footnoteReference w:id="6"/>
      </w:r>
      <w:r>
        <w:t xml:space="preserve">   </w:t>
      </w:r>
    </w:p>
    <w:p w:rsidR="00524102" w:rsidP="00524102" w14:paraId="3AC7084D" w14:textId="77777777">
      <w:pPr>
        <w:pStyle w:val="ParaNum"/>
      </w:pPr>
      <w:r w:rsidRPr="000210F8">
        <w:t xml:space="preserve">In the </w:t>
      </w:r>
      <w:r w:rsidRPr="00AA460C">
        <w:rPr>
          <w:i/>
          <w:iCs/>
        </w:rPr>
        <w:t>USF/ICC Transformation Order</w:t>
      </w:r>
      <w:r w:rsidRPr="000210F8">
        <w:t xml:space="preserve">, the Commission adopted bill-and-keep as the default methodology for all ICC charges, capped all terminating ICC rates, and established a transition path requiring scheduled reductions to </w:t>
      </w:r>
      <w:r>
        <w:t xml:space="preserve">certain terminating </w:t>
      </w:r>
      <w:r w:rsidRPr="000210F8">
        <w:t>ICC charges.</w:t>
      </w:r>
      <w:r>
        <w:rPr>
          <w:rStyle w:val="FootnoteReference"/>
        </w:rPr>
        <w:footnoteReference w:id="7"/>
      </w:r>
      <w:r w:rsidRPr="000210F8">
        <w:t xml:space="preserve"> </w:t>
      </w:r>
      <w:r>
        <w:t xml:space="preserve"> </w:t>
      </w:r>
      <w:r w:rsidRPr="00D87695">
        <w:t xml:space="preserve">The transition rules also required </w:t>
      </w:r>
      <w:r>
        <w:t xml:space="preserve">incumbent </w:t>
      </w:r>
      <w:r w:rsidRPr="00D87695">
        <w:t xml:space="preserve">LECs to adjust, over a period of years, many of their terminating switched access charges, effective on July 1 of each of those years, </w:t>
      </w:r>
      <w:r>
        <w:t xml:space="preserve">consistent </w:t>
      </w:r>
      <w:r w:rsidRPr="00D87695">
        <w:t>with the ultimate goal of</w:t>
      </w:r>
      <w:r>
        <w:t xml:space="preserve"> </w:t>
      </w:r>
      <w:r w:rsidRPr="00D87695">
        <w:t xml:space="preserve">transitioning </w:t>
      </w:r>
      <w:r>
        <w:t xml:space="preserve">all terminating  charges </w:t>
      </w:r>
      <w:r w:rsidRPr="00D87695">
        <w:t>to bill</w:t>
      </w:r>
      <w:r>
        <w:t xml:space="preserve"> </w:t>
      </w:r>
      <w:r w:rsidRPr="00D87695">
        <w:t>and</w:t>
      </w:r>
      <w:r>
        <w:t xml:space="preserve"> </w:t>
      </w:r>
      <w:r w:rsidRPr="00D87695">
        <w:t>keep</w:t>
      </w:r>
      <w:r>
        <w:t>.</w:t>
      </w:r>
      <w:r>
        <w:rPr>
          <w:rStyle w:val="FootnoteReference"/>
        </w:rPr>
        <w:footnoteReference w:id="8"/>
      </w:r>
      <w:r>
        <w:t xml:space="preserve">  T</w:t>
      </w:r>
      <w:r w:rsidRPr="00D87695">
        <w:t>o eliminate disparate regulatory treatment between different classes of carriers, the Commission found that application of the ICC reforms would generally apply to competitive LECs via the CLEC benchmark rule</w:t>
      </w:r>
      <w:r>
        <w:t>.</w:t>
      </w:r>
      <w:r>
        <w:rPr>
          <w:rStyle w:val="FootnoteReference"/>
        </w:rPr>
        <w:footnoteReference w:id="9"/>
      </w:r>
      <w:r>
        <w:t xml:space="preserve">  </w:t>
      </w:r>
      <w:r w:rsidRPr="00D87695">
        <w:t xml:space="preserve">This obligation, adopted in its initial form in 2001, </w:t>
      </w:r>
      <w:r w:rsidRPr="00D87695">
        <w:t>provides that a competitive LEC may not tariff interstate access charges above those of the competing incumbent LEC for similar services.</w:t>
      </w:r>
      <w:r>
        <w:rPr>
          <w:rStyle w:val="FootnoteReference"/>
        </w:rPr>
        <w:footnoteReference w:id="10"/>
      </w:r>
    </w:p>
    <w:p w:rsidR="00524102" w:rsidP="00524102" w14:paraId="00964453" w14:textId="77777777">
      <w:pPr>
        <w:pStyle w:val="ParaNum"/>
      </w:pPr>
      <w:r>
        <w:t xml:space="preserve"> There is a narrow exemption to</w:t>
      </w:r>
      <w:r w:rsidRPr="00E92AC1">
        <w:t xml:space="preserve"> the generally-applicable benchmark rule for competitive </w:t>
      </w:r>
      <w:r>
        <w:t>LECs</w:t>
      </w:r>
      <w:r w:rsidRPr="00E92AC1">
        <w:t xml:space="preserve"> </w:t>
      </w:r>
      <w:r>
        <w:t>that serve only</w:t>
      </w:r>
      <w:r w:rsidRPr="00E92AC1">
        <w:t xml:space="preserve"> rural end users </w:t>
      </w:r>
      <w:r>
        <w:t>that permits those carriers to benchmark their rates to the rates of the National Exchange Carrier Association (NECA).</w:t>
      </w:r>
      <w:r>
        <w:rPr>
          <w:rStyle w:val="FootnoteReference"/>
        </w:rPr>
        <w:footnoteReference w:id="11"/>
      </w:r>
      <w:r>
        <w:t xml:space="preserve">  </w:t>
      </w:r>
      <w:r w:rsidRPr="00B118AF">
        <w:t>The applicable benchmark for rural competitive LECs is a standardized rural incumbent LEC rate—</w:t>
      </w:r>
      <w:bookmarkStart w:id="5" w:name="_Hlk47014648"/>
      <w:r w:rsidRPr="00B118AF">
        <w:t>the rate listed in the NECA Tariff F.C.C. No. 5</w:t>
      </w:r>
      <w:r>
        <w:t xml:space="preserve">, </w:t>
      </w:r>
      <w:r w:rsidRPr="00294C05">
        <w:t>assuming the highest rate band when the competitive LEC is competing against an incumbent LEC that is not a rural telephone company as defined by section 3(44) of the Act</w:t>
      </w:r>
      <w:bookmarkEnd w:id="5"/>
      <w:r w:rsidRPr="00294C05">
        <w:t>.</w:t>
      </w:r>
      <w:r>
        <w:rPr>
          <w:rStyle w:val="FootnoteReference"/>
        </w:rPr>
        <w:footnoteReference w:id="12"/>
      </w:r>
      <w:r>
        <w:t xml:space="preserve">  </w:t>
      </w:r>
    </w:p>
    <w:p w:rsidR="00524102" w:rsidP="00524102" w14:paraId="1FC7C92B" w14:textId="77777777">
      <w:pPr>
        <w:pStyle w:val="ParaNum"/>
      </w:pPr>
      <w:r>
        <w:t>In addition to requirements imposed by the</w:t>
      </w:r>
      <w:r w:rsidRPr="00CE512E">
        <w:t xml:space="preserve"> </w:t>
      </w:r>
      <w:r w:rsidRPr="00CE512E">
        <w:rPr>
          <w:i/>
          <w:iCs/>
        </w:rPr>
        <w:t>USF/ICC Transformation Order</w:t>
      </w:r>
      <w:r w:rsidRPr="00CE512E">
        <w:t xml:space="preserve"> and the CLEC benchmark rule</w:t>
      </w:r>
      <w:r>
        <w:t xml:space="preserve">, </w:t>
      </w:r>
      <w:r w:rsidRPr="002F1343">
        <w:t>Section 61.2(a) of the Commission’s rules requires all tariffs to contain “clear and explicit explanatory statements regarding the rates and regulations” to “remove all doubt as to their proper application.”</w:t>
      </w:r>
      <w:r>
        <w:rPr>
          <w:vertAlign w:val="superscript"/>
        </w:rPr>
        <w:footnoteReference w:id="13"/>
      </w:r>
      <w:r w:rsidRPr="002F1343">
        <w:t xml:space="preserve"> </w:t>
      </w:r>
      <w:r>
        <w:t xml:space="preserve"> </w:t>
      </w:r>
      <w:bookmarkStart w:id="6" w:name="_Hlk47012172"/>
    </w:p>
    <w:bookmarkEnd w:id="6"/>
    <w:p w:rsidR="00524102" w:rsidP="00524102" w14:paraId="4E7D461F" w14:textId="77777777">
      <w:pPr>
        <w:pStyle w:val="ParaNum"/>
      </w:pPr>
      <w:r>
        <w:t>Lingo submitted proposed tariff revisions that seek to modify its originating and terminating end office switched access rates.</w:t>
      </w:r>
      <w:r>
        <w:rPr>
          <w:rStyle w:val="FootnoteReference"/>
        </w:rPr>
        <w:footnoteReference w:id="14"/>
      </w:r>
      <w:r>
        <w:t xml:space="preserve">  According to the proposed revisions, Lingo’s “per minute rate is comprised of switched access elements found in NECA FCC Tariff No. 5.”</w:t>
      </w:r>
      <w:r>
        <w:rPr>
          <w:rStyle w:val="FootnoteReference"/>
        </w:rPr>
        <w:footnoteReference w:id="15"/>
      </w:r>
      <w:r>
        <w:t xml:space="preserve">  The proposed revisions also provide that Lingo’s rate “excludes CCL. The Local Switching component matches Rate Band 8.”</w:t>
      </w:r>
      <w:r>
        <w:rPr>
          <w:rStyle w:val="FootnoteReference"/>
        </w:rPr>
        <w:footnoteReference w:id="16"/>
      </w:r>
      <w:r>
        <w:t xml:space="preserve">  Lingo’s tariff revisions filings provide no additional information or context explaining the basis of its proposed revised rates.</w:t>
      </w:r>
    </w:p>
    <w:p w:rsidR="00524102" w:rsidP="00524102" w14:paraId="36F7EDE3" w14:textId="77777777">
      <w:pPr>
        <w:pStyle w:val="Heading1"/>
      </w:pPr>
      <w:r>
        <w:t>discussion</w:t>
      </w:r>
    </w:p>
    <w:p w:rsidR="00524102" w:rsidP="00524102" w14:paraId="606DFEB8" w14:textId="77777777">
      <w:pPr>
        <w:pStyle w:val="ParaNum"/>
      </w:pPr>
      <w:r>
        <w:t xml:space="preserve">As a competitive local exchange carrier, Lingo’s originating and terminating end office switched access rates should be benchmarked to either the competing incumbent local exchange carrier or, if it qualifies for the rural exemption, to </w:t>
      </w:r>
      <w:r w:rsidRPr="00B118AF">
        <w:t xml:space="preserve">the </w:t>
      </w:r>
      <w:r>
        <w:t xml:space="preserve">relevant </w:t>
      </w:r>
      <w:r w:rsidRPr="00B118AF">
        <w:t>rate</w:t>
      </w:r>
      <w:r>
        <w:t>s</w:t>
      </w:r>
      <w:r w:rsidRPr="00B118AF">
        <w:t xml:space="preserve"> listed in the NECA Tariff F.C.C. No. 5</w:t>
      </w:r>
      <w:r>
        <w:t xml:space="preserve">.  The basis for Lingo’s tariff revisions are unclear. We, therefore, find that substantial questions of lawfulness exist regarding Lingo’s proposed tariff revisions that require further investigation, including whether the proposed revisions comply with the </w:t>
      </w:r>
      <w:r w:rsidRPr="00181DE7">
        <w:rPr>
          <w:i/>
          <w:iCs/>
        </w:rPr>
        <w:t>USF/ICC Transformation Order</w:t>
      </w:r>
      <w:r>
        <w:t xml:space="preserve"> and the Commission’s rules, including but not limited to the CLEC benchmark rule.</w:t>
      </w:r>
      <w:r w:rsidRPr="00181DE7">
        <w:t xml:space="preserve"> </w:t>
      </w:r>
      <w:r>
        <w:t xml:space="preserve"> Accordingly, we suspend the proposed revisions for one day, impose an accounting order, and initiate an investigation into the lawfulness of the proposed revisions.</w:t>
      </w:r>
      <w:r>
        <w:rPr>
          <w:rStyle w:val="FootnoteReference"/>
        </w:rPr>
        <w:footnoteReference w:id="17"/>
      </w:r>
      <w:r>
        <w:t xml:space="preserve">  We will identify the specific issues that are the subject of the investigation in an upcoming designation order.  Those issues may include, but not be limited to, the issues identified in this Order.  We may also, by order, identify discrete issues that warrant further investigation. </w:t>
      </w:r>
    </w:p>
    <w:p w:rsidR="00524102" w:rsidP="00524102" w14:paraId="76D1D034" w14:textId="77777777">
      <w:pPr>
        <w:pStyle w:val="Heading1"/>
        <w:numPr>
          <w:ilvl w:val="0"/>
          <w:numId w:val="0"/>
        </w:numPr>
        <w:rPr>
          <w:szCs w:val="24"/>
        </w:rPr>
      </w:pPr>
      <w:r>
        <w:rPr>
          <w:szCs w:val="24"/>
        </w:rPr>
        <w:t>IV.</w:t>
      </w:r>
      <w:r>
        <w:rPr>
          <w:szCs w:val="24"/>
        </w:rPr>
        <w:tab/>
      </w:r>
      <w:r w:rsidRPr="003A3E0A">
        <w:rPr>
          <w:i/>
          <w:szCs w:val="24"/>
        </w:rPr>
        <w:t>EX PARTE</w:t>
      </w:r>
      <w:r>
        <w:rPr>
          <w:szCs w:val="24"/>
        </w:rPr>
        <w:t xml:space="preserve"> REQUIREMENTS</w:t>
      </w:r>
    </w:p>
    <w:p w:rsidR="00524102" w:rsidRPr="003A3E0A" w:rsidP="00524102" w14:paraId="6A2D424A" w14:textId="77777777">
      <w:pPr>
        <w:pStyle w:val="ParaNum"/>
      </w:pPr>
      <w:r>
        <w:t xml:space="preserve">This </w:t>
      </w:r>
      <w:r w:rsidRPr="00FD0ED4">
        <w:t xml:space="preserve">proceeding shall be treated as a “permit-but-disclose” proceeding in accordance with the Commission’s </w:t>
      </w:r>
      <w:r w:rsidRPr="00265983">
        <w:rPr>
          <w:i/>
          <w:iCs/>
        </w:rPr>
        <w:t xml:space="preserve">ex parte </w:t>
      </w:r>
      <w:r w:rsidRPr="00FD0ED4">
        <w:t>rules.</w:t>
      </w:r>
      <w:r>
        <w:rPr>
          <w:rStyle w:val="FootnoteReference"/>
        </w:rPr>
        <w:footnoteReference w:id="18"/>
      </w:r>
      <w:r w:rsidRPr="00FD0ED4">
        <w:t xml:space="preserve">  Persons making </w:t>
      </w:r>
      <w:r w:rsidRPr="00265983">
        <w:rPr>
          <w:i/>
        </w:rPr>
        <w:t xml:space="preserve">ex parte </w:t>
      </w:r>
      <w:r w:rsidRPr="00FD0ED4">
        <w:t xml:space="preserve">presentations must file </w:t>
      </w:r>
      <w:r>
        <w:t xml:space="preserve">in WC Docket No. 20-245 </w:t>
      </w:r>
      <w:r w:rsidRPr="00FD0ED4">
        <w:t xml:space="preserve">a copy of any written presentation or a memorandum summarizing any oral presentation within </w:t>
      </w:r>
      <w:r w:rsidRPr="00FD0ED4">
        <w:t xml:space="preserve">two business days after the presentation (unless a different deadline applicable to the Sunshine period applies).  Persons making oral </w:t>
      </w:r>
      <w:r w:rsidRPr="00265983">
        <w:rPr>
          <w:i/>
          <w:iCs/>
        </w:rPr>
        <w:t xml:space="preserve">ex parte </w:t>
      </w:r>
      <w:r w:rsidRPr="00FD0ED4">
        <w:t>presentations are reminded that memoranda summarizing the presentation must (1)</w:t>
      </w:r>
      <w:r>
        <w:t> </w:t>
      </w:r>
      <w:r w:rsidRPr="00FD0ED4">
        <w:t xml:space="preserve">list all persons attending or otherwise participating in the meeting at which the </w:t>
      </w:r>
      <w:r w:rsidRPr="00265983">
        <w:rPr>
          <w:i/>
          <w:iCs/>
        </w:rPr>
        <w:t xml:space="preserve">ex parte </w:t>
      </w:r>
      <w:r w:rsidRPr="00FD0ED4">
        <w:t>presentation was made, and (2)</w:t>
      </w:r>
      <w:r>
        <w:t> </w:t>
      </w:r>
      <w:r w:rsidRPr="00FD0ED4">
        <w:t xml:space="preserve">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265983">
        <w:rPr>
          <w:i/>
          <w:iCs/>
        </w:rPr>
        <w:t xml:space="preserve">ex parte </w:t>
      </w:r>
      <w:r w:rsidRPr="00FD0ED4">
        <w:t xml:space="preserve">meetings are deemed to be written </w:t>
      </w:r>
      <w:r w:rsidRPr="00265983">
        <w:rPr>
          <w:i/>
          <w:iCs/>
        </w:rPr>
        <w:t>ex parte</w:t>
      </w:r>
      <w:r w:rsidRPr="00FD0ED4">
        <w:t xml:space="preserve"> presentations and must be filed consistent with rule 1.1206(b).  In proceedings governed by rule 1.49(f)</w:t>
      </w:r>
      <w:r>
        <w:t>,</w:t>
      </w:r>
      <w:r w:rsidRPr="00FD0ED4">
        <w:t xml:space="preserve"> or for which the Commission has made available a method of electronic filing, written </w:t>
      </w:r>
      <w:r w:rsidRPr="00265983">
        <w:rPr>
          <w:i/>
          <w:iCs/>
        </w:rPr>
        <w:t xml:space="preserve">ex parte </w:t>
      </w:r>
      <w:r w:rsidRPr="00FD0ED4">
        <w:t xml:space="preserve">presentations and memoranda summarizing oral </w:t>
      </w:r>
      <w:r w:rsidRPr="00265983">
        <w:rPr>
          <w:i/>
          <w:iCs/>
        </w:rPr>
        <w:t xml:space="preserve">ex parte </w:t>
      </w:r>
      <w:r w:rsidRPr="00FD0ED4">
        <w:t>presentations, and all attachments thereto, must be filed through the electronic comment filing system available for that proceeding, and must be filed in their native format (</w:t>
      </w:r>
      <w:r w:rsidRPr="0051246A">
        <w:rPr>
          <w:iCs/>
        </w:rPr>
        <w:t>e.g.</w:t>
      </w:r>
      <w:r w:rsidRPr="00710F60">
        <w:t>,</w:t>
      </w:r>
      <w:r w:rsidRPr="00FD0ED4">
        <w:t xml:space="preserve"> .doc, .xml, .ppt, searchable .pdf).  Participants in this proceeding should familiarize themselves with the Commission’s </w:t>
      </w:r>
      <w:r w:rsidRPr="00265983">
        <w:rPr>
          <w:i/>
          <w:iCs/>
        </w:rPr>
        <w:t>ex parte</w:t>
      </w:r>
      <w:r>
        <w:rPr>
          <w:iCs/>
        </w:rPr>
        <w:t xml:space="preserve"> rules.</w:t>
      </w:r>
    </w:p>
    <w:p w:rsidR="00524102" w:rsidRPr="00A81848" w:rsidP="00524102" w14:paraId="65550432" w14:textId="77777777">
      <w:pPr>
        <w:pStyle w:val="Heading1"/>
        <w:numPr>
          <w:ilvl w:val="0"/>
          <w:numId w:val="0"/>
        </w:numPr>
        <w:rPr>
          <w:szCs w:val="24"/>
        </w:rPr>
      </w:pPr>
      <w:r>
        <w:rPr>
          <w:szCs w:val="24"/>
        </w:rPr>
        <w:t>V.</w:t>
      </w:r>
      <w:r>
        <w:rPr>
          <w:szCs w:val="24"/>
        </w:rPr>
        <w:tab/>
      </w:r>
      <w:r w:rsidRPr="00A81848">
        <w:rPr>
          <w:szCs w:val="24"/>
        </w:rPr>
        <w:t>ORDERING CLAUSES</w:t>
      </w:r>
      <w:r>
        <w:rPr>
          <w:szCs w:val="24"/>
        </w:rPr>
        <w:t xml:space="preserve"> </w:t>
      </w:r>
    </w:p>
    <w:p w:rsidR="00524102" w:rsidP="00524102" w14:paraId="098EE0E9" w14:textId="77777777">
      <w:pPr>
        <w:pStyle w:val="ParaNum"/>
      </w:pPr>
      <w:r w:rsidRPr="00A81848">
        <w:t>Accordingly, IT IS ORDERED that, pursuant to section 204(a) of the Communications Act of 1934, as amended, 47 U.S.C. §</w:t>
      </w:r>
      <w:r>
        <w:t> </w:t>
      </w:r>
      <w:r w:rsidRPr="00A81848">
        <w:t>204(a), and through the authority delegated pursuant to sections 0.91 and 0.291 of the Commission’s rules, 47 CFR §§</w:t>
      </w:r>
      <w:r>
        <w:t> </w:t>
      </w:r>
      <w:r w:rsidRPr="00A81848">
        <w:t>0.91</w:t>
      </w:r>
      <w:r>
        <w:t>,</w:t>
      </w:r>
      <w:r w:rsidRPr="00A81848">
        <w:t xml:space="preserve"> 0.291, </w:t>
      </w:r>
      <w:r w:rsidRPr="001802B5">
        <w:t>t</w:t>
      </w:r>
      <w:r>
        <w:t xml:space="preserve">he effective date of the switched access rate and charge revisions of </w:t>
      </w:r>
      <w:bookmarkStart w:id="12" w:name="_Hlk46938232"/>
      <w:bookmarkStart w:id="13" w:name="_Hlk507420811"/>
      <w:bookmarkStart w:id="14" w:name="_Hlk525225985"/>
      <w:r>
        <w:t>Lingo Communications of Kentucky, LLC</w:t>
      </w:r>
      <w:bookmarkEnd w:id="12"/>
      <w:r>
        <w:t>’s</w:t>
      </w:r>
      <w:bookmarkEnd w:id="13"/>
      <w:r>
        <w:t xml:space="preserve"> </w:t>
      </w:r>
      <w:bookmarkEnd w:id="14"/>
      <w:r>
        <w:t>Tariff F.C.C. No. 1 contained in Transmittal No. 3 IS</w:t>
      </w:r>
      <w:r w:rsidRPr="00A81848">
        <w:t xml:space="preserve"> </w:t>
      </w:r>
      <w:r>
        <w:t xml:space="preserve">advanced for one day to </w:t>
      </w:r>
      <w:r w:rsidRPr="005746AB">
        <w:t>J</w:t>
      </w:r>
      <w:r>
        <w:t>uly 30</w:t>
      </w:r>
      <w:r w:rsidRPr="005746AB">
        <w:t>, 2020</w:t>
      </w:r>
      <w:r>
        <w:t xml:space="preserve">, and then </w:t>
      </w:r>
      <w:r w:rsidRPr="00A81848">
        <w:t xml:space="preserve">SUSPENDED for </w:t>
      </w:r>
      <w:r>
        <w:t>one day</w:t>
      </w:r>
      <w:r w:rsidRPr="00A81848">
        <w:t xml:space="preserve"> </w:t>
      </w:r>
      <w:r>
        <w:t xml:space="preserve">until </w:t>
      </w:r>
      <w:r w:rsidRPr="005746AB">
        <w:t>J</w:t>
      </w:r>
      <w:r>
        <w:t>uly</w:t>
      </w:r>
      <w:r w:rsidRPr="005746AB">
        <w:t xml:space="preserve"> </w:t>
      </w:r>
      <w:r>
        <w:t>3</w:t>
      </w:r>
      <w:r w:rsidRPr="005746AB">
        <w:t>1, 2020</w:t>
      </w:r>
      <w:r>
        <w:t xml:space="preserve">, </w:t>
      </w:r>
      <w:r w:rsidRPr="00A81848">
        <w:t>and an investigation</w:t>
      </w:r>
      <w:r>
        <w:t xml:space="preserve"> </w:t>
      </w:r>
      <w:r w:rsidRPr="00A81848">
        <w:t>IS INSTITUTED.</w:t>
      </w:r>
    </w:p>
    <w:p w:rsidR="00524102" w:rsidP="00524102" w14:paraId="49570FF4" w14:textId="77777777">
      <w:pPr>
        <w:pStyle w:val="ParaNum"/>
      </w:pPr>
      <w:r w:rsidRPr="00A81848">
        <w:t xml:space="preserve">IT IS FURTHER ORDERED that </w:t>
      </w:r>
      <w:r w:rsidRPr="00291D5E">
        <w:t xml:space="preserve">Lingo Communications of </w:t>
      </w:r>
      <w:r w:rsidRPr="00291D5E">
        <w:t>Kentucky,</w:t>
      </w:r>
      <w:r w:rsidRPr="00291D5E">
        <w:t xml:space="preserve"> LLC</w:t>
      </w:r>
      <w:r>
        <w:rPr>
          <w:szCs w:val="24"/>
        </w:rPr>
        <w:t xml:space="preserve"> </w:t>
      </w:r>
      <w:r>
        <w:t xml:space="preserve">SHALL FILE a supplement within five business days from the release date of this Order reflecting this suspension.  </w:t>
      </w:r>
      <w:r w:rsidRPr="00291D5E">
        <w:t xml:space="preserve">Lingo Communications of Kentucky, LLC </w:t>
      </w:r>
      <w:r>
        <w:t>should cite the “DA” number on the instant Order as the authority for its filing.</w:t>
      </w:r>
    </w:p>
    <w:p w:rsidR="00524102" w:rsidRPr="00291D5E" w:rsidP="00524102" w14:paraId="2C0BDE28" w14:textId="77777777">
      <w:pPr>
        <w:pStyle w:val="ParaNum"/>
      </w:pPr>
      <w:r w:rsidRPr="00D12B10">
        <w:t>IT IS FURTHER ORDERED that, pursuant to sections 4(</w:t>
      </w:r>
      <w:r w:rsidRPr="00D12B10">
        <w:t>i</w:t>
      </w:r>
      <w:r w:rsidRPr="00D12B10">
        <w:t>) and 204(a) of the Communications Act of 1934, as amended, 47 U.S.C. §§ 154(</w:t>
      </w:r>
      <w:r w:rsidRPr="00D12B10">
        <w:t>i</w:t>
      </w:r>
      <w:r w:rsidRPr="00D12B10">
        <w:t>)</w:t>
      </w:r>
      <w:r>
        <w:t>,</w:t>
      </w:r>
      <w:r w:rsidRPr="00D12B10">
        <w:t xml:space="preserve"> 204(a), and pursuant to the authority delegated by sections 0.91 and 0.291 of the Commission’s rules, 47 CFR §§ 0.91</w:t>
      </w:r>
      <w:r>
        <w:t>,</w:t>
      </w:r>
      <w:r w:rsidRPr="00D12B10">
        <w:t xml:space="preserve"> 0.291, </w:t>
      </w:r>
      <w:r w:rsidRPr="00291D5E">
        <w:t xml:space="preserve">Lingo Communications of Kentucky, LLC </w:t>
      </w:r>
      <w:r w:rsidRPr="00D12B10">
        <w:t>SHALL KEEP ACCURATE ACCOUNT of all amounts receiv</w:t>
      </w:r>
      <w:r>
        <w:t>ed and paid that are associated with the switched access service rates and charges that are</w:t>
      </w:r>
      <w:r w:rsidRPr="00D12B10">
        <w:t xml:space="preserve"> subject to this investigation.</w:t>
      </w:r>
    </w:p>
    <w:p w:rsidR="00524102" w:rsidP="00524102" w14:paraId="5E566831" w14:textId="77777777">
      <w:pPr>
        <w:pStyle w:val="ParaNum"/>
        <w:numPr>
          <w:ilvl w:val="0"/>
          <w:numId w:val="0"/>
        </w:numPr>
      </w:pPr>
    </w:p>
    <w:p w:rsidR="00524102" w:rsidRPr="00A81848" w:rsidP="00524102" w14:paraId="33E7FA77" w14:textId="77777777">
      <w:pPr>
        <w:pStyle w:val="ParaNum"/>
        <w:numPr>
          <w:ilvl w:val="0"/>
          <w:numId w:val="0"/>
        </w:numPr>
      </w:pPr>
      <w:r w:rsidRPr="00A81848">
        <w:tab/>
      </w:r>
      <w:r w:rsidRPr="00A81848">
        <w:tab/>
      </w:r>
      <w:r w:rsidRPr="00A81848">
        <w:tab/>
      </w:r>
      <w:r w:rsidRPr="00A81848">
        <w:tab/>
      </w:r>
      <w:r w:rsidRPr="00A81848">
        <w:tab/>
        <w:t>FEDERAL COMMUNICATIONS COMMISSION</w:t>
      </w:r>
      <w:r w:rsidRPr="00A81848">
        <w:tab/>
      </w:r>
    </w:p>
    <w:p w:rsidR="00524102" w:rsidP="00524102" w14:paraId="658078D3" w14:textId="77777777">
      <w:pPr>
        <w:pStyle w:val="ParaNum"/>
        <w:numPr>
          <w:ilvl w:val="0"/>
          <w:numId w:val="0"/>
        </w:numPr>
      </w:pPr>
      <w:r w:rsidRPr="00A81848">
        <w:tab/>
      </w:r>
    </w:p>
    <w:p w:rsidR="00524102" w:rsidP="00524102" w14:paraId="05915AA7" w14:textId="3D6AA880">
      <w:pPr>
        <w:pStyle w:val="ParaNum"/>
        <w:numPr>
          <w:ilvl w:val="0"/>
          <w:numId w:val="0"/>
        </w:numPr>
      </w:pPr>
    </w:p>
    <w:p w:rsidR="00524102" w:rsidP="00524102" w14:paraId="3FCF0B78" w14:textId="77777777">
      <w:pPr>
        <w:pStyle w:val="ParaNum"/>
        <w:numPr>
          <w:ilvl w:val="0"/>
          <w:numId w:val="0"/>
        </w:numPr>
      </w:pPr>
      <w:bookmarkStart w:id="15" w:name="_GoBack"/>
      <w:bookmarkEnd w:id="15"/>
    </w:p>
    <w:p w:rsidR="00524102" w:rsidP="00524102" w14:paraId="344F61CE" w14:textId="77777777">
      <w:pPr>
        <w:pStyle w:val="ParaNum"/>
        <w:numPr>
          <w:ilvl w:val="0"/>
          <w:numId w:val="0"/>
        </w:numPr>
        <w:spacing w:after="0"/>
      </w:pPr>
      <w:r w:rsidRPr="00A81848">
        <w:tab/>
      </w:r>
      <w:r w:rsidRPr="00A81848">
        <w:tab/>
      </w:r>
      <w:r w:rsidRPr="00A81848">
        <w:tab/>
      </w:r>
      <w:r w:rsidRPr="00A81848">
        <w:tab/>
      </w:r>
      <w:r w:rsidRPr="00A81848">
        <w:tab/>
      </w:r>
      <w:r>
        <w:t>Gil M. Strobel</w:t>
      </w:r>
    </w:p>
    <w:p w:rsidR="00524102" w:rsidP="00524102" w14:paraId="6467EAF5" w14:textId="77777777">
      <w:pPr>
        <w:pStyle w:val="ParaNum"/>
        <w:numPr>
          <w:ilvl w:val="0"/>
          <w:numId w:val="0"/>
        </w:numPr>
        <w:spacing w:after="0"/>
      </w:pPr>
      <w:r w:rsidRPr="00A81848">
        <w:tab/>
      </w:r>
      <w:r w:rsidRPr="00A81848">
        <w:tab/>
      </w:r>
      <w:r w:rsidRPr="00A81848">
        <w:tab/>
      </w:r>
      <w:r w:rsidRPr="00A81848">
        <w:tab/>
      </w:r>
      <w:r w:rsidRPr="00A81848">
        <w:tab/>
      </w:r>
      <w:r>
        <w:t>Chief, Pricing Policy Division</w:t>
      </w:r>
    </w:p>
    <w:p w:rsidR="00524102" w:rsidRPr="008D6E59" w:rsidP="00524102" w14:paraId="01ADB204" w14:textId="77777777">
      <w:pPr>
        <w:pStyle w:val="ParaNum"/>
        <w:numPr>
          <w:ilvl w:val="0"/>
          <w:numId w:val="0"/>
        </w:numPr>
        <w:spacing w:after="0"/>
        <w:ind w:left="3600"/>
      </w:pPr>
      <w:r>
        <w:t>Wireline Competition Bureau</w:t>
      </w:r>
    </w:p>
    <w:p w:rsidR="00524102" w:rsidRPr="002C00E8" w:rsidP="00524102" w14:paraId="7F930456" w14:textId="77777777">
      <w:pPr>
        <w:pStyle w:val="Heading1"/>
        <w:numPr>
          <w:ilvl w:val="0"/>
          <w:numId w:val="0"/>
        </w:numPr>
        <w:ind w:left="720" w:hanging="720"/>
      </w:pPr>
    </w:p>
    <w:p w:rsidR="00524102" w:rsidRPr="003F31DE" w:rsidP="00524102" w14:paraId="461A62FC" w14:textId="77777777"/>
    <w:p w:rsidR="00524102" w:rsidRPr="004B71B7" w:rsidP="00524102" w14:paraId="7D54452B" w14:textId="77777777"/>
    <w:p w:rsidR="00412FC5" w:rsidRPr="00524102" w:rsidP="00524102" w14:paraId="3201A533"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1349B4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A36567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24102" w14:paraId="3724FF99" w14:textId="1B7EEE2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58FFD6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B05B1" w14:paraId="17D54F4E" w14:textId="77777777">
      <w:r>
        <w:separator/>
      </w:r>
    </w:p>
  </w:footnote>
  <w:footnote w:type="continuationSeparator" w:id="1">
    <w:p w:rsidR="001B05B1" w:rsidP="00C721AC" w14:paraId="38B68D13" w14:textId="77777777">
      <w:pPr>
        <w:spacing w:before="120"/>
        <w:rPr>
          <w:sz w:val="20"/>
        </w:rPr>
      </w:pPr>
      <w:r>
        <w:rPr>
          <w:sz w:val="20"/>
        </w:rPr>
        <w:t xml:space="preserve">(Continued from previous page)  </w:t>
      </w:r>
      <w:r>
        <w:rPr>
          <w:sz w:val="20"/>
        </w:rPr>
        <w:separator/>
      </w:r>
    </w:p>
  </w:footnote>
  <w:footnote w:type="continuationNotice" w:id="2">
    <w:p w:rsidR="001B05B1" w:rsidP="00C721AC" w14:paraId="433B3AC4" w14:textId="77777777">
      <w:pPr>
        <w:jc w:val="right"/>
        <w:rPr>
          <w:sz w:val="20"/>
        </w:rPr>
      </w:pPr>
      <w:r>
        <w:rPr>
          <w:sz w:val="20"/>
        </w:rPr>
        <w:t>(continued….)</w:t>
      </w:r>
    </w:p>
  </w:footnote>
  <w:footnote w:id="3">
    <w:p w:rsidR="00524102" w:rsidP="00524102" w14:paraId="24EE8AD8" w14:textId="77777777">
      <w:pPr>
        <w:pStyle w:val="FootnoteText"/>
      </w:pPr>
      <w:r>
        <w:rPr>
          <w:rStyle w:val="FootnoteReference"/>
        </w:rPr>
        <w:footnoteRef/>
      </w:r>
      <w:r>
        <w:t xml:space="preserve"> </w:t>
      </w:r>
      <w:r w:rsidRPr="003C60C8">
        <w:t xml:space="preserve">Letter from Carey </w:t>
      </w:r>
      <w:r w:rsidRPr="003C60C8">
        <w:t>Roesel</w:t>
      </w:r>
      <w:r w:rsidRPr="003C60C8">
        <w:t xml:space="preserve">, Consultant, </w:t>
      </w:r>
      <w:r w:rsidRPr="003C60C8">
        <w:t>Inteserra</w:t>
      </w:r>
      <w:r w:rsidRPr="003C60C8">
        <w:t xml:space="preserve"> Consulting Group, to Secretary, Federal Communications Commission, </w:t>
      </w:r>
      <w:r>
        <w:t>Transmittal No. 3</w:t>
      </w:r>
      <w:r w:rsidRPr="003C60C8">
        <w:t xml:space="preserve"> (filed </w:t>
      </w:r>
      <w:r>
        <w:t>July 16, 2020</w:t>
      </w:r>
      <w:r w:rsidRPr="003C60C8">
        <w:t>)</w:t>
      </w:r>
      <w:r w:rsidRPr="00510E59">
        <w:t xml:space="preserve"> </w:t>
      </w:r>
      <w:r>
        <w:t>(Transmittal)</w:t>
      </w:r>
      <w:r w:rsidRPr="003C60C8">
        <w:t xml:space="preserve">; </w:t>
      </w:r>
      <w:r>
        <w:rPr>
          <w:i/>
        </w:rPr>
        <w:t xml:space="preserve">see </w:t>
      </w:r>
      <w:r>
        <w:t>Lingo Communications of Kentucky, LLC,</w:t>
      </w:r>
      <w:r w:rsidRPr="003C60C8">
        <w:t xml:space="preserve"> Tariff F.C.C. No. </w:t>
      </w:r>
      <w:r>
        <w:t>1</w:t>
      </w:r>
      <w:r w:rsidRPr="003C60C8">
        <w:t xml:space="preserve"> (filed </w:t>
      </w:r>
      <w:r>
        <w:t xml:space="preserve">July 16, </w:t>
      </w:r>
      <w:r w:rsidRPr="003C60C8">
        <w:t>20</w:t>
      </w:r>
      <w:r>
        <w:t>20</w:t>
      </w:r>
      <w:r w:rsidRPr="003C60C8">
        <w:t>)</w:t>
      </w:r>
      <w:r>
        <w:t>, 2</w:t>
      </w:r>
      <w:r w:rsidRPr="00774E94">
        <w:rPr>
          <w:vertAlign w:val="superscript"/>
        </w:rPr>
        <w:t>n</w:t>
      </w:r>
      <w:r>
        <w:rPr>
          <w:vertAlign w:val="superscript"/>
        </w:rPr>
        <w:t xml:space="preserve">d </w:t>
      </w:r>
      <w:r>
        <w:t xml:space="preserve">Rev. Page No. 57, </w:t>
      </w:r>
      <w:r w:rsidRPr="00774E94">
        <w:t>§ 3.9.3</w:t>
      </w:r>
      <w:r>
        <w:t xml:space="preserve"> (Lingo Tariff F.C.C. No. 1).</w:t>
      </w:r>
    </w:p>
  </w:footnote>
  <w:footnote w:id="4">
    <w:p w:rsidR="00524102" w:rsidP="00524102" w14:paraId="6E513CA2" w14:textId="77777777">
      <w:pPr>
        <w:pStyle w:val="FootnoteText"/>
      </w:pPr>
      <w:r>
        <w:rPr>
          <w:rStyle w:val="FootnoteReference"/>
        </w:rPr>
        <w:footnoteRef/>
      </w:r>
      <w:r>
        <w:t xml:space="preserve"> </w:t>
      </w:r>
      <w:r>
        <w:rPr>
          <w:i/>
        </w:rPr>
        <w:t xml:space="preserve">See </w:t>
      </w:r>
      <w:r>
        <w:t>Transmittal Letter.</w:t>
      </w:r>
    </w:p>
  </w:footnote>
  <w:footnote w:id="5">
    <w:p w:rsidR="00524102" w:rsidP="00524102" w14:paraId="3D900D96" w14:textId="77777777">
      <w:pPr>
        <w:pStyle w:val="FootnoteText"/>
      </w:pPr>
      <w:r>
        <w:rPr>
          <w:rStyle w:val="FootnoteReference"/>
        </w:rPr>
        <w:footnoteRef/>
      </w:r>
      <w:r>
        <w:t xml:space="preserve"> </w:t>
      </w:r>
      <w:r w:rsidRPr="00A72C04">
        <w:rPr>
          <w:i/>
        </w:rPr>
        <w:t>See</w:t>
      </w:r>
      <w:r w:rsidRPr="00A72C04">
        <w:t xml:space="preserve"> </w:t>
      </w:r>
      <w:r w:rsidRPr="00A72C04">
        <w:rPr>
          <w:i/>
        </w:rPr>
        <w:t>Connect America Fund et al.</w:t>
      </w:r>
      <w:r w:rsidRPr="00A72C04">
        <w:t>, Report and Order and Further Notice of Proposed Rulemaking, 26 FCC Rcd 17663 (2011) (</w:t>
      </w:r>
      <w:bookmarkStart w:id="2" w:name="_Hlk47011924"/>
      <w:r w:rsidRPr="00A72C04">
        <w:rPr>
          <w:i/>
        </w:rPr>
        <w:t>USF/ICC Transformation Order</w:t>
      </w:r>
      <w:bookmarkEnd w:id="2"/>
      <w:r w:rsidRPr="00A72C04">
        <w:t xml:space="preserve">), </w:t>
      </w:r>
      <w:r w:rsidRPr="00A72C04">
        <w:rPr>
          <w:i/>
        </w:rPr>
        <w:t>aff’d</w:t>
      </w:r>
      <w:r w:rsidRPr="002825CB">
        <w:t>, FCC 11-161,</w:t>
      </w:r>
      <w:r w:rsidRPr="00A72C04">
        <w:t xml:space="preserve"> 753 F.3d 1015 (10</w:t>
      </w:r>
      <w:r w:rsidRPr="00A72C04">
        <w:rPr>
          <w:vertAlign w:val="superscript"/>
        </w:rPr>
        <w:t>th</w:t>
      </w:r>
      <w:r w:rsidRPr="00A72C04">
        <w:t xml:space="preserve"> Cir. 2014)</w:t>
      </w:r>
      <w:r>
        <w:t xml:space="preserve">; </w:t>
      </w:r>
      <w:bookmarkStart w:id="3" w:name="_Hlk47013095"/>
      <w:r>
        <w:t xml:space="preserve">47 CFR </w:t>
      </w:r>
      <w:r w:rsidRPr="00C64193">
        <w:t>§</w:t>
      </w:r>
      <w:r>
        <w:t xml:space="preserve"> 61.26.</w:t>
      </w:r>
    </w:p>
    <w:bookmarkEnd w:id="3"/>
  </w:footnote>
  <w:footnote w:id="6">
    <w:p w:rsidR="00524102" w:rsidRPr="00ED0D69" w:rsidP="00524102" w14:paraId="5A65FB59" w14:textId="77777777">
      <w:pPr>
        <w:pStyle w:val="FootnoteText"/>
        <w:rPr>
          <w:iCs/>
        </w:rPr>
      </w:pPr>
      <w:r>
        <w:rPr>
          <w:rStyle w:val="FootnoteReference"/>
        </w:rPr>
        <w:footnoteRef/>
      </w:r>
      <w:r>
        <w:t xml:space="preserve"> </w:t>
      </w:r>
      <w:r w:rsidRPr="00ED0D69">
        <w:rPr>
          <w:i/>
        </w:rPr>
        <w:t>USF/ICC Transformation Order</w:t>
      </w:r>
      <w:r>
        <w:rPr>
          <w:iCs/>
        </w:rPr>
        <w:t xml:space="preserve">, </w:t>
      </w:r>
      <w:r w:rsidRPr="00ED0D69">
        <w:rPr>
          <w:iCs/>
        </w:rPr>
        <w:t xml:space="preserve">26 FCC Rcd at 17904, para. 740; 17932, para. 798; 17934, para. 801; </w:t>
      </w:r>
      <w:r>
        <w:rPr>
          <w:iCs/>
        </w:rPr>
        <w:t xml:space="preserve">17937m para. 807; </w:t>
      </w:r>
      <w:r w:rsidRPr="00ED0D69">
        <w:rPr>
          <w:iCs/>
        </w:rPr>
        <w:t>18026-28, paras. 970-71</w:t>
      </w:r>
      <w:r>
        <w:rPr>
          <w:iCs/>
        </w:rPr>
        <w:t xml:space="preserve">; </w:t>
      </w:r>
      <w:r w:rsidRPr="00613249">
        <w:rPr>
          <w:iCs/>
        </w:rPr>
        <w:t>47 CFR § 61.26.</w:t>
      </w:r>
    </w:p>
  </w:footnote>
  <w:footnote w:id="7">
    <w:p w:rsidR="00524102" w:rsidRPr="009C0683" w:rsidP="00524102" w14:paraId="15686698" w14:textId="77777777">
      <w:pPr>
        <w:pStyle w:val="FootnoteText"/>
      </w:pPr>
      <w:r>
        <w:rPr>
          <w:rStyle w:val="FootnoteReference"/>
        </w:rPr>
        <w:footnoteRef/>
      </w:r>
      <w:r>
        <w:t xml:space="preserve"> </w:t>
      </w:r>
      <w:r>
        <w:rPr>
          <w:i/>
          <w:iCs/>
        </w:rPr>
        <w:t>Id</w:t>
      </w:r>
      <w:r>
        <w:t>.</w:t>
      </w:r>
    </w:p>
  </w:footnote>
  <w:footnote w:id="8">
    <w:p w:rsidR="00524102" w:rsidP="00524102" w14:paraId="61347FDA" w14:textId="77777777">
      <w:pPr>
        <w:pStyle w:val="FootnoteText"/>
      </w:pPr>
      <w:r>
        <w:rPr>
          <w:rStyle w:val="FootnoteReference"/>
        </w:rPr>
        <w:footnoteRef/>
      </w:r>
      <w:r>
        <w:t xml:space="preserve"> </w:t>
      </w:r>
      <w:r w:rsidRPr="00D87695">
        <w:rPr>
          <w:i/>
          <w:iCs/>
        </w:rPr>
        <w:t>See</w:t>
      </w:r>
      <w:r w:rsidRPr="00D87695">
        <w:t xml:space="preserve"> 47 CFR §§ 51.907, 51.909.</w:t>
      </w:r>
    </w:p>
  </w:footnote>
  <w:footnote w:id="9">
    <w:p w:rsidR="00524102" w:rsidP="00524102" w14:paraId="3619B599" w14:textId="77777777">
      <w:pPr>
        <w:pStyle w:val="FootnoteText"/>
      </w:pPr>
      <w:r>
        <w:rPr>
          <w:rStyle w:val="FootnoteReference"/>
        </w:rPr>
        <w:footnoteRef/>
      </w:r>
      <w:r>
        <w:t xml:space="preserve"> </w:t>
      </w:r>
      <w:r w:rsidRPr="00D87695">
        <w:rPr>
          <w:i/>
          <w:iCs/>
        </w:rPr>
        <w:t>USF/ICC Transformation Order</w:t>
      </w:r>
      <w:r w:rsidRPr="00D87695">
        <w:t>, 26 FCC Rcd at 17937, para. 807</w:t>
      </w:r>
      <w:r>
        <w:t>.</w:t>
      </w:r>
    </w:p>
  </w:footnote>
  <w:footnote w:id="10">
    <w:p w:rsidR="00524102" w:rsidP="00524102" w14:paraId="13587B89" w14:textId="77777777">
      <w:pPr>
        <w:pStyle w:val="FootnoteText"/>
      </w:pPr>
      <w:r>
        <w:rPr>
          <w:rStyle w:val="FootnoteReference"/>
        </w:rPr>
        <w:footnoteRef/>
      </w:r>
      <w:r>
        <w:t xml:space="preserve"> </w:t>
      </w:r>
      <w:r w:rsidRPr="00D87695">
        <w:t xml:space="preserve">See 47 CFR § 61.26; </w:t>
      </w:r>
      <w:r w:rsidRPr="00A24715">
        <w:rPr>
          <w:i/>
          <w:iCs/>
        </w:rPr>
        <w:t>Access Charge Reform; Reform of Access Charges Imposed by Competitive Local Exchange Carriers</w:t>
      </w:r>
      <w:r w:rsidRPr="00D87695">
        <w:t>, Seventh Report and Order and Further Notice of Proposed Rulemaking, 16 FCC Rcd 9923 (2001).</w:t>
      </w:r>
    </w:p>
  </w:footnote>
  <w:footnote w:id="11">
    <w:p w:rsidR="00524102" w:rsidRPr="003D48BE" w:rsidP="00524102" w14:paraId="4487FF26" w14:textId="77777777">
      <w:pPr>
        <w:pStyle w:val="FootnoteText"/>
      </w:pPr>
      <w:r>
        <w:rPr>
          <w:rStyle w:val="FootnoteReference"/>
        </w:rPr>
        <w:footnoteRef/>
      </w:r>
      <w:r>
        <w:t xml:space="preserve"> Lingo</w:t>
      </w:r>
      <w:r w:rsidRPr="00B118AF">
        <w:t xml:space="preserve"> Tariff F.C.C. No. 1, </w:t>
      </w:r>
      <w:r w:rsidRPr="00E20DF5">
        <w:t>2</w:t>
      </w:r>
      <w:r w:rsidRPr="00E20DF5">
        <w:rPr>
          <w:vertAlign w:val="superscript"/>
        </w:rPr>
        <w:t>nd</w:t>
      </w:r>
      <w:r w:rsidRPr="00E20DF5">
        <w:t xml:space="preserve"> Rev. Page No. 57</w:t>
      </w:r>
      <w:r>
        <w:t xml:space="preserve">, </w:t>
      </w:r>
      <w:r w:rsidRPr="00B118AF">
        <w:t>§</w:t>
      </w:r>
      <w:r>
        <w:t xml:space="preserve"> 3.9.3; </w:t>
      </w:r>
      <w:r>
        <w:rPr>
          <w:i/>
          <w:iCs/>
        </w:rPr>
        <w:t xml:space="preserve">see </w:t>
      </w:r>
      <w:r w:rsidRPr="00B118AF">
        <w:t>47 CFR § 61.26</w:t>
      </w:r>
      <w:r>
        <w:t>(e).</w:t>
      </w:r>
    </w:p>
  </w:footnote>
  <w:footnote w:id="12">
    <w:p w:rsidR="00524102" w:rsidP="00524102" w14:paraId="3054407A" w14:textId="77777777">
      <w:pPr>
        <w:pStyle w:val="FootnoteText"/>
      </w:pPr>
      <w:r>
        <w:rPr>
          <w:rStyle w:val="FootnoteReference"/>
        </w:rPr>
        <w:footnoteRef/>
      </w:r>
      <w:r>
        <w:t xml:space="preserve"> </w:t>
      </w:r>
      <w:r w:rsidRPr="00294C05">
        <w:t xml:space="preserve">47 CFR §§ 61.26(e), 61.26(a)(4).  </w:t>
      </w:r>
      <w:r w:rsidRPr="00E20DF5">
        <w:rPr>
          <w:i/>
          <w:iCs/>
        </w:rPr>
        <w:t>See</w:t>
      </w:r>
      <w:r w:rsidRPr="00294C05">
        <w:t xml:space="preserve"> 47 U.S.C. § 153(44).</w:t>
      </w:r>
    </w:p>
  </w:footnote>
  <w:footnote w:id="13">
    <w:p w:rsidR="00524102" w:rsidRPr="00D253E5" w:rsidP="00524102" w14:paraId="2B3A62D6" w14:textId="77777777">
      <w:pPr>
        <w:pStyle w:val="FootnoteText"/>
      </w:pPr>
      <w:r w:rsidRPr="00D253E5">
        <w:rPr>
          <w:rStyle w:val="FootnoteReference"/>
        </w:rPr>
        <w:footnoteRef/>
      </w:r>
      <w:r w:rsidRPr="00D253E5">
        <w:t xml:space="preserve"> 47 CFR </w:t>
      </w:r>
      <w:r>
        <w:t>§ </w:t>
      </w:r>
      <w:r w:rsidRPr="00D253E5">
        <w:t>61.2(a).</w:t>
      </w:r>
    </w:p>
  </w:footnote>
  <w:footnote w:id="14">
    <w:p w:rsidR="00524102" w:rsidP="00524102" w14:paraId="79EE6F66" w14:textId="77777777">
      <w:pPr>
        <w:pStyle w:val="FootnoteText"/>
      </w:pPr>
      <w:r>
        <w:rPr>
          <w:rStyle w:val="FootnoteReference"/>
        </w:rPr>
        <w:footnoteRef/>
      </w:r>
      <w:r>
        <w:t xml:space="preserve"> </w:t>
      </w:r>
      <w:r w:rsidRPr="00C64193">
        <w:t>Lingo Tariff F.C.C. No. 1</w:t>
      </w:r>
      <w:bookmarkStart w:id="7" w:name="_Hlk46951951"/>
      <w:r w:rsidRPr="00C64193">
        <w:t xml:space="preserve">, </w:t>
      </w:r>
      <w:bookmarkStart w:id="8" w:name="_Hlk46949658"/>
      <w:r w:rsidRPr="00C64193">
        <w:t>2</w:t>
      </w:r>
      <w:r w:rsidRPr="00C64193">
        <w:rPr>
          <w:vertAlign w:val="superscript"/>
        </w:rPr>
        <w:t>nd</w:t>
      </w:r>
      <w:r w:rsidRPr="00C64193">
        <w:t xml:space="preserve"> Rev. Page No. 57</w:t>
      </w:r>
      <w:bookmarkEnd w:id="7"/>
      <w:bookmarkEnd w:id="8"/>
      <w:r w:rsidRPr="00C64193">
        <w:t xml:space="preserve">, </w:t>
      </w:r>
      <w:bookmarkStart w:id="9" w:name="_Hlk46947455"/>
      <w:r w:rsidRPr="00C64193">
        <w:t>§</w:t>
      </w:r>
      <w:bookmarkEnd w:id="9"/>
      <w:r w:rsidRPr="00C64193">
        <w:t xml:space="preserve"> 3.9.3.</w:t>
      </w:r>
    </w:p>
  </w:footnote>
  <w:footnote w:id="15">
    <w:p w:rsidR="00524102" w:rsidP="00524102" w14:paraId="4B349D15" w14:textId="77777777">
      <w:pPr>
        <w:pStyle w:val="FootnoteText"/>
      </w:pPr>
      <w:r>
        <w:rPr>
          <w:rStyle w:val="FootnoteReference"/>
        </w:rPr>
        <w:footnoteRef/>
      </w:r>
      <w:r>
        <w:t xml:space="preserve"> </w:t>
      </w:r>
      <w:bookmarkStart w:id="10" w:name="_Hlk46947005"/>
      <w:r w:rsidRPr="00A00F4A">
        <w:t xml:space="preserve">Lingo Tariff F.C.C. No. 1, </w:t>
      </w:r>
      <w:r w:rsidRPr="00D87695">
        <w:t>2</w:t>
      </w:r>
      <w:r w:rsidRPr="00D87695">
        <w:rPr>
          <w:vertAlign w:val="superscript"/>
        </w:rPr>
        <w:t>nd</w:t>
      </w:r>
      <w:r w:rsidRPr="00D87695">
        <w:t xml:space="preserve"> Rev. Page No. 57</w:t>
      </w:r>
      <w:r>
        <w:t xml:space="preserve">, </w:t>
      </w:r>
      <w:r w:rsidRPr="00A00F4A">
        <w:t>§ 3.9.3</w:t>
      </w:r>
      <w:r>
        <w:t>, Note 1.</w:t>
      </w:r>
      <w:bookmarkEnd w:id="10"/>
    </w:p>
  </w:footnote>
  <w:footnote w:id="16">
    <w:p w:rsidR="00524102" w:rsidRPr="00774E94" w:rsidP="00524102" w14:paraId="3C7B0060" w14:textId="77777777">
      <w:pPr>
        <w:pStyle w:val="FootnoteText"/>
      </w:pPr>
      <w:r>
        <w:rPr>
          <w:rStyle w:val="FootnoteReference"/>
        </w:rPr>
        <w:footnoteRef/>
      </w:r>
      <w:r>
        <w:t xml:space="preserve"> </w:t>
      </w:r>
      <w:r w:rsidRPr="00774E94">
        <w:t xml:space="preserve">Lingo Tariff F.C.C. No. 1, </w:t>
      </w:r>
      <w:r>
        <w:t>2</w:t>
      </w:r>
      <w:r w:rsidRPr="00774E94">
        <w:rPr>
          <w:vertAlign w:val="superscript"/>
        </w:rPr>
        <w:t>nd</w:t>
      </w:r>
      <w:r>
        <w:t xml:space="preserve"> Rev. Page No. 57, </w:t>
      </w:r>
      <w:bookmarkStart w:id="11" w:name="_Hlk46947116"/>
      <w:r w:rsidRPr="00774E94">
        <w:t>§ 3.9.3</w:t>
      </w:r>
      <w:r>
        <w:t>, Note 1.</w:t>
      </w:r>
    </w:p>
    <w:bookmarkEnd w:id="11"/>
  </w:footnote>
  <w:footnote w:id="17">
    <w:p w:rsidR="00524102" w:rsidP="00524102" w14:paraId="55CA433B" w14:textId="77777777">
      <w:pPr>
        <w:pStyle w:val="FootnoteText"/>
      </w:pPr>
      <w:r>
        <w:rPr>
          <w:rStyle w:val="FootnoteReference"/>
        </w:rPr>
        <w:footnoteRef/>
      </w:r>
      <w:r>
        <w:t xml:space="preserve"> 47 U.S.C. § 204. </w:t>
      </w:r>
    </w:p>
  </w:footnote>
  <w:footnote w:id="18">
    <w:p w:rsidR="00524102" w:rsidP="00524102" w14:paraId="4B821EE7" w14:textId="77777777">
      <w:pPr>
        <w:pStyle w:val="FootnoteText"/>
        <w:tabs>
          <w:tab w:val="left" w:pos="5772"/>
        </w:tabs>
      </w:pPr>
      <w:r>
        <w:rPr>
          <w:rStyle w:val="FootnoteReference"/>
        </w:rPr>
        <w:footnoteRef/>
      </w:r>
      <w:r>
        <w:t xml:space="preserve"> 47 CFR §§ 1.1200 </w:t>
      </w:r>
      <w:r w:rsidRPr="008E16DF">
        <w:rPr>
          <w:i/>
          <w:iCs/>
        </w:rPr>
        <w:t>et seq</w:t>
      </w:r>
      <w:r>
        <w:rPr>
          <w:i/>
          <w:iCs/>
        </w:rPr>
        <w:t>.</w:t>
      </w:r>
      <w:r>
        <w:rPr>
          <w:i/>
          <w:iCs/>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671AF2" w14:textId="523D081E">
    <w:pPr>
      <w:pStyle w:val="Header"/>
      <w:rPr>
        <w:b w:val="0"/>
      </w:rPr>
    </w:pPr>
    <w:r>
      <w:tab/>
      <w:t>Federal Communications Commission</w:t>
    </w:r>
    <w:r>
      <w:tab/>
    </w:r>
    <w:r w:rsidR="00524102">
      <w:t>DA 20-809</w:t>
    </w:r>
  </w:p>
  <w:p w:rsidR="00D25FB5" w:rsidRPr="00524102" w:rsidP="00524102" w14:paraId="44F32B18" w14:textId="0A6D3B0C">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12CA2FB" w14:textId="4B63098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24102">
      <w:rPr>
        <w:spacing w:val="-2"/>
      </w:rPr>
      <w:t>DA 20-809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2B248818"/>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02"/>
    <w:rsid w:val="000210F8"/>
    <w:rsid w:val="00036039"/>
    <w:rsid w:val="00037F90"/>
    <w:rsid w:val="000875BF"/>
    <w:rsid w:val="00096D8C"/>
    <w:rsid w:val="000B3E31"/>
    <w:rsid w:val="000C0B65"/>
    <w:rsid w:val="000E05FE"/>
    <w:rsid w:val="000E3D42"/>
    <w:rsid w:val="001106B2"/>
    <w:rsid w:val="00122BD5"/>
    <w:rsid w:val="00133F79"/>
    <w:rsid w:val="001802B5"/>
    <w:rsid w:val="00181DE7"/>
    <w:rsid w:val="00194A66"/>
    <w:rsid w:val="001B05B1"/>
    <w:rsid w:val="001D6BCF"/>
    <w:rsid w:val="001E01CA"/>
    <w:rsid w:val="00265983"/>
    <w:rsid w:val="00275CF5"/>
    <w:rsid w:val="002825CB"/>
    <w:rsid w:val="0028301F"/>
    <w:rsid w:val="00285017"/>
    <w:rsid w:val="00291D5E"/>
    <w:rsid w:val="00294C05"/>
    <w:rsid w:val="002A2D2E"/>
    <w:rsid w:val="002C00E8"/>
    <w:rsid w:val="002F1343"/>
    <w:rsid w:val="00343749"/>
    <w:rsid w:val="003660ED"/>
    <w:rsid w:val="003A3E0A"/>
    <w:rsid w:val="003B0550"/>
    <w:rsid w:val="003B694F"/>
    <w:rsid w:val="003C60C8"/>
    <w:rsid w:val="003D48BE"/>
    <w:rsid w:val="003F171C"/>
    <w:rsid w:val="003F31DE"/>
    <w:rsid w:val="00412FC5"/>
    <w:rsid w:val="00422276"/>
    <w:rsid w:val="004242F1"/>
    <w:rsid w:val="00445A00"/>
    <w:rsid w:val="00451B0F"/>
    <w:rsid w:val="004B71B7"/>
    <w:rsid w:val="004C2EE3"/>
    <w:rsid w:val="004E4A22"/>
    <w:rsid w:val="00503DA8"/>
    <w:rsid w:val="00510E59"/>
    <w:rsid w:val="00511968"/>
    <w:rsid w:val="0051246A"/>
    <w:rsid w:val="00524102"/>
    <w:rsid w:val="0055614C"/>
    <w:rsid w:val="00566D06"/>
    <w:rsid w:val="005746AB"/>
    <w:rsid w:val="005E14C2"/>
    <w:rsid w:val="00607BA5"/>
    <w:rsid w:val="0061180A"/>
    <w:rsid w:val="006123A7"/>
    <w:rsid w:val="00613249"/>
    <w:rsid w:val="00626EB6"/>
    <w:rsid w:val="00655D03"/>
    <w:rsid w:val="00683388"/>
    <w:rsid w:val="00683F84"/>
    <w:rsid w:val="006A6A81"/>
    <w:rsid w:val="006F7393"/>
    <w:rsid w:val="0070224F"/>
    <w:rsid w:val="00710F60"/>
    <w:rsid w:val="007115F7"/>
    <w:rsid w:val="00774E94"/>
    <w:rsid w:val="00785689"/>
    <w:rsid w:val="0079754B"/>
    <w:rsid w:val="007A1E6D"/>
    <w:rsid w:val="007B0EB2"/>
    <w:rsid w:val="00810B6F"/>
    <w:rsid w:val="00822CE0"/>
    <w:rsid w:val="00841AB1"/>
    <w:rsid w:val="008C68F1"/>
    <w:rsid w:val="008D6E59"/>
    <w:rsid w:val="008E16DF"/>
    <w:rsid w:val="00921803"/>
    <w:rsid w:val="00926503"/>
    <w:rsid w:val="009726D8"/>
    <w:rsid w:val="009C0683"/>
    <w:rsid w:val="009D7308"/>
    <w:rsid w:val="009F76DB"/>
    <w:rsid w:val="00A00F4A"/>
    <w:rsid w:val="00A24715"/>
    <w:rsid w:val="00A32C3B"/>
    <w:rsid w:val="00A45F4F"/>
    <w:rsid w:val="00A600A9"/>
    <w:rsid w:val="00A72C04"/>
    <w:rsid w:val="00A81848"/>
    <w:rsid w:val="00AA460C"/>
    <w:rsid w:val="00AA55B7"/>
    <w:rsid w:val="00AA5B9E"/>
    <w:rsid w:val="00AB2407"/>
    <w:rsid w:val="00AB53DF"/>
    <w:rsid w:val="00B07E5C"/>
    <w:rsid w:val="00B118AF"/>
    <w:rsid w:val="00B811F7"/>
    <w:rsid w:val="00BA5DC6"/>
    <w:rsid w:val="00BA6196"/>
    <w:rsid w:val="00BC6D8C"/>
    <w:rsid w:val="00C27F15"/>
    <w:rsid w:val="00C34006"/>
    <w:rsid w:val="00C36B4C"/>
    <w:rsid w:val="00C426B1"/>
    <w:rsid w:val="00C64193"/>
    <w:rsid w:val="00C66160"/>
    <w:rsid w:val="00C721AC"/>
    <w:rsid w:val="00C90D6A"/>
    <w:rsid w:val="00CA247E"/>
    <w:rsid w:val="00CA6D21"/>
    <w:rsid w:val="00CC72B6"/>
    <w:rsid w:val="00CE512E"/>
    <w:rsid w:val="00CF1544"/>
    <w:rsid w:val="00D0218D"/>
    <w:rsid w:val="00D12B10"/>
    <w:rsid w:val="00D253E5"/>
    <w:rsid w:val="00D25FB5"/>
    <w:rsid w:val="00D44223"/>
    <w:rsid w:val="00D87695"/>
    <w:rsid w:val="00DA2529"/>
    <w:rsid w:val="00DB130A"/>
    <w:rsid w:val="00DB2EBB"/>
    <w:rsid w:val="00DC10A1"/>
    <w:rsid w:val="00DC655F"/>
    <w:rsid w:val="00DD0B59"/>
    <w:rsid w:val="00DD7EBD"/>
    <w:rsid w:val="00DF62B6"/>
    <w:rsid w:val="00E07225"/>
    <w:rsid w:val="00E20DF5"/>
    <w:rsid w:val="00E5409F"/>
    <w:rsid w:val="00E92AC1"/>
    <w:rsid w:val="00ED0D69"/>
    <w:rsid w:val="00EE6488"/>
    <w:rsid w:val="00F021FA"/>
    <w:rsid w:val="00F62E97"/>
    <w:rsid w:val="00F64209"/>
    <w:rsid w:val="00F650AA"/>
    <w:rsid w:val="00F93BF5"/>
    <w:rsid w:val="00FA0A18"/>
    <w:rsid w:val="00FD0E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1FE47DB-FDC0-4E80-8FED-3199A5AA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102"/>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524102"/>
    <w:pPr>
      <w:numPr>
        <w:numId w:val="2"/>
      </w:numPr>
      <w:tabs>
        <w:tab w:val="clear" w:pos="1080"/>
      </w:tabs>
      <w:spacing w:after="120"/>
    </w:pPr>
    <w:rPr>
      <w:szCs w:val="22"/>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524102"/>
    <w:rPr>
      <w:rFonts w:ascii="Times New Roman Bold" w:hAnsi="Times New Roman Bold"/>
      <w:b/>
      <w:caps/>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524102"/>
  </w:style>
  <w:style w:type="character" w:customStyle="1" w:styleId="ParaNumCharChar1">
    <w:name w:val="ParaNum Char Char1"/>
    <w:link w:val="ParaNum"/>
    <w:locked/>
    <w:rsid w:val="00524102"/>
    <w:rPr>
      <w:snapToGrid w:val="0"/>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