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C2EE3" w14:paraId="3DEB44B9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5B8507E" w14:textId="77777777">
      <w:pPr>
        <w:pStyle w:val="StyleBoldCentered"/>
      </w:pPr>
      <w:r>
        <w:t>F</w:t>
      </w:r>
      <w:r>
        <w:rPr>
          <w:caps w:val="0"/>
        </w:rPr>
        <w:t>ederal Communication</w:t>
      </w:r>
      <w:bookmarkStart w:id="0" w:name="_GoBack"/>
      <w:bookmarkEnd w:id="0"/>
      <w:r>
        <w:rPr>
          <w:caps w:val="0"/>
        </w:rPr>
        <w:t>s Commission</w:t>
      </w:r>
    </w:p>
    <w:p w:rsidR="004C2EE3" w:rsidP="00096D8C" w14:paraId="0AF498BD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4944F84" w14:textId="77777777"/>
    <w:p w:rsidR="004C2EE3" w:rsidP="0070224F" w14:paraId="28BB7863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45DD6DF6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3B0623F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759F795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23B39" w:rsidRPr="00404921" w:rsidP="00323B39" w14:paraId="01FE4BE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bookmarkStart w:id="1" w:name="_Hlk46139881"/>
            <w:r w:rsidRPr="00404921">
              <w:rPr>
                <w:spacing w:val="-2"/>
              </w:rPr>
              <w:t>Implementation of State and Local Governments’ Obligation to Approve Certain Wireless Facility Modification Requests Under Section 6409(a) of the Spectrum Act of 2012</w:t>
            </w:r>
          </w:p>
          <w:bookmarkEnd w:id="1"/>
          <w:p w:rsidR="004C2EE3" w:rsidRPr="007115F7" w:rsidP="007115F7" w14:paraId="13B1D1C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14:paraId="27C98D5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A414A5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5CD6A0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46995F1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1A9FAA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323B39" w14:paraId="7101595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5BCD50C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6EA18097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44CF22E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WT Docket No. 19-250</w:t>
            </w:r>
          </w:p>
          <w:p w:rsidR="00323B39" w14:paraId="597BEAE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323B39" w14:paraId="01EEEBE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RM-11849</w:t>
            </w:r>
          </w:p>
        </w:tc>
      </w:tr>
    </w:tbl>
    <w:p w:rsidR="004C2EE3" w:rsidP="0070224F" w14:paraId="5AD05D2B" w14:textId="77777777"/>
    <w:p w:rsidR="00841AB1" w:rsidP="00F021FA" w14:paraId="0693338F" w14:textId="77777777">
      <w:pPr>
        <w:pStyle w:val="StyleBoldCentered"/>
      </w:pPr>
      <w:r>
        <w:t>Erratum</w:t>
      </w:r>
    </w:p>
    <w:p w:rsidR="004C2EE3" w14:paraId="582DAED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323B39" w14:paraId="6B9A6425" w14:textId="4E0DA79B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051FDF">
        <w:rPr>
          <w:b/>
          <w:spacing w:val="-2"/>
        </w:rPr>
        <w:t>August 3, 2020</w:t>
      </w:r>
    </w:p>
    <w:p w:rsidR="00822CE0" w14:paraId="1D00D60E" w14:textId="77777777"/>
    <w:p w:rsidR="004C2EE3" w14:paraId="44209F3E" w14:textId="77777777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323B39">
        <w:rPr>
          <w:spacing w:val="-2"/>
        </w:rPr>
        <w:t xml:space="preserve">Chief, Wireless Telecommunications Bureau: </w:t>
      </w:r>
    </w:p>
    <w:p w:rsidR="00323B39" w14:paraId="3289E44B" w14:textId="77777777">
      <w:pPr>
        <w:rPr>
          <w:spacing w:val="-2"/>
        </w:rPr>
      </w:pPr>
    </w:p>
    <w:p w:rsidR="00D751F9" w:rsidP="00BE2CCF" w14:paraId="2506CFFF" w14:textId="51042104">
      <w:pPr>
        <w:widowControl/>
        <w:ind w:firstLine="720"/>
        <w:rPr>
          <w:snapToGrid/>
          <w:kern w:val="0"/>
          <w:szCs w:val="22"/>
        </w:rPr>
      </w:pPr>
      <w:r w:rsidRPr="00BE2CCF">
        <w:rPr>
          <w:snapToGrid/>
          <w:kern w:val="0"/>
          <w:szCs w:val="22"/>
        </w:rPr>
        <w:t xml:space="preserve">On June 10, 2020, the Commission released a </w:t>
      </w:r>
      <w:r w:rsidRPr="00BE2CCF">
        <w:rPr>
          <w:i/>
          <w:iCs/>
          <w:snapToGrid/>
          <w:kern w:val="0"/>
          <w:szCs w:val="22"/>
        </w:rPr>
        <w:t>Declaratory Ruling and Notice of Proposed Rulemaking</w:t>
      </w:r>
      <w:r w:rsidRPr="00BE2CCF">
        <w:rPr>
          <w:snapToGrid/>
          <w:kern w:val="0"/>
          <w:szCs w:val="22"/>
        </w:rPr>
        <w:t>, FCC 20-75, in the above-captioned proceeding.</w:t>
      </w:r>
      <w:r w:rsidR="00DA7D4B">
        <w:rPr>
          <w:snapToGrid/>
          <w:kern w:val="0"/>
          <w:szCs w:val="22"/>
        </w:rPr>
        <w:t xml:space="preserve"> </w:t>
      </w:r>
      <w:r w:rsidRPr="00BE2CCF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>T</w:t>
      </w:r>
      <w:r w:rsidR="00EC7D1B">
        <w:rPr>
          <w:snapToGrid/>
          <w:kern w:val="0"/>
          <w:szCs w:val="22"/>
        </w:rPr>
        <w:t xml:space="preserve">he Commission inadvertently cited to a letter that was filed </w:t>
      </w:r>
      <w:r w:rsidRPr="00246C79">
        <w:rPr>
          <w:snapToGrid/>
          <w:kern w:val="0"/>
          <w:szCs w:val="22"/>
        </w:rPr>
        <w:t>on June 4, 2020</w:t>
      </w:r>
      <w:r>
        <w:rPr>
          <w:snapToGrid/>
          <w:kern w:val="0"/>
          <w:szCs w:val="22"/>
        </w:rPr>
        <w:t xml:space="preserve"> </w:t>
      </w:r>
      <w:r w:rsidR="00EC7D1B">
        <w:rPr>
          <w:snapToGrid/>
          <w:kern w:val="0"/>
          <w:szCs w:val="22"/>
        </w:rPr>
        <w:t xml:space="preserve">during the Sunshine </w:t>
      </w:r>
      <w:r w:rsidR="008A4954">
        <w:rPr>
          <w:snapToGrid/>
          <w:kern w:val="0"/>
          <w:szCs w:val="22"/>
        </w:rPr>
        <w:t>P</w:t>
      </w:r>
      <w:r w:rsidR="00EC7D1B">
        <w:rPr>
          <w:snapToGrid/>
          <w:kern w:val="0"/>
          <w:szCs w:val="22"/>
        </w:rPr>
        <w:t>eriod</w:t>
      </w:r>
      <w:r w:rsidRPr="00D751F9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that </w:t>
      </w:r>
      <w:r w:rsidRPr="00246C79">
        <w:rPr>
          <w:snapToGrid/>
          <w:kern w:val="0"/>
          <w:szCs w:val="22"/>
        </w:rPr>
        <w:t>began on June 3, 2020</w:t>
      </w:r>
      <w:r w:rsidR="00EC7D1B">
        <w:rPr>
          <w:snapToGrid/>
          <w:kern w:val="0"/>
          <w:szCs w:val="22"/>
        </w:rPr>
        <w:t xml:space="preserve">.  </w:t>
      </w:r>
      <w:r w:rsidRPr="00246C79" w:rsidR="005806F4">
        <w:rPr>
          <w:i/>
          <w:iCs/>
          <w:snapToGrid/>
          <w:kern w:val="0"/>
          <w:szCs w:val="22"/>
        </w:rPr>
        <w:t>See</w:t>
      </w:r>
      <w:r w:rsidRPr="00246C79" w:rsidR="005806F4">
        <w:rPr>
          <w:snapToGrid/>
          <w:kern w:val="0"/>
          <w:szCs w:val="22"/>
        </w:rPr>
        <w:t xml:space="preserve"> 47 CFR § 1.1203.</w:t>
      </w:r>
      <w:r w:rsidR="005806F4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 </w:t>
      </w:r>
      <w:r w:rsidR="00EC7D1B">
        <w:rPr>
          <w:snapToGrid/>
          <w:kern w:val="0"/>
          <w:szCs w:val="22"/>
        </w:rPr>
        <w:t>Th</w:t>
      </w:r>
      <w:r>
        <w:rPr>
          <w:snapToGrid/>
          <w:kern w:val="0"/>
          <w:szCs w:val="22"/>
        </w:rPr>
        <w:t>is Erratum</w:t>
      </w:r>
      <w:r w:rsidR="00EC7D1B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amends the </w:t>
      </w:r>
      <w:r w:rsidRPr="00BE2CCF">
        <w:rPr>
          <w:i/>
          <w:iCs/>
          <w:snapToGrid/>
          <w:kern w:val="0"/>
          <w:szCs w:val="22"/>
        </w:rPr>
        <w:t>Declaratory Ruling and Notice of Proposed Rulemaking</w:t>
      </w:r>
      <w:r>
        <w:rPr>
          <w:snapToGrid/>
          <w:kern w:val="0"/>
          <w:szCs w:val="22"/>
        </w:rPr>
        <w:t xml:space="preserve"> as indicated below:</w:t>
      </w:r>
    </w:p>
    <w:p w:rsidR="00D751F9" w:rsidP="00BE2CCF" w14:paraId="187712F9" w14:textId="77777777">
      <w:pPr>
        <w:widowControl/>
        <w:ind w:firstLine="720"/>
        <w:rPr>
          <w:snapToGrid/>
          <w:kern w:val="0"/>
          <w:szCs w:val="22"/>
        </w:rPr>
      </w:pPr>
    </w:p>
    <w:p w:rsidR="00DA7D4B" w:rsidP="00D751F9" w14:paraId="36796948" w14:textId="77777777">
      <w:pPr>
        <w:widowControl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Footnote 4 is corrected by deleting </w:t>
      </w:r>
      <w:r>
        <w:rPr>
          <w:snapToGrid/>
          <w:kern w:val="0"/>
          <w:szCs w:val="22"/>
        </w:rPr>
        <w:t>the following:</w:t>
      </w:r>
    </w:p>
    <w:p w:rsidR="00DA7D4B" w:rsidP="00D751F9" w14:paraId="31C5BEFB" w14:textId="77777777">
      <w:pPr>
        <w:widowControl/>
        <w:ind w:firstLine="720"/>
        <w:rPr>
          <w:snapToGrid/>
          <w:kern w:val="0"/>
          <w:szCs w:val="22"/>
        </w:rPr>
      </w:pPr>
    </w:p>
    <w:p w:rsidR="00246C79" w:rsidP="00D751F9" w14:paraId="37383ED8" w14:textId="183BFC2F">
      <w:pPr>
        <w:widowControl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“</w:t>
      </w:r>
      <w:r w:rsidRPr="005806F4" w:rsidR="005806F4">
        <w:rPr>
          <w:snapToGrid/>
          <w:kern w:val="0"/>
          <w:szCs w:val="22"/>
        </w:rPr>
        <w:t>Letter from Clinton Loss, President, Montana Emergency Medical Services Association, to Marlene H. Dortch, Secretary, FCC, WT Docket No. 19-250 and RM-11849 (filed June 4, 2020)</w:t>
      </w:r>
      <w:r w:rsidR="00D751F9">
        <w:rPr>
          <w:snapToGrid/>
          <w:kern w:val="0"/>
          <w:szCs w:val="22"/>
        </w:rPr>
        <w:t>.</w:t>
      </w:r>
      <w:r>
        <w:rPr>
          <w:snapToGrid/>
          <w:kern w:val="0"/>
          <w:szCs w:val="22"/>
        </w:rPr>
        <w:t>”</w:t>
      </w:r>
    </w:p>
    <w:p w:rsidR="00D751F9" w:rsidP="00111DA1" w14:paraId="50465EEE" w14:textId="77777777">
      <w:pPr>
        <w:widowControl/>
        <w:ind w:firstLine="720"/>
        <w:rPr>
          <w:snapToGrid/>
          <w:kern w:val="0"/>
          <w:szCs w:val="22"/>
        </w:rPr>
      </w:pPr>
    </w:p>
    <w:p w:rsidR="00246C79" w:rsidP="00111DA1" w14:paraId="5043D6B8" w14:textId="77777777">
      <w:pPr>
        <w:widowControl/>
        <w:rPr>
          <w:snapToGrid/>
          <w:kern w:val="0"/>
          <w:szCs w:val="22"/>
        </w:rPr>
      </w:pPr>
    </w:p>
    <w:p w:rsidR="00C0051D" w:rsidRPr="00074B8D" w:rsidP="00C0051D" w14:paraId="404469FF" w14:textId="77777777">
      <w:pPr>
        <w:widowControl/>
        <w:snapToGrid w:val="0"/>
        <w:ind w:left="4320"/>
        <w:jc w:val="both"/>
        <w:rPr>
          <w:rFonts w:eastAsia="Calibri"/>
          <w:snapToGrid/>
          <w:kern w:val="0"/>
          <w:szCs w:val="22"/>
        </w:rPr>
      </w:pPr>
      <w:r w:rsidRPr="00074B8D">
        <w:rPr>
          <w:rFonts w:eastAsia="Calibri"/>
          <w:snapToGrid/>
          <w:kern w:val="0"/>
          <w:szCs w:val="22"/>
        </w:rPr>
        <w:t>FEDERAL COMMUNICATIONS COMMISSION</w:t>
      </w:r>
    </w:p>
    <w:p w:rsidR="00C0051D" w:rsidRPr="00074B8D" w:rsidP="00C0051D" w14:paraId="1BA32931" w14:textId="77777777">
      <w:pPr>
        <w:widowControl/>
        <w:snapToGrid w:val="0"/>
        <w:ind w:left="4320"/>
        <w:jc w:val="both"/>
        <w:rPr>
          <w:rFonts w:eastAsia="Calibri"/>
          <w:snapToGrid/>
          <w:kern w:val="0"/>
          <w:szCs w:val="22"/>
        </w:rPr>
      </w:pPr>
    </w:p>
    <w:p w:rsidR="00C0051D" w:rsidRPr="00074B8D" w:rsidP="00C0051D" w14:paraId="5D6FF033" w14:textId="77777777">
      <w:pPr>
        <w:widowControl/>
        <w:snapToGrid w:val="0"/>
        <w:ind w:left="4320"/>
        <w:jc w:val="both"/>
        <w:rPr>
          <w:rFonts w:eastAsia="Calibri"/>
          <w:snapToGrid/>
          <w:kern w:val="0"/>
          <w:szCs w:val="22"/>
        </w:rPr>
      </w:pPr>
    </w:p>
    <w:p w:rsidR="00C0051D" w:rsidRPr="00074B8D" w:rsidP="00C0051D" w14:paraId="10CF35BC" w14:textId="155FD330">
      <w:pPr>
        <w:widowControl/>
        <w:snapToGrid w:val="0"/>
        <w:ind w:left="4320"/>
        <w:jc w:val="both"/>
        <w:rPr>
          <w:rFonts w:eastAsia="Calibri"/>
          <w:snapToGrid/>
          <w:kern w:val="0"/>
          <w:szCs w:val="22"/>
        </w:rPr>
      </w:pPr>
    </w:p>
    <w:p w:rsidR="00D751F9" w:rsidP="00C0051D" w14:paraId="4D12B0D7" w14:textId="77777777">
      <w:pPr>
        <w:widowControl/>
        <w:snapToGrid w:val="0"/>
        <w:ind w:left="4320"/>
        <w:rPr>
          <w:rFonts w:eastAsia="Calibri"/>
          <w:snapToGrid/>
          <w:kern w:val="0"/>
          <w:szCs w:val="22"/>
        </w:rPr>
      </w:pPr>
      <w:bookmarkStart w:id="2" w:name="_Toc506226980"/>
    </w:p>
    <w:p w:rsidR="00C0051D" w:rsidP="00C0051D" w14:paraId="784D14C8" w14:textId="36B4B1B8">
      <w:pPr>
        <w:widowControl/>
        <w:snapToGrid w:val="0"/>
        <w:ind w:left="43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Donald K. Stockdale, Jr.</w:t>
      </w:r>
    </w:p>
    <w:p w:rsidR="00C0051D" w:rsidP="00C0051D" w14:paraId="4023324B" w14:textId="77777777">
      <w:pPr>
        <w:widowControl/>
        <w:snapToGrid w:val="0"/>
        <w:ind w:left="43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Chief,</w:t>
      </w:r>
    </w:p>
    <w:p w:rsidR="00412FC5" w:rsidRPr="00A30EF1" w:rsidP="00A30EF1" w14:paraId="341783AF" w14:textId="5101F230">
      <w:pPr>
        <w:widowControl/>
        <w:snapToGrid w:val="0"/>
        <w:ind w:left="43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Wireless Telecommunications Bureau</w:t>
      </w:r>
      <w:bookmarkEnd w:id="2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1E4DE0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4262C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4F9CE97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51B4769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C3A58A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BFBAE24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1154874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72D66D5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AA42435" w14:textId="59D4A6B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D751F9">
      <w:t>DA 20-</w:t>
    </w:r>
    <w:r w:rsidR="00111DA1">
      <w:t>825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F7F0D88"/>
    <w:multiLevelType w:val="hybridMultilevel"/>
    <w:tmpl w:val="9C62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27FD"/>
    <w:multiLevelType w:val="hybridMultilevel"/>
    <w:tmpl w:val="C0ACF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39"/>
    <w:rsid w:val="00036039"/>
    <w:rsid w:val="00037F90"/>
    <w:rsid w:val="00051FDF"/>
    <w:rsid w:val="00074B8D"/>
    <w:rsid w:val="000875BF"/>
    <w:rsid w:val="00096D8C"/>
    <w:rsid w:val="000C0B65"/>
    <w:rsid w:val="000E05FE"/>
    <w:rsid w:val="000E3D42"/>
    <w:rsid w:val="00111DA1"/>
    <w:rsid w:val="00122BD5"/>
    <w:rsid w:val="00133F79"/>
    <w:rsid w:val="001665A7"/>
    <w:rsid w:val="00194A66"/>
    <w:rsid w:val="001A02BC"/>
    <w:rsid w:val="001D6BCF"/>
    <w:rsid w:val="001E01CA"/>
    <w:rsid w:val="00246C79"/>
    <w:rsid w:val="00275CF5"/>
    <w:rsid w:val="0028301F"/>
    <w:rsid w:val="00285017"/>
    <w:rsid w:val="002A2D2E"/>
    <w:rsid w:val="002C00E8"/>
    <w:rsid w:val="002C5476"/>
    <w:rsid w:val="002F3C21"/>
    <w:rsid w:val="00323B39"/>
    <w:rsid w:val="00343749"/>
    <w:rsid w:val="003660ED"/>
    <w:rsid w:val="003708DE"/>
    <w:rsid w:val="003B0550"/>
    <w:rsid w:val="003B694F"/>
    <w:rsid w:val="003F171C"/>
    <w:rsid w:val="00404921"/>
    <w:rsid w:val="00412FC5"/>
    <w:rsid w:val="00422276"/>
    <w:rsid w:val="004242F1"/>
    <w:rsid w:val="00445A00"/>
    <w:rsid w:val="00451B0F"/>
    <w:rsid w:val="004C2EE3"/>
    <w:rsid w:val="004E4A22"/>
    <w:rsid w:val="00511968"/>
    <w:rsid w:val="00531514"/>
    <w:rsid w:val="00552CEF"/>
    <w:rsid w:val="0055614C"/>
    <w:rsid w:val="00566D06"/>
    <w:rsid w:val="005806F4"/>
    <w:rsid w:val="005B2303"/>
    <w:rsid w:val="005E14C2"/>
    <w:rsid w:val="005F132E"/>
    <w:rsid w:val="00607BA5"/>
    <w:rsid w:val="0061180A"/>
    <w:rsid w:val="00621251"/>
    <w:rsid w:val="00626EB6"/>
    <w:rsid w:val="00655D03"/>
    <w:rsid w:val="00683388"/>
    <w:rsid w:val="00683F84"/>
    <w:rsid w:val="006A6A81"/>
    <w:rsid w:val="006F7393"/>
    <w:rsid w:val="0070224F"/>
    <w:rsid w:val="007115F7"/>
    <w:rsid w:val="007145C6"/>
    <w:rsid w:val="00785689"/>
    <w:rsid w:val="0079754B"/>
    <w:rsid w:val="007A1E6D"/>
    <w:rsid w:val="007B0EB2"/>
    <w:rsid w:val="00810B6F"/>
    <w:rsid w:val="00822CE0"/>
    <w:rsid w:val="00841AB1"/>
    <w:rsid w:val="0086364D"/>
    <w:rsid w:val="00872ACC"/>
    <w:rsid w:val="008A4954"/>
    <w:rsid w:val="008C68F1"/>
    <w:rsid w:val="00921803"/>
    <w:rsid w:val="00926503"/>
    <w:rsid w:val="00940428"/>
    <w:rsid w:val="009726D8"/>
    <w:rsid w:val="009B1F24"/>
    <w:rsid w:val="009B79DC"/>
    <w:rsid w:val="009C0C4D"/>
    <w:rsid w:val="009D7308"/>
    <w:rsid w:val="009F76DB"/>
    <w:rsid w:val="00A30EF1"/>
    <w:rsid w:val="00A32C3B"/>
    <w:rsid w:val="00A45F4F"/>
    <w:rsid w:val="00A600A9"/>
    <w:rsid w:val="00AA55B7"/>
    <w:rsid w:val="00AA5B9E"/>
    <w:rsid w:val="00AB2407"/>
    <w:rsid w:val="00AB53DF"/>
    <w:rsid w:val="00AE4FA4"/>
    <w:rsid w:val="00B07E5C"/>
    <w:rsid w:val="00B424A3"/>
    <w:rsid w:val="00B6655E"/>
    <w:rsid w:val="00B66BA5"/>
    <w:rsid w:val="00B811F7"/>
    <w:rsid w:val="00BA5DC6"/>
    <w:rsid w:val="00BA6196"/>
    <w:rsid w:val="00BC6D8C"/>
    <w:rsid w:val="00BE0D1D"/>
    <w:rsid w:val="00BE2CCF"/>
    <w:rsid w:val="00C0051D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751F9"/>
    <w:rsid w:val="00DA2529"/>
    <w:rsid w:val="00DA7D4B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73447"/>
    <w:rsid w:val="00EC7D1B"/>
    <w:rsid w:val="00EE6488"/>
    <w:rsid w:val="00F021FA"/>
    <w:rsid w:val="00F26691"/>
    <w:rsid w:val="00F517CC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D970CA6-DCAF-4FCB-9FC1-2BC2230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Foo... + Italic,Footnote Text Char Char2 Char Char,Footnote Text Char1,Footnote Text Char1 Char Char,Footnote Text Char2 Char,Footnote Text Char2 Char1 Char Char Char Char,Footnote Text Char4 Char Char Char Char,f,fn,fn Ch"/>
    <w:link w:val="FootnoteTextChar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Emphasis">
    <w:name w:val="Emphasis"/>
    <w:basedOn w:val="DefaultParagraphFont"/>
    <w:qFormat/>
    <w:rsid w:val="002C5476"/>
    <w:rPr>
      <w:i/>
      <w:iCs/>
    </w:rPr>
  </w:style>
  <w:style w:type="character" w:customStyle="1" w:styleId="FootnoteTextChar">
    <w:name w:val="Footnote Text Char"/>
    <w:aliases w:val="ALTS FOOTNOTE Char,Foo... + Italic Char,Footnote Text Char Char2 Char Char Char,Footnote Text Char1 Char,Footnote Text Char1 Char Char Char,Footnote Text Char2 Char Char,Footnote Text Char2 Char1 Char Char Char Char Char,f Char"/>
    <w:link w:val="FootnoteText"/>
    <w:rsid w:val="00B6655E"/>
  </w:style>
  <w:style w:type="character" w:customStyle="1" w:styleId="ParaNumChar">
    <w:name w:val="ParaNum Char"/>
    <w:link w:val="ParaNum"/>
    <w:rsid w:val="00B6655E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BE2C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51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9B1F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F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1F2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B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1F24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