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C82B6B" w14:paraId="17E3703A" w14:textId="77777777">
      <w:pPr>
        <w:jc w:val="right"/>
        <w:rPr>
          <w:sz w:val="24"/>
        </w:rPr>
      </w:pPr>
    </w:p>
    <w:p w:rsidR="00FF5712" w:rsidRPr="00B20363" w:rsidP="00FF5712" w14:paraId="1A557685" w14:textId="0A3F1999">
      <w:pPr>
        <w:jc w:val="right"/>
        <w:rPr>
          <w:b/>
          <w:sz w:val="24"/>
        </w:rPr>
      </w:pPr>
      <w:r>
        <w:rPr>
          <w:b/>
          <w:sz w:val="24"/>
        </w:rPr>
        <w:t>DA 20-</w:t>
      </w:r>
      <w:r w:rsidR="00D23A25">
        <w:rPr>
          <w:b/>
          <w:sz w:val="24"/>
        </w:rPr>
        <w:t>828</w:t>
      </w:r>
    </w:p>
    <w:p w:rsidR="00FF5712" w:rsidRPr="00B20363" w:rsidP="00FF5712" w14:paraId="5BB08AF5" w14:textId="77777777">
      <w:pPr>
        <w:spacing w:before="60"/>
        <w:jc w:val="right"/>
        <w:rPr>
          <w:b/>
          <w:sz w:val="24"/>
        </w:rPr>
      </w:pPr>
      <w:r>
        <w:rPr>
          <w:b/>
          <w:sz w:val="24"/>
        </w:rPr>
        <w:t>Released:  August 3, 2020</w:t>
      </w:r>
    </w:p>
    <w:p w:rsidR="00FF5712" w:rsidP="00FF5712" w14:paraId="1ECFAD27" w14:textId="77777777">
      <w:pPr>
        <w:jc w:val="right"/>
        <w:rPr>
          <w:sz w:val="24"/>
        </w:rPr>
      </w:pPr>
    </w:p>
    <w:p w:rsidR="00FF5712" w:rsidRPr="00B20363" w:rsidP="00FF5712" w14:paraId="203263F9" w14:textId="77777777">
      <w:pPr>
        <w:spacing w:after="240"/>
        <w:jc w:val="center"/>
        <w:rPr>
          <w:rFonts w:ascii="Times New Roman Bold" w:hAnsi="Times New Roman Bold"/>
          <w:b/>
          <w:caps/>
          <w:sz w:val="24"/>
        </w:rPr>
      </w:pPr>
      <w:r>
        <w:rPr>
          <w:rFonts w:ascii="Times New Roman Bold" w:hAnsi="Times New Roman Bold"/>
          <w:b/>
          <w:caps/>
          <w:sz w:val="24"/>
        </w:rPr>
        <w:t>Wireless Telecommunications bureau SEEKS COMMENT ON WHETHER PROPOSED 3.7-4.2 GHZ RELOCATION PAYMENT CLEARINGHOUSE SATISFIES SELECTION CRITERIA</w:t>
      </w:r>
    </w:p>
    <w:p w:rsidR="00FF5712" w:rsidP="00FF5712" w14:paraId="483200C7" w14:textId="77777777">
      <w:pPr>
        <w:jc w:val="center"/>
        <w:rPr>
          <w:b/>
          <w:sz w:val="24"/>
        </w:rPr>
      </w:pPr>
      <w:r>
        <w:rPr>
          <w:b/>
          <w:sz w:val="24"/>
        </w:rPr>
        <w:t>GN Docket No. 18-122</w:t>
      </w:r>
    </w:p>
    <w:p w:rsidR="00FF5712" w:rsidP="00FF5712" w14:paraId="4154AA69" w14:textId="77777777">
      <w:pPr>
        <w:jc w:val="center"/>
        <w:rPr>
          <w:b/>
          <w:sz w:val="24"/>
        </w:rPr>
      </w:pPr>
    </w:p>
    <w:p w:rsidR="00FF5712" w:rsidP="00FF5712" w14:paraId="681A48FF" w14:textId="77777777">
      <w:pPr>
        <w:rPr>
          <w:b/>
          <w:sz w:val="24"/>
        </w:rPr>
      </w:pPr>
      <w:r>
        <w:rPr>
          <w:b/>
          <w:sz w:val="24"/>
        </w:rPr>
        <w:t>Comments Due:  August 18, 2020</w:t>
      </w:r>
    </w:p>
    <w:p w:rsidR="00FF5712" w:rsidRPr="0053422A" w:rsidP="00FF5712" w14:paraId="536F4A15" w14:textId="77777777">
      <w:pPr>
        <w:rPr>
          <w:b/>
          <w:sz w:val="24"/>
        </w:rPr>
      </w:pPr>
      <w:r>
        <w:rPr>
          <w:b/>
          <w:sz w:val="24"/>
        </w:rPr>
        <w:t>Reply Comments Due:  August 28, 2020</w:t>
      </w:r>
    </w:p>
    <w:p w:rsidR="00FF5712" w:rsidP="00FF5712" w14:paraId="6F79F399" w14:textId="77777777">
      <w:pPr>
        <w:rPr>
          <w:sz w:val="24"/>
        </w:rPr>
      </w:pPr>
    </w:p>
    <w:p w:rsidR="00FF5712" w:rsidP="00FF5712" w14:paraId="34832AF8" w14:textId="77777777">
      <w:pPr>
        <w:spacing w:after="120"/>
        <w:ind w:firstLine="720"/>
        <w:rPr>
          <w:szCs w:val="22"/>
        </w:rPr>
      </w:pPr>
      <w:r w:rsidRPr="002E1558">
        <w:rPr>
          <w:szCs w:val="22"/>
        </w:rPr>
        <w:t>With this Public Notice, the Wireless Telecommunications Bureau (</w:t>
      </w:r>
      <w:r>
        <w:rPr>
          <w:szCs w:val="22"/>
        </w:rPr>
        <w:t>the Bureau</w:t>
      </w:r>
      <w:r w:rsidRPr="002E1558">
        <w:rPr>
          <w:szCs w:val="22"/>
        </w:rPr>
        <w:t xml:space="preserve">) </w:t>
      </w:r>
      <w:r>
        <w:rPr>
          <w:szCs w:val="22"/>
        </w:rPr>
        <w:t xml:space="preserve">seeks comment on whether the Relocation Payment Clearinghouse (Clearinghouse) selected by a committee of stakeholders in the 3.7-4.2 GHz band (C-band) satisfies the criteria established by the Commission in the </w:t>
      </w:r>
      <w:r w:rsidRPr="002E1558">
        <w:rPr>
          <w:i/>
          <w:iCs/>
          <w:szCs w:val="22"/>
        </w:rPr>
        <w:t>Expanding Flexible Use of the 3.7 to 4.2 GHz Band</w:t>
      </w:r>
      <w:r w:rsidRPr="002E1558">
        <w:rPr>
          <w:szCs w:val="22"/>
        </w:rPr>
        <w:t xml:space="preserve"> </w:t>
      </w:r>
      <w:r w:rsidRPr="002E1558">
        <w:rPr>
          <w:i/>
          <w:iCs/>
          <w:szCs w:val="22"/>
        </w:rPr>
        <w:t>Report and Order</w:t>
      </w:r>
      <w:r w:rsidRPr="002E1558">
        <w:rPr>
          <w:szCs w:val="22"/>
        </w:rPr>
        <w:t>.</w:t>
      </w:r>
      <w:r>
        <w:rPr>
          <w:rStyle w:val="FootnoteReference"/>
          <w:szCs w:val="22"/>
        </w:rPr>
        <w:footnoteReference w:id="3"/>
      </w:r>
      <w:r w:rsidRPr="002E1558">
        <w:rPr>
          <w:szCs w:val="22"/>
        </w:rPr>
        <w:t xml:space="preserve">  </w:t>
      </w:r>
    </w:p>
    <w:p w:rsidR="00FF5712" w:rsidRPr="002E1558" w:rsidP="00FF5712" w14:paraId="271445A3" w14:textId="77777777">
      <w:pPr>
        <w:spacing w:after="120"/>
        <w:ind w:firstLine="720"/>
        <w:rPr>
          <w:szCs w:val="22"/>
        </w:rPr>
      </w:pPr>
      <w:bookmarkStart w:id="0" w:name="_Hlk47342185"/>
      <w:r w:rsidRPr="002E1558">
        <w:rPr>
          <w:szCs w:val="22"/>
        </w:rPr>
        <w:t xml:space="preserve">On March 3, 2020, the Commission released the </w:t>
      </w:r>
      <w:r w:rsidRPr="002E1558">
        <w:rPr>
          <w:i/>
          <w:iCs/>
          <w:szCs w:val="22"/>
        </w:rPr>
        <w:t>3.7 GHz Band</w:t>
      </w:r>
      <w:r w:rsidRPr="002E1558">
        <w:rPr>
          <w:szCs w:val="22"/>
        </w:rPr>
        <w:t xml:space="preserve"> </w:t>
      </w:r>
      <w:r w:rsidRPr="002E1558">
        <w:rPr>
          <w:i/>
          <w:iCs/>
          <w:szCs w:val="22"/>
        </w:rPr>
        <w:t>Report and Order</w:t>
      </w:r>
      <w:r w:rsidRPr="008E5CFF">
        <w:rPr>
          <w:szCs w:val="22"/>
        </w:rPr>
        <w:t>,</w:t>
      </w:r>
      <w:r>
        <w:rPr>
          <w:i/>
          <w:iCs/>
          <w:szCs w:val="22"/>
        </w:rPr>
        <w:t xml:space="preserve"> </w:t>
      </w:r>
      <w:r>
        <w:rPr>
          <w:szCs w:val="22"/>
        </w:rPr>
        <w:t>which</w:t>
      </w:r>
      <w:r w:rsidRPr="002E1558">
        <w:rPr>
          <w:i/>
          <w:iCs/>
          <w:szCs w:val="22"/>
        </w:rPr>
        <w:t xml:space="preserve"> </w:t>
      </w:r>
      <w:r w:rsidRPr="002E1558">
        <w:rPr>
          <w:szCs w:val="22"/>
        </w:rPr>
        <w:t>adopt</w:t>
      </w:r>
      <w:r>
        <w:rPr>
          <w:szCs w:val="22"/>
        </w:rPr>
        <w:t>ed</w:t>
      </w:r>
      <w:r w:rsidRPr="002E1558">
        <w:rPr>
          <w:szCs w:val="22"/>
        </w:rPr>
        <w:t xml:space="preserve"> new rules to make available 280 megahertz of mid-band spectrum for flexible use</w:t>
      </w:r>
      <w:r>
        <w:rPr>
          <w:szCs w:val="22"/>
        </w:rPr>
        <w:t xml:space="preserve"> </w:t>
      </w:r>
      <w:r w:rsidRPr="00EC7C26">
        <w:rPr>
          <w:szCs w:val="22"/>
        </w:rPr>
        <w:t>through a Commission-administered public auction of overlay licenses</w:t>
      </w:r>
      <w:r w:rsidRPr="002E1558">
        <w:rPr>
          <w:szCs w:val="22"/>
        </w:rPr>
        <w:t>, plus a 20 megahertz guard band, throughout the contiguous United States by transitioning existing services out of the lower portion and in to the upper 200 megahertz of the C-</w:t>
      </w:r>
      <w:r>
        <w:rPr>
          <w:szCs w:val="22"/>
        </w:rPr>
        <w:t>b</w:t>
      </w:r>
      <w:r w:rsidRPr="002E1558">
        <w:rPr>
          <w:szCs w:val="22"/>
        </w:rPr>
        <w:t>and.</w:t>
      </w:r>
      <w:r>
        <w:rPr>
          <w:rStyle w:val="FootnoteReference"/>
          <w:szCs w:val="22"/>
        </w:rPr>
        <w:footnoteReference w:id="4"/>
      </w:r>
      <w:r w:rsidRPr="002E1558">
        <w:rPr>
          <w:szCs w:val="22"/>
        </w:rPr>
        <w:t xml:space="preserve">  </w:t>
      </w:r>
    </w:p>
    <w:p w:rsidR="00FF5712" w:rsidP="00FF5712" w14:paraId="4FC03403" w14:textId="77777777">
      <w:pPr>
        <w:tabs>
          <w:tab w:val="left" w:pos="5490"/>
        </w:tabs>
        <w:spacing w:after="120"/>
        <w:ind w:firstLine="720"/>
        <w:rPr>
          <w:szCs w:val="22"/>
        </w:rPr>
      </w:pPr>
      <w:r w:rsidRPr="002E1558">
        <w:rPr>
          <w:szCs w:val="22"/>
        </w:rPr>
        <w:t xml:space="preserve">The </w:t>
      </w:r>
      <w:r>
        <w:rPr>
          <w:i/>
          <w:iCs/>
          <w:szCs w:val="22"/>
        </w:rPr>
        <w:t xml:space="preserve">3.7 GHz Report and </w:t>
      </w:r>
      <w:r w:rsidRPr="002E1558">
        <w:rPr>
          <w:i/>
          <w:iCs/>
          <w:szCs w:val="22"/>
        </w:rPr>
        <w:t>Order</w:t>
      </w:r>
      <w:r w:rsidRPr="002E1558">
        <w:rPr>
          <w:szCs w:val="22"/>
        </w:rPr>
        <w:t xml:space="preserve"> </w:t>
      </w:r>
      <w:r>
        <w:rPr>
          <w:szCs w:val="22"/>
        </w:rPr>
        <w:t xml:space="preserve">established a </w:t>
      </w:r>
      <w:r w:rsidRPr="003F261D">
        <w:rPr>
          <w:szCs w:val="22"/>
        </w:rPr>
        <w:t xml:space="preserve">search committee </w:t>
      </w:r>
      <w:r>
        <w:rPr>
          <w:szCs w:val="22"/>
        </w:rPr>
        <w:t>to select a Clearinghouse that would be responsible for handling all cost-related aspects of the transition</w:t>
      </w:r>
      <w:r w:rsidRPr="003F261D">
        <w:rPr>
          <w:szCs w:val="22"/>
        </w:rPr>
        <w:t>.</w:t>
      </w:r>
      <w:r>
        <w:rPr>
          <w:rStyle w:val="FootnoteReference"/>
          <w:szCs w:val="22"/>
        </w:rPr>
        <w:footnoteReference w:id="5"/>
      </w:r>
      <w:r>
        <w:rPr>
          <w:szCs w:val="22"/>
        </w:rPr>
        <w:t xml:space="preserve">  The </w:t>
      </w:r>
      <w:r>
        <w:rPr>
          <w:i/>
          <w:iCs/>
          <w:szCs w:val="22"/>
        </w:rPr>
        <w:t>3.7 GHz Report and Order</w:t>
      </w:r>
      <w:r w:rsidRPr="003F261D">
        <w:rPr>
          <w:szCs w:val="22"/>
        </w:rPr>
        <w:t xml:space="preserve"> </w:t>
      </w:r>
      <w:r>
        <w:rPr>
          <w:szCs w:val="22"/>
        </w:rPr>
        <w:t>required</w:t>
      </w:r>
      <w:r w:rsidRPr="002E1558">
        <w:rPr>
          <w:szCs w:val="22"/>
        </w:rPr>
        <w:t xml:space="preserve"> </w:t>
      </w:r>
      <w:r>
        <w:rPr>
          <w:szCs w:val="22"/>
        </w:rPr>
        <w:t>the search committee</w:t>
      </w:r>
      <w:r w:rsidRPr="002E1558">
        <w:rPr>
          <w:szCs w:val="22"/>
        </w:rPr>
        <w:t xml:space="preserve"> to </w:t>
      </w:r>
      <w:r>
        <w:rPr>
          <w:szCs w:val="22"/>
        </w:rPr>
        <w:t>select, no later than July 31, 2020, an entity that must be able to demonstrate its ability to perform the duties of the Clearinghouse, including:  (</w:t>
      </w:r>
      <w:r w:rsidRPr="00E050F3">
        <w:rPr>
          <w:szCs w:val="22"/>
        </w:rPr>
        <w:t>1) engag</w:t>
      </w:r>
      <w:r>
        <w:rPr>
          <w:szCs w:val="22"/>
        </w:rPr>
        <w:t>ing</w:t>
      </w:r>
      <w:r w:rsidRPr="00E050F3">
        <w:rPr>
          <w:szCs w:val="22"/>
        </w:rPr>
        <w:t xml:space="preserve"> in</w:t>
      </w:r>
      <w:r>
        <w:rPr>
          <w:szCs w:val="22"/>
        </w:rPr>
        <w:t xml:space="preserve"> </w:t>
      </w:r>
      <w:r w:rsidRPr="00E050F3">
        <w:rPr>
          <w:szCs w:val="22"/>
        </w:rPr>
        <w:t>strategic planning and adopt</w:t>
      </w:r>
      <w:r>
        <w:rPr>
          <w:szCs w:val="22"/>
        </w:rPr>
        <w:t>ing</w:t>
      </w:r>
      <w:r w:rsidRPr="00E050F3">
        <w:rPr>
          <w:szCs w:val="22"/>
        </w:rPr>
        <w:t xml:space="preserve"> goals and metrics to evaluate its performance, (2) adopt</w:t>
      </w:r>
      <w:r>
        <w:rPr>
          <w:szCs w:val="22"/>
        </w:rPr>
        <w:t>ing</w:t>
      </w:r>
      <w:r w:rsidRPr="00E050F3">
        <w:rPr>
          <w:szCs w:val="22"/>
        </w:rPr>
        <w:t xml:space="preserve"> internal controls for</w:t>
      </w:r>
      <w:r>
        <w:rPr>
          <w:szCs w:val="22"/>
        </w:rPr>
        <w:t xml:space="preserve"> </w:t>
      </w:r>
      <w:r w:rsidRPr="00E050F3">
        <w:rPr>
          <w:szCs w:val="22"/>
        </w:rPr>
        <w:t>its operations, (3) us</w:t>
      </w:r>
      <w:r>
        <w:rPr>
          <w:szCs w:val="22"/>
        </w:rPr>
        <w:t>ing</w:t>
      </w:r>
      <w:r w:rsidRPr="00E050F3">
        <w:rPr>
          <w:szCs w:val="22"/>
        </w:rPr>
        <w:t xml:space="preserve"> enterprise risk management practices, and (4) us</w:t>
      </w:r>
      <w:r>
        <w:rPr>
          <w:szCs w:val="22"/>
        </w:rPr>
        <w:t>ing</w:t>
      </w:r>
      <w:r w:rsidRPr="00E050F3">
        <w:rPr>
          <w:szCs w:val="22"/>
        </w:rPr>
        <w:t xml:space="preserve"> best practices to protect against</w:t>
      </w:r>
      <w:r>
        <w:rPr>
          <w:szCs w:val="22"/>
        </w:rPr>
        <w:t xml:space="preserve"> </w:t>
      </w:r>
      <w:r w:rsidRPr="00E050F3">
        <w:rPr>
          <w:szCs w:val="22"/>
        </w:rPr>
        <w:t>improper payments and to prevent fraud, waste, and abuse in its handling of funds.</w:t>
      </w:r>
      <w:r>
        <w:rPr>
          <w:rStyle w:val="FootnoteReference"/>
          <w:szCs w:val="22"/>
        </w:rPr>
        <w:footnoteReference w:id="6"/>
      </w:r>
      <w:r w:rsidRPr="00E050F3">
        <w:rPr>
          <w:szCs w:val="22"/>
        </w:rPr>
        <w:t xml:space="preserve"> </w:t>
      </w:r>
      <w:r>
        <w:rPr>
          <w:szCs w:val="22"/>
        </w:rPr>
        <w:t xml:space="preserve"> </w:t>
      </w:r>
      <w:r w:rsidRPr="00E050F3">
        <w:rPr>
          <w:szCs w:val="22"/>
        </w:rPr>
        <w:t xml:space="preserve">The </w:t>
      </w:r>
      <w:r>
        <w:rPr>
          <w:szCs w:val="22"/>
        </w:rPr>
        <w:t xml:space="preserve">Commission also required that the selected entity </w:t>
      </w:r>
      <w:r w:rsidRPr="00E050F3">
        <w:rPr>
          <w:szCs w:val="22"/>
        </w:rPr>
        <w:t>create written procedures for its operations</w:t>
      </w:r>
      <w:r>
        <w:rPr>
          <w:szCs w:val="22"/>
        </w:rPr>
        <w:t xml:space="preserve"> and that it</w:t>
      </w:r>
      <w:r w:rsidRPr="00E050F3">
        <w:rPr>
          <w:szCs w:val="22"/>
        </w:rPr>
        <w:t xml:space="preserve"> us</w:t>
      </w:r>
      <w:r>
        <w:rPr>
          <w:szCs w:val="22"/>
        </w:rPr>
        <w:t>e</w:t>
      </w:r>
      <w:r w:rsidRPr="00E050F3">
        <w:rPr>
          <w:szCs w:val="22"/>
        </w:rPr>
        <w:t xml:space="preserve"> the Government Accountability</w:t>
      </w:r>
      <w:r>
        <w:rPr>
          <w:szCs w:val="22"/>
        </w:rPr>
        <w:t xml:space="preserve"> </w:t>
      </w:r>
      <w:r w:rsidRPr="00E050F3">
        <w:rPr>
          <w:szCs w:val="22"/>
        </w:rPr>
        <w:t xml:space="preserve">Office’s (GAO) Green Book to serve as a guide in satisfying such </w:t>
      </w:r>
      <w:r w:rsidRPr="00E050F3">
        <w:rPr>
          <w:szCs w:val="22"/>
        </w:rPr>
        <w:t>requirements</w:t>
      </w:r>
      <w:r w:rsidRPr="002E1558">
        <w:rPr>
          <w:szCs w:val="22"/>
        </w:rPr>
        <w:t>.</w:t>
      </w:r>
      <w:r>
        <w:rPr>
          <w:rStyle w:val="FootnoteReference"/>
          <w:szCs w:val="22"/>
        </w:rPr>
        <w:footnoteReference w:id="7"/>
      </w:r>
      <w:r w:rsidRPr="002E1558">
        <w:rPr>
          <w:szCs w:val="22"/>
        </w:rPr>
        <w:t xml:space="preserve"> </w:t>
      </w:r>
      <w:r>
        <w:rPr>
          <w:szCs w:val="22"/>
        </w:rPr>
        <w:t xml:space="preserve"> </w:t>
      </w:r>
    </w:p>
    <w:p w:rsidR="00FF5712" w:rsidP="00FF5712" w14:paraId="1B9840F7" w14:textId="77777777">
      <w:pPr>
        <w:tabs>
          <w:tab w:val="left" w:pos="5490"/>
        </w:tabs>
        <w:spacing w:after="120"/>
        <w:ind w:firstLine="720"/>
        <w:rPr>
          <w:szCs w:val="22"/>
        </w:rPr>
      </w:pPr>
      <w:r w:rsidRPr="00680892">
        <w:rPr>
          <w:szCs w:val="22"/>
        </w:rPr>
        <w:t xml:space="preserve">The </w:t>
      </w:r>
      <w:r>
        <w:rPr>
          <w:i/>
          <w:iCs/>
          <w:szCs w:val="22"/>
        </w:rPr>
        <w:t>3.7 GHz Report and Order</w:t>
      </w:r>
      <w:r>
        <w:rPr>
          <w:szCs w:val="22"/>
        </w:rPr>
        <w:t xml:space="preserve"> required the </w:t>
      </w:r>
      <w:r w:rsidRPr="00680892">
        <w:rPr>
          <w:szCs w:val="22"/>
        </w:rPr>
        <w:t xml:space="preserve">search committee </w:t>
      </w:r>
      <w:r>
        <w:rPr>
          <w:szCs w:val="22"/>
        </w:rPr>
        <w:t>to</w:t>
      </w:r>
      <w:r w:rsidRPr="00680892">
        <w:rPr>
          <w:szCs w:val="22"/>
        </w:rPr>
        <w:t xml:space="preserve"> ensure that the Clearinghouse adopt robust privacy</w:t>
      </w:r>
      <w:r>
        <w:rPr>
          <w:szCs w:val="22"/>
        </w:rPr>
        <w:t xml:space="preserve"> </w:t>
      </w:r>
      <w:r w:rsidRPr="00680892">
        <w:rPr>
          <w:szCs w:val="22"/>
        </w:rPr>
        <w:t>and data security best practices in its operations, given that it will receive and process information critical</w:t>
      </w:r>
      <w:r>
        <w:rPr>
          <w:szCs w:val="22"/>
        </w:rPr>
        <w:t xml:space="preserve"> </w:t>
      </w:r>
      <w:r w:rsidRPr="00680892">
        <w:rPr>
          <w:szCs w:val="22"/>
        </w:rPr>
        <w:t>to ensuring a successful and expeditious transition.</w:t>
      </w:r>
      <w:r>
        <w:rPr>
          <w:rStyle w:val="FootnoteReference"/>
          <w:szCs w:val="22"/>
        </w:rPr>
        <w:footnoteReference w:id="8"/>
      </w:r>
      <w:r w:rsidRPr="00680892">
        <w:rPr>
          <w:szCs w:val="22"/>
        </w:rPr>
        <w:t xml:space="preserve"> </w:t>
      </w:r>
      <w:r>
        <w:rPr>
          <w:szCs w:val="22"/>
        </w:rPr>
        <w:t xml:space="preserve"> </w:t>
      </w:r>
      <w:r>
        <w:t xml:space="preserve">The selected entity will be required to </w:t>
      </w:r>
      <w:r w:rsidRPr="00680892">
        <w:rPr>
          <w:szCs w:val="22"/>
        </w:rPr>
        <w:t>hire a third-party</w:t>
      </w:r>
      <w:r>
        <w:rPr>
          <w:szCs w:val="22"/>
        </w:rPr>
        <w:t xml:space="preserve"> </w:t>
      </w:r>
      <w:r w:rsidRPr="00680892">
        <w:rPr>
          <w:szCs w:val="22"/>
        </w:rPr>
        <w:t>firm to independently audit and verify, on an annual basis, the Clearinghouse’s compliance with privacy</w:t>
      </w:r>
      <w:r>
        <w:rPr>
          <w:szCs w:val="22"/>
        </w:rPr>
        <w:t xml:space="preserve"> </w:t>
      </w:r>
      <w:r w:rsidRPr="00680892">
        <w:rPr>
          <w:szCs w:val="22"/>
        </w:rPr>
        <w:t>and information security requirements</w:t>
      </w:r>
      <w:r>
        <w:rPr>
          <w:szCs w:val="22"/>
        </w:rPr>
        <w:t xml:space="preserve">.  The Clearinghouse will also be required </w:t>
      </w:r>
      <w:r w:rsidRPr="00680892">
        <w:rPr>
          <w:szCs w:val="22"/>
        </w:rPr>
        <w:t>to</w:t>
      </w:r>
      <w:r>
        <w:rPr>
          <w:szCs w:val="22"/>
        </w:rPr>
        <w:t>:</w:t>
      </w:r>
      <w:r w:rsidRPr="00680892">
        <w:rPr>
          <w:szCs w:val="22"/>
        </w:rPr>
        <w:t xml:space="preserve"> provide recommendations based on any audit findings; correct any negative audit findings and adopt any additional practices suggested by the auditor; and report the results to the Bureau</w:t>
      </w:r>
      <w:r>
        <w:rPr>
          <w:szCs w:val="22"/>
        </w:rPr>
        <w:t>.</w:t>
      </w:r>
      <w:r>
        <w:rPr>
          <w:szCs w:val="22"/>
        </w:rPr>
        <w:t xml:space="preserve"> </w:t>
      </w:r>
    </w:p>
    <w:p w:rsidR="00FF5712" w:rsidP="00FF5712" w14:paraId="3B011075" w14:textId="77777777">
      <w:pPr>
        <w:tabs>
          <w:tab w:val="left" w:pos="5490"/>
        </w:tabs>
        <w:spacing w:after="120"/>
        <w:ind w:firstLine="720"/>
        <w:rPr>
          <w:szCs w:val="22"/>
        </w:rPr>
      </w:pPr>
      <w:r>
        <w:rPr>
          <w:szCs w:val="22"/>
        </w:rPr>
        <w:t>The Commission also required the search committee, in notifying the Commission of its selection for the Clearinghouse, to</w:t>
      </w:r>
      <w:r w:rsidRPr="00680892">
        <w:rPr>
          <w:szCs w:val="22"/>
        </w:rPr>
        <w:t>: (a) fully disclose any actual or potential organizational or</w:t>
      </w:r>
      <w:r>
        <w:rPr>
          <w:szCs w:val="22"/>
        </w:rPr>
        <w:t xml:space="preserve"> </w:t>
      </w:r>
      <w:r w:rsidRPr="00680892">
        <w:rPr>
          <w:szCs w:val="22"/>
        </w:rPr>
        <w:t xml:space="preserve">personal conflicts of </w:t>
      </w:r>
      <w:bookmarkStart w:id="1" w:name="_GoBack"/>
      <w:bookmarkEnd w:id="1"/>
      <w:r w:rsidRPr="00680892">
        <w:rPr>
          <w:szCs w:val="22"/>
        </w:rPr>
        <w:t>interest or appearance of such conflict of interest of the Clearinghouse or its officers,</w:t>
      </w:r>
      <w:r>
        <w:rPr>
          <w:szCs w:val="22"/>
        </w:rPr>
        <w:t xml:space="preserve"> </w:t>
      </w:r>
      <w:r w:rsidRPr="00680892">
        <w:rPr>
          <w:szCs w:val="22"/>
        </w:rPr>
        <w:t>directors, employees, and/or contractors; and (b) detail the salary and benefits associated with</w:t>
      </w:r>
      <w:r>
        <w:rPr>
          <w:szCs w:val="22"/>
        </w:rPr>
        <w:t xml:space="preserve"> </w:t>
      </w:r>
      <w:r w:rsidRPr="00680892">
        <w:rPr>
          <w:szCs w:val="22"/>
        </w:rPr>
        <w:t>each position.</w:t>
      </w:r>
      <w:r>
        <w:rPr>
          <w:rStyle w:val="FootnoteReference"/>
          <w:szCs w:val="22"/>
        </w:rPr>
        <w:footnoteReference w:id="9"/>
      </w:r>
    </w:p>
    <w:p w:rsidR="00FF5712" w:rsidP="00FF5712" w14:paraId="32E13258" w14:textId="77777777">
      <w:pPr>
        <w:tabs>
          <w:tab w:val="left" w:pos="5490"/>
        </w:tabs>
        <w:spacing w:after="120"/>
        <w:ind w:firstLine="720"/>
        <w:rPr>
          <w:szCs w:val="22"/>
        </w:rPr>
      </w:pPr>
      <w:r>
        <w:rPr>
          <w:szCs w:val="22"/>
        </w:rPr>
        <w:t xml:space="preserve">On July 31, 2020, the search committee announced that they had selected </w:t>
      </w:r>
      <w:r w:rsidRPr="00FB591C">
        <w:rPr>
          <w:szCs w:val="22"/>
        </w:rPr>
        <w:t>CohnReznick</w:t>
      </w:r>
      <w:r w:rsidRPr="00FB591C">
        <w:rPr>
          <w:szCs w:val="22"/>
        </w:rPr>
        <w:t xml:space="preserve"> and subcontractors Squire Patton Boggs (US) LLP</w:t>
      </w:r>
      <w:r>
        <w:rPr>
          <w:szCs w:val="22"/>
        </w:rPr>
        <w:t xml:space="preserve"> (Squire Patton </w:t>
      </w:r>
      <w:r>
        <w:rPr>
          <w:szCs w:val="22"/>
        </w:rPr>
        <w:t>Poggs</w:t>
      </w:r>
      <w:r>
        <w:rPr>
          <w:szCs w:val="22"/>
        </w:rPr>
        <w:t>)</w:t>
      </w:r>
      <w:r w:rsidRPr="00FB591C">
        <w:rPr>
          <w:szCs w:val="22"/>
        </w:rPr>
        <w:t xml:space="preserve">, and </w:t>
      </w:r>
      <w:r w:rsidRPr="00FB591C">
        <w:rPr>
          <w:szCs w:val="22"/>
        </w:rPr>
        <w:t>Intellicom</w:t>
      </w:r>
      <w:r w:rsidRPr="00FB591C">
        <w:rPr>
          <w:szCs w:val="22"/>
        </w:rPr>
        <w:t xml:space="preserve"> Technologies,</w:t>
      </w:r>
      <w:r>
        <w:rPr>
          <w:szCs w:val="22"/>
        </w:rPr>
        <w:t xml:space="preserve"> </w:t>
      </w:r>
      <w:r w:rsidRPr="00FB591C">
        <w:rPr>
          <w:szCs w:val="22"/>
        </w:rPr>
        <w:t>Inc.</w:t>
      </w:r>
      <w:r>
        <w:rPr>
          <w:szCs w:val="22"/>
        </w:rPr>
        <w:t xml:space="preserve"> (</w:t>
      </w:r>
      <w:r>
        <w:rPr>
          <w:szCs w:val="22"/>
        </w:rPr>
        <w:t>Intellicom</w:t>
      </w:r>
      <w:r>
        <w:rPr>
          <w:szCs w:val="22"/>
        </w:rPr>
        <w:t>)</w:t>
      </w:r>
      <w:r w:rsidRPr="00FB591C">
        <w:rPr>
          <w:szCs w:val="22"/>
        </w:rPr>
        <w:t>,</w:t>
      </w:r>
      <w:r>
        <w:rPr>
          <w:szCs w:val="22"/>
        </w:rPr>
        <w:t xml:space="preserve"> to serve as the Clearinghouse.</w:t>
      </w:r>
      <w:r>
        <w:rPr>
          <w:rStyle w:val="FootnoteReference"/>
          <w:szCs w:val="22"/>
        </w:rPr>
        <w:footnoteReference w:id="10"/>
      </w:r>
      <w:r>
        <w:rPr>
          <w:szCs w:val="22"/>
        </w:rPr>
        <w:t xml:space="preserve">  We seek comment on whether </w:t>
      </w:r>
      <w:r w:rsidRPr="00FB591C">
        <w:rPr>
          <w:szCs w:val="22"/>
        </w:rPr>
        <w:t>CohnReznick</w:t>
      </w:r>
      <w:r>
        <w:rPr>
          <w:szCs w:val="22"/>
        </w:rPr>
        <w:t xml:space="preserve">, Squire Patton Boggs, and </w:t>
      </w:r>
      <w:r>
        <w:rPr>
          <w:szCs w:val="22"/>
        </w:rPr>
        <w:t>Intellicom</w:t>
      </w:r>
      <w:r>
        <w:rPr>
          <w:szCs w:val="22"/>
        </w:rPr>
        <w:t xml:space="preserve"> satisfy the criteria established by the Commission in the </w:t>
      </w:r>
      <w:r>
        <w:rPr>
          <w:i/>
          <w:iCs/>
          <w:szCs w:val="22"/>
        </w:rPr>
        <w:t>3.7 GHz Report and Order</w:t>
      </w:r>
      <w:r>
        <w:rPr>
          <w:szCs w:val="22"/>
        </w:rPr>
        <w:t>.</w:t>
      </w:r>
      <w:r>
        <w:rPr>
          <w:rStyle w:val="FootnoteReference"/>
          <w:szCs w:val="22"/>
        </w:rPr>
        <w:footnoteReference w:id="11"/>
      </w:r>
    </w:p>
    <w:p w:rsidR="00FF5712" w:rsidRPr="00AF2F40" w:rsidP="00FF5712" w14:paraId="04552BA5" w14:textId="77777777">
      <w:pPr>
        <w:tabs>
          <w:tab w:val="left" w:pos="5490"/>
        </w:tabs>
        <w:spacing w:after="120"/>
        <w:ind w:firstLine="720"/>
        <w:rPr>
          <w:szCs w:val="22"/>
        </w:rPr>
      </w:pPr>
      <w:r>
        <w:rPr>
          <w:szCs w:val="22"/>
        </w:rPr>
        <w:t xml:space="preserve">As directed by the Commission in the </w:t>
      </w:r>
      <w:r>
        <w:rPr>
          <w:i/>
          <w:iCs/>
          <w:szCs w:val="22"/>
        </w:rPr>
        <w:t>3.7 GHz Report and Order</w:t>
      </w:r>
      <w:r>
        <w:rPr>
          <w:szCs w:val="22"/>
        </w:rPr>
        <w:t>, following the comment period, the Bureau will issue an order announcing whether the selection criteria have been satisfied.</w:t>
      </w:r>
      <w:r>
        <w:rPr>
          <w:rStyle w:val="FootnoteReference"/>
          <w:szCs w:val="22"/>
        </w:rPr>
        <w:footnoteReference w:id="12"/>
      </w:r>
      <w:r>
        <w:rPr>
          <w:szCs w:val="22"/>
        </w:rPr>
        <w:t xml:space="preserve">  S</w:t>
      </w:r>
      <w:r w:rsidRPr="006B4F71">
        <w:rPr>
          <w:szCs w:val="22"/>
        </w:rPr>
        <w:t xml:space="preserve">hould the Bureau be unable to find </w:t>
      </w:r>
      <w:r>
        <w:rPr>
          <w:szCs w:val="22"/>
        </w:rPr>
        <w:t xml:space="preserve">that </w:t>
      </w:r>
      <w:r w:rsidRPr="006B4F71">
        <w:rPr>
          <w:szCs w:val="22"/>
        </w:rPr>
        <w:t>the criteria have been</w:t>
      </w:r>
      <w:r>
        <w:rPr>
          <w:szCs w:val="22"/>
        </w:rPr>
        <w:t xml:space="preserve"> </w:t>
      </w:r>
      <w:r w:rsidRPr="006B4F71">
        <w:rPr>
          <w:szCs w:val="22"/>
        </w:rPr>
        <w:t xml:space="preserve">satisfied, the </w:t>
      </w:r>
      <w:r>
        <w:rPr>
          <w:i/>
          <w:iCs/>
          <w:szCs w:val="22"/>
        </w:rPr>
        <w:t>3.7 GHz Report and Order</w:t>
      </w:r>
      <w:r>
        <w:rPr>
          <w:szCs w:val="22"/>
        </w:rPr>
        <w:t xml:space="preserve"> required that the </w:t>
      </w:r>
      <w:r w:rsidRPr="006B4F71">
        <w:rPr>
          <w:szCs w:val="22"/>
        </w:rPr>
        <w:t>selection process will start over and the search committee will submit a new proposed entity.</w:t>
      </w:r>
      <w:bookmarkEnd w:id="0"/>
      <w:r>
        <w:rPr>
          <w:rStyle w:val="FootnoteReference"/>
          <w:szCs w:val="22"/>
        </w:rPr>
        <w:footnoteReference w:id="13"/>
      </w:r>
    </w:p>
    <w:p w:rsidR="00FF5712" w:rsidRPr="008F7BAE" w:rsidP="00FF5712" w14:paraId="52780BF7" w14:textId="77777777">
      <w:pPr>
        <w:pStyle w:val="Paranum0"/>
        <w:widowControl/>
        <w:spacing w:after="120"/>
        <w:jc w:val="center"/>
        <w:rPr>
          <w:szCs w:val="22"/>
        </w:rPr>
      </w:pPr>
      <w:r w:rsidRPr="008F7BAE">
        <w:rPr>
          <w:szCs w:val="22"/>
        </w:rPr>
        <w:t>***</w:t>
      </w:r>
    </w:p>
    <w:p w:rsidR="00FF5712" w:rsidRPr="008F7BAE" w:rsidP="00FF5712" w14:paraId="626FF751" w14:textId="77777777">
      <w:pPr>
        <w:spacing w:after="120"/>
        <w:ind w:firstLine="720"/>
        <w:rPr>
          <w:szCs w:val="22"/>
        </w:rPr>
      </w:pPr>
      <w:r w:rsidRPr="008F7BAE">
        <w:rPr>
          <w:i/>
          <w:szCs w:val="22"/>
        </w:rPr>
        <w:t xml:space="preserve">Filing Requirements.  </w:t>
      </w:r>
      <w:r>
        <w:rPr>
          <w:szCs w:val="22"/>
        </w:rPr>
        <w:t>Parties</w:t>
      </w:r>
      <w:r w:rsidRPr="008F7BAE">
        <w:rPr>
          <w:szCs w:val="22"/>
        </w:rPr>
        <w:t xml:space="preserve"> </w:t>
      </w:r>
      <w:r>
        <w:rPr>
          <w:szCs w:val="22"/>
        </w:rPr>
        <w:t>may</w:t>
      </w:r>
      <w:r w:rsidRPr="008F7BAE">
        <w:rPr>
          <w:szCs w:val="22"/>
        </w:rPr>
        <w:t xml:space="preserve"> file </w:t>
      </w:r>
      <w:r>
        <w:rPr>
          <w:szCs w:val="22"/>
        </w:rPr>
        <w:t>comments, identified by GN Docket No. 18-122, by any of the following methods:</w:t>
      </w:r>
      <w:r w:rsidRPr="008F7BAE">
        <w:rPr>
          <w:iCs/>
          <w:szCs w:val="22"/>
        </w:rPr>
        <w:t xml:space="preserve"> </w:t>
      </w:r>
    </w:p>
    <w:p w:rsidR="00FF5712" w:rsidRPr="008F7BAE" w:rsidP="00FF5712" w14:paraId="7C6FD08A" w14:textId="77777777">
      <w:pPr>
        <w:numPr>
          <w:ilvl w:val="0"/>
          <w:numId w:val="7"/>
        </w:numPr>
        <w:spacing w:after="120"/>
        <w:ind w:left="720"/>
        <w:rPr>
          <w:szCs w:val="22"/>
        </w:rPr>
      </w:pPr>
      <w:r w:rsidRPr="008F7BAE">
        <w:rPr>
          <w:szCs w:val="22"/>
        </w:rPr>
        <w:t xml:space="preserve">Electronic Filers:  Comments may be filed electronically using the internet by accessing the ECFS: </w:t>
      </w:r>
      <w:hyperlink r:id="rId5" w:history="1">
        <w:r w:rsidRPr="008F7BAE">
          <w:rPr>
            <w:rStyle w:val="Hyperlink"/>
            <w:szCs w:val="22"/>
          </w:rPr>
          <w:t>https://www.fcc.gov/ecfs/</w:t>
        </w:r>
      </w:hyperlink>
      <w:r w:rsidRPr="008F7BAE">
        <w:rPr>
          <w:szCs w:val="22"/>
        </w:rPr>
        <w:t xml:space="preserve">. </w:t>
      </w:r>
    </w:p>
    <w:p w:rsidR="00FF5712" w:rsidRPr="008F7BAE" w:rsidP="00FF5712" w14:paraId="68A03079" w14:textId="77777777">
      <w:pPr>
        <w:numPr>
          <w:ilvl w:val="0"/>
          <w:numId w:val="7"/>
        </w:numPr>
        <w:spacing w:after="120"/>
        <w:ind w:left="720"/>
        <w:rPr>
          <w:szCs w:val="22"/>
        </w:rPr>
      </w:pPr>
      <w:r w:rsidRPr="008F7BAE">
        <w:rPr>
          <w:szCs w:val="22"/>
        </w:rPr>
        <w:t xml:space="preserve">Paper Filers:  Parties who choose to file by paper must file an original and one copy of each filing.  </w:t>
      </w:r>
    </w:p>
    <w:p w:rsidR="00FF5712" w:rsidRPr="008F7BAE" w:rsidP="00FF5712" w14:paraId="647072FD" w14:textId="77777777">
      <w:pPr>
        <w:spacing w:after="120"/>
        <w:ind w:left="720"/>
        <w:rPr>
          <w:szCs w:val="22"/>
        </w:rPr>
      </w:pPr>
      <w:r w:rsidRPr="008F7BAE">
        <w:rPr>
          <w:szCs w:val="22"/>
        </w:rPr>
        <w:t xml:space="preserve">Filings can be sent by commercial courier or by the U.S. Postal Service.  All filings must be addressed to the Commission’s Secretary, Office of the Secretary, Federal Communications </w:t>
      </w:r>
      <w:r w:rsidRPr="008F7BAE">
        <w:rPr>
          <w:szCs w:val="22"/>
        </w:rPr>
        <w:t>Commission.</w:t>
      </w:r>
    </w:p>
    <w:p w:rsidR="00FF5712" w:rsidRPr="008F7BAE" w:rsidP="00FF5712" w14:paraId="48F8365E" w14:textId="77777777">
      <w:pPr>
        <w:numPr>
          <w:ilvl w:val="0"/>
          <w:numId w:val="7"/>
        </w:numPr>
        <w:spacing w:after="120"/>
        <w:rPr>
          <w:szCs w:val="22"/>
        </w:rPr>
      </w:pPr>
      <w:r w:rsidRPr="008F7BAE">
        <w:rPr>
          <w:szCs w:val="22"/>
        </w:rPr>
        <w:t xml:space="preserve">Commercial deliveries (other than U.S. Postal Service Express Mail and Priority Mail) must be sent to 9050 Junction Drive, Annapolis Junction, MD 20701. </w:t>
      </w:r>
    </w:p>
    <w:p w:rsidR="00FF5712" w:rsidRPr="008F7BAE" w:rsidP="00FF5712" w14:paraId="754A818C" w14:textId="77777777">
      <w:pPr>
        <w:numPr>
          <w:ilvl w:val="0"/>
          <w:numId w:val="7"/>
        </w:numPr>
        <w:spacing w:after="120"/>
        <w:rPr>
          <w:szCs w:val="22"/>
        </w:rPr>
      </w:pPr>
      <w:r w:rsidRPr="008F7BAE">
        <w:rPr>
          <w:szCs w:val="22"/>
        </w:rPr>
        <w:t>U.S. Postal Service First-Class, Express, and Priority mail must be addressed to 445 12</w:t>
      </w:r>
      <w:r w:rsidRPr="008F7BAE">
        <w:rPr>
          <w:szCs w:val="22"/>
          <w:vertAlign w:val="superscript"/>
        </w:rPr>
        <w:t>th</w:t>
      </w:r>
      <w:r w:rsidRPr="008F7BAE">
        <w:rPr>
          <w:szCs w:val="22"/>
        </w:rPr>
        <w:t xml:space="preserve"> Street, SW, Washington, DC 20554. </w:t>
      </w:r>
    </w:p>
    <w:p w:rsidR="00FF5712" w:rsidRPr="008F7BAE" w:rsidP="00FF5712" w14:paraId="4658CA0D" w14:textId="77777777">
      <w:pPr>
        <w:pStyle w:val="ListParagraph"/>
        <w:widowControl/>
        <w:numPr>
          <w:ilvl w:val="0"/>
          <w:numId w:val="7"/>
        </w:numPr>
        <w:spacing w:after="160" w:line="259" w:lineRule="auto"/>
        <w:rPr>
          <w:rStyle w:val="Hyperlink"/>
          <w:color w:val="auto"/>
        </w:rPr>
      </w:pPr>
      <w:r w:rsidRPr="008F7BAE">
        <w:rPr>
          <w:b/>
          <w:bCs/>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w:t>
      </w:r>
      <w:r w:rsidRPr="008F7BAE">
        <w:rPr>
          <w:b/>
          <w:bCs/>
          <w:i/>
          <w:iCs/>
        </w:rPr>
        <w:t>FCC Announces Closure of FCC Headquarters Open Window and Change in Hand-Delivery Policy</w:t>
      </w:r>
      <w:r w:rsidRPr="008F7BAE">
        <w:rPr>
          <w:b/>
          <w:bCs/>
        </w:rPr>
        <w:t xml:space="preserve">, Public Notice, DA 20-304 (March 19, 2020).  </w:t>
      </w:r>
      <w:hyperlink r:id="rId6" w:history="1">
        <w:r w:rsidRPr="008F7BAE">
          <w:rPr>
            <w:rStyle w:val="Hyperlink"/>
            <w:b/>
            <w:bCs/>
          </w:rPr>
          <w:t>https://www.fcc.gov/document/fcc-closes-headquarters-open-window-and-changes-hand-delivery-policy</w:t>
        </w:r>
      </w:hyperlink>
    </w:p>
    <w:p w:rsidR="00FF5712" w:rsidRPr="008F7BAE" w:rsidP="00FF5712" w14:paraId="574C27AB" w14:textId="77777777">
      <w:pPr>
        <w:numPr>
          <w:ilvl w:val="0"/>
          <w:numId w:val="7"/>
        </w:numPr>
        <w:spacing w:after="120"/>
        <w:rPr>
          <w:i/>
          <w:iCs/>
          <w:szCs w:val="22"/>
        </w:rPr>
      </w:pPr>
      <w:r w:rsidRPr="008F7BAE">
        <w:rPr>
          <w:b/>
          <w:bCs/>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FF5712" w:rsidRPr="008F7BAE" w:rsidP="00FF5712" w14:paraId="1F9AA7E2" w14:textId="77777777">
      <w:pPr>
        <w:spacing w:after="120"/>
        <w:ind w:firstLine="720"/>
        <w:rPr>
          <w:szCs w:val="22"/>
        </w:rPr>
      </w:pPr>
      <w:r w:rsidRPr="008F7BAE">
        <w:rPr>
          <w:i/>
          <w:iCs/>
          <w:szCs w:val="22"/>
        </w:rPr>
        <w:t>People with Disabilities</w:t>
      </w:r>
      <w:r w:rsidRPr="008F7BAE">
        <w:rPr>
          <w:szCs w:val="22"/>
        </w:rPr>
        <w:t xml:space="preserve">:  To request materials in accessible formats for people with disabilities (braille, large print, electronic files, audio format), send an e-mail to </w:t>
      </w:r>
      <w:hyperlink r:id="rId7" w:history="1">
        <w:r w:rsidRPr="008F7BAE">
          <w:rPr>
            <w:rStyle w:val="Hyperlink"/>
            <w:szCs w:val="22"/>
          </w:rPr>
          <w:t>fcc504@fcc.gov</w:t>
        </w:r>
      </w:hyperlink>
      <w:r w:rsidRPr="008F7BAE">
        <w:rPr>
          <w:szCs w:val="22"/>
        </w:rPr>
        <w:t xml:space="preserve"> or call the Consumer &amp; Government Affairs Bureau at 202-418-0530 (voice, 202-418-0432 (</w:t>
      </w:r>
      <w:r w:rsidRPr="008F7BAE">
        <w:rPr>
          <w:szCs w:val="22"/>
        </w:rPr>
        <w:t>tty</w:t>
      </w:r>
      <w:r w:rsidRPr="008F7BAE">
        <w:rPr>
          <w:szCs w:val="22"/>
        </w:rPr>
        <w:t xml:space="preserve">). </w:t>
      </w:r>
    </w:p>
    <w:p w:rsidR="00013A8B" w:rsidP="00FF5712" w14:paraId="2421B9DB" w14:textId="5B011DEB">
      <w:pPr>
        <w:spacing w:before="120" w:after="240"/>
        <w:rPr>
          <w:b/>
          <w:sz w:val="24"/>
        </w:rPr>
      </w:pPr>
      <w:r w:rsidRPr="008F7BAE">
        <w:rPr>
          <w:i/>
          <w:szCs w:val="22"/>
        </w:rPr>
        <w:t xml:space="preserve">Additional Information.  </w:t>
      </w:r>
      <w:r w:rsidRPr="008F7BAE">
        <w:rPr>
          <w:szCs w:val="22"/>
        </w:rPr>
        <w:t xml:space="preserve">For further information regarding this Public Notice, please contact Susan Mort, Wireless Telecommunications Bureau, at </w:t>
      </w:r>
      <w:hyperlink r:id="rId8" w:history="1">
        <w:r w:rsidRPr="008F7BAE">
          <w:rPr>
            <w:rStyle w:val="Hyperlink"/>
            <w:szCs w:val="22"/>
          </w:rPr>
          <w:t>Susan.Mort@fcc.gov</w:t>
        </w:r>
      </w:hyperlink>
      <w:r w:rsidRPr="008F7BAE">
        <w:rPr>
          <w:szCs w:val="22"/>
        </w:rPr>
        <w:t xml:space="preserve"> or 202-418-2429.</w:t>
      </w:r>
    </w:p>
    <w:p w:rsidR="00F96F63" w:rsidRPr="00930ECF" w:rsidP="00F96F63" w14:paraId="3CE3D0F7" w14:textId="77777777">
      <w:pPr>
        <w:rPr>
          <w:sz w:val="24"/>
        </w:rPr>
      </w:pPr>
      <w:bookmarkStart w:id="2" w:name="TOChere"/>
    </w:p>
    <w:bookmarkEnd w:id="2"/>
    <w:p w:rsidR="00F96F63" w:rsidP="00F96F63" w14:paraId="0AD4555F" w14:textId="77777777">
      <w:pPr>
        <w:rPr>
          <w:sz w:val="24"/>
        </w:rPr>
      </w:pPr>
    </w:p>
    <w:p w:rsidR="00930ECF" w:rsidRPr="00930ECF" w:rsidP="00F96F63" w14:paraId="0EDBD57D" w14:textId="77777777">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90A988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68A046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DD1C82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8A2883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5712" w14:paraId="2299C3D3" w14:textId="77777777">
      <w:r>
        <w:separator/>
      </w:r>
    </w:p>
  </w:footnote>
  <w:footnote w:type="continuationSeparator" w:id="1">
    <w:p w:rsidR="00FF5712" w14:paraId="3E27C4B5" w14:textId="77777777">
      <w:pPr>
        <w:rPr>
          <w:sz w:val="20"/>
        </w:rPr>
      </w:pPr>
      <w:r>
        <w:rPr>
          <w:sz w:val="20"/>
        </w:rPr>
        <w:t xml:space="preserve">(Continued from previous page)  </w:t>
      </w:r>
      <w:r>
        <w:rPr>
          <w:sz w:val="20"/>
        </w:rPr>
        <w:separator/>
      </w:r>
    </w:p>
  </w:footnote>
  <w:footnote w:type="continuationNotice" w:id="2">
    <w:p w:rsidR="00FF5712" w:rsidP="00910F12" w14:paraId="4D43E99D" w14:textId="77777777">
      <w:pPr>
        <w:jc w:val="right"/>
        <w:rPr>
          <w:sz w:val="20"/>
        </w:rPr>
      </w:pPr>
      <w:r>
        <w:rPr>
          <w:sz w:val="20"/>
        </w:rPr>
        <w:t>(continued….)</w:t>
      </w:r>
    </w:p>
  </w:footnote>
  <w:footnote w:id="3">
    <w:p w:rsidR="00FF5712" w:rsidP="00FF5712" w14:paraId="004DD1C3" w14:textId="77777777">
      <w:pPr>
        <w:pStyle w:val="FootnoteText"/>
      </w:pPr>
      <w:r>
        <w:rPr>
          <w:rStyle w:val="FootnoteReference"/>
        </w:rPr>
        <w:footnoteRef/>
      </w:r>
      <w:r>
        <w:t xml:space="preserve"> </w:t>
      </w:r>
      <w:r w:rsidRPr="002E1558">
        <w:rPr>
          <w:i/>
          <w:iCs/>
        </w:rPr>
        <w:t>Expanding Flexible Use of the 3.7 to 4.2 GHz Band</w:t>
      </w:r>
      <w:r w:rsidRPr="002E1558">
        <w:t xml:space="preserve">, Report and Order and Proposed Modification, 35 FCC Rcd 2343, </w:t>
      </w:r>
      <w:r>
        <w:t>2450-52</w:t>
      </w:r>
      <w:r w:rsidRPr="002E1558">
        <w:t>, para</w:t>
      </w:r>
      <w:r>
        <w:t>s. 273-80</w:t>
      </w:r>
      <w:r w:rsidRPr="002E1558">
        <w:t xml:space="preserve"> (2020) (</w:t>
      </w:r>
      <w:r>
        <w:rPr>
          <w:i/>
          <w:iCs/>
        </w:rPr>
        <w:t xml:space="preserve">3.7 GHz Report and </w:t>
      </w:r>
      <w:r w:rsidRPr="002E1558">
        <w:rPr>
          <w:i/>
          <w:iCs/>
        </w:rPr>
        <w:t>Order</w:t>
      </w:r>
      <w:r w:rsidRPr="002E1558">
        <w:t>).</w:t>
      </w:r>
    </w:p>
  </w:footnote>
  <w:footnote w:id="4">
    <w:p w:rsidR="00FF5712" w:rsidRPr="002E1558" w:rsidP="00FF5712" w14:paraId="4474DC50" w14:textId="77777777">
      <w:pPr>
        <w:pStyle w:val="FootnoteText"/>
      </w:pPr>
      <w:r>
        <w:rPr>
          <w:rStyle w:val="FootnoteReference"/>
        </w:rPr>
        <w:footnoteRef/>
      </w:r>
      <w:r>
        <w:t xml:space="preserve"> </w:t>
      </w:r>
      <w:r>
        <w:rPr>
          <w:i/>
          <w:iCs/>
        </w:rPr>
        <w:t>Id.</w:t>
      </w:r>
      <w:r>
        <w:t xml:space="preserve"> at</w:t>
      </w:r>
      <w:r w:rsidRPr="002E1558">
        <w:t xml:space="preserve"> 2345, para. 4.  </w:t>
      </w:r>
    </w:p>
  </w:footnote>
  <w:footnote w:id="5">
    <w:p w:rsidR="00FF5712" w:rsidRPr="00E050F3" w:rsidP="00FF5712" w14:paraId="5234C4ED" w14:textId="77777777">
      <w:pPr>
        <w:pStyle w:val="FootnoteText"/>
      </w:pPr>
      <w:r>
        <w:rPr>
          <w:rStyle w:val="FootnoteReference"/>
        </w:rPr>
        <w:footnoteRef/>
      </w:r>
      <w:r>
        <w:t xml:space="preserve"> </w:t>
      </w:r>
      <w:r>
        <w:rPr>
          <w:i/>
          <w:iCs/>
        </w:rPr>
        <w:t>Id.</w:t>
      </w:r>
      <w:r>
        <w:t xml:space="preserve"> at 2450-51, paras. 273-74.  The search committee is </w:t>
      </w:r>
      <w:r w:rsidRPr="003F261D">
        <w:rPr>
          <w:szCs w:val="22"/>
        </w:rPr>
        <w:t>composed of nine members appointed by nine entities that</w:t>
      </w:r>
      <w:r>
        <w:rPr>
          <w:szCs w:val="22"/>
        </w:rPr>
        <w:t xml:space="preserve"> the Commission found</w:t>
      </w:r>
      <w:r w:rsidRPr="003F261D">
        <w:rPr>
          <w:szCs w:val="22"/>
        </w:rPr>
        <w:t>, collectively, reasonably represent the interests of stakeholders</w:t>
      </w:r>
      <w:r>
        <w:rPr>
          <w:szCs w:val="22"/>
        </w:rPr>
        <w:t xml:space="preserve">:  </w:t>
      </w:r>
      <w:r>
        <w:rPr>
          <w:rFonts w:ascii="TimesNewRomanPSMT" w:hAnsi="TimesNewRomanPSMT" w:cs="TimesNewRomanPSMT"/>
          <w:color w:val="231F20"/>
        </w:rPr>
        <w:t xml:space="preserve">Intelsat License LLC, SES </w:t>
      </w:r>
      <w:r>
        <w:rPr>
          <w:rFonts w:ascii="TimesNewRomanPSMT" w:hAnsi="TimesNewRomanPSMT" w:cs="TimesNewRomanPSMT"/>
          <w:color w:val="231F20"/>
        </w:rPr>
        <w:t>Americom</w:t>
      </w:r>
      <w:r>
        <w:rPr>
          <w:rFonts w:ascii="TimesNewRomanPSMT" w:hAnsi="TimesNewRomanPSMT" w:cs="TimesNewRomanPSMT"/>
          <w:color w:val="231F20"/>
        </w:rPr>
        <w:t xml:space="preserve">, Inc., Eutelsat S.A., National Association of Broadcasters, NCTA - The Internet &amp; Television Association, American Cable Association, CTIA, Competitive Carriers Association, and Wireless Internet Service Providers Association.  </w:t>
      </w:r>
      <w:r>
        <w:rPr>
          <w:rFonts w:ascii="TimesNewRomanPSMT" w:hAnsi="TimesNewRomanPSMT" w:cs="TimesNewRomanPSMT"/>
          <w:i/>
          <w:iCs/>
          <w:color w:val="231F20"/>
        </w:rPr>
        <w:t>Id.</w:t>
      </w:r>
      <w:r>
        <w:rPr>
          <w:rFonts w:ascii="TimesNewRomanPSMT" w:hAnsi="TimesNewRomanPSMT" w:cs="TimesNewRomanPSMT"/>
          <w:color w:val="231F20"/>
        </w:rPr>
        <w:t xml:space="preserve"> at 2450-51, para. 274.</w:t>
      </w:r>
    </w:p>
  </w:footnote>
  <w:footnote w:id="6">
    <w:p w:rsidR="00FF5712" w:rsidRPr="00E050F3" w:rsidP="00FF5712" w14:paraId="4D73947C" w14:textId="77777777">
      <w:pPr>
        <w:pStyle w:val="FootnoteText"/>
      </w:pPr>
      <w:r>
        <w:rPr>
          <w:rStyle w:val="FootnoteReference"/>
        </w:rPr>
        <w:footnoteRef/>
      </w:r>
      <w:r>
        <w:t xml:space="preserve"> </w:t>
      </w:r>
      <w:r>
        <w:rPr>
          <w:i/>
          <w:iCs/>
        </w:rPr>
        <w:t>Id.</w:t>
      </w:r>
      <w:r>
        <w:t xml:space="preserve"> at 2451, para. 276.</w:t>
      </w:r>
    </w:p>
  </w:footnote>
  <w:footnote w:id="7">
    <w:p w:rsidR="00FF5712" w:rsidRPr="00E050F3" w:rsidP="00FF5712" w14:paraId="66143176" w14:textId="77777777">
      <w:pPr>
        <w:pStyle w:val="FootnoteText"/>
      </w:pPr>
      <w:r w:rsidRPr="002E1558">
        <w:rPr>
          <w:rStyle w:val="FootnoteReference"/>
          <w:sz w:val="20"/>
        </w:rPr>
        <w:footnoteRef/>
      </w:r>
      <w:r w:rsidRPr="002E1558">
        <w:t xml:space="preserve"> </w:t>
      </w:r>
      <w:r>
        <w:rPr>
          <w:i/>
          <w:iCs/>
        </w:rPr>
        <w:t>Id.</w:t>
      </w:r>
      <w:r>
        <w:t xml:space="preserve"> (citing GAO, The Green Book: Standards for Internal Control in the Federal Government, GAO-14-704G, (rel. Sep 10, 2014), available at </w:t>
      </w:r>
      <w:hyperlink r:id="rId1" w:history="1">
        <w:r w:rsidRPr="00A90065">
          <w:rPr>
            <w:rStyle w:val="Hyperlink"/>
          </w:rPr>
          <w:t>http://www.gao.gov/greenbook/overview</w:t>
        </w:r>
      </w:hyperlink>
      <w:r>
        <w:t>).</w:t>
      </w:r>
    </w:p>
  </w:footnote>
  <w:footnote w:id="8">
    <w:p w:rsidR="00FF5712" w:rsidP="00FF5712" w14:paraId="2FBA6298" w14:textId="77777777">
      <w:pPr>
        <w:pStyle w:val="FootnoteText"/>
      </w:pPr>
      <w:r>
        <w:rPr>
          <w:rStyle w:val="FootnoteReference"/>
        </w:rPr>
        <w:footnoteRef/>
      </w:r>
      <w:r>
        <w:t xml:space="preserve"> </w:t>
      </w:r>
      <w:r>
        <w:rPr>
          <w:i/>
          <w:iCs/>
        </w:rPr>
        <w:t>3.7 GHz Report and Order</w:t>
      </w:r>
      <w:r>
        <w:t>, 35 FCC Rcd at 2451, para. 277 (“</w:t>
      </w:r>
      <w:r w:rsidRPr="00680892">
        <w:rPr>
          <w:szCs w:val="22"/>
        </w:rPr>
        <w:t>The Clearinghouse should therefore also comply</w:t>
      </w:r>
      <w:r>
        <w:rPr>
          <w:szCs w:val="22"/>
        </w:rPr>
        <w:t xml:space="preserve"> </w:t>
      </w:r>
      <w:r w:rsidRPr="00680892">
        <w:rPr>
          <w:szCs w:val="22"/>
        </w:rPr>
        <w:t>with, on an ongoing basis, all applicable laws and Federal government guidance on privacy and</w:t>
      </w:r>
      <w:r>
        <w:rPr>
          <w:szCs w:val="22"/>
        </w:rPr>
        <w:t xml:space="preserve"> </w:t>
      </w:r>
      <w:r w:rsidRPr="00680892">
        <w:rPr>
          <w:szCs w:val="22"/>
        </w:rPr>
        <w:t>information security requirements such as relevant provisions in the Federal Information Security</w:t>
      </w:r>
      <w:r>
        <w:rPr>
          <w:szCs w:val="22"/>
        </w:rPr>
        <w:t xml:space="preserve"> </w:t>
      </w:r>
      <w:r w:rsidRPr="00680892">
        <w:rPr>
          <w:szCs w:val="22"/>
        </w:rPr>
        <w:t>Management Act (FISMA), National Institute of Standards and Technology (NIST) publications, and</w:t>
      </w:r>
      <w:r>
        <w:rPr>
          <w:szCs w:val="22"/>
        </w:rPr>
        <w:t xml:space="preserve"> </w:t>
      </w:r>
      <w:r w:rsidRPr="00680892">
        <w:rPr>
          <w:szCs w:val="22"/>
        </w:rPr>
        <w:t xml:space="preserve">Office of </w:t>
      </w:r>
      <w:r>
        <w:rPr>
          <w:szCs w:val="22"/>
        </w:rPr>
        <w:t>M</w:t>
      </w:r>
      <w:r w:rsidRPr="00680892">
        <w:rPr>
          <w:szCs w:val="22"/>
        </w:rPr>
        <w:t>anagement and Budget guidance.</w:t>
      </w:r>
      <w:r>
        <w:rPr>
          <w:szCs w:val="22"/>
        </w:rPr>
        <w:t>”) (internal citations omitted).</w:t>
      </w:r>
    </w:p>
  </w:footnote>
  <w:footnote w:id="9">
    <w:p w:rsidR="00FF5712" w:rsidP="00FF5712" w14:paraId="1C653C2F" w14:textId="77777777">
      <w:pPr>
        <w:pStyle w:val="FootnoteText"/>
      </w:pPr>
      <w:r>
        <w:rPr>
          <w:rStyle w:val="FootnoteReference"/>
        </w:rPr>
        <w:footnoteRef/>
      </w:r>
      <w:r>
        <w:t xml:space="preserve"> </w:t>
      </w:r>
      <w:r>
        <w:rPr>
          <w:i/>
          <w:iCs/>
        </w:rPr>
        <w:t>Id.</w:t>
      </w:r>
      <w:r>
        <w:t xml:space="preserve"> at 2451, para. 279</w:t>
      </w:r>
      <w:r w:rsidRPr="002E1558">
        <w:t>.</w:t>
      </w:r>
    </w:p>
  </w:footnote>
  <w:footnote w:id="10">
    <w:p w:rsidR="00FF5712" w:rsidP="00FF5712" w14:paraId="72C29E2E" w14:textId="77777777">
      <w:pPr>
        <w:pStyle w:val="FootnoteText"/>
      </w:pPr>
      <w:r>
        <w:rPr>
          <w:rStyle w:val="FootnoteReference"/>
        </w:rPr>
        <w:footnoteRef/>
      </w:r>
      <w:r>
        <w:t xml:space="preserve"> Letter from Ross J. Lieberman, et al., Members of Clearinghouse Search Committee, to Marlene H. Dortch, Secretary, FCC, GN Docket No. 18-122 (filed July 31, 2020).</w:t>
      </w:r>
    </w:p>
  </w:footnote>
  <w:footnote w:id="11">
    <w:p w:rsidR="00FF5712" w:rsidP="00FF5712" w14:paraId="2F3B3303" w14:textId="77777777">
      <w:pPr>
        <w:pStyle w:val="FootnoteText"/>
      </w:pPr>
      <w:r>
        <w:rPr>
          <w:rStyle w:val="FootnoteReference"/>
        </w:rPr>
        <w:footnoteRef/>
      </w:r>
      <w:r>
        <w:t xml:space="preserve"> </w:t>
      </w:r>
      <w:r>
        <w:rPr>
          <w:i/>
          <w:iCs/>
        </w:rPr>
        <w:t xml:space="preserve">3.7 GHz Report and </w:t>
      </w:r>
      <w:r w:rsidRPr="002E1558">
        <w:rPr>
          <w:i/>
          <w:iCs/>
        </w:rPr>
        <w:t>Order</w:t>
      </w:r>
      <w:r w:rsidRPr="002E1558">
        <w:t>, 35 FCC Rcd at 24</w:t>
      </w:r>
      <w:r>
        <w:t>50-52</w:t>
      </w:r>
      <w:r w:rsidRPr="002E1558">
        <w:t>, para</w:t>
      </w:r>
      <w:r>
        <w:t>s</w:t>
      </w:r>
      <w:r w:rsidRPr="002E1558">
        <w:t xml:space="preserve">. </w:t>
      </w:r>
      <w:r>
        <w:t>273-80 (establishing selection criteria and directing the Bureau to seek comment on whether the selected entity satisfies such criteria)</w:t>
      </w:r>
      <w:r w:rsidRPr="002E1558">
        <w:t>.</w:t>
      </w:r>
    </w:p>
  </w:footnote>
  <w:footnote w:id="12">
    <w:p w:rsidR="00FF5712" w:rsidP="00FF5712" w14:paraId="0D20CDF0" w14:textId="77777777">
      <w:pPr>
        <w:pStyle w:val="FootnoteText"/>
      </w:pPr>
      <w:r>
        <w:rPr>
          <w:rStyle w:val="FootnoteReference"/>
        </w:rPr>
        <w:footnoteRef/>
      </w:r>
      <w:r>
        <w:t xml:space="preserve"> </w:t>
      </w:r>
      <w:r>
        <w:rPr>
          <w:i/>
          <w:iCs/>
        </w:rPr>
        <w:t>Id.</w:t>
      </w:r>
      <w:r>
        <w:t xml:space="preserve"> at 2452</w:t>
      </w:r>
      <w:r w:rsidRPr="002E1558">
        <w:t xml:space="preserve">, para. </w:t>
      </w:r>
      <w:r>
        <w:t>280.</w:t>
      </w:r>
    </w:p>
  </w:footnote>
  <w:footnote w:id="13">
    <w:p w:rsidR="00FF5712" w:rsidRPr="006B4F71" w:rsidP="00FF5712" w14:paraId="3E892D7B" w14:textId="77777777">
      <w:pPr>
        <w:pStyle w:val="FootnoteText"/>
        <w:rPr>
          <w:i/>
          <w:iCs/>
        </w:rPr>
      </w:pPr>
      <w:r>
        <w:rPr>
          <w:rStyle w:val="FootnoteReference"/>
        </w:rPr>
        <w:footnoteRef/>
      </w:r>
      <w:r>
        <w:t xml:space="preserve"> </w:t>
      </w:r>
      <w:r>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9302491" w14:textId="01A9F82B">
    <w:pPr>
      <w:tabs>
        <w:tab w:val="center" w:pos="4680"/>
        <w:tab w:val="right" w:pos="9360"/>
      </w:tabs>
    </w:pPr>
    <w:r w:rsidRPr="009838BC">
      <w:rPr>
        <w:b/>
      </w:rPr>
      <w:tab/>
      <w:t>Federal Communications Commission</w:t>
    </w:r>
    <w:r w:rsidRPr="009838BC">
      <w:rPr>
        <w:b/>
      </w:rPr>
      <w:tab/>
    </w:r>
    <w:r w:rsidR="00FF5712">
      <w:rPr>
        <w:b/>
      </w:rPr>
      <w:t>DA 20</w:t>
    </w:r>
    <w:r w:rsidR="00D23A25">
      <w:rPr>
        <w:b/>
      </w:rPr>
      <w:t>-828</w:t>
    </w:r>
  </w:p>
  <w:p w:rsidR="009838BC" w:rsidRPr="009838BC" w:rsidP="009838BC" w14:paraId="46F7CCDB"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B7AC2E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E24E547"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70284BE5" w14:textId="77777777">
                <w:pPr>
                  <w:rPr>
                    <w:rFonts w:ascii="Arial" w:hAnsi="Arial"/>
                    <w:b/>
                  </w:rPr>
                </w:pPr>
                <w:r>
                  <w:rPr>
                    <w:rFonts w:ascii="Arial" w:hAnsi="Arial"/>
                    <w:b/>
                  </w:rPr>
                  <w:t>Federal Communications Commission</w:t>
                </w:r>
              </w:p>
              <w:p w:rsidR="009838BC" w:rsidP="009838BC" w14:paraId="54F47B5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22C88DB"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587CAFE8"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0CCAC061" w14:textId="77777777">
                <w:pPr>
                  <w:spacing w:before="40"/>
                  <w:jc w:val="right"/>
                  <w:rPr>
                    <w:rFonts w:ascii="Arial" w:hAnsi="Arial"/>
                    <w:b/>
                    <w:sz w:val="16"/>
                  </w:rPr>
                </w:pPr>
                <w:r>
                  <w:rPr>
                    <w:rFonts w:ascii="Arial" w:hAnsi="Arial"/>
                    <w:b/>
                    <w:sz w:val="16"/>
                  </w:rPr>
                  <w:t>News Media Information 202 / 418-0500</w:t>
                </w:r>
              </w:p>
              <w:p w:rsidR="009838BC" w:rsidP="009838BC" w14:paraId="59430DDF"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7C780C89" w14:textId="77777777">
                <w:pPr>
                  <w:jc w:val="right"/>
                </w:pPr>
                <w:r>
                  <w:rPr>
                    <w:rFonts w:ascii="Arial" w:hAnsi="Arial"/>
                    <w:b/>
                    <w:sz w:val="16"/>
                  </w:rPr>
                  <w:t>TTY: 1-888-835-5322</w:t>
                </w:r>
              </w:p>
            </w:txbxContent>
          </v:textbox>
        </v:shape>
      </w:pict>
    </w:r>
  </w:p>
  <w:p w:rsidR="006F7393" w:rsidRPr="009838BC" w:rsidP="009838BC" w14:paraId="42752C5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12"/>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2E1558"/>
    <w:rsid w:val="00343749"/>
    <w:rsid w:val="00357D50"/>
    <w:rsid w:val="003925DC"/>
    <w:rsid w:val="003B0550"/>
    <w:rsid w:val="003B694F"/>
    <w:rsid w:val="003F171C"/>
    <w:rsid w:val="003F261D"/>
    <w:rsid w:val="00412FC5"/>
    <w:rsid w:val="00422276"/>
    <w:rsid w:val="004242F1"/>
    <w:rsid w:val="00445A00"/>
    <w:rsid w:val="00451B0F"/>
    <w:rsid w:val="0046125F"/>
    <w:rsid w:val="00487524"/>
    <w:rsid w:val="00496106"/>
    <w:rsid w:val="004C12D0"/>
    <w:rsid w:val="004C2EE3"/>
    <w:rsid w:val="004E4A22"/>
    <w:rsid w:val="00511968"/>
    <w:rsid w:val="0053422A"/>
    <w:rsid w:val="0055614C"/>
    <w:rsid w:val="00607BA5"/>
    <w:rsid w:val="00626EB6"/>
    <w:rsid w:val="006353A3"/>
    <w:rsid w:val="00655D03"/>
    <w:rsid w:val="00680892"/>
    <w:rsid w:val="00683F84"/>
    <w:rsid w:val="006A6A81"/>
    <w:rsid w:val="006B4F71"/>
    <w:rsid w:val="006E26AF"/>
    <w:rsid w:val="006F7393"/>
    <w:rsid w:val="0070224F"/>
    <w:rsid w:val="007115F7"/>
    <w:rsid w:val="00785689"/>
    <w:rsid w:val="0079754B"/>
    <w:rsid w:val="007A1E6D"/>
    <w:rsid w:val="00822CE0"/>
    <w:rsid w:val="00837C62"/>
    <w:rsid w:val="00841AB1"/>
    <w:rsid w:val="008C22FD"/>
    <w:rsid w:val="008E5CFF"/>
    <w:rsid w:val="008F7BAE"/>
    <w:rsid w:val="00910F12"/>
    <w:rsid w:val="00926503"/>
    <w:rsid w:val="00930ECF"/>
    <w:rsid w:val="009664EB"/>
    <w:rsid w:val="009838BC"/>
    <w:rsid w:val="00A45F4F"/>
    <w:rsid w:val="00A600A9"/>
    <w:rsid w:val="00A866AC"/>
    <w:rsid w:val="00A90065"/>
    <w:rsid w:val="00AA55B7"/>
    <w:rsid w:val="00AA5B9E"/>
    <w:rsid w:val="00AB2407"/>
    <w:rsid w:val="00AB53DF"/>
    <w:rsid w:val="00AF2F40"/>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23A25"/>
    <w:rsid w:val="00DA2529"/>
    <w:rsid w:val="00DB130A"/>
    <w:rsid w:val="00DC10A1"/>
    <w:rsid w:val="00DC655F"/>
    <w:rsid w:val="00DD7EBD"/>
    <w:rsid w:val="00DF62B6"/>
    <w:rsid w:val="00E050F3"/>
    <w:rsid w:val="00E07225"/>
    <w:rsid w:val="00E155B7"/>
    <w:rsid w:val="00E5409F"/>
    <w:rsid w:val="00EC0185"/>
    <w:rsid w:val="00EC7C26"/>
    <w:rsid w:val="00F021FA"/>
    <w:rsid w:val="00F57ACA"/>
    <w:rsid w:val="00F62E97"/>
    <w:rsid w:val="00F64209"/>
    <w:rsid w:val="00F93BF5"/>
    <w:rsid w:val="00F96F63"/>
    <w:rsid w:val="00FB591C"/>
    <w:rsid w:val="00FF57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D95F1BC-5C84-4662-A8FF-28FD7846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uiPriority w:val="99"/>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FF5712"/>
    <w:pPr>
      <w:ind w:left="720"/>
      <w:contextualSpacing/>
    </w:pPr>
  </w:style>
  <w:style w:type="character" w:customStyle="1" w:styleId="FootnoteTextChar">
    <w:name w:val="Footnote Text Char"/>
    <w:aliases w:val="Char Char Char Char,Footnote Text Char Char Char Char Char,Footnote Text Char1 Char Char Char,Footnote Text Char1 Char Char1,Footnote Text Char1 Char1 Char Char Char Char Char,Footnote Text Char2 Char Char,Footnote Text Char2 Char1"/>
    <w:link w:val="FootnoteText"/>
    <w:uiPriority w:val="99"/>
    <w:rsid w:val="00FF5712"/>
  </w:style>
  <w:style w:type="paragraph" w:customStyle="1" w:styleId="Paranum0">
    <w:name w:val="Paranum"/>
    <w:basedOn w:val="Normal"/>
    <w:uiPriority w:val="99"/>
    <w:rsid w:val="00FF5712"/>
    <w:pPr>
      <w:spacing w:after="220"/>
      <w:jc w:val="both"/>
    </w:pPr>
    <w:rPr>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Susan.Mort@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www.gao.gov/greenbook/overview"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