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6DA131F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C060BB8" w14:textId="77777777">
      <w:pPr>
        <w:pStyle w:val="StyleBoldCentered"/>
      </w:pPr>
      <w:r>
        <w:t>F</w:t>
      </w:r>
      <w:r>
        <w:rPr>
          <w:caps w:val="0"/>
        </w:rPr>
        <w:t>ederal Communications Commission</w:t>
      </w:r>
    </w:p>
    <w:p w:rsidR="004C2EE3" w:rsidP="00096D8C" w14:paraId="6EFC86F4" w14:textId="77777777">
      <w:pPr>
        <w:pStyle w:val="StyleBoldCentered"/>
      </w:pPr>
      <w:r>
        <w:rPr>
          <w:caps w:val="0"/>
        </w:rPr>
        <w:t>Washington, D.C. 20554</w:t>
      </w:r>
    </w:p>
    <w:p w:rsidR="004C2EE3" w:rsidP="0070224F" w14:paraId="68D23B2B" w14:textId="77777777"/>
    <w:p w:rsidR="004C2EE3" w:rsidP="0070224F" w14:paraId="6434DCA0" w14:textId="77777777"/>
    <w:tbl>
      <w:tblPr>
        <w:tblW w:w="0" w:type="auto"/>
        <w:tblLayout w:type="fixed"/>
        <w:tblLook w:val="0000"/>
      </w:tblPr>
      <w:tblGrid>
        <w:gridCol w:w="4698"/>
        <w:gridCol w:w="630"/>
        <w:gridCol w:w="4248"/>
      </w:tblGrid>
      <w:tr w14:paraId="51FD752F" w14:textId="77777777">
        <w:tblPrEx>
          <w:tblW w:w="0" w:type="auto"/>
          <w:tblLayout w:type="fixed"/>
          <w:tblLook w:val="0000"/>
        </w:tblPrEx>
        <w:tc>
          <w:tcPr>
            <w:tcW w:w="4698" w:type="dxa"/>
          </w:tcPr>
          <w:p w:rsidR="004C2EE3" w14:paraId="5B00D791" w14:textId="77777777">
            <w:pPr>
              <w:tabs>
                <w:tab w:val="center" w:pos="4680"/>
              </w:tabs>
              <w:suppressAutoHyphens/>
              <w:rPr>
                <w:spacing w:val="-2"/>
              </w:rPr>
            </w:pPr>
            <w:r>
              <w:rPr>
                <w:spacing w:val="-2"/>
              </w:rPr>
              <w:t>In the Matter of</w:t>
            </w:r>
          </w:p>
          <w:p w:rsidR="004C2EE3" w14:paraId="4A5AAFAA" w14:textId="77777777">
            <w:pPr>
              <w:tabs>
                <w:tab w:val="center" w:pos="4680"/>
              </w:tabs>
              <w:suppressAutoHyphens/>
              <w:rPr>
                <w:spacing w:val="-2"/>
              </w:rPr>
            </w:pPr>
          </w:p>
          <w:p w:rsidR="006B1A70" w:rsidP="007115F7" w14:paraId="61C264C1" w14:textId="77777777">
            <w:pPr>
              <w:tabs>
                <w:tab w:val="center" w:pos="4680"/>
              </w:tabs>
              <w:suppressAutoHyphens/>
              <w:rPr>
                <w:spacing w:val="-2"/>
              </w:rPr>
            </w:pPr>
            <w:r w:rsidRPr="006B1A70">
              <w:rPr>
                <w:spacing w:val="-2"/>
              </w:rPr>
              <w:t>Ondas</w:t>
            </w:r>
            <w:r w:rsidRPr="006B1A70">
              <w:rPr>
                <w:spacing w:val="-2"/>
              </w:rPr>
              <w:t xml:space="preserve"> de Vida, Inc.,</w:t>
            </w:r>
          </w:p>
          <w:p w:rsidR="004C2EE3" w:rsidRPr="007115F7" w:rsidP="007115F7" w14:paraId="1411EC5F" w14:textId="79A03C31">
            <w:pPr>
              <w:tabs>
                <w:tab w:val="center" w:pos="4680"/>
              </w:tabs>
              <w:suppressAutoHyphens/>
              <w:rPr>
                <w:spacing w:val="-2"/>
              </w:rPr>
            </w:pPr>
            <w:r w:rsidRPr="006B1A70">
              <w:rPr>
                <w:spacing w:val="-2"/>
              </w:rPr>
              <w:t>Licensee of FM Translator Station K256BS,</w:t>
            </w:r>
            <w:r>
              <w:rPr>
                <w:spacing w:val="-2"/>
              </w:rPr>
              <w:t xml:space="preserve"> </w:t>
            </w:r>
            <w:r w:rsidRPr="006B1A70">
              <w:rPr>
                <w:spacing w:val="-2"/>
              </w:rPr>
              <w:t>Palmdale, California</w:t>
            </w:r>
          </w:p>
        </w:tc>
        <w:tc>
          <w:tcPr>
            <w:tcW w:w="630" w:type="dxa"/>
          </w:tcPr>
          <w:p w:rsidR="004C2EE3" w14:paraId="0EA5A34D" w14:textId="77777777">
            <w:pPr>
              <w:tabs>
                <w:tab w:val="center" w:pos="4680"/>
              </w:tabs>
              <w:suppressAutoHyphens/>
              <w:rPr>
                <w:b/>
                <w:spacing w:val="-2"/>
              </w:rPr>
            </w:pPr>
            <w:r>
              <w:rPr>
                <w:b/>
                <w:spacing w:val="-2"/>
              </w:rPr>
              <w:t>)</w:t>
            </w:r>
          </w:p>
          <w:p w:rsidR="004C2EE3" w14:paraId="03766996" w14:textId="77777777">
            <w:pPr>
              <w:tabs>
                <w:tab w:val="center" w:pos="4680"/>
              </w:tabs>
              <w:suppressAutoHyphens/>
              <w:rPr>
                <w:b/>
                <w:spacing w:val="-2"/>
              </w:rPr>
            </w:pPr>
            <w:r>
              <w:rPr>
                <w:b/>
                <w:spacing w:val="-2"/>
              </w:rPr>
              <w:t>)</w:t>
            </w:r>
          </w:p>
          <w:p w:rsidR="004C2EE3" w14:paraId="70BD6433" w14:textId="77777777">
            <w:pPr>
              <w:tabs>
                <w:tab w:val="center" w:pos="4680"/>
              </w:tabs>
              <w:suppressAutoHyphens/>
              <w:rPr>
                <w:b/>
                <w:spacing w:val="-2"/>
              </w:rPr>
            </w:pPr>
            <w:r>
              <w:rPr>
                <w:b/>
                <w:spacing w:val="-2"/>
              </w:rPr>
              <w:t>)</w:t>
            </w:r>
          </w:p>
          <w:p w:rsidR="004C2EE3" w14:paraId="2CB9E806" w14:textId="77777777">
            <w:pPr>
              <w:tabs>
                <w:tab w:val="center" w:pos="4680"/>
              </w:tabs>
              <w:suppressAutoHyphens/>
              <w:rPr>
                <w:b/>
                <w:spacing w:val="-2"/>
              </w:rPr>
            </w:pPr>
            <w:r>
              <w:rPr>
                <w:b/>
                <w:spacing w:val="-2"/>
              </w:rPr>
              <w:t>)</w:t>
            </w:r>
          </w:p>
          <w:p w:rsidR="004C2EE3" w14:paraId="7306EC71" w14:textId="77777777">
            <w:pPr>
              <w:tabs>
                <w:tab w:val="center" w:pos="4680"/>
              </w:tabs>
              <w:suppressAutoHyphens/>
              <w:rPr>
                <w:b/>
                <w:spacing w:val="-2"/>
              </w:rPr>
            </w:pPr>
            <w:r>
              <w:rPr>
                <w:b/>
                <w:spacing w:val="-2"/>
              </w:rPr>
              <w:t>)</w:t>
            </w:r>
          </w:p>
          <w:p w:rsidR="004C2EE3" w:rsidRPr="006B1A70" w14:paraId="2DC5F9A5" w14:textId="667605DB">
            <w:pPr>
              <w:tabs>
                <w:tab w:val="center" w:pos="4680"/>
              </w:tabs>
              <w:suppressAutoHyphens/>
              <w:rPr>
                <w:b/>
                <w:spacing w:val="-2"/>
              </w:rPr>
            </w:pPr>
            <w:r>
              <w:rPr>
                <w:b/>
                <w:spacing w:val="-2"/>
              </w:rPr>
              <w:t>)</w:t>
            </w:r>
          </w:p>
        </w:tc>
        <w:tc>
          <w:tcPr>
            <w:tcW w:w="4248" w:type="dxa"/>
          </w:tcPr>
          <w:p w:rsidR="004C2EE3" w14:paraId="1F06EA5D" w14:textId="77777777">
            <w:pPr>
              <w:tabs>
                <w:tab w:val="center" w:pos="4680"/>
              </w:tabs>
              <w:suppressAutoHyphens/>
              <w:rPr>
                <w:spacing w:val="-2"/>
              </w:rPr>
            </w:pPr>
          </w:p>
          <w:p w:rsidR="004C2EE3" w14:paraId="77B3B159" w14:textId="77777777">
            <w:pPr>
              <w:tabs>
                <w:tab w:val="center" w:pos="4680"/>
              </w:tabs>
              <w:suppressAutoHyphens/>
              <w:rPr>
                <w:spacing w:val="-2"/>
              </w:rPr>
            </w:pPr>
            <w:r>
              <w:rPr>
                <w:spacing w:val="-2"/>
              </w:rPr>
              <w:t xml:space="preserve">File No.: </w:t>
            </w:r>
            <w:r w:rsidRPr="00AD4547">
              <w:rPr>
                <w:spacing w:val="-2"/>
              </w:rPr>
              <w:t>EB-FIELDWR-16-00020978</w:t>
            </w:r>
          </w:p>
          <w:p w:rsidR="00E774C3" w14:paraId="3C2184B6" w14:textId="77777777">
            <w:pPr>
              <w:tabs>
                <w:tab w:val="center" w:pos="4680"/>
              </w:tabs>
              <w:suppressAutoHyphens/>
              <w:rPr>
                <w:spacing w:val="-2"/>
              </w:rPr>
            </w:pPr>
            <w:r>
              <w:rPr>
                <w:spacing w:val="-2"/>
              </w:rPr>
              <w:t xml:space="preserve">NAL/Acct. No.: </w:t>
            </w:r>
            <w:r w:rsidRPr="00E774C3">
              <w:rPr>
                <w:spacing w:val="-2"/>
              </w:rPr>
              <w:t>201732900003</w:t>
            </w:r>
          </w:p>
          <w:p w:rsidR="00E774C3" w14:paraId="43C5F685" w14:textId="77777777">
            <w:pPr>
              <w:tabs>
                <w:tab w:val="center" w:pos="4680"/>
              </w:tabs>
              <w:suppressAutoHyphens/>
              <w:rPr>
                <w:spacing w:val="-2"/>
              </w:rPr>
            </w:pPr>
            <w:r>
              <w:rPr>
                <w:spacing w:val="-2"/>
              </w:rPr>
              <w:t xml:space="preserve">FRN: </w:t>
            </w:r>
            <w:r w:rsidRPr="006B1A70" w:rsidR="006B1A70">
              <w:rPr>
                <w:spacing w:val="-2"/>
              </w:rPr>
              <w:t>0014400279</w:t>
            </w:r>
          </w:p>
          <w:p w:rsidR="006B1A70" w14:paraId="75622A4B" w14:textId="1208871A">
            <w:pPr>
              <w:tabs>
                <w:tab w:val="center" w:pos="4680"/>
              </w:tabs>
              <w:suppressAutoHyphens/>
              <w:rPr>
                <w:spacing w:val="-2"/>
              </w:rPr>
            </w:pPr>
            <w:r>
              <w:rPr>
                <w:spacing w:val="-2"/>
              </w:rPr>
              <w:t xml:space="preserve">Facility ID: </w:t>
            </w:r>
            <w:bookmarkStart w:id="0" w:name="OLE_LINK1"/>
            <w:bookmarkStart w:id="1" w:name="OLE_LINK2"/>
            <w:r w:rsidRPr="006B1A70">
              <w:rPr>
                <w:spacing w:val="-2"/>
              </w:rPr>
              <w:t>13</w:t>
            </w:r>
            <w:r w:rsidR="009B5801">
              <w:rPr>
                <w:spacing w:val="-2"/>
              </w:rPr>
              <w:t>8</w:t>
            </w:r>
            <w:r w:rsidRPr="006B1A70">
              <w:rPr>
                <w:spacing w:val="-2"/>
              </w:rPr>
              <w:t>849</w:t>
            </w:r>
            <w:bookmarkEnd w:id="0"/>
            <w:bookmarkEnd w:id="1"/>
          </w:p>
        </w:tc>
      </w:tr>
    </w:tbl>
    <w:p w:rsidR="004C2EE3" w:rsidP="0070224F" w14:paraId="03856252" w14:textId="77777777"/>
    <w:p w:rsidR="00841AB1" w:rsidP="00F021FA" w14:paraId="2F1999E3" w14:textId="4556DC76">
      <w:pPr>
        <w:pStyle w:val="StyleBoldCentered"/>
      </w:pPr>
      <w:r>
        <w:t>MEMORANDUM OPINION AND ORDER</w:t>
      </w:r>
    </w:p>
    <w:p w:rsidR="004C2EE3" w14:paraId="043178DA" w14:textId="77777777">
      <w:pPr>
        <w:tabs>
          <w:tab w:val="left" w:pos="-720"/>
        </w:tabs>
        <w:suppressAutoHyphens/>
        <w:spacing w:line="227" w:lineRule="auto"/>
        <w:rPr>
          <w:spacing w:val="-2"/>
        </w:rPr>
      </w:pPr>
    </w:p>
    <w:p w:rsidR="004C2EE3" w:rsidP="00133F79" w14:paraId="78F5FF6F" w14:textId="24667F04">
      <w:pPr>
        <w:tabs>
          <w:tab w:val="left" w:pos="720"/>
          <w:tab w:val="right" w:pos="9360"/>
        </w:tabs>
        <w:suppressAutoHyphens/>
        <w:spacing w:line="227" w:lineRule="auto"/>
        <w:rPr>
          <w:spacing w:val="-2"/>
        </w:rPr>
      </w:pPr>
      <w:r>
        <w:rPr>
          <w:b/>
          <w:spacing w:val="-2"/>
        </w:rPr>
        <w:t xml:space="preserve">Adopted:  </w:t>
      </w:r>
      <w:r w:rsidR="00EC3EAF">
        <w:rPr>
          <w:b/>
          <w:spacing w:val="-2"/>
        </w:rPr>
        <w:t>August 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C3EAF">
        <w:rPr>
          <w:b/>
          <w:spacing w:val="-2"/>
        </w:rPr>
        <w:t>August 6, 2020</w:t>
      </w:r>
    </w:p>
    <w:p w:rsidR="00822CE0" w14:paraId="10554707" w14:textId="77777777"/>
    <w:p w:rsidR="004C2EE3" w14:paraId="32929B34" w14:textId="3854BA8C">
      <w:pPr>
        <w:rPr>
          <w:spacing w:val="-2"/>
        </w:rPr>
      </w:pPr>
      <w:r>
        <w:t xml:space="preserve">By </w:t>
      </w:r>
      <w:r w:rsidR="004E4A22">
        <w:t>the</w:t>
      </w:r>
      <w:r w:rsidR="002A2D2E">
        <w:t xml:space="preserve"> </w:t>
      </w:r>
      <w:r w:rsidR="007B2458">
        <w:rPr>
          <w:spacing w:val="-2"/>
        </w:rPr>
        <w:t>Chief, Enforcement Bureau:</w:t>
      </w:r>
    </w:p>
    <w:p w:rsidR="00822CE0" w14:paraId="3D58F48E" w14:textId="77777777">
      <w:pPr>
        <w:rPr>
          <w:spacing w:val="-2"/>
        </w:rPr>
      </w:pPr>
    </w:p>
    <w:p w:rsidR="00412FC5" w:rsidP="00C36B4C" w14:paraId="18AABD30" w14:textId="1EB619AE">
      <w:pPr>
        <w:pStyle w:val="Heading1"/>
      </w:pPr>
      <w:r>
        <w:t>Introduction</w:t>
      </w:r>
    </w:p>
    <w:p w:rsidR="00603107" w:rsidP="00DB4819" w14:paraId="56DE8239" w14:textId="4DA75026">
      <w:pPr>
        <w:pStyle w:val="ParaNum"/>
      </w:pPr>
      <w:r>
        <w:t xml:space="preserve">The Commission expects spectrum licensees to operate </w:t>
      </w:r>
      <w:r w:rsidR="002E227D">
        <w:t xml:space="preserve">within the parameters specified </w:t>
      </w:r>
      <w:r w:rsidR="00860FCE">
        <w:t>in their</w:t>
      </w:r>
      <w:r w:rsidR="002E227D">
        <w:t xml:space="preserve"> licenses and </w:t>
      </w:r>
      <w:r w:rsidR="00D943F8">
        <w:t xml:space="preserve">set forth in the applicable service rules.  </w:t>
      </w:r>
      <w:r w:rsidR="00E05904">
        <w:t>If</w:t>
      </w:r>
      <w:r w:rsidR="00D943F8">
        <w:t xml:space="preserve"> </w:t>
      </w:r>
      <w:r w:rsidR="00222EDE">
        <w:t>they</w:t>
      </w:r>
      <w:r w:rsidR="00D943F8">
        <w:t xml:space="preserve"> are unable to </w:t>
      </w:r>
      <w:r w:rsidR="0040340F">
        <w:t xml:space="preserve">do so, </w:t>
      </w:r>
      <w:r w:rsidR="00222EDE">
        <w:t>licensees</w:t>
      </w:r>
      <w:r w:rsidR="0040340F">
        <w:t xml:space="preserve"> must </w:t>
      </w:r>
      <w:r w:rsidR="003E34B3">
        <w:t>seek</w:t>
      </w:r>
      <w:r w:rsidR="00C2387A">
        <w:t xml:space="preserve"> the Commission’s approval</w:t>
      </w:r>
      <w:r w:rsidR="001A2502">
        <w:t xml:space="preserve"> to operate </w:t>
      </w:r>
      <w:r w:rsidR="002C566C">
        <w:t>with</w:t>
      </w:r>
      <w:r w:rsidR="001A2502">
        <w:t xml:space="preserve"> altered parameters</w:t>
      </w:r>
      <w:r w:rsidR="00C2387A">
        <w:t xml:space="preserve">.  </w:t>
      </w:r>
      <w:r w:rsidR="00E05904">
        <w:t>When licensees fail to comply with these two obligations</w:t>
      </w:r>
      <w:r w:rsidR="0009541C">
        <w:t xml:space="preserve">, they risk </w:t>
      </w:r>
      <w:r w:rsidR="00BC2A63">
        <w:t>causing harmful interference to other licensees</w:t>
      </w:r>
      <w:r w:rsidR="004C452C">
        <w:t xml:space="preserve">.  Likewise, stations operating at variance from their authorizations degrade the accuracy of the license databases that the Commission uses to ensure that it is maximizing </w:t>
      </w:r>
      <w:r w:rsidR="00FA7612">
        <w:t>use of increasingly congested spectrum.  Accordingly, the Commission takes seriously cases in which a licensee</w:t>
      </w:r>
      <w:r w:rsidR="006003CF">
        <w:t xml:space="preserve"> engages in </w:t>
      </w:r>
      <w:r w:rsidR="00F46790">
        <w:t>“</w:t>
      </w:r>
      <w:r w:rsidR="006003CF">
        <w:t>self-help</w:t>
      </w:r>
      <w:r w:rsidR="00F46790">
        <w:t>”</w:t>
      </w:r>
      <w:r w:rsidR="00742FC5">
        <w:t xml:space="preserve"> </w:t>
      </w:r>
      <w:r w:rsidR="00F5792A">
        <w:t xml:space="preserve">by </w:t>
      </w:r>
      <w:r w:rsidR="0016093D">
        <w:t>modifying a station’s operating parameters without providing notice to, or seeking the approval of, the Commission</w:t>
      </w:r>
      <w:r w:rsidR="007E40AB">
        <w:t xml:space="preserve">. </w:t>
      </w:r>
    </w:p>
    <w:p w:rsidR="00DB4819" w:rsidP="00DB4819" w14:paraId="7738519E" w14:textId="1109B2F0">
      <w:pPr>
        <w:pStyle w:val="ParaNum"/>
      </w:pPr>
      <w:r>
        <w:t>In furtherance of those objectives, w</w:t>
      </w:r>
      <w:r w:rsidRPr="00BB4E94" w:rsidR="00BB4E94">
        <w:t xml:space="preserve">e deny the Petition for Reconsideration </w:t>
      </w:r>
      <w:r w:rsidR="0061184E">
        <w:t xml:space="preserve">(Petition) </w:t>
      </w:r>
      <w:r w:rsidRPr="00BB4E94" w:rsidR="00BB4E94">
        <w:t xml:space="preserve">filed by </w:t>
      </w:r>
      <w:r w:rsidR="00016B85">
        <w:t>Ondas</w:t>
      </w:r>
      <w:r w:rsidR="00AA1311">
        <w:t xml:space="preserve"> de Vida</w:t>
      </w:r>
      <w:r w:rsidR="00662434">
        <w:t>, Inc. (ODV)</w:t>
      </w:r>
      <w:r w:rsidR="00AE47BE">
        <w:t>,</w:t>
      </w:r>
      <w:r>
        <w:rPr>
          <w:rStyle w:val="FootnoteReference"/>
        </w:rPr>
        <w:footnoteReference w:id="3"/>
      </w:r>
      <w:r w:rsidR="00AE47BE">
        <w:t xml:space="preserve"> t</w:t>
      </w:r>
      <w:r w:rsidRPr="00AE47BE" w:rsidR="00AE47BE">
        <w:t>he licensee of FM</w:t>
      </w:r>
      <w:r w:rsidR="008C53EE">
        <w:t xml:space="preserve"> </w:t>
      </w:r>
      <w:r w:rsidRPr="00AE47BE" w:rsidR="00AE47BE">
        <w:t>Translator Station K256BS, Palmdale, California (Station)</w:t>
      </w:r>
      <w:r w:rsidR="00AE47BE">
        <w:t>,</w:t>
      </w:r>
      <w:r w:rsidRPr="00BB4E94" w:rsidR="00BB4E94">
        <w:t xml:space="preserve"> seeking reconsideration of the </w:t>
      </w:r>
      <w:r w:rsidRPr="000629ED" w:rsidR="00BB4E94">
        <w:rPr>
          <w:i/>
          <w:iCs/>
        </w:rPr>
        <w:t>Forfeiture Order</w:t>
      </w:r>
      <w:r w:rsidRPr="00BB4E94" w:rsidR="00BB4E94">
        <w:t xml:space="preserve"> issued by the Enforcement Bureau (Bureau).</w:t>
      </w:r>
      <w:r>
        <w:rPr>
          <w:rStyle w:val="FootnoteReference"/>
        </w:rPr>
        <w:footnoteReference w:id="4"/>
      </w:r>
      <w:r w:rsidRPr="00BB4E94" w:rsidR="00BB4E94">
        <w:t xml:space="preserve">  In the </w:t>
      </w:r>
      <w:r w:rsidRPr="00295274" w:rsidR="00BB4E94">
        <w:rPr>
          <w:i/>
          <w:iCs/>
        </w:rPr>
        <w:t>Forfeiture Order</w:t>
      </w:r>
      <w:r w:rsidRPr="00BB4E94" w:rsidR="00BB4E94">
        <w:t xml:space="preserve">, the Bureau imposed a forfeiture of </w:t>
      </w:r>
      <w:r w:rsidR="005F1229">
        <w:t xml:space="preserve">$12,000 </w:t>
      </w:r>
      <w:r w:rsidRPr="00BB4E94" w:rsidR="00BB4E94">
        <w:t xml:space="preserve">against </w:t>
      </w:r>
      <w:r w:rsidR="005F1229">
        <w:t xml:space="preserve">ODV </w:t>
      </w:r>
      <w:r w:rsidRPr="00BB4E94" w:rsidR="00BB4E94">
        <w:t>for</w:t>
      </w:r>
      <w:r w:rsidR="00174F07">
        <w:t xml:space="preserve"> </w:t>
      </w:r>
      <w:r w:rsidRPr="00174F07" w:rsidR="00174F07">
        <w:t xml:space="preserve">operating the Station at power levels that exceeded the values specified </w:t>
      </w:r>
      <w:r w:rsidR="00423A90">
        <w:t>on</w:t>
      </w:r>
      <w:r w:rsidRPr="00174F07" w:rsidR="00174F07">
        <w:t xml:space="preserve"> the Station’s license and permitted under the Commission’s rules, in violation of the Communications Act of 1934, as amended (Act),</w:t>
      </w:r>
      <w:r>
        <w:rPr>
          <w:rStyle w:val="FootnoteReference"/>
        </w:rPr>
        <w:footnoteReference w:id="5"/>
      </w:r>
      <w:r w:rsidRPr="00174F07" w:rsidR="00174F07">
        <w:t xml:space="preserve"> and the Commission’s rules.</w:t>
      </w:r>
    </w:p>
    <w:p w:rsidR="00D57DD1" w:rsidRPr="00D57DD1" w:rsidP="00DB4819" w14:paraId="6FA1640E" w14:textId="348271F6">
      <w:pPr>
        <w:pStyle w:val="ParaNum"/>
      </w:pPr>
      <w:r w:rsidRPr="00D57DD1">
        <w:t>Upon review of the Petition and the entire record, we find no basis for reconsideration.  Reconsideration is appropriate only when the petitioner either demonstrates a material error or omission in the underlying order or raises additional facts not known or not existing until after the petitioner’s last opportunity to present such matters.</w:t>
      </w:r>
      <w:r>
        <w:rPr>
          <w:rStyle w:val="FootnoteReference"/>
        </w:rPr>
        <w:footnoteReference w:id="6"/>
      </w:r>
      <w:r w:rsidRPr="00D57DD1">
        <w:t xml:space="preserve">  </w:t>
      </w:r>
      <w:r w:rsidR="00AD34B3">
        <w:t xml:space="preserve">ODV’s </w:t>
      </w:r>
      <w:r w:rsidRPr="00D57DD1">
        <w:t xml:space="preserve">Petition fails to present facts or arguments warranting </w:t>
      </w:r>
      <w:r w:rsidRPr="00D57DD1">
        <w:t xml:space="preserve">reconsideration.  We therefore find that the Bureau properly decided the matters raised and deny </w:t>
      </w:r>
      <w:r w:rsidR="0058566F">
        <w:t xml:space="preserve">ODV’s </w:t>
      </w:r>
      <w:r w:rsidRPr="00D57DD1">
        <w:t>Petition.</w:t>
      </w:r>
    </w:p>
    <w:p w:rsidR="00BB4E94" w:rsidP="00D2480B" w14:paraId="59C57980" w14:textId="1F79BEAC">
      <w:pPr>
        <w:pStyle w:val="Heading1"/>
      </w:pPr>
      <w:r>
        <w:t>Background</w:t>
      </w:r>
    </w:p>
    <w:p w:rsidR="00CD57B8" w:rsidP="00CD57B8" w14:paraId="7CF4FB28" w14:textId="5BE597DA">
      <w:pPr>
        <w:pStyle w:val="ParaNum"/>
      </w:pPr>
      <w:bookmarkStart w:id="2" w:name="_Ref43889852"/>
      <w:r>
        <w:t>On April 27, 20</w:t>
      </w:r>
      <w:r w:rsidR="00112074">
        <w:t xml:space="preserve">17, the Bureau issued </w:t>
      </w:r>
      <w:r w:rsidR="004234EE">
        <w:t>the</w:t>
      </w:r>
      <w:r w:rsidR="00112074">
        <w:t xml:space="preserve"> </w:t>
      </w:r>
      <w:r w:rsidR="00112074">
        <w:rPr>
          <w:i/>
          <w:iCs/>
        </w:rPr>
        <w:t>Notice of Apparent Liability for Forfeiture</w:t>
      </w:r>
      <w:r w:rsidR="00112074">
        <w:t xml:space="preserve"> to ODV</w:t>
      </w:r>
      <w:r w:rsidR="00860FCE">
        <w:t>,</w:t>
      </w:r>
      <w:r w:rsidR="00112074">
        <w:t xml:space="preserve"> </w:t>
      </w:r>
      <w:r w:rsidR="00C146A4">
        <w:t xml:space="preserve">proposing a $12,000 forfeiture for </w:t>
      </w:r>
      <w:r w:rsidR="0024188E">
        <w:t xml:space="preserve">ODV’s apparent violation of section 301 of the </w:t>
      </w:r>
      <w:r w:rsidR="006005DF">
        <w:t>Act</w:t>
      </w:r>
      <w:r w:rsidR="0024188E">
        <w:t xml:space="preserve"> and sections 1.903</w:t>
      </w:r>
      <w:r w:rsidR="006E4DA8">
        <w:t>(a) and 74.1235(e) of the Commission’s rules</w:t>
      </w:r>
      <w:r w:rsidR="002B1AB6">
        <w:t>.</w:t>
      </w:r>
      <w:r>
        <w:rPr>
          <w:rStyle w:val="FootnoteReference"/>
        </w:rPr>
        <w:footnoteReference w:id="7"/>
      </w:r>
      <w:r w:rsidR="00AB2703">
        <w:t xml:space="preserve">  </w:t>
      </w:r>
      <w:r w:rsidR="00391D75">
        <w:t xml:space="preserve">In the </w:t>
      </w:r>
      <w:r w:rsidRPr="00391D75" w:rsidR="00391D75">
        <w:rPr>
          <w:i/>
          <w:iCs/>
        </w:rPr>
        <w:t>Notice</w:t>
      </w:r>
      <w:r w:rsidR="00391D75">
        <w:t>, the Bureau found that</w:t>
      </w:r>
      <w:r w:rsidR="00CC3995">
        <w:t xml:space="preserve">, on two separate occasions, ODV operated </w:t>
      </w:r>
      <w:r w:rsidR="0069685B">
        <w:t xml:space="preserve">the Station at power levels that exceeded </w:t>
      </w:r>
      <w:r w:rsidR="009367A0">
        <w:t>those</w:t>
      </w:r>
      <w:r w:rsidR="0069685B">
        <w:t xml:space="preserve"> specified on the Station’s license.</w:t>
      </w:r>
      <w:r>
        <w:rPr>
          <w:rStyle w:val="FootnoteReference"/>
        </w:rPr>
        <w:footnoteReference w:id="8"/>
      </w:r>
      <w:r w:rsidR="0069685B">
        <w:t xml:space="preserve">  </w:t>
      </w:r>
      <w:r w:rsidRPr="00391D75" w:rsidR="009E437D">
        <w:t>On</w:t>
      </w:r>
      <w:r w:rsidRPr="009E437D" w:rsidR="009E437D">
        <w:t xml:space="preserve"> May 25, 2017, </w:t>
      </w:r>
      <w:r w:rsidR="009E437D">
        <w:t>ODV</w:t>
      </w:r>
      <w:r w:rsidRPr="009E437D" w:rsidR="009E437D">
        <w:t xml:space="preserve">, through counsel, </w:t>
      </w:r>
      <w:r w:rsidR="00A91BD7">
        <w:t>responded</w:t>
      </w:r>
      <w:r w:rsidR="00CD31BB">
        <w:t xml:space="preserve"> to the allegations contained in</w:t>
      </w:r>
      <w:r w:rsidRPr="009E437D" w:rsidR="009E437D">
        <w:t xml:space="preserve"> the</w:t>
      </w:r>
      <w:r w:rsidR="009E437D">
        <w:t xml:space="preserve"> </w:t>
      </w:r>
      <w:r w:rsidR="009E437D">
        <w:rPr>
          <w:i/>
          <w:iCs/>
        </w:rPr>
        <w:t>Notice</w:t>
      </w:r>
      <w:r w:rsidR="00CD31BB">
        <w:t>.</w:t>
      </w:r>
      <w:r>
        <w:rPr>
          <w:rStyle w:val="FootnoteReference"/>
        </w:rPr>
        <w:footnoteReference w:id="9"/>
      </w:r>
      <w:r w:rsidR="00CD31BB">
        <w:t xml:space="preserve">  In the Response, ODV argued that </w:t>
      </w:r>
      <w:r w:rsidR="00001746">
        <w:t xml:space="preserve">the </w:t>
      </w:r>
      <w:r w:rsidRPr="009E437D" w:rsidR="009E437D">
        <w:t xml:space="preserve">proposed forfeiture should be reduced or cancelled because (a) the Bureau should have </w:t>
      </w:r>
      <w:r w:rsidR="000652F4">
        <w:t xml:space="preserve">alerted ODV of the violations </w:t>
      </w:r>
      <w:r w:rsidR="00C04A92">
        <w:t xml:space="preserve">before issuing the </w:t>
      </w:r>
      <w:r w:rsidRPr="00C04A92" w:rsidR="00C04A92">
        <w:rPr>
          <w:i/>
          <w:iCs/>
        </w:rPr>
        <w:t>Notice</w:t>
      </w:r>
      <w:r w:rsidR="00A91BD7">
        <w:t>;</w:t>
      </w:r>
      <w:r>
        <w:rPr>
          <w:rStyle w:val="FootnoteReference"/>
        </w:rPr>
        <w:footnoteReference w:id="10"/>
      </w:r>
      <w:r w:rsidR="00C04A92">
        <w:t xml:space="preserve"> </w:t>
      </w:r>
      <w:r w:rsidRPr="009E437D" w:rsidR="009E437D">
        <w:t xml:space="preserve">(b) the Station was entitled to operate at a higher </w:t>
      </w:r>
      <w:r w:rsidR="00C04A92">
        <w:t xml:space="preserve">transmitter </w:t>
      </w:r>
      <w:r w:rsidR="00F671FE">
        <w:t xml:space="preserve">output </w:t>
      </w:r>
      <w:r w:rsidR="00C04A92">
        <w:t>power than specified on the face of its license;</w:t>
      </w:r>
      <w:r>
        <w:rPr>
          <w:rStyle w:val="FootnoteReference"/>
        </w:rPr>
        <w:footnoteReference w:id="11"/>
      </w:r>
      <w:r w:rsidR="00C04A92">
        <w:t xml:space="preserve"> and (c) ODV was a thinly</w:t>
      </w:r>
      <w:r w:rsidR="009A052B">
        <w:t xml:space="preserve"> </w:t>
      </w:r>
      <w:r w:rsidR="00C04A92">
        <w:t>funded, non-profit entity.</w:t>
      </w:r>
      <w:r>
        <w:rPr>
          <w:rStyle w:val="FootnoteReference"/>
        </w:rPr>
        <w:footnoteReference w:id="12"/>
      </w:r>
      <w:r w:rsidR="00C04A92">
        <w:t xml:space="preserve">  </w:t>
      </w:r>
      <w:r w:rsidRPr="000D0088" w:rsidR="000D0088">
        <w:t xml:space="preserve">On </w:t>
      </w:r>
      <w:r w:rsidR="00025EE1">
        <w:t xml:space="preserve">August 7, 2018, </w:t>
      </w:r>
      <w:r w:rsidRPr="000D0088" w:rsidR="001478B1">
        <w:t xml:space="preserve">after </w:t>
      </w:r>
      <w:r w:rsidR="001478B1">
        <w:t>considering and rejecting ODV’s arguments in the Response,</w:t>
      </w:r>
      <w:r w:rsidRPr="000D0088" w:rsidR="001478B1">
        <w:t xml:space="preserve"> </w:t>
      </w:r>
      <w:r w:rsidRPr="000D0088" w:rsidR="000D0088">
        <w:t xml:space="preserve">the Bureau issued the </w:t>
      </w:r>
      <w:r w:rsidRPr="00CD57B8" w:rsidR="000D0088">
        <w:rPr>
          <w:i/>
          <w:iCs/>
        </w:rPr>
        <w:t>Forfeiture Order</w:t>
      </w:r>
      <w:r w:rsidRPr="000D0088" w:rsidR="000D0088">
        <w:t xml:space="preserve"> imposing a $</w:t>
      </w:r>
      <w:r w:rsidR="00025EE1">
        <w:t>12,000</w:t>
      </w:r>
      <w:r w:rsidRPr="000D0088" w:rsidR="000D0088">
        <w:t xml:space="preserve"> penalty</w:t>
      </w:r>
      <w:r w:rsidR="00724CAD">
        <w:t>.</w:t>
      </w:r>
      <w:r>
        <w:rPr>
          <w:rStyle w:val="FootnoteReference"/>
        </w:rPr>
        <w:footnoteReference w:id="13"/>
      </w:r>
      <w:bookmarkEnd w:id="2"/>
      <w:r w:rsidRPr="000D0088" w:rsidR="000D0088">
        <w:t xml:space="preserve">  </w:t>
      </w:r>
    </w:p>
    <w:p w:rsidR="000D0088" w:rsidP="002943EB" w14:paraId="3D84AC0A" w14:textId="51E0A876">
      <w:pPr>
        <w:pStyle w:val="ParaNum"/>
        <w:widowControl/>
      </w:pPr>
      <w:r w:rsidRPr="000D0088">
        <w:t xml:space="preserve">On </w:t>
      </w:r>
      <w:r w:rsidR="00CD57B8">
        <w:t>September 3, 2018</w:t>
      </w:r>
      <w:r w:rsidRPr="000D0088">
        <w:t xml:space="preserve">, </w:t>
      </w:r>
      <w:r w:rsidR="002B1AB6">
        <w:t>ODV</w:t>
      </w:r>
      <w:r w:rsidRPr="000D0088">
        <w:t xml:space="preserve"> filed </w:t>
      </w:r>
      <w:r w:rsidR="004234EE">
        <w:t>the</w:t>
      </w:r>
      <w:r w:rsidRPr="000D0088">
        <w:t xml:space="preserve"> Petition</w:t>
      </w:r>
      <w:r w:rsidR="00277C79">
        <w:t>, in which it ma</w:t>
      </w:r>
      <w:r w:rsidR="00001746">
        <w:t>d</w:t>
      </w:r>
      <w:r w:rsidR="00277C79">
        <w:t xml:space="preserve">e three </w:t>
      </w:r>
      <w:r w:rsidRPr="000D0088">
        <w:t xml:space="preserve">arguments </w:t>
      </w:r>
      <w:r w:rsidR="004525A3">
        <w:t xml:space="preserve">for rescission of </w:t>
      </w:r>
      <w:r w:rsidRPr="000D0088">
        <w:t xml:space="preserve">the </w:t>
      </w:r>
      <w:r w:rsidRPr="005D01C0">
        <w:rPr>
          <w:i/>
          <w:iCs/>
        </w:rPr>
        <w:t>Forfeiture Order</w:t>
      </w:r>
      <w:r w:rsidR="00B16945">
        <w:t xml:space="preserve">.  </w:t>
      </w:r>
      <w:r w:rsidR="00793A96">
        <w:t xml:space="preserve">ODV </w:t>
      </w:r>
      <w:r w:rsidR="00FC508D">
        <w:t xml:space="preserve">first </w:t>
      </w:r>
      <w:r w:rsidR="00793A96">
        <w:t>repeat</w:t>
      </w:r>
      <w:r w:rsidR="00001746">
        <w:t>ed</w:t>
      </w:r>
      <w:r w:rsidR="00793A96">
        <w:t xml:space="preserve"> two arguments that it </w:t>
      </w:r>
      <w:r w:rsidR="00925E5F">
        <w:t xml:space="preserve">had </w:t>
      </w:r>
      <w:r w:rsidR="00793A96">
        <w:t>made in the Response:</w:t>
      </w:r>
      <w:r w:rsidR="00001746">
        <w:t xml:space="preserve"> </w:t>
      </w:r>
      <w:r w:rsidR="00793A96">
        <w:t xml:space="preserve"> that the Bureau should have provided some sort of notice before issuing the </w:t>
      </w:r>
      <w:r w:rsidR="00793A96">
        <w:rPr>
          <w:i/>
          <w:iCs/>
        </w:rPr>
        <w:t>Notice</w:t>
      </w:r>
      <w:r w:rsidR="00860FCE">
        <w:t>,</w:t>
      </w:r>
      <w:r>
        <w:rPr>
          <w:rStyle w:val="FootnoteReference"/>
        </w:rPr>
        <w:footnoteReference w:id="14"/>
      </w:r>
      <w:r w:rsidR="00793A96">
        <w:t xml:space="preserve"> and that </w:t>
      </w:r>
      <w:r w:rsidR="00DC765C">
        <w:t xml:space="preserve">operating the Station at a higher transmitter power output than was specified on its license was a permissible, good-faith effort to </w:t>
      </w:r>
      <w:r w:rsidR="004F34F9">
        <w:t>operate at its authorized effective radiated power.</w:t>
      </w:r>
      <w:r>
        <w:rPr>
          <w:rStyle w:val="FootnoteReference"/>
        </w:rPr>
        <w:footnoteReference w:id="15"/>
      </w:r>
      <w:r w:rsidR="004F34F9">
        <w:t xml:space="preserve">  ODV </w:t>
      </w:r>
      <w:r w:rsidR="00156A5F">
        <w:t>then</w:t>
      </w:r>
      <w:r w:rsidR="00495255">
        <w:t xml:space="preserve"> raise</w:t>
      </w:r>
      <w:r w:rsidR="00001746">
        <w:t>d</w:t>
      </w:r>
      <w:r w:rsidR="00495255">
        <w:t xml:space="preserve"> a new argument:</w:t>
      </w:r>
      <w:r w:rsidR="00001746">
        <w:t xml:space="preserve"> </w:t>
      </w:r>
      <w:r w:rsidR="00495255">
        <w:t xml:space="preserve"> </w:t>
      </w:r>
      <w:r w:rsidR="004F34F9">
        <w:t xml:space="preserve">that the Bureau erred by not granting a downward reduction </w:t>
      </w:r>
      <w:r w:rsidR="009A463D">
        <w:t>of the forfeiture based on ODV’s history of compliance.</w:t>
      </w:r>
      <w:r>
        <w:rPr>
          <w:rStyle w:val="FootnoteReference"/>
        </w:rPr>
        <w:footnoteReference w:id="16"/>
      </w:r>
      <w:r w:rsidR="009A463D">
        <w:t xml:space="preserve">  </w:t>
      </w:r>
      <w:r w:rsidR="00D2580D">
        <w:t>I</w:t>
      </w:r>
      <w:r w:rsidR="00B00338">
        <w:t xml:space="preserve">n the Petition, </w:t>
      </w:r>
      <w:r w:rsidR="000F57A2">
        <w:t xml:space="preserve">ODV </w:t>
      </w:r>
      <w:r w:rsidR="00B00338">
        <w:t xml:space="preserve">also </w:t>
      </w:r>
      <w:r w:rsidR="003B11B2">
        <w:t>admit</w:t>
      </w:r>
      <w:r w:rsidR="00001746">
        <w:t>ted</w:t>
      </w:r>
      <w:r w:rsidR="003B11B2">
        <w:t xml:space="preserve"> that</w:t>
      </w:r>
      <w:r w:rsidR="00812E80">
        <w:t>, following damage to the Station’s antenna, it intentionally increased the Station’s transmitter power in an effort to continue operating at the Station’s authorized effective radiated power.</w:t>
      </w:r>
      <w:r>
        <w:rPr>
          <w:rStyle w:val="FootnoteReference"/>
        </w:rPr>
        <w:footnoteReference w:id="17"/>
      </w:r>
      <w:r w:rsidR="00812E80">
        <w:t xml:space="preserve"> </w:t>
      </w:r>
      <w:r w:rsidR="004F6B84">
        <w:t xml:space="preserve"> </w:t>
      </w:r>
      <w:r w:rsidR="00891526">
        <w:t>ODV acknowledge</w:t>
      </w:r>
      <w:r w:rsidR="00001746">
        <w:t>d</w:t>
      </w:r>
      <w:r w:rsidR="00891526">
        <w:t xml:space="preserve"> </w:t>
      </w:r>
      <w:r w:rsidR="00240E1C">
        <w:t xml:space="preserve">that, in retrospect, </w:t>
      </w:r>
      <w:r w:rsidR="00201D02">
        <w:t>it should have followed established procedures</w:t>
      </w:r>
      <w:r w:rsidR="00394E0A">
        <w:t xml:space="preserve">—filing </w:t>
      </w:r>
      <w:r w:rsidR="00201D02">
        <w:t>an application for special temporary authority or an application to modify the Station’s license</w:t>
      </w:r>
      <w:r w:rsidR="00327067">
        <w:t xml:space="preserve">—to </w:t>
      </w:r>
      <w:r w:rsidR="000C46EB">
        <w:t>obtain Commission approval to increase the Station’s transmitter power outpu</w:t>
      </w:r>
      <w:r w:rsidR="00394983">
        <w:t>t</w:t>
      </w:r>
      <w:r w:rsidR="000C46EB">
        <w:t>.</w:t>
      </w:r>
      <w:r>
        <w:rPr>
          <w:rStyle w:val="FootnoteReference"/>
        </w:rPr>
        <w:footnoteReference w:id="18"/>
      </w:r>
      <w:r w:rsidR="000C46EB">
        <w:t xml:space="preserve">  </w:t>
      </w:r>
    </w:p>
    <w:p w:rsidR="00D57DD1" w:rsidP="00D2480B" w14:paraId="36FEC70A" w14:textId="6F65C43A">
      <w:pPr>
        <w:pStyle w:val="Heading1"/>
      </w:pPr>
      <w:r>
        <w:t>Discussion</w:t>
      </w:r>
      <w:r w:rsidR="00603376">
        <w:t xml:space="preserve"> </w:t>
      </w:r>
    </w:p>
    <w:p w:rsidR="00603376" w:rsidP="0065459C" w14:paraId="2E25E37A" w14:textId="5E63493B">
      <w:pPr>
        <w:pStyle w:val="ParaNum"/>
      </w:pPr>
      <w:r w:rsidRPr="00344C0B">
        <w:t xml:space="preserve">The Bureau </w:t>
      </w:r>
      <w:r>
        <w:t>issued</w:t>
      </w:r>
      <w:r w:rsidRPr="00344C0B">
        <w:t xml:space="preserve"> a forfeiture in this case in accordance with </w:t>
      </w:r>
      <w:r>
        <w:t>s</w:t>
      </w:r>
      <w:r w:rsidRPr="00344C0B">
        <w:t>ection 503(b) of the Act,</w:t>
      </w:r>
      <w:r>
        <w:rPr>
          <w:rStyle w:val="FootnoteReference"/>
        </w:rPr>
        <w:footnoteReference w:id="19"/>
      </w:r>
      <w:r w:rsidRPr="0007571D">
        <w:t xml:space="preserve"> </w:t>
      </w:r>
      <w:r>
        <w:t>s</w:t>
      </w:r>
      <w:r w:rsidRPr="0007571D">
        <w:t xml:space="preserve">ection 1.80 of the </w:t>
      </w:r>
      <w:r>
        <w:t>Commission’s r</w:t>
      </w:r>
      <w:r w:rsidRPr="0007571D">
        <w:t>ules,</w:t>
      </w:r>
      <w:r>
        <w:rPr>
          <w:vertAlign w:val="superscript"/>
        </w:rPr>
        <w:footnoteReference w:id="20"/>
      </w:r>
      <w:r w:rsidRPr="0007571D">
        <w:t xml:space="preserve"> and the Commissi</w:t>
      </w:r>
      <w:r w:rsidRPr="00344C0B">
        <w:t xml:space="preserve">on’s </w:t>
      </w:r>
      <w:r w:rsidRPr="00DB4819">
        <w:rPr>
          <w:i/>
        </w:rPr>
        <w:t xml:space="preserve">Forfeiture Policy </w:t>
      </w:r>
      <w:r w:rsidRPr="00DB4819">
        <w:rPr>
          <w:rFonts w:eastAsia="MS Mincho"/>
          <w:i/>
          <w:szCs w:val="22"/>
        </w:rPr>
        <w:t>Statement</w:t>
      </w:r>
      <w:r w:rsidRPr="00344C0B">
        <w:t>.</w:t>
      </w:r>
      <w:r>
        <w:rPr>
          <w:rStyle w:val="FootnoteReference"/>
          <w:szCs w:val="22"/>
        </w:rPr>
        <w:footnoteReference w:id="21"/>
      </w:r>
      <w:r w:rsidRPr="0007571D">
        <w:t xml:space="preserve">  </w:t>
      </w:r>
      <w:r w:rsidRPr="00344C0B">
        <w:t xml:space="preserve">When we assess forfeitures, </w:t>
      </w:r>
      <w:r>
        <w:t>s</w:t>
      </w:r>
      <w:r w:rsidRPr="00344C0B">
        <w:t>ection 503(b)(2)(E) requires that we take into account the “nature, circumstances, extent, and gravity of the violation and, with respect to the violator, the degree of culpability, any history of prior offenses, ability to pay, and such other matters as justice may require.”</w:t>
      </w:r>
      <w:r>
        <w:rPr>
          <w:vertAlign w:val="superscript"/>
        </w:rPr>
        <w:footnoteReference w:id="22"/>
      </w:r>
      <w:r w:rsidRPr="0007571D">
        <w:t xml:space="preserve">  </w:t>
      </w:r>
      <w:r w:rsidR="001F766B">
        <w:rPr>
          <w:szCs w:val="22"/>
        </w:rPr>
        <w:t>W</w:t>
      </w:r>
      <w:r w:rsidRPr="00DB4819">
        <w:rPr>
          <w:szCs w:val="22"/>
        </w:rPr>
        <w:t xml:space="preserve">e have fully considered </w:t>
      </w:r>
      <w:r w:rsidR="005C5983">
        <w:t>the</w:t>
      </w:r>
      <w:r w:rsidRPr="00DB4819">
        <w:rPr>
          <w:szCs w:val="22"/>
        </w:rPr>
        <w:t xml:space="preserve"> Petition, which includes a variety of legal and factual arguments, but we find none of them persuasive.  We therefore affirm the $</w:t>
      </w:r>
      <w:r w:rsidR="002B7F52">
        <w:rPr>
          <w:szCs w:val="22"/>
        </w:rPr>
        <w:t>12,000</w:t>
      </w:r>
      <w:r w:rsidRPr="00DB4819">
        <w:rPr>
          <w:szCs w:val="22"/>
        </w:rPr>
        <w:t xml:space="preserve"> forfeiture assessed in the </w:t>
      </w:r>
      <w:r w:rsidRPr="00DB4819">
        <w:rPr>
          <w:i/>
          <w:szCs w:val="22"/>
        </w:rPr>
        <w:t>Forfeiture Order</w:t>
      </w:r>
      <w:r w:rsidR="002B7F52">
        <w:rPr>
          <w:iCs/>
          <w:szCs w:val="22"/>
        </w:rPr>
        <w:t>.</w:t>
      </w:r>
    </w:p>
    <w:p w:rsidR="0065459C" w:rsidP="00F5792A" w14:paraId="50518673" w14:textId="2A6477EE">
      <w:pPr>
        <w:pStyle w:val="Heading2"/>
      </w:pPr>
      <w:r>
        <w:t>We Again</w:t>
      </w:r>
      <w:r w:rsidR="00A1457C">
        <w:t xml:space="preserve"> Reject ODV’s </w:t>
      </w:r>
      <w:r w:rsidR="00581581">
        <w:t xml:space="preserve">Lack of </w:t>
      </w:r>
      <w:r w:rsidR="00A1457C">
        <w:t xml:space="preserve">Notice and Good Faith Compliance </w:t>
      </w:r>
      <w:r w:rsidR="00356A54">
        <w:t>Arguments</w:t>
      </w:r>
    </w:p>
    <w:p w:rsidR="00A1457C" w:rsidP="0065459C" w14:paraId="6AC3E387" w14:textId="7840639F">
      <w:pPr>
        <w:pStyle w:val="ParaNum"/>
      </w:pPr>
      <w:r>
        <w:t>S</w:t>
      </w:r>
      <w:r w:rsidR="00341899">
        <w:t>ection 1.106(</w:t>
      </w:r>
      <w:r w:rsidR="00BB18F6">
        <w:t>p)(3</w:t>
      </w:r>
      <w:r w:rsidR="00341899">
        <w:t>) of the Commission’s rules</w:t>
      </w:r>
      <w:r>
        <w:rPr>
          <w:rStyle w:val="FootnoteReference"/>
        </w:rPr>
        <w:footnoteReference w:id="23"/>
      </w:r>
      <w:r w:rsidR="00341899">
        <w:t xml:space="preserve"> </w:t>
      </w:r>
      <w:r>
        <w:t xml:space="preserve">authorizes </w:t>
      </w:r>
      <w:r w:rsidR="00341899">
        <w:t xml:space="preserve">the Bureau </w:t>
      </w:r>
      <w:r>
        <w:t xml:space="preserve">to </w:t>
      </w:r>
      <w:r w:rsidR="004C62B8">
        <w:t xml:space="preserve">dismiss </w:t>
      </w:r>
      <w:r w:rsidR="009B2041">
        <w:t>argument</w:t>
      </w:r>
      <w:r w:rsidR="005C1280">
        <w:t xml:space="preserve">s that it has previously considered and rejected. </w:t>
      </w:r>
      <w:r w:rsidR="00BC3143">
        <w:t xml:space="preserve"> In the Petition</w:t>
      </w:r>
      <w:r w:rsidR="002E7463">
        <w:t>,</w:t>
      </w:r>
      <w:r w:rsidR="00BC3143">
        <w:t xml:space="preserve"> ODV asserted that the Bureau was obligated to provide notice before issuing the </w:t>
      </w:r>
      <w:r w:rsidR="00BC3143">
        <w:rPr>
          <w:i/>
          <w:iCs/>
        </w:rPr>
        <w:t>Notice</w:t>
      </w:r>
      <w:r w:rsidR="00BC3143">
        <w:t xml:space="preserve"> proposing a monetary forfeiture</w:t>
      </w:r>
      <w:r>
        <w:rPr>
          <w:rStyle w:val="FootnoteReference"/>
        </w:rPr>
        <w:footnoteReference w:id="24"/>
      </w:r>
      <w:r w:rsidR="00BC3143">
        <w:t xml:space="preserve"> and that </w:t>
      </w:r>
      <w:r w:rsidR="005C5983">
        <w:t>the</w:t>
      </w:r>
      <w:r w:rsidR="00CF41DB">
        <w:t xml:space="preserve"> unauthorized modification of the Station’s transmitter power output was a permissible means of self-help </w:t>
      </w:r>
      <w:r w:rsidR="00C35EC8">
        <w:t>to enable it to operate at its authorized effective radiated power.</w:t>
      </w:r>
      <w:r>
        <w:rPr>
          <w:rStyle w:val="FootnoteReference"/>
        </w:rPr>
        <w:footnoteReference w:id="25"/>
      </w:r>
      <w:r w:rsidR="00C35EC8">
        <w:t xml:space="preserve">  ODV raised both arguments in </w:t>
      </w:r>
      <w:r w:rsidR="0016233A">
        <w:t xml:space="preserve">its </w:t>
      </w:r>
      <w:r w:rsidR="00C35EC8">
        <w:t>Response</w:t>
      </w:r>
      <w:r w:rsidR="00BA787C">
        <w:t xml:space="preserve"> to the </w:t>
      </w:r>
      <w:r w:rsidR="00BA787C">
        <w:rPr>
          <w:i/>
          <w:iCs/>
        </w:rPr>
        <w:t>Notice</w:t>
      </w:r>
      <w:r w:rsidR="0016233A">
        <w:t xml:space="preserve">, and the Bureau considered and rejected both arguments in the </w:t>
      </w:r>
      <w:r w:rsidR="0016233A">
        <w:rPr>
          <w:i/>
          <w:iCs/>
        </w:rPr>
        <w:t>Forfeiture Order</w:t>
      </w:r>
      <w:r w:rsidR="0016233A">
        <w:t>.</w:t>
      </w:r>
      <w:r>
        <w:rPr>
          <w:rStyle w:val="FootnoteReference"/>
        </w:rPr>
        <w:footnoteReference w:id="26"/>
      </w:r>
      <w:r w:rsidR="0016233A">
        <w:t xml:space="preserve">  Accordingly, the Bureau dismisses </w:t>
      </w:r>
      <w:r w:rsidR="003576AB">
        <w:t xml:space="preserve">both arguments as repetitive under section 1.106(p)(3). </w:t>
      </w:r>
    </w:p>
    <w:p w:rsidR="00A24177" w:rsidP="00912B4D" w14:paraId="50942CD5" w14:textId="5C4D36B6">
      <w:pPr>
        <w:pStyle w:val="ParaNum"/>
        <w:widowControl/>
      </w:pPr>
      <w:r>
        <w:t>W</w:t>
      </w:r>
      <w:r w:rsidR="00D638F7">
        <w:t xml:space="preserve">e also reject both arguments on their merits.  </w:t>
      </w:r>
      <w:r w:rsidR="00365346">
        <w:t>ODV</w:t>
      </w:r>
      <w:r w:rsidR="00740944">
        <w:t xml:space="preserve"> is mistaken that it was </w:t>
      </w:r>
      <w:r w:rsidR="00365346">
        <w:t>somehow entitled to additional warning before the Bureau could issue</w:t>
      </w:r>
      <w:r w:rsidR="00460A58">
        <w:t xml:space="preserve"> the</w:t>
      </w:r>
      <w:r w:rsidR="00365346">
        <w:t xml:space="preserve"> </w:t>
      </w:r>
      <w:r w:rsidR="00740944">
        <w:rPr>
          <w:i/>
          <w:iCs/>
        </w:rPr>
        <w:t>Notice</w:t>
      </w:r>
      <w:r w:rsidR="00F32FB8">
        <w:t>.</w:t>
      </w:r>
      <w:r>
        <w:rPr>
          <w:rStyle w:val="FootnoteReference"/>
        </w:rPr>
        <w:footnoteReference w:id="27"/>
      </w:r>
      <w:r w:rsidR="00365346">
        <w:t xml:space="preserve"> </w:t>
      </w:r>
      <w:r w:rsidR="00F32FB8">
        <w:t xml:space="preserve"> </w:t>
      </w:r>
      <w:r w:rsidR="00007BBE">
        <w:t xml:space="preserve">As the Bureau noted in </w:t>
      </w:r>
      <w:r w:rsidR="00CE1981">
        <w:rPr>
          <w:i/>
          <w:iCs/>
        </w:rPr>
        <w:t>Missouri RSA No. 2 Partnership</w:t>
      </w:r>
      <w:r w:rsidR="00CE1981">
        <w:t>, “</w:t>
      </w:r>
      <w:r w:rsidR="004A57FD">
        <w:t>[n]</w:t>
      </w:r>
      <w:r w:rsidR="004A57FD">
        <w:t>othing</w:t>
      </w:r>
      <w:r w:rsidR="004A57FD">
        <w:t xml:space="preserve"> in the Communications Act or the Commission’s Rules entitles a licensee to an opportunity to correct a violation prior to the issuance of a [Notice of Apparent Liability for Forfeiture]</w:t>
      </w:r>
      <w:r w:rsidR="003D74D4">
        <w:t>.”</w:t>
      </w:r>
      <w:r>
        <w:rPr>
          <w:rStyle w:val="FootnoteReference"/>
        </w:rPr>
        <w:footnoteReference w:id="28"/>
      </w:r>
      <w:r w:rsidR="003D74D4">
        <w:t xml:space="preserve">  </w:t>
      </w:r>
      <w:r w:rsidR="00F2793C">
        <w:t>ODV also asserts that section 0.111(a)(19) of the Commission’s rules</w:t>
      </w:r>
      <w:r w:rsidR="00356A54">
        <w:t>, which states that one function (of many) of the Bureau is to “[e]</w:t>
      </w:r>
      <w:r w:rsidR="00356A54">
        <w:t>ncourage</w:t>
      </w:r>
      <w:r w:rsidR="00356A54">
        <w:t xml:space="preserve"> cooperative compliance efforts</w:t>
      </w:r>
      <w:r w:rsidR="00FF6555">
        <w:t>[</w:t>
      </w:r>
      <w:r w:rsidR="00356A54">
        <w:t>,</w:t>
      </w:r>
      <w:r w:rsidR="00FF6555">
        <w:t>]</w:t>
      </w:r>
      <w:r w:rsidR="00356A54">
        <w:t>”</w:t>
      </w:r>
      <w:r>
        <w:rPr>
          <w:rStyle w:val="FootnoteReference"/>
        </w:rPr>
        <w:footnoteReference w:id="29"/>
      </w:r>
      <w:r w:rsidR="00F2793C">
        <w:t xml:space="preserve"> </w:t>
      </w:r>
      <w:r w:rsidR="00F2793C">
        <w:t>somehow requires the Bureau to provide licensees with notice and an opportunity to cure observed violations before proposing a monetary forfeiture.</w:t>
      </w:r>
      <w:r>
        <w:rPr>
          <w:rStyle w:val="FootnoteReference"/>
        </w:rPr>
        <w:footnoteReference w:id="30"/>
      </w:r>
      <w:r w:rsidR="00F2793C">
        <w:t xml:space="preserve">  ODV cites no authority</w:t>
      </w:r>
      <w:r w:rsidR="00356A54">
        <w:t>—nor are we aware of any—</w:t>
      </w:r>
      <w:r w:rsidR="00F2793C">
        <w:t xml:space="preserve">supporting its novel interpretation of section 0.111(a)(19) of the Commission’s rules.  Accordingly, we reject </w:t>
      </w:r>
      <w:r w:rsidR="006D5646">
        <w:t xml:space="preserve">the notion that </w:t>
      </w:r>
      <w:r w:rsidR="00F2793C">
        <w:t xml:space="preserve">section 0.111(a)(19) of the Commission’s rules </w:t>
      </w:r>
      <w:r w:rsidR="006D5646">
        <w:t>permits</w:t>
      </w:r>
      <w:r w:rsidR="002F76FE">
        <w:t xml:space="preserve"> (</w:t>
      </w:r>
      <w:r w:rsidR="008B34BE">
        <w:t xml:space="preserve">to borrow from the </w:t>
      </w:r>
      <w:r w:rsidRPr="008B34BE" w:rsidR="008B34BE">
        <w:rPr>
          <w:i/>
          <w:iCs/>
        </w:rPr>
        <w:t>Missouri RSA Forfeiture Order</w:t>
      </w:r>
      <w:r w:rsidR="002F76FE">
        <w:t>) a licensee</w:t>
      </w:r>
      <w:r w:rsidR="00F2793C">
        <w:t xml:space="preserve"> to “sit back and await Commission findings of violation before taking appropriate steps to ensure compliance with Commission rules</w:t>
      </w:r>
      <w:r w:rsidR="001951B4">
        <w:t>.</w:t>
      </w:r>
      <w:r w:rsidR="00F2793C">
        <w:t>”</w:t>
      </w:r>
      <w:r>
        <w:rPr>
          <w:rStyle w:val="FootnoteReference"/>
        </w:rPr>
        <w:footnoteReference w:id="31"/>
      </w:r>
      <w:r w:rsidR="00872012">
        <w:t xml:space="preserve">  </w:t>
      </w:r>
    </w:p>
    <w:p w:rsidR="00F2793C" w:rsidP="0065459C" w14:paraId="53462B27" w14:textId="29B2A002">
      <w:pPr>
        <w:pStyle w:val="ParaNum"/>
      </w:pPr>
      <w:r>
        <w:t xml:space="preserve">We also reject </w:t>
      </w:r>
      <w:r w:rsidR="009737FE">
        <w:t xml:space="preserve">ODV’s reinterpretation of the Act to </w:t>
      </w:r>
      <w:r w:rsidR="00356A54">
        <w:t>create a</w:t>
      </w:r>
      <w:r w:rsidR="009737FE">
        <w:t xml:space="preserve"> </w:t>
      </w:r>
      <w:r w:rsidR="00411726">
        <w:t xml:space="preserve">“good faith” compliance efforts </w:t>
      </w:r>
      <w:r w:rsidR="00356A54">
        <w:t xml:space="preserve">exclusion </w:t>
      </w:r>
      <w:r w:rsidR="00F221ED">
        <w:t>from the statutory definition of “willful</w:t>
      </w:r>
      <w:r w:rsidR="00C43926">
        <w:t>.</w:t>
      </w:r>
      <w:r w:rsidR="00F221ED">
        <w:t xml:space="preserve">”  </w:t>
      </w:r>
      <w:r w:rsidR="00E83C70">
        <w:t>Section 312(f)(1) of the Act define</w:t>
      </w:r>
      <w:r w:rsidR="0008028D">
        <w:t>s “willful” as the “conscious and deliberate commission or omission o</w:t>
      </w:r>
      <w:r w:rsidR="002C56C0">
        <w:t>f</w:t>
      </w:r>
      <w:r w:rsidR="0008028D">
        <w:t xml:space="preserve"> [any] act, irrespective of any intent to violate” the law.</w:t>
      </w:r>
      <w:r>
        <w:rPr>
          <w:rStyle w:val="FootnoteReference"/>
        </w:rPr>
        <w:footnoteReference w:id="32"/>
      </w:r>
      <w:r w:rsidR="0008028D">
        <w:t xml:space="preserve"> </w:t>
      </w:r>
      <w:r w:rsidR="00A759A2">
        <w:t xml:space="preserve"> </w:t>
      </w:r>
      <w:r w:rsidR="00D63AAC">
        <w:t xml:space="preserve">Thus, </w:t>
      </w:r>
      <w:r w:rsidR="00C43926">
        <w:t xml:space="preserve">under a plain reading of the Act, </w:t>
      </w:r>
      <w:r w:rsidR="00D63AAC">
        <w:t xml:space="preserve">we need not reach the issue whether ODV was acting in good faith because </w:t>
      </w:r>
      <w:r w:rsidR="004F26FB">
        <w:t>in the Petition</w:t>
      </w:r>
      <w:r w:rsidR="002C56C0">
        <w:t>,</w:t>
      </w:r>
      <w:r w:rsidR="00860FCE">
        <w:t xml:space="preserve"> </w:t>
      </w:r>
      <w:r w:rsidR="004F26FB">
        <w:t xml:space="preserve">ODV admits </w:t>
      </w:r>
      <w:r w:rsidR="00D27F74">
        <w:t xml:space="preserve">to the conscious and deliberate acts of </w:t>
      </w:r>
      <w:r w:rsidR="00A4775F">
        <w:t>“</w:t>
      </w:r>
      <w:r w:rsidRPr="00A4775F" w:rsidR="00A4775F">
        <w:t>estimat</w:t>
      </w:r>
      <w:r w:rsidR="00D27F74">
        <w:t>ing</w:t>
      </w:r>
      <w:r w:rsidRPr="00A4775F" w:rsidR="00A4775F">
        <w:t xml:space="preserve"> that an output power of 7.5 watts was necessary to operate with an effective radiated power of 10 watts</w:t>
      </w:r>
      <w:r w:rsidR="00A4775F">
        <w:t xml:space="preserve">” and </w:t>
      </w:r>
      <w:r w:rsidR="00D27F74">
        <w:t xml:space="preserve">increasing the transmitter power output </w:t>
      </w:r>
      <w:r w:rsidR="00FF1D84">
        <w:t>consistent with that belief.</w:t>
      </w:r>
      <w:r>
        <w:rPr>
          <w:rStyle w:val="FootnoteReference"/>
        </w:rPr>
        <w:footnoteReference w:id="33"/>
      </w:r>
      <w:r w:rsidR="00F221ED">
        <w:t xml:space="preserve"> </w:t>
      </w:r>
      <w:r w:rsidR="007E3BDB">
        <w:t xml:space="preserve"> </w:t>
      </w:r>
      <w:r w:rsidR="00DA678E">
        <w:t xml:space="preserve">Further, this was not </w:t>
      </w:r>
      <w:r w:rsidR="00001FC9">
        <w:t xml:space="preserve">a </w:t>
      </w:r>
      <w:r w:rsidR="00DA678E">
        <w:t xml:space="preserve">situation in which, following damage to the Station’s antenna, ODV had no other means of complying with the Commission’s rules.  Indeed, the Petition </w:t>
      </w:r>
      <w:r w:rsidR="00023B39">
        <w:t>identifies</w:t>
      </w:r>
      <w:r w:rsidR="00DA678E">
        <w:t xml:space="preserve"> the correct response when a</w:t>
      </w:r>
      <w:r w:rsidR="00B75D04">
        <w:t xml:space="preserve">n FM translator </w:t>
      </w:r>
      <w:r w:rsidR="00DA678E">
        <w:t xml:space="preserve">licensee needs to increase its transmitter power output to achieve its authorized effective radiated power: </w:t>
      </w:r>
      <w:r w:rsidR="002C56C0">
        <w:t xml:space="preserve"> </w:t>
      </w:r>
      <w:r w:rsidR="00DA678E">
        <w:t>seek a modification of the station’s license or special temporary authority.</w:t>
      </w:r>
      <w:r>
        <w:rPr>
          <w:rStyle w:val="FootnoteReference"/>
        </w:rPr>
        <w:footnoteReference w:id="34"/>
      </w:r>
      <w:r w:rsidR="00DA678E">
        <w:t xml:space="preserve">  </w:t>
      </w:r>
      <w:r w:rsidR="000B7D28">
        <w:t xml:space="preserve">Finally, we </w:t>
      </w:r>
      <w:r w:rsidR="00356A54">
        <w:t xml:space="preserve">observe </w:t>
      </w:r>
      <w:r w:rsidR="000B7D28">
        <w:t xml:space="preserve">that where the Commission has examined a licensee’s good faith compliance efforts, it has done so in the context of </w:t>
      </w:r>
      <w:r w:rsidR="00B50247">
        <w:t>a downward adjustment of a forfeiture and not to assess a licensee’s liability in the first instance.</w:t>
      </w:r>
      <w:r>
        <w:rPr>
          <w:rStyle w:val="FootnoteReference"/>
        </w:rPr>
        <w:footnoteReference w:id="35"/>
      </w:r>
      <w:r w:rsidR="00B50247">
        <w:t xml:space="preserve">  </w:t>
      </w:r>
      <w:r w:rsidR="002F3B92">
        <w:t xml:space="preserve">Accordingly, we </w:t>
      </w:r>
      <w:r w:rsidR="00A14B2C">
        <w:t xml:space="preserve">find that ODV willfully violated the Act and the Commission’s rules, as set forth in the </w:t>
      </w:r>
      <w:r w:rsidR="00A14B2C">
        <w:rPr>
          <w:i/>
          <w:iCs/>
        </w:rPr>
        <w:t>Forfeiture Order</w:t>
      </w:r>
      <w:r w:rsidR="00A14B2C">
        <w:t xml:space="preserve">, and we reject ODV’s arguments to the contrary. </w:t>
      </w:r>
    </w:p>
    <w:p w:rsidR="00A1457C" w:rsidP="00F5792A" w14:paraId="16A9424B" w14:textId="46CA9749">
      <w:pPr>
        <w:pStyle w:val="Heading2"/>
      </w:pPr>
      <w:r>
        <w:t xml:space="preserve">ODV is Not Entitled to a Downward Reduction </w:t>
      </w:r>
      <w:r w:rsidR="00D15FC9">
        <w:t>Based on its History of Compliance</w:t>
      </w:r>
    </w:p>
    <w:p w:rsidR="00D15FC9" w:rsidP="00BC0D16" w14:paraId="651AAFFF" w14:textId="3D64F6AC">
      <w:pPr>
        <w:pStyle w:val="ParaNum"/>
        <w:widowControl/>
      </w:pPr>
      <w:r>
        <w:t>ODV’s argument that it is entitled to a downward adjustment based on its history of compliance is procedurally barred</w:t>
      </w:r>
      <w:r w:rsidR="005F3177">
        <w:t xml:space="preserve"> under section 1.106(c) of the Commission’s rules</w:t>
      </w:r>
      <w:r w:rsidR="00CD6FEE">
        <w:t>.</w:t>
      </w:r>
      <w:r>
        <w:rPr>
          <w:rStyle w:val="FootnoteReference"/>
        </w:rPr>
        <w:footnoteReference w:id="36"/>
      </w:r>
      <w:r w:rsidR="00CD6FEE">
        <w:t xml:space="preserve">  </w:t>
      </w:r>
      <w:r w:rsidR="001B1FAE">
        <w:t xml:space="preserve">To start, </w:t>
      </w:r>
      <w:r w:rsidR="00145843">
        <w:t xml:space="preserve">in its Response to the </w:t>
      </w:r>
      <w:r w:rsidR="00145843">
        <w:rPr>
          <w:i/>
          <w:iCs/>
        </w:rPr>
        <w:t>Notice</w:t>
      </w:r>
      <w:r w:rsidR="00145843">
        <w:t xml:space="preserve">, ODV did not seek a downward reduction based on its purported history of </w:t>
      </w:r>
      <w:r w:rsidR="00145843">
        <w:t>compliance.</w:t>
      </w:r>
      <w:r>
        <w:rPr>
          <w:rStyle w:val="FootnoteReference"/>
        </w:rPr>
        <w:footnoteReference w:id="37"/>
      </w:r>
      <w:r w:rsidR="00145843">
        <w:t xml:space="preserve">  </w:t>
      </w:r>
      <w:r w:rsidR="000E1A09">
        <w:t xml:space="preserve">As such, </w:t>
      </w:r>
      <w:r w:rsidR="00BF7F8B">
        <w:t xml:space="preserve">ODV’s assertion that the Bureau erred in not granting such a reduction is precisely the sort of argument that </w:t>
      </w:r>
      <w:r w:rsidR="008A2BBF">
        <w:t>must</w:t>
      </w:r>
      <w:r w:rsidR="001C06B6">
        <w:t xml:space="preserve"> be procedurally dismissed</w:t>
      </w:r>
      <w:r w:rsidR="00C64052">
        <w:t xml:space="preserve"> because </w:t>
      </w:r>
      <w:r w:rsidR="002A42F3">
        <w:t xml:space="preserve">ODV </w:t>
      </w:r>
      <w:r w:rsidR="008A2BBF">
        <w:t xml:space="preserve">had the opportunity to request a downward reduction of the forfeiture in its Response to the </w:t>
      </w:r>
      <w:r w:rsidRPr="002A42F3" w:rsidR="002A42F3">
        <w:rPr>
          <w:i/>
          <w:iCs/>
        </w:rPr>
        <w:t>Notice</w:t>
      </w:r>
      <w:r w:rsidR="008A2BBF">
        <w:t>, yet did not</w:t>
      </w:r>
      <w:r w:rsidR="00C64052">
        <w:t>.</w:t>
      </w:r>
      <w:r>
        <w:rPr>
          <w:rStyle w:val="FootnoteReference"/>
        </w:rPr>
        <w:footnoteReference w:id="38"/>
      </w:r>
      <w:r w:rsidR="00C64052">
        <w:t xml:space="preserve">  </w:t>
      </w:r>
      <w:r w:rsidR="008A2BBF">
        <w:t xml:space="preserve">Likewise, ODV </w:t>
      </w:r>
      <w:r w:rsidR="008B0EC6">
        <w:t>fails to assert or</w:t>
      </w:r>
      <w:r w:rsidR="002974FF">
        <w:t xml:space="preserve"> otherwise</w:t>
      </w:r>
      <w:r w:rsidR="008B0EC6">
        <w:t xml:space="preserve"> demonstrate that the public interest would be served by considering </w:t>
      </w:r>
      <w:r w:rsidR="009441F1">
        <w:t>ODV’s argument at this stage of the proceeding.</w:t>
      </w:r>
      <w:r>
        <w:rPr>
          <w:rStyle w:val="FootnoteReference"/>
        </w:rPr>
        <w:footnoteReference w:id="39"/>
      </w:r>
      <w:r w:rsidR="009441F1">
        <w:t xml:space="preserve">  </w:t>
      </w:r>
      <w:r w:rsidR="004F73A4">
        <w:t>Accordingly, by operation of section 1.106(c) of the Commission’s rules,</w:t>
      </w:r>
      <w:r>
        <w:rPr>
          <w:rStyle w:val="FootnoteReference"/>
        </w:rPr>
        <w:footnoteReference w:id="40"/>
      </w:r>
      <w:r w:rsidR="004F73A4">
        <w:t xml:space="preserve"> we must dismiss </w:t>
      </w:r>
      <w:r w:rsidR="00C5675B">
        <w:t xml:space="preserve">the portion of the Petition seeking a downward reduction based on ODV’s purported history of compliance.  </w:t>
      </w:r>
    </w:p>
    <w:p w:rsidR="00341FBF" w:rsidP="0065459C" w14:paraId="31954A4F" w14:textId="6557F1E2">
      <w:pPr>
        <w:pStyle w:val="ParaNum"/>
      </w:pPr>
      <w:r>
        <w:t>W</w:t>
      </w:r>
      <w:r>
        <w:t xml:space="preserve">e </w:t>
      </w:r>
      <w:r>
        <w:t xml:space="preserve">also </w:t>
      </w:r>
      <w:r>
        <w:t>reject this argument on the merits.  ODV states that th</w:t>
      </w:r>
      <w:r w:rsidR="00270460">
        <w:t xml:space="preserve">e </w:t>
      </w:r>
      <w:r w:rsidR="00270460">
        <w:rPr>
          <w:i/>
          <w:iCs/>
        </w:rPr>
        <w:t xml:space="preserve">Forfeiture Order </w:t>
      </w:r>
      <w:r w:rsidR="00270460">
        <w:t xml:space="preserve">imposes the </w:t>
      </w:r>
      <w:r>
        <w:t>first forfeiture in its otherwise “unblemished” tenure as a Commission licensee.</w:t>
      </w:r>
      <w:r>
        <w:rPr>
          <w:rStyle w:val="FootnoteReference"/>
        </w:rPr>
        <w:footnoteReference w:id="41"/>
      </w:r>
      <w:r>
        <w:t xml:space="preserve">  While this action may be ODV’s first </w:t>
      </w:r>
      <w:r w:rsidRPr="002C553B">
        <w:rPr>
          <w:i/>
          <w:iCs/>
        </w:rPr>
        <w:t>monetary</w:t>
      </w:r>
      <w:r>
        <w:t xml:space="preserve"> sanction, we note that, under applicable precedent, we also consider non-monetary sanctions when considering a licensee’s history of compliance.</w:t>
      </w:r>
      <w:r>
        <w:rPr>
          <w:rStyle w:val="FootnoteReference"/>
        </w:rPr>
        <w:footnoteReference w:id="42"/>
      </w:r>
      <w:r>
        <w:t xml:space="preserve">  Viewed in the context of </w:t>
      </w:r>
      <w:r w:rsidR="001C1ACC">
        <w:t xml:space="preserve">applicable precedents, </w:t>
      </w:r>
      <w:r>
        <w:t>we disagree that ODV has an “unblemished” history of compliance.</w:t>
      </w:r>
      <w:r>
        <w:rPr>
          <w:rStyle w:val="FootnoteReference"/>
        </w:rPr>
        <w:footnoteReference w:id="43"/>
      </w:r>
      <w:r>
        <w:t xml:space="preserve">  </w:t>
      </w:r>
    </w:p>
    <w:p w:rsidR="00603376" w:rsidP="00D2480B" w14:paraId="37DA4B24" w14:textId="15F9D478">
      <w:pPr>
        <w:pStyle w:val="Heading1"/>
      </w:pPr>
      <w:r>
        <w:t xml:space="preserve">Conclusion </w:t>
      </w:r>
    </w:p>
    <w:p w:rsidR="0065459C" w:rsidP="00C93322" w14:paraId="6BE6BB03" w14:textId="350968A6">
      <w:pPr>
        <w:pStyle w:val="ParaNum"/>
      </w:pPr>
      <w:r w:rsidRPr="0065459C">
        <w:t xml:space="preserve">Based on the record before us and in light of the applicable statutory factors, we affirm our conclusion that </w:t>
      </w:r>
      <w:r w:rsidR="002B7F52">
        <w:t xml:space="preserve">ODV </w:t>
      </w:r>
      <w:r w:rsidRPr="0065459C">
        <w:t xml:space="preserve">willfully and repeatedly violated </w:t>
      </w:r>
      <w:r w:rsidR="002B7F52">
        <w:t>section 301 of the Act and sections 1.</w:t>
      </w:r>
      <w:r w:rsidR="00961DFB">
        <w:t xml:space="preserve">903(a) and 74.1235(e) of the Commission’s rules </w:t>
      </w:r>
      <w:r w:rsidRPr="0065459C">
        <w:t xml:space="preserve">by </w:t>
      </w:r>
      <w:r w:rsidR="00961DFB">
        <w:t xml:space="preserve">operating the Station at power levels </w:t>
      </w:r>
      <w:r w:rsidR="00AC186B">
        <w:t xml:space="preserve">exceeding the levels authorized under the Station’s license.  </w:t>
      </w:r>
      <w:r w:rsidRPr="0065459C">
        <w:t>We further affirm our decision not to cancel or reduce the $</w:t>
      </w:r>
      <w:r w:rsidR="00AC186B">
        <w:t>12,000</w:t>
      </w:r>
      <w:r w:rsidRPr="0065459C">
        <w:t xml:space="preserve"> forfeiture. </w:t>
      </w:r>
    </w:p>
    <w:p w:rsidR="00603376" w:rsidP="00D2480B" w14:paraId="64F469C5" w14:textId="0FF21875">
      <w:pPr>
        <w:pStyle w:val="Heading1"/>
      </w:pPr>
      <w:r>
        <w:t>Ordering Clauses</w:t>
      </w:r>
    </w:p>
    <w:p w:rsidR="0065459C" w:rsidP="00EC3EAF" w14:paraId="435042FB" w14:textId="6BF729BC">
      <w:pPr>
        <w:pStyle w:val="ParaNum"/>
        <w:widowControl/>
      </w:pPr>
      <w:r w:rsidRPr="00193A4F">
        <w:t xml:space="preserve">Accordingly, </w:t>
      </w:r>
      <w:r w:rsidRPr="00193A4F">
        <w:rPr>
          <w:b/>
        </w:rPr>
        <w:t xml:space="preserve">IT IS ORDERED </w:t>
      </w:r>
      <w:r w:rsidRPr="00193A4F">
        <w:t>that, pursuan</w:t>
      </w:r>
      <w:r>
        <w:t>t to section 405 of the Act</w:t>
      </w:r>
      <w:r w:rsidRPr="00193A4F">
        <w:t xml:space="preserve"> and </w:t>
      </w:r>
      <w:r>
        <w:t>s</w:t>
      </w:r>
      <w:r w:rsidRPr="00193A4F">
        <w:t xml:space="preserve">ection 1.106 of the </w:t>
      </w:r>
      <w:r>
        <w:t>Commission’s r</w:t>
      </w:r>
      <w:r w:rsidRPr="00193A4F">
        <w:t xml:space="preserve">ules, the Petition for Reconsideration filed by </w:t>
      </w:r>
      <w:r w:rsidR="00AC186B">
        <w:t>Ondas</w:t>
      </w:r>
      <w:r w:rsidR="00AC186B">
        <w:t xml:space="preserve"> de Vida, Inc. </w:t>
      </w:r>
      <w:r w:rsidRPr="00193A4F">
        <w:rPr>
          <w:spacing w:val="-2"/>
        </w:rPr>
        <w:t xml:space="preserve">is hereby </w:t>
      </w:r>
      <w:bookmarkStart w:id="3" w:name="_GoBack"/>
      <w:bookmarkEnd w:id="3"/>
      <w:r w:rsidRPr="005D2230" w:rsidR="008D0719">
        <w:rPr>
          <w:b/>
          <w:bCs/>
          <w:spacing w:val="-2"/>
        </w:rPr>
        <w:t>DISMISSED</w:t>
      </w:r>
      <w:r w:rsidRPr="005D2230" w:rsidR="008D0719">
        <w:rPr>
          <w:spacing w:val="-2"/>
        </w:rPr>
        <w:t>, or in the alternative,</w:t>
      </w:r>
      <w:r w:rsidR="008D0719">
        <w:rPr>
          <w:spacing w:val="-2"/>
        </w:rPr>
        <w:t xml:space="preserve"> </w:t>
      </w:r>
      <w:r w:rsidRPr="00C71376" w:rsidR="00C71376">
        <w:rPr>
          <w:b/>
          <w:bCs/>
          <w:spacing w:val="-2"/>
        </w:rPr>
        <w:t>DENIED</w:t>
      </w:r>
      <w:r w:rsidRPr="00193A4F">
        <w:t>.</w:t>
      </w:r>
      <w:r>
        <w:rPr>
          <w:rStyle w:val="FootnoteReference"/>
        </w:rPr>
        <w:footnoteReference w:id="44"/>
      </w:r>
    </w:p>
    <w:p w:rsidR="0065459C" w:rsidP="00912B4D" w14:paraId="08A08E68" w14:textId="1DACD31B">
      <w:pPr>
        <w:pStyle w:val="ParaNum"/>
        <w:widowControl/>
      </w:pPr>
      <w:r w:rsidRPr="0065459C">
        <w:rPr>
          <w:b/>
        </w:rPr>
        <w:t>IT IS FURTHER ORDERED</w:t>
      </w:r>
      <w:r w:rsidRPr="00193A4F">
        <w:t xml:space="preserve"> that, pursuant to </w:t>
      </w:r>
      <w:r>
        <w:t>s</w:t>
      </w:r>
      <w:r w:rsidRPr="00193A4F">
        <w:t xml:space="preserve">ection 503(b) of the Act and </w:t>
      </w:r>
      <w:r>
        <w:t>s</w:t>
      </w:r>
      <w:r w:rsidRPr="00193A4F">
        <w:t xml:space="preserve">ections 1.80 of the </w:t>
      </w:r>
      <w:r>
        <w:t>Commission’s r</w:t>
      </w:r>
      <w:r w:rsidRPr="00193A4F">
        <w:t>ules,</w:t>
      </w:r>
      <w:r>
        <w:rPr>
          <w:rStyle w:val="FootnoteReference"/>
        </w:rPr>
        <w:footnoteReference w:id="45"/>
      </w:r>
      <w:r w:rsidRPr="00193A4F">
        <w:t xml:space="preserve"> </w:t>
      </w:r>
      <w:r w:rsidR="00AC186B">
        <w:t>Ondas</w:t>
      </w:r>
      <w:r w:rsidR="00AC186B">
        <w:t xml:space="preserve"> de Vida, Inc. </w:t>
      </w:r>
      <w:r w:rsidRPr="0065459C">
        <w:rPr>
          <w:b/>
        </w:rPr>
        <w:t>IS LIABLE FOR A MONETARY FORFEITURE</w:t>
      </w:r>
      <w:r w:rsidRPr="00193A4F">
        <w:t xml:space="preserve"> of </w:t>
      </w:r>
      <w:r w:rsidR="00C835AB">
        <w:t xml:space="preserve">Twelve Thousand Dollars ($12,000) </w:t>
      </w:r>
      <w:r w:rsidRPr="00193A4F">
        <w:t xml:space="preserve">for willfully </w:t>
      </w:r>
      <w:r w:rsidRPr="002A6579">
        <w:t>and repeatedly</w:t>
      </w:r>
      <w:r w:rsidRPr="00193A4F">
        <w:t xml:space="preserve"> violating </w:t>
      </w:r>
      <w:r w:rsidR="00C835AB">
        <w:t>section 301 of the Act and sections 1.903(a) and 74.1235(e) of the Commission’s rules</w:t>
      </w:r>
      <w:r w:rsidRPr="00193A4F">
        <w:t>.</w:t>
      </w:r>
      <w:r>
        <w:rPr>
          <w:rStyle w:val="FootnoteReference"/>
        </w:rPr>
        <w:footnoteReference w:id="46"/>
      </w:r>
    </w:p>
    <w:p w:rsidR="0065459C" w:rsidP="0065459C" w14:paraId="220E71B3" w14:textId="3332EF5D">
      <w:pPr>
        <w:pStyle w:val="ParaNum"/>
      </w:pPr>
      <w:r w:rsidRPr="0065459C">
        <w:rPr>
          <w:rFonts w:eastAsia="MS Mincho"/>
          <w:szCs w:val="22"/>
        </w:rPr>
        <w:t>Payment of the forfeiture shall be made in the manner provided for in section 1.80 of the Commission’s rules within thirty (30) calendar days after the release date of this Memorandum Opinion and Order.</w:t>
      </w:r>
      <w:r>
        <w:rPr>
          <w:rStyle w:val="FootnoteReference"/>
          <w:rFonts w:eastAsia="MS Mincho"/>
          <w:szCs w:val="22"/>
        </w:rPr>
        <w:footnoteReference w:id="47"/>
      </w:r>
      <w:r w:rsidRPr="0065459C">
        <w:rPr>
          <w:rFonts w:eastAsia="MS Mincho"/>
          <w:szCs w:val="22"/>
        </w:rPr>
        <w:t xml:space="preserve"> </w:t>
      </w:r>
      <w:r w:rsidR="004D5D35">
        <w:rPr>
          <w:rFonts w:eastAsia="MS Mincho"/>
          <w:szCs w:val="22"/>
        </w:rPr>
        <w:t xml:space="preserve"> </w:t>
      </w:r>
      <w:r w:rsidRPr="0065459C">
        <w:rPr>
          <w:rFonts w:eastAsia="MS Mincho"/>
          <w:szCs w:val="22"/>
        </w:rPr>
        <w:t>If the forfeiture is not paid within the period specified, the case may be referred to the U.S. Department of Justice for enforcement of the forfeiture pursuant to section 504(a) of the Act.</w:t>
      </w:r>
      <w:r>
        <w:rPr>
          <w:rStyle w:val="FootnoteReference"/>
          <w:rFonts w:eastAsia="MS Mincho"/>
          <w:szCs w:val="22"/>
        </w:rPr>
        <w:footnoteReference w:id="48"/>
      </w:r>
      <w:r w:rsidRPr="0065459C">
        <w:rPr>
          <w:rFonts w:eastAsia="MS Mincho"/>
          <w:szCs w:val="22"/>
        </w:rPr>
        <w:t xml:space="preserve">  </w:t>
      </w:r>
    </w:p>
    <w:p w:rsidR="00D2480B" w:rsidRPr="004D2C74" w:rsidP="0065459C" w14:paraId="47DD56A8" w14:textId="17F16077">
      <w:pPr>
        <w:pStyle w:val="ParaNum"/>
      </w:pPr>
      <w:r w:rsidRPr="00AD0726">
        <w:t xml:space="preserve">Payment of the </w:t>
      </w:r>
      <w:r w:rsidRPr="0065459C">
        <w:rPr>
          <w:rFonts w:eastAsia="MS Mincho"/>
        </w:rPr>
        <w:t>forfeiture</w:t>
      </w:r>
      <w:r w:rsidRPr="00AD0726">
        <w:t xml:space="preserve"> </w:t>
      </w:r>
      <w:r w:rsidRPr="004D2C74">
        <w:t>must be made by credit card, ACH (Automated Clearing House) debit from a bank account using the Commission’s Fee Filer (the Commission’s online payment system),</w:t>
      </w:r>
      <w:r>
        <w:rPr>
          <w:sz w:val="20"/>
          <w:vertAlign w:val="superscript"/>
        </w:rPr>
        <w:footnoteReference w:id="49"/>
      </w:r>
      <w:r w:rsidRPr="004D2C74">
        <w:t xml:space="preserve"> or by wire transfer.  The Commission no longer accepts </w:t>
      </w:r>
      <w:r>
        <w:t>forfeiture</w:t>
      </w:r>
      <w:r w:rsidRPr="004D2C74">
        <w:t xml:space="preserve"> payments by check or money order.  Below are instructions that payors should follow based on the form of payment selected:</w:t>
      </w:r>
      <w:r>
        <w:rPr>
          <w:vertAlign w:val="superscript"/>
        </w:rPr>
        <w:footnoteReference w:id="50"/>
      </w:r>
      <w:r w:rsidRPr="004D2C74">
        <w:t xml:space="preserve"> </w:t>
      </w:r>
    </w:p>
    <w:p w:rsidR="00D2480B" w:rsidRPr="004D2C74" w:rsidP="002F599C" w14:paraId="11523C7B" w14:textId="13725A02">
      <w:pPr>
        <w:widowControl/>
        <w:numPr>
          <w:ilvl w:val="0"/>
          <w:numId w:val="7"/>
        </w:numPr>
        <w:spacing w:after="120"/>
        <w:rPr>
          <w:szCs w:val="22"/>
        </w:rPr>
      </w:pPr>
      <w:r w:rsidRPr="004D2C74">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EE431E" w:rsidR="001C3DD3">
          <w:rPr>
            <w:rStyle w:val="Hyperlink"/>
            <w:szCs w:val="22"/>
          </w:rPr>
          <w:t>RROGWireFaxes@fcc.gov</w:t>
        </w:r>
      </w:hyperlink>
      <w:r w:rsidR="001C3DD3">
        <w:rPr>
          <w:szCs w:val="22"/>
        </w:rPr>
        <w:t xml:space="preserve"> </w:t>
      </w:r>
      <w:r w:rsidRPr="004D2C74">
        <w:rPr>
          <w:szCs w:val="22"/>
        </w:rPr>
        <w:t xml:space="preserve">on the same business day the wire transfer is initiated.  </w:t>
      </w:r>
      <w:r w:rsidRPr="004D2C74">
        <w:rPr>
          <w:rFonts w:eastAsia="Calibri"/>
          <w:snapToGrid/>
          <w:kern w:val="0"/>
          <w:szCs w:val="22"/>
        </w:rPr>
        <w:t xml:space="preserve">Failure to provide all required information in Form 159 may result in payment not being recognized as having been received. </w:t>
      </w:r>
      <w:r w:rsidRPr="004D2C74">
        <w:rPr>
          <w:szCs w:val="22"/>
        </w:rPr>
        <w:t xml:space="preserve"> </w:t>
      </w:r>
      <w:r w:rsidRPr="004D2C74">
        <w:rPr>
          <w:rFonts w:eastAsia="Calibri"/>
          <w:snapToGrid/>
          <w:kern w:val="0"/>
          <w:szCs w:val="22"/>
        </w:rPr>
        <w:t>When completing FCC Form 159, enter the Account Number in block number 23A (call sign/other ID), enter the letters “FORF” in block number 24A (payment type code), and enter in block number 11 the FRN(s) captioned above (Payor FRN).</w:t>
      </w:r>
      <w:r>
        <w:rPr>
          <w:rFonts w:eastAsia="Calibri"/>
          <w:snapToGrid/>
          <w:kern w:val="0"/>
          <w:sz w:val="20"/>
          <w:szCs w:val="22"/>
          <w:vertAlign w:val="superscript"/>
        </w:rPr>
        <w:footnoteReference w:id="51"/>
      </w:r>
      <w:r w:rsidRPr="004D2C74">
        <w:rPr>
          <w:rFonts w:eastAsia="Calibri"/>
          <w:snapToGrid/>
          <w:kern w:val="0"/>
          <w:szCs w:val="22"/>
        </w:rPr>
        <w:t xml:space="preserve">  </w:t>
      </w:r>
      <w:r w:rsidRPr="004D2C74">
        <w:rPr>
          <w:szCs w:val="22"/>
        </w:rPr>
        <w:t xml:space="preserve">For additional detail and wire transfer instructions, go to </w:t>
      </w:r>
      <w:hyperlink r:id="rId6" w:history="1">
        <w:r w:rsidRPr="004D2C74">
          <w:rPr>
            <w:rFonts w:eastAsia="Calibri"/>
            <w:snapToGrid/>
            <w:color w:val="0000FF"/>
            <w:kern w:val="0"/>
            <w:szCs w:val="22"/>
            <w:u w:val="single"/>
          </w:rPr>
          <w:t>https://www.fcc.gov/licensing-databases/fees/wire-transfer</w:t>
        </w:r>
      </w:hyperlink>
      <w:r w:rsidRPr="004D2C74">
        <w:rPr>
          <w:szCs w:val="22"/>
        </w:rPr>
        <w:t xml:space="preserve">.  </w:t>
      </w:r>
    </w:p>
    <w:p w:rsidR="00D2480B" w:rsidRPr="004D2C74" w:rsidP="002F599C" w14:paraId="1AE6FF2C" w14:textId="1EA62A68">
      <w:pPr>
        <w:widowControl/>
        <w:numPr>
          <w:ilvl w:val="0"/>
          <w:numId w:val="7"/>
        </w:numPr>
        <w:spacing w:after="120"/>
        <w:rPr>
          <w:szCs w:val="22"/>
        </w:rPr>
      </w:pPr>
      <w:r w:rsidRPr="004D2C74">
        <w:rPr>
          <w:szCs w:val="22"/>
        </w:rPr>
        <w:t xml:space="preserve">Payment by credit card must be made by using the Commission’s Fee Filer website at </w:t>
      </w:r>
      <w:hyperlink r:id="rId7" w:history="1">
        <w:r w:rsidRPr="004D2C74">
          <w:rPr>
            <w:rFonts w:eastAsia="Calibri"/>
            <w:snapToGrid/>
            <w:color w:val="0000FF"/>
            <w:kern w:val="0"/>
            <w:szCs w:val="22"/>
            <w:u w:val="single"/>
          </w:rPr>
          <w:t>https://apps.fcc.gov/FeeFiler/login.cfm</w:t>
        </w:r>
      </w:hyperlink>
      <w:r w:rsidRPr="004D2C74">
        <w:rPr>
          <w:szCs w:val="22"/>
        </w:rPr>
        <w:t>.  To pay by credit card, log-in using the FRN captioned above.  If payment must be split across FRNs, complete this process for each FRN.  Next, select “Pay bills” on the Fee Filer Menu, and select the bill number associated with the NAL Account</w:t>
      </w:r>
      <w:r w:rsidR="00036B06">
        <w:rPr>
          <w:szCs w:val="22"/>
        </w:rPr>
        <w:t xml:space="preserve">—the </w:t>
      </w:r>
      <w:r w:rsidRPr="004D2C74">
        <w:rPr>
          <w:szCs w:val="22"/>
        </w:rPr>
        <w:t>bill number is the NAL Account number with the first two digits excluded</w:t>
      </w:r>
      <w:r w:rsidR="00036B06">
        <w:rPr>
          <w:szCs w:val="22"/>
        </w:rPr>
        <w:t>—</w:t>
      </w:r>
      <w:r w:rsidRPr="004D2C74">
        <w:rPr>
          <w:szCs w:val="22"/>
        </w:rPr>
        <w:t>and then choose the “Pay by Credit Card” option.  Please note that there is a $24,999.99 limit on credit card transactions.</w:t>
      </w:r>
    </w:p>
    <w:p w:rsidR="00D2480B" w:rsidP="002F599C" w14:paraId="2AD7EF36" w14:textId="256A9FD2">
      <w:pPr>
        <w:widowControl/>
        <w:numPr>
          <w:ilvl w:val="0"/>
          <w:numId w:val="7"/>
        </w:numPr>
        <w:spacing w:after="120"/>
      </w:pPr>
      <w:r w:rsidRPr="004D2C74">
        <w:rPr>
          <w:szCs w:val="22"/>
        </w:rPr>
        <w:t xml:space="preserve">Payment by ACH must be made by using the Commission’s Fee Filer website at </w:t>
      </w:r>
      <w:hyperlink r:id="rId7" w:history="1">
        <w:r w:rsidRPr="004D2C74">
          <w:rPr>
            <w:rFonts w:eastAsia="Calibri"/>
            <w:snapToGrid/>
            <w:color w:val="0000FF"/>
            <w:kern w:val="0"/>
            <w:szCs w:val="22"/>
            <w:u w:val="single"/>
          </w:rPr>
          <w:t>https://apps.fcc.gov/FeeFiler/login.cfm</w:t>
        </w:r>
      </w:hyperlink>
      <w:r w:rsidRPr="004D2C74">
        <w:rPr>
          <w:szCs w:val="22"/>
        </w:rPr>
        <w:t>.  To pay by ACH, log in using the FRN captioned above.   If payment must be split across FRNs, complete this process for each FRN.  Next, select “Pay bills” on the Fee Filer Menu and then select the bill number associated to the NAL Account</w:t>
      </w:r>
      <w:r w:rsidR="00036B06">
        <w:rPr>
          <w:szCs w:val="22"/>
        </w:rPr>
        <w:t>—</w:t>
      </w:r>
      <w:r w:rsidRPr="004D2C74">
        <w:rPr>
          <w:szCs w:val="22"/>
        </w:rPr>
        <w:t>the bill number is the NAL Account number with the first two digits excluded</w:t>
      </w:r>
      <w:r w:rsidR="00036B06">
        <w:rPr>
          <w:szCs w:val="22"/>
        </w:rPr>
        <w:t>—</w:t>
      </w:r>
      <w:r w:rsidRPr="004D2C74">
        <w:rPr>
          <w:szCs w:val="22"/>
        </w:rPr>
        <w:t xml:space="preserve">and choose the “Pay from Bank Account” option.  Please contact the appropriate financial institution to confirm the correct Routing Number and the correct account number </w:t>
      </w:r>
      <w:r w:rsidRPr="004D2C74">
        <w:rPr>
          <w:szCs w:val="22"/>
        </w:rPr>
        <w:t>from which payment will be made and verify with that financial institution that the designated account has authorization to accept ACH transactions.</w:t>
      </w:r>
      <w:r w:rsidRPr="00AD0726">
        <w:t xml:space="preserve"> </w:t>
      </w:r>
    </w:p>
    <w:p w:rsidR="00D2480B" w:rsidRPr="00193A4F" w:rsidP="0065459C" w14:paraId="6B36086D" w14:textId="4D054DE9">
      <w:pPr>
        <w:pStyle w:val="ParaNum"/>
        <w:widowControl/>
        <w:rPr>
          <w:rFonts w:eastAsia="MS Mincho"/>
          <w:szCs w:val="22"/>
        </w:rPr>
      </w:pPr>
      <w:r w:rsidRPr="00193A4F">
        <w:rPr>
          <w:rFonts w:eastAsia="MS Mincho"/>
          <w:szCs w:val="22"/>
        </w:rPr>
        <w:t>Any request for making full payment over time under an installment plan should be sent to:  Chief Financial Officer—Financial Operations, Federal Communications Commission, 445 12th Street, S.W., Room 1-A625, Washington, D.C. 20554.</w:t>
      </w:r>
      <w:r>
        <w:rPr>
          <w:rStyle w:val="FootnoteReference"/>
          <w:rFonts w:eastAsia="MS Mincho"/>
          <w:szCs w:val="22"/>
        </w:rPr>
        <w:footnoteReference w:id="52"/>
      </w:r>
      <w:r w:rsidRPr="00193A4F">
        <w:rPr>
          <w:rFonts w:eastAsia="MS Mincho"/>
          <w:szCs w:val="22"/>
        </w:rPr>
        <w:t xml:space="preserve">  Questions regarding payment procedures should be directed to the Financial Operations Group Help Desk by phone, 1-877-480-3201, or by e</w:t>
      </w:r>
      <w:r w:rsidRPr="00193A4F">
        <w:rPr>
          <w:rFonts w:eastAsia="MS Mincho"/>
          <w:szCs w:val="22"/>
        </w:rPr>
        <w:noBreakHyphen/>
        <w:t xml:space="preserve">mail, </w:t>
      </w:r>
      <w:hyperlink r:id="rId8" w:history="1">
        <w:r w:rsidRPr="00EE431E" w:rsidR="001C3DD3">
          <w:rPr>
            <w:rStyle w:val="Hyperlink"/>
            <w:rFonts w:eastAsia="MS Mincho"/>
            <w:szCs w:val="22"/>
          </w:rPr>
          <w:t>ARINQUIRIES@fcc.gov</w:t>
        </w:r>
      </w:hyperlink>
      <w:r w:rsidRPr="00193A4F">
        <w:rPr>
          <w:rFonts w:eastAsia="MS Mincho"/>
          <w:szCs w:val="22"/>
        </w:rPr>
        <w:t>.</w:t>
      </w:r>
      <w:r w:rsidR="001C3DD3">
        <w:rPr>
          <w:rFonts w:eastAsia="MS Mincho"/>
          <w:szCs w:val="22"/>
        </w:rPr>
        <w:t xml:space="preserve"> </w:t>
      </w:r>
    </w:p>
    <w:p w:rsidR="00D2480B" w:rsidRPr="00193A4F" w:rsidP="001C3DD3" w14:paraId="12EE35F0" w14:textId="5731A175">
      <w:pPr>
        <w:pStyle w:val="ParaNum"/>
        <w:keepNext/>
        <w:widowControl/>
        <w:rPr>
          <w:b/>
          <w:szCs w:val="22"/>
        </w:rPr>
      </w:pPr>
      <w:r w:rsidRPr="00193A4F">
        <w:rPr>
          <w:b/>
          <w:szCs w:val="22"/>
        </w:rPr>
        <w:t>IT IS FURTHER ORDERED</w:t>
      </w:r>
      <w:r w:rsidRPr="00193A4F">
        <w:rPr>
          <w:szCs w:val="22"/>
        </w:rPr>
        <w:t xml:space="preserve"> that a copy of this Memorandum Opinion and Order</w:t>
      </w:r>
      <w:r w:rsidRPr="00193A4F">
        <w:t xml:space="preserve"> </w:t>
      </w:r>
      <w:r w:rsidRPr="00D2480B">
        <w:rPr>
          <w:color w:val="000000"/>
          <w:szCs w:val="22"/>
        </w:rPr>
        <w:t xml:space="preserve">shall be sent by first class mail and certified mail, return receipt requested, to </w:t>
      </w:r>
      <w:r w:rsidRPr="0049415B" w:rsidR="00072569">
        <w:rPr>
          <w:color w:val="000000"/>
          <w:szCs w:val="22"/>
        </w:rPr>
        <w:t xml:space="preserve">Hector Manzo, President, </w:t>
      </w:r>
      <w:r w:rsidRPr="0049415B" w:rsidR="00072569">
        <w:rPr>
          <w:color w:val="000000"/>
          <w:szCs w:val="22"/>
        </w:rPr>
        <w:t>Ondas</w:t>
      </w:r>
      <w:r w:rsidRPr="0049415B" w:rsidR="00072569">
        <w:rPr>
          <w:color w:val="000000"/>
          <w:szCs w:val="22"/>
        </w:rPr>
        <w:t xml:space="preserve"> de Vida, Inc., P.O. Box 94, Victorville, California, 92393, </w:t>
      </w:r>
      <w:r w:rsidRPr="00662773" w:rsidR="00072569">
        <w:rPr>
          <w:color w:val="000000"/>
          <w:szCs w:val="22"/>
        </w:rPr>
        <w:t xml:space="preserve">and to Jeffrey D. </w:t>
      </w:r>
      <w:r w:rsidRPr="00662773" w:rsidR="00072569">
        <w:rPr>
          <w:color w:val="000000"/>
          <w:szCs w:val="22"/>
        </w:rPr>
        <w:t>Southmayd</w:t>
      </w:r>
      <w:r w:rsidRPr="00662773" w:rsidR="00072569">
        <w:rPr>
          <w:color w:val="000000"/>
          <w:szCs w:val="22"/>
        </w:rPr>
        <w:t xml:space="preserve">, Esq., </w:t>
      </w:r>
      <w:r w:rsidRPr="00662773" w:rsidR="00072569">
        <w:rPr>
          <w:color w:val="000000"/>
          <w:szCs w:val="22"/>
        </w:rPr>
        <w:t>Southmayd</w:t>
      </w:r>
      <w:r w:rsidRPr="00662773" w:rsidR="00072569">
        <w:rPr>
          <w:color w:val="000000"/>
          <w:szCs w:val="22"/>
        </w:rPr>
        <w:t xml:space="preserve"> &amp; Miller, 4 Ocean Ridge Boulevard South, Palm Coast, Florida, 32137.</w:t>
      </w:r>
    </w:p>
    <w:p w:rsidR="00603376" w:rsidP="001C3DD3" w14:paraId="55A10D14" w14:textId="44D0E1CF">
      <w:pPr>
        <w:keepNext/>
      </w:pPr>
    </w:p>
    <w:p w:rsidR="000058BE" w:rsidP="001C3DD3" w14:paraId="1C73A22F" w14:textId="588EDF3D">
      <w:pPr>
        <w:keepNext/>
        <w:ind w:left="4320"/>
      </w:pPr>
      <w:r>
        <w:t>FEDERAL COMMUNICATIONS COMMISSION</w:t>
      </w:r>
    </w:p>
    <w:p w:rsidR="00697185" w:rsidP="001C3DD3" w14:paraId="7C1702CB" w14:textId="19D32B92">
      <w:pPr>
        <w:keepNext/>
        <w:ind w:left="4320"/>
      </w:pPr>
    </w:p>
    <w:p w:rsidR="00697185" w:rsidP="001C3DD3" w14:paraId="553B4366" w14:textId="5D958535">
      <w:pPr>
        <w:keepNext/>
        <w:ind w:left="4320"/>
      </w:pPr>
    </w:p>
    <w:p w:rsidR="00697185" w:rsidP="001C3DD3" w14:paraId="4C242456" w14:textId="2192C82B">
      <w:pPr>
        <w:keepNext/>
        <w:ind w:left="4320"/>
      </w:pPr>
    </w:p>
    <w:p w:rsidR="00697185" w:rsidP="001C3DD3" w14:paraId="1715D3B1" w14:textId="3B66FE60">
      <w:pPr>
        <w:keepNext/>
        <w:ind w:left="4320"/>
      </w:pPr>
    </w:p>
    <w:p w:rsidR="00697185" w:rsidP="001C3DD3" w14:paraId="793970E1" w14:textId="47811855">
      <w:pPr>
        <w:keepNext/>
        <w:ind w:left="4320"/>
      </w:pPr>
      <w:r>
        <w:t>Rosemary C. Harold</w:t>
      </w:r>
    </w:p>
    <w:p w:rsidR="00697185" w:rsidP="001C3DD3" w14:paraId="3E8F51DE" w14:textId="1D5CAA59">
      <w:pPr>
        <w:keepNext/>
        <w:ind w:left="4320"/>
      </w:pPr>
      <w:r>
        <w:t>Chief</w:t>
      </w:r>
    </w:p>
    <w:p w:rsidR="00697185" w:rsidRPr="00BB4E94" w:rsidP="001C3DD3" w14:paraId="06FFD3AE" w14:textId="2185A059">
      <w:pPr>
        <w:keepNext/>
        <w:ind w:left="4320"/>
      </w:pPr>
      <w:r>
        <w:t>Enforcement Bureau</w:t>
      </w: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CCF95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0874A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C3DD3" w14:paraId="789118BE" w14:textId="6561BC0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644777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303B" w14:paraId="72742E57" w14:textId="77777777">
      <w:r>
        <w:separator/>
      </w:r>
    </w:p>
  </w:footnote>
  <w:footnote w:type="continuationSeparator" w:id="1">
    <w:p w:rsidR="00C5303B" w:rsidP="00C721AC" w14:paraId="438D37BF" w14:textId="77777777">
      <w:pPr>
        <w:spacing w:before="120"/>
        <w:rPr>
          <w:sz w:val="20"/>
        </w:rPr>
      </w:pPr>
      <w:r>
        <w:rPr>
          <w:sz w:val="20"/>
        </w:rPr>
        <w:t xml:space="preserve">(Continued from previous page)  </w:t>
      </w:r>
      <w:r>
        <w:rPr>
          <w:sz w:val="20"/>
        </w:rPr>
        <w:separator/>
      </w:r>
    </w:p>
  </w:footnote>
  <w:footnote w:type="continuationNotice" w:id="2">
    <w:p w:rsidR="00C5303B" w:rsidP="00C721AC" w14:paraId="747833AC" w14:textId="77777777">
      <w:pPr>
        <w:jc w:val="right"/>
        <w:rPr>
          <w:sz w:val="20"/>
        </w:rPr>
      </w:pPr>
      <w:r>
        <w:rPr>
          <w:sz w:val="20"/>
        </w:rPr>
        <w:t>(continued….)</w:t>
      </w:r>
    </w:p>
  </w:footnote>
  <w:footnote w:id="3">
    <w:p w:rsidR="0061184E" w:rsidP="0061184E" w14:paraId="09E9CA13" w14:textId="77777777">
      <w:pPr>
        <w:pStyle w:val="FootnoteText"/>
      </w:pPr>
      <w:r>
        <w:rPr>
          <w:rStyle w:val="FootnoteReference"/>
        </w:rPr>
        <w:footnoteRef/>
      </w:r>
      <w:r>
        <w:t xml:space="preserve"> </w:t>
      </w:r>
      <w:r w:rsidRPr="00295274">
        <w:t>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4">
    <w:p w:rsidR="00025F56" w:rsidRPr="006429EB" w14:paraId="54677E80" w14:textId="7B2EF1DC">
      <w:pPr>
        <w:pStyle w:val="FootnoteText"/>
      </w:pPr>
      <w:r>
        <w:rPr>
          <w:rStyle w:val="FootnoteReference"/>
        </w:rPr>
        <w:footnoteRef/>
      </w:r>
      <w:r>
        <w:t xml:space="preserve"> </w:t>
      </w:r>
      <w:r>
        <w:rPr>
          <w:i/>
          <w:iCs/>
        </w:rPr>
        <w:t>Ondas</w:t>
      </w:r>
      <w:r>
        <w:rPr>
          <w:i/>
          <w:iCs/>
        </w:rPr>
        <w:t xml:space="preserve"> de Vida, Inc.</w:t>
      </w:r>
      <w:r>
        <w:t xml:space="preserve">, Forfeiture Order, 33 FCC </w:t>
      </w:r>
      <w:r>
        <w:t>Rcd</w:t>
      </w:r>
      <w:r>
        <w:t xml:space="preserve"> 8010 (EB 2018) (</w:t>
      </w:r>
      <w:r>
        <w:rPr>
          <w:i/>
          <w:iCs/>
        </w:rPr>
        <w:t>Forfeiture Order</w:t>
      </w:r>
      <w:r>
        <w:t xml:space="preserve">); </w:t>
      </w:r>
      <w:r>
        <w:t>Ondas</w:t>
      </w:r>
      <w:r>
        <w:t xml:space="preserve"> de Vida</w:t>
      </w:r>
      <w:r w:rsidR="00FF1395">
        <w:t>, Inc., Petition for Reconsideration, Sept. 3, 2018 (Petition) (on file in EB-FIELDWR-16-000</w:t>
      </w:r>
      <w:r w:rsidR="001D68EF">
        <w:t>20978).</w:t>
      </w:r>
      <w:r w:rsidR="00BF7989">
        <w:t xml:space="preserve">  </w:t>
      </w:r>
    </w:p>
  </w:footnote>
  <w:footnote w:id="5">
    <w:p w:rsidR="00423A90" w:rsidRPr="00E94614" w14:paraId="39BE80C9" w14:textId="670AE878">
      <w:pPr>
        <w:pStyle w:val="FootnoteText"/>
      </w:pPr>
      <w:r>
        <w:rPr>
          <w:rStyle w:val="FootnoteReference"/>
        </w:rPr>
        <w:footnoteRef/>
      </w:r>
      <w:r>
        <w:t xml:space="preserve"> </w:t>
      </w:r>
      <w:r w:rsidR="00E94614">
        <w:t xml:space="preserve">47 U.S.C. §§ 151, </w:t>
      </w:r>
      <w:r w:rsidR="00E94614">
        <w:rPr>
          <w:i/>
          <w:iCs/>
        </w:rPr>
        <w:t>et seq.</w:t>
      </w:r>
    </w:p>
  </w:footnote>
  <w:footnote w:id="6">
    <w:p w:rsidR="00B22D60" w14:paraId="684E27BF" w14:textId="68500BB4">
      <w:pPr>
        <w:pStyle w:val="FootnoteText"/>
      </w:pPr>
      <w:r>
        <w:rPr>
          <w:rStyle w:val="FootnoteReference"/>
        </w:rPr>
        <w:footnoteRef/>
      </w:r>
      <w:r>
        <w:t xml:space="preserve"> </w:t>
      </w:r>
      <w:r w:rsidRPr="00B22D60">
        <w:rPr>
          <w:i/>
          <w:iCs/>
        </w:rPr>
        <w:t>See</w:t>
      </w:r>
      <w:r w:rsidRPr="00B22D60">
        <w:t xml:space="preserve"> 47 CFR § 1.106(c); </w:t>
      </w:r>
      <w:r w:rsidRPr="00B22D60">
        <w:rPr>
          <w:i/>
          <w:iCs/>
        </w:rPr>
        <w:t>EZ Sacramento, Inc.</w:t>
      </w:r>
      <w:r w:rsidRPr="00B22D60">
        <w:t xml:space="preserve">, Memorandum Opinion and Order, 15 FCC </w:t>
      </w:r>
      <w:r w:rsidRPr="00B22D60">
        <w:t>Rcd</w:t>
      </w:r>
      <w:r w:rsidRPr="00B22D60">
        <w:t xml:space="preserve"> 18257, 18257, para. 2 (EB 2000) (</w:t>
      </w:r>
      <w:r w:rsidRPr="00B22D60">
        <w:rPr>
          <w:i/>
          <w:iCs/>
        </w:rPr>
        <w:t>citing WWIZ, Inc.</w:t>
      </w:r>
      <w:r w:rsidRPr="00B22D60">
        <w:t xml:space="preserve">, Memorandum Opinion and Order, 37 FCC </w:t>
      </w:r>
      <w:r w:rsidRPr="00B22D60">
        <w:t>Rcd</w:t>
      </w:r>
      <w:r w:rsidRPr="00B22D60">
        <w:t xml:space="preserve"> 685, 686 (1964), </w:t>
      </w:r>
      <w:r w:rsidRPr="00B22D60">
        <w:rPr>
          <w:i/>
          <w:iCs/>
        </w:rPr>
        <w:t>aff’d sub. nom. Lorain Journal Co. v. FCC</w:t>
      </w:r>
      <w:r w:rsidRPr="00B22D60">
        <w:t xml:space="preserve">, 351 F.2d 824 (D.C. Cir. 1965), </w:t>
      </w:r>
      <w:r w:rsidRPr="00721A2B">
        <w:rPr>
          <w:i/>
          <w:iCs/>
        </w:rPr>
        <w:t>cert. denied</w:t>
      </w:r>
      <w:r w:rsidRPr="00B22D60">
        <w:t xml:space="preserve">, 383 U.S. 967 (1966)); </w:t>
      </w:r>
      <w:r w:rsidRPr="00721A2B">
        <w:rPr>
          <w:i/>
          <w:iCs/>
        </w:rPr>
        <w:t>see also Ely Radio, LLC</w:t>
      </w:r>
      <w:r w:rsidRPr="00B22D60">
        <w:t xml:space="preserve">, Memorandum Opinion and Order, 27 FCC </w:t>
      </w:r>
      <w:r w:rsidRPr="00B22D60">
        <w:t>Rcd</w:t>
      </w:r>
      <w:r w:rsidRPr="00B22D60">
        <w:t xml:space="preserve"> 7608, 7610, para. 6 (EB 2012) (articulating the standard of review for Petitions for Reconsideration).</w:t>
      </w:r>
    </w:p>
  </w:footnote>
  <w:footnote w:id="7">
    <w:p w:rsidR="002B1AB6" w14:paraId="35631549" w14:textId="33B18C5A">
      <w:pPr>
        <w:pStyle w:val="FootnoteText"/>
      </w:pPr>
      <w:r>
        <w:rPr>
          <w:rStyle w:val="FootnoteReference"/>
        </w:rPr>
        <w:footnoteRef/>
      </w:r>
      <w:r>
        <w:t xml:space="preserve"> </w:t>
      </w:r>
      <w:r w:rsidRPr="00663F11" w:rsidR="00663F11">
        <w:t xml:space="preserve">The </w:t>
      </w:r>
      <w:r w:rsidR="002C566C">
        <w:rPr>
          <w:i/>
          <w:iCs/>
        </w:rPr>
        <w:t>Notice</w:t>
      </w:r>
      <w:r w:rsidRPr="00663F11" w:rsidR="00663F11">
        <w:t xml:space="preserve"> and </w:t>
      </w:r>
      <w:r w:rsidRPr="00663F11" w:rsidR="00663F11">
        <w:rPr>
          <w:i/>
          <w:iCs/>
        </w:rPr>
        <w:t>Forfeiture Order</w:t>
      </w:r>
      <w:r w:rsidRPr="00663F11" w:rsidR="00663F11">
        <w:t xml:space="preserve"> include more complete discussions of the facts and history of this case and are incorporated herein by reference.  </w:t>
      </w:r>
      <w:r w:rsidRPr="00663F11" w:rsidR="00663F11">
        <w:rPr>
          <w:i/>
          <w:iCs/>
        </w:rPr>
        <w:t xml:space="preserve">See </w:t>
      </w:r>
      <w:r w:rsidR="00DD18E3">
        <w:rPr>
          <w:i/>
          <w:iCs/>
        </w:rPr>
        <w:t xml:space="preserve">generally </w:t>
      </w:r>
      <w:r w:rsidRPr="00663F11" w:rsidR="00663F11">
        <w:rPr>
          <w:i/>
          <w:iCs/>
        </w:rPr>
        <w:t>Ondas</w:t>
      </w:r>
      <w:r w:rsidRPr="00663F11" w:rsidR="00663F11">
        <w:rPr>
          <w:i/>
          <w:iCs/>
        </w:rPr>
        <w:t xml:space="preserve"> de Vida, Inc.</w:t>
      </w:r>
      <w:r w:rsidRPr="00663F11" w:rsidR="00663F11">
        <w:t xml:space="preserve">, Notice of Apparent Liability for Forfeiture, </w:t>
      </w:r>
      <w:r w:rsidR="006E4DA8">
        <w:t>32</w:t>
      </w:r>
      <w:r w:rsidRPr="00663F11" w:rsidR="00663F11">
        <w:t xml:space="preserve"> FCC </w:t>
      </w:r>
      <w:r w:rsidRPr="00663F11" w:rsidR="00663F11">
        <w:t>Rcd</w:t>
      </w:r>
      <w:r w:rsidRPr="00663F11" w:rsidR="00663F11">
        <w:t xml:space="preserve"> </w:t>
      </w:r>
      <w:r w:rsidR="0020227E">
        <w:t>3192 (EB 2017)</w:t>
      </w:r>
      <w:r w:rsidR="002C566C">
        <w:t xml:space="preserve"> </w:t>
      </w:r>
      <w:r w:rsidR="00FB00D5">
        <w:t>(</w:t>
      </w:r>
      <w:r w:rsidR="00BD1E81">
        <w:rPr>
          <w:i/>
          <w:iCs/>
        </w:rPr>
        <w:t>Notice</w:t>
      </w:r>
      <w:r w:rsidR="00BD1E81">
        <w:t>)</w:t>
      </w:r>
      <w:r w:rsidRPr="00663F11" w:rsidR="00663F11">
        <w:t xml:space="preserve">; </w:t>
      </w:r>
      <w:r w:rsidR="001D68EF">
        <w:rPr>
          <w:i/>
          <w:iCs/>
        </w:rPr>
        <w:t>Forfeiture Order</w:t>
      </w:r>
      <w:r w:rsidR="00D1601D">
        <w:t>.</w:t>
      </w:r>
    </w:p>
  </w:footnote>
  <w:footnote w:id="8">
    <w:p w:rsidR="0069685B" w:rsidRPr="0069685B" w14:paraId="391046D8" w14:textId="7C789515">
      <w:pPr>
        <w:pStyle w:val="FootnoteText"/>
      </w:pPr>
      <w:r>
        <w:rPr>
          <w:rStyle w:val="FootnoteReference"/>
        </w:rPr>
        <w:footnoteRef/>
      </w:r>
      <w:r>
        <w:t xml:space="preserve"> </w:t>
      </w:r>
      <w:r w:rsidR="00F5321B">
        <w:rPr>
          <w:i/>
          <w:iCs/>
        </w:rPr>
        <w:t xml:space="preserve">See </w:t>
      </w:r>
      <w:r>
        <w:rPr>
          <w:i/>
          <w:iCs/>
        </w:rPr>
        <w:t>Notice</w:t>
      </w:r>
      <w:r>
        <w:t xml:space="preserve">, 32 FCC </w:t>
      </w:r>
      <w:r>
        <w:t>Rcd</w:t>
      </w:r>
      <w:r>
        <w:t xml:space="preserve"> at </w:t>
      </w:r>
      <w:r w:rsidR="00F5321B">
        <w:t>3192</w:t>
      </w:r>
      <w:r w:rsidR="007D1A7C">
        <w:t>-</w:t>
      </w:r>
      <w:r w:rsidR="00F5321B">
        <w:t>93, paras. 2</w:t>
      </w:r>
      <w:r w:rsidR="007D1A7C">
        <w:t>-</w:t>
      </w:r>
      <w:r w:rsidR="00F5321B">
        <w:t>3.</w:t>
      </w:r>
    </w:p>
  </w:footnote>
  <w:footnote w:id="9">
    <w:p w:rsidR="00CD31BB" w:rsidP="00CD31BB" w14:paraId="33014D50" w14:textId="1C58C825">
      <w:pPr>
        <w:pStyle w:val="FootnoteText"/>
      </w:pPr>
      <w:r>
        <w:rPr>
          <w:rStyle w:val="FootnoteReference"/>
        </w:rPr>
        <w:footnoteRef/>
      </w:r>
      <w:r>
        <w:t xml:space="preserve"> </w:t>
      </w:r>
      <w:r>
        <w:t>Ondas</w:t>
      </w:r>
      <w:r>
        <w:t xml:space="preserve"> de Vida, Inc., Petition for Reconsideration, May 25, 2017 (Response) (on file in EB-FIELDWR-16-00020978).</w:t>
      </w:r>
      <w:r w:rsidR="00F671FE">
        <w:t xml:space="preserve">  </w:t>
      </w:r>
      <w:r w:rsidRPr="00F671FE" w:rsidR="00F671FE">
        <w:t xml:space="preserve">Although </w:t>
      </w:r>
      <w:r w:rsidR="00F671FE">
        <w:t>ODV c</w:t>
      </w:r>
      <w:r w:rsidRPr="00F671FE" w:rsidR="00F671FE">
        <w:t>aption</w:t>
      </w:r>
      <w:r w:rsidR="00356A54">
        <w:t>ed</w:t>
      </w:r>
      <w:r w:rsidRPr="00F671FE" w:rsidR="00F671FE">
        <w:t xml:space="preserve"> its Response as a “Petition for Reconsideration,” we treat</w:t>
      </w:r>
      <w:r w:rsidR="00356A54">
        <w:t>ed</w:t>
      </w:r>
      <w:r w:rsidRPr="00F671FE" w:rsidR="00F671FE">
        <w:t xml:space="preserve"> it as a response to the </w:t>
      </w:r>
      <w:r w:rsidR="00F671FE">
        <w:rPr>
          <w:i/>
          <w:iCs/>
        </w:rPr>
        <w:t xml:space="preserve">Notice </w:t>
      </w:r>
      <w:r w:rsidRPr="00F671FE" w:rsidR="00F671FE">
        <w:t xml:space="preserve">because the </w:t>
      </w:r>
      <w:r w:rsidR="00F671FE">
        <w:rPr>
          <w:i/>
          <w:iCs/>
        </w:rPr>
        <w:t xml:space="preserve">Notice </w:t>
      </w:r>
      <w:r w:rsidRPr="00F671FE" w:rsidR="00F671FE">
        <w:t xml:space="preserve">was not a final Enforcement Bureau decision, but rather a notice of apparent liability for forfeiture. </w:t>
      </w:r>
      <w:r w:rsidR="00001746">
        <w:t xml:space="preserve"> </w:t>
      </w:r>
      <w:r w:rsidRPr="00F671FE" w:rsidR="00F671FE">
        <w:rPr>
          <w:i/>
          <w:iCs/>
        </w:rPr>
        <w:t>See</w:t>
      </w:r>
      <w:r w:rsidRPr="00F671FE" w:rsidR="00F671FE">
        <w:t xml:space="preserve"> 47 CFR § 1.106 (stating that an aggrieved party may file a Petition for Reconsideration of only “final actions taken pursuant to delegated authority .</w:t>
      </w:r>
      <w:r w:rsidR="00001746">
        <w:t xml:space="preserve"> </w:t>
      </w:r>
      <w:r w:rsidRPr="00F671FE" w:rsidR="00F671FE">
        <w:t>.</w:t>
      </w:r>
      <w:r w:rsidR="00001746">
        <w:t xml:space="preserve"> </w:t>
      </w:r>
      <w:r w:rsidRPr="00F671FE" w:rsidR="00F671FE">
        <w:t>.</w:t>
      </w:r>
      <w:r w:rsidR="00001746">
        <w:t xml:space="preserve"> </w:t>
      </w:r>
      <w:r w:rsidRPr="00F671FE" w:rsidR="00F671FE">
        <w:t xml:space="preserve">.”); </w:t>
      </w:r>
      <w:r w:rsidRPr="00B77120" w:rsidR="00F671FE">
        <w:rPr>
          <w:i/>
          <w:iCs/>
        </w:rPr>
        <w:t>see also</w:t>
      </w:r>
      <w:r w:rsidRPr="00F671FE" w:rsidR="00F671FE">
        <w:t xml:space="preserve"> 47 CFR § 1.80(f)(3) (setting forth the response process</w:t>
      </w:r>
      <w:r w:rsidR="00B77120">
        <w:t xml:space="preserve"> for a notice of apparent liability</w:t>
      </w:r>
      <w:r w:rsidRPr="00F671FE" w:rsidR="00F671FE">
        <w:t xml:space="preserve">); </w:t>
      </w:r>
      <w:r w:rsidR="00B77120">
        <w:rPr>
          <w:i/>
          <w:iCs/>
        </w:rPr>
        <w:t>Notice</w:t>
      </w:r>
      <w:r w:rsidR="00976C01">
        <w:t xml:space="preserve">, 32 FCC </w:t>
      </w:r>
      <w:r w:rsidR="00976C01">
        <w:t>Rcd</w:t>
      </w:r>
      <w:r w:rsidR="00976C01">
        <w:t xml:space="preserve"> at </w:t>
      </w:r>
      <w:r w:rsidR="00CB36D5">
        <w:t>3</w:t>
      </w:r>
      <w:r w:rsidR="00001746">
        <w:t>1</w:t>
      </w:r>
      <w:r w:rsidR="00CB36D5">
        <w:t>95, para. 14</w:t>
      </w:r>
      <w:r w:rsidRPr="00F671FE" w:rsidR="00F671FE">
        <w:t xml:space="preserve"> (providing </w:t>
      </w:r>
      <w:r w:rsidR="00CB36D5">
        <w:t>ODV</w:t>
      </w:r>
      <w:r w:rsidRPr="00F671FE" w:rsidR="00F671FE">
        <w:t xml:space="preserve"> with 30 days to respond to the</w:t>
      </w:r>
      <w:r w:rsidR="00CB36D5">
        <w:t xml:space="preserve"> </w:t>
      </w:r>
      <w:r w:rsidR="00CB36D5">
        <w:rPr>
          <w:i/>
          <w:iCs/>
        </w:rPr>
        <w:t>Notice</w:t>
      </w:r>
      <w:r w:rsidRPr="00F671FE" w:rsidR="00F671FE">
        <w:t>).</w:t>
      </w:r>
    </w:p>
  </w:footnote>
  <w:footnote w:id="10">
    <w:p w:rsidR="002510EC" w:rsidRPr="00C845DD" w14:paraId="122D1F0C" w14:textId="3A285353">
      <w:pPr>
        <w:pStyle w:val="FootnoteText"/>
      </w:pPr>
      <w:r>
        <w:rPr>
          <w:rStyle w:val="FootnoteReference"/>
        </w:rPr>
        <w:footnoteRef/>
      </w:r>
      <w:r>
        <w:t xml:space="preserve"> </w:t>
      </w:r>
      <w:r w:rsidR="00001746">
        <w:t>Response</w:t>
      </w:r>
      <w:r w:rsidR="00C845DD">
        <w:t xml:space="preserve"> at </w:t>
      </w:r>
      <w:r w:rsidR="00162101">
        <w:t>4, para. 6.</w:t>
      </w:r>
      <w:r w:rsidR="00C845DD">
        <w:t xml:space="preserve"> </w:t>
      </w:r>
    </w:p>
  </w:footnote>
  <w:footnote w:id="11">
    <w:p w:rsidR="00C845DD" w:rsidRPr="00C845DD" w14:paraId="1667D7CA" w14:textId="269C9815">
      <w:pPr>
        <w:pStyle w:val="FootnoteText"/>
      </w:pPr>
      <w:r>
        <w:rPr>
          <w:rStyle w:val="FootnoteReference"/>
        </w:rPr>
        <w:footnoteRef/>
      </w:r>
      <w:r>
        <w:t xml:space="preserve"> </w:t>
      </w:r>
      <w:r>
        <w:rPr>
          <w:i/>
          <w:iCs/>
        </w:rPr>
        <w:t>Id.</w:t>
      </w:r>
      <w:r>
        <w:t xml:space="preserve"> at </w:t>
      </w:r>
      <w:r w:rsidR="00355F27">
        <w:t>3, para. 4</w:t>
      </w:r>
      <w:r>
        <w:t xml:space="preserve">.  </w:t>
      </w:r>
    </w:p>
  </w:footnote>
  <w:footnote w:id="12">
    <w:p w:rsidR="00C845DD" w:rsidRPr="00C845DD" w14:paraId="136969A2" w14:textId="4F3BE231">
      <w:pPr>
        <w:pStyle w:val="FootnoteText"/>
      </w:pPr>
      <w:r>
        <w:rPr>
          <w:rStyle w:val="FootnoteReference"/>
        </w:rPr>
        <w:footnoteRef/>
      </w:r>
      <w:r>
        <w:t xml:space="preserve"> </w:t>
      </w:r>
      <w:r>
        <w:rPr>
          <w:i/>
          <w:iCs/>
        </w:rPr>
        <w:t>Id.</w:t>
      </w:r>
      <w:r>
        <w:t xml:space="preserve"> at </w:t>
      </w:r>
      <w:r w:rsidR="00705B72">
        <w:t>2, para. 2</w:t>
      </w:r>
      <w:r>
        <w:t xml:space="preserve">. </w:t>
      </w:r>
    </w:p>
  </w:footnote>
  <w:footnote w:id="13">
    <w:p w:rsidR="002B1AB6" w:rsidRPr="00724CAD" w14:paraId="19E71D5D" w14:textId="30BDB148">
      <w:pPr>
        <w:pStyle w:val="FootnoteText"/>
      </w:pPr>
      <w:r>
        <w:rPr>
          <w:rStyle w:val="FootnoteReference"/>
        </w:rPr>
        <w:footnoteRef/>
      </w:r>
      <w:r>
        <w:t xml:space="preserve"> </w:t>
      </w:r>
      <w:r w:rsidR="00724CAD">
        <w:rPr>
          <w:i/>
          <w:iCs/>
        </w:rPr>
        <w:t>Forfeiture Order</w:t>
      </w:r>
      <w:r w:rsidR="00CD57B8">
        <w:t xml:space="preserve">, 33 FCC </w:t>
      </w:r>
      <w:r w:rsidR="00CD57B8">
        <w:t>Rcd</w:t>
      </w:r>
      <w:r w:rsidR="00CD57B8">
        <w:t xml:space="preserve"> at </w:t>
      </w:r>
      <w:r w:rsidR="00001746">
        <w:t>8011</w:t>
      </w:r>
      <w:r w:rsidR="00F91391">
        <w:t>-</w:t>
      </w:r>
      <w:r w:rsidR="00001746">
        <w:t>13</w:t>
      </w:r>
      <w:r w:rsidR="00F91391">
        <w:t>, paras. 6-7</w:t>
      </w:r>
      <w:r w:rsidR="00013C92">
        <w:t xml:space="preserve"> (</w:t>
      </w:r>
      <w:r w:rsidR="00D12909">
        <w:t>additional notice not required</w:t>
      </w:r>
      <w:r w:rsidR="00013C92">
        <w:t>)</w:t>
      </w:r>
      <w:r w:rsidR="005C5B2F">
        <w:t>,</w:t>
      </w:r>
      <w:r w:rsidR="00F91391">
        <w:t xml:space="preserve"> </w:t>
      </w:r>
      <w:r w:rsidR="00D12909">
        <w:t>para. 8</w:t>
      </w:r>
      <w:r w:rsidR="00013C92">
        <w:t xml:space="preserve"> (</w:t>
      </w:r>
      <w:r w:rsidR="00D12909">
        <w:t xml:space="preserve">modification required </w:t>
      </w:r>
      <w:r w:rsidR="005C5B2F">
        <w:t>prior Commission approval)</w:t>
      </w:r>
      <w:r w:rsidR="004234EE">
        <w:t xml:space="preserve">, </w:t>
      </w:r>
      <w:r w:rsidR="00217368">
        <w:t>para. 9</w:t>
      </w:r>
      <w:r w:rsidR="004234EE">
        <w:t xml:space="preserve"> (</w:t>
      </w:r>
      <w:r w:rsidR="00217368">
        <w:t>no basis for downward reduction)</w:t>
      </w:r>
      <w:r w:rsidR="00CD57B8">
        <w:t>.</w:t>
      </w:r>
    </w:p>
  </w:footnote>
  <w:footnote w:id="14">
    <w:p w:rsidR="001478B1" w:rsidRPr="00447097" w14:paraId="003F842C" w14:textId="429F331F">
      <w:pPr>
        <w:pStyle w:val="FootnoteText"/>
      </w:pPr>
      <w:r>
        <w:rPr>
          <w:rStyle w:val="FootnoteReference"/>
        </w:rPr>
        <w:footnoteRef/>
      </w:r>
      <w:r>
        <w:t xml:space="preserve"> </w:t>
      </w:r>
      <w:r w:rsidR="00495255">
        <w:t xml:space="preserve">Petition </w:t>
      </w:r>
      <w:r w:rsidR="00447097">
        <w:t xml:space="preserve">at </w:t>
      </w:r>
      <w:r w:rsidR="00970E92">
        <w:t>7, para. 10</w:t>
      </w:r>
      <w:r w:rsidR="00447097">
        <w:t xml:space="preserve">. </w:t>
      </w:r>
    </w:p>
  </w:footnote>
  <w:footnote w:id="15">
    <w:p w:rsidR="00447097" w:rsidRPr="00447097" w14:paraId="51CB27D6" w14:textId="1AC695B5">
      <w:pPr>
        <w:pStyle w:val="FootnoteText"/>
      </w:pPr>
      <w:r>
        <w:rPr>
          <w:rStyle w:val="FootnoteReference"/>
        </w:rPr>
        <w:footnoteRef/>
      </w:r>
      <w:r>
        <w:t xml:space="preserve"> </w:t>
      </w:r>
      <w:r>
        <w:rPr>
          <w:i/>
          <w:iCs/>
        </w:rPr>
        <w:t>Id</w:t>
      </w:r>
      <w:r>
        <w:t xml:space="preserve">. at </w:t>
      </w:r>
      <w:r w:rsidR="0032023F">
        <w:t>3, para. 4</w:t>
      </w:r>
      <w:r>
        <w:t xml:space="preserve">.  </w:t>
      </w:r>
    </w:p>
  </w:footnote>
  <w:footnote w:id="16">
    <w:p w:rsidR="0032023F" w:rsidRPr="00495255" w14:paraId="3240A546" w14:textId="2F9EFB1E">
      <w:pPr>
        <w:pStyle w:val="FootnoteText"/>
      </w:pPr>
      <w:r>
        <w:rPr>
          <w:rStyle w:val="FootnoteReference"/>
        </w:rPr>
        <w:footnoteRef/>
      </w:r>
      <w:r>
        <w:t xml:space="preserve"> </w:t>
      </w:r>
      <w:r w:rsidR="00495255">
        <w:rPr>
          <w:i/>
          <w:iCs/>
        </w:rPr>
        <w:t>Id.</w:t>
      </w:r>
      <w:r w:rsidR="00495255">
        <w:t xml:space="preserve"> at </w:t>
      </w:r>
      <w:r w:rsidR="00581581">
        <w:t>6, paras. 8-9.</w:t>
      </w:r>
    </w:p>
  </w:footnote>
  <w:footnote w:id="17">
    <w:p w:rsidR="002B0C4B" w:rsidRPr="002B0C4B" w14:paraId="7FC8F2B5" w14:textId="3E9662E2">
      <w:pPr>
        <w:pStyle w:val="FootnoteText"/>
      </w:pPr>
      <w:r>
        <w:rPr>
          <w:rStyle w:val="FootnoteReference"/>
        </w:rPr>
        <w:footnoteRef/>
      </w:r>
      <w:r>
        <w:t xml:space="preserve"> </w:t>
      </w:r>
      <w:r>
        <w:rPr>
          <w:i/>
          <w:iCs/>
        </w:rPr>
        <w:t xml:space="preserve">Id. </w:t>
      </w:r>
      <w:r>
        <w:t xml:space="preserve">at </w:t>
      </w:r>
      <w:r w:rsidR="00BF60CC">
        <w:t>3, para. 4.</w:t>
      </w:r>
    </w:p>
  </w:footnote>
  <w:footnote w:id="18">
    <w:p w:rsidR="006D22ED" w14:paraId="2FC97E5E" w14:textId="76003874">
      <w:pPr>
        <w:pStyle w:val="FootnoteText"/>
      </w:pPr>
      <w:r>
        <w:rPr>
          <w:rStyle w:val="FootnoteReference"/>
        </w:rPr>
        <w:footnoteRef/>
      </w:r>
      <w:r>
        <w:t xml:space="preserve"> </w:t>
      </w:r>
      <w:r w:rsidRPr="008048A0" w:rsidR="00B10D6A">
        <w:rPr>
          <w:i/>
          <w:iCs/>
        </w:rPr>
        <w:t>Id</w:t>
      </w:r>
      <w:r w:rsidR="00B10D6A">
        <w:t>.</w:t>
      </w:r>
      <w:r>
        <w:t xml:space="preserve"> at 4, para. 4.</w:t>
      </w:r>
    </w:p>
  </w:footnote>
  <w:footnote w:id="19">
    <w:p w:rsidR="00DB4819" w:rsidRPr="00344C0B" w:rsidP="00DB4819" w14:paraId="6D5875F1" w14:textId="77777777">
      <w:pPr>
        <w:pStyle w:val="FootnoteText"/>
      </w:pPr>
      <w:r w:rsidRPr="00344C0B">
        <w:rPr>
          <w:rStyle w:val="FootnoteReference"/>
        </w:rPr>
        <w:footnoteRef/>
      </w:r>
      <w:r w:rsidRPr="00344C0B">
        <w:t xml:space="preserve"> </w:t>
      </w:r>
      <w:r w:rsidRPr="00344C0B">
        <w:rPr>
          <w:color w:val="000000"/>
        </w:rPr>
        <w:t>47 U.S.C. § 503(b).</w:t>
      </w:r>
    </w:p>
  </w:footnote>
  <w:footnote w:id="20">
    <w:p w:rsidR="00DB4819" w:rsidRPr="00344C0B" w:rsidP="00DB4819" w14:paraId="75B180A1" w14:textId="77777777">
      <w:pPr>
        <w:pStyle w:val="FootnoteText"/>
      </w:pPr>
      <w:r w:rsidRPr="00344C0B">
        <w:rPr>
          <w:rStyle w:val="FootnoteReference"/>
        </w:rPr>
        <w:footnoteRef/>
      </w:r>
      <w:r w:rsidRPr="00344C0B">
        <w:t xml:space="preserve"> 47 CFR § 1.80.</w:t>
      </w:r>
    </w:p>
  </w:footnote>
  <w:footnote w:id="21">
    <w:p w:rsidR="00DB4819" w:rsidRPr="00344C0B" w:rsidP="00DB4819" w14:paraId="35A097DA" w14:textId="77777777">
      <w:pPr>
        <w:pStyle w:val="FootnoteText"/>
      </w:pPr>
      <w:r w:rsidRPr="00344C0B">
        <w:rPr>
          <w:rStyle w:val="FootnoteReference"/>
        </w:rPr>
        <w:footnoteRef/>
      </w:r>
      <w:r w:rsidRPr="00344C0B">
        <w:rPr>
          <w:i/>
        </w:rPr>
        <w:t xml:space="preserve"> The Commission’s Forfeiture Policy Statement and Amendment of Section 1.80 of the Rules to Incorporate the Forfeiture Guidelines</w:t>
      </w:r>
      <w:r w:rsidRPr="00344C0B">
        <w:t xml:space="preserve">, Report and Order, 12 FCC </w:t>
      </w:r>
      <w:r w:rsidRPr="00344C0B">
        <w:t>Rcd</w:t>
      </w:r>
      <w:r w:rsidRPr="00344C0B">
        <w:t xml:space="preserve"> 17087 (1997) (</w:t>
      </w:r>
      <w:r w:rsidRPr="00344C0B">
        <w:rPr>
          <w:i/>
        </w:rPr>
        <w:t>Forfeiture Policy Statement</w:t>
      </w:r>
      <w:r w:rsidRPr="00344C0B">
        <w:t xml:space="preserve">), </w:t>
      </w:r>
      <w:r w:rsidRPr="00344C0B">
        <w:rPr>
          <w:i/>
        </w:rPr>
        <w:t>recons. denied</w:t>
      </w:r>
      <w:r w:rsidRPr="00344C0B">
        <w:t xml:space="preserve">, Memorandum Opinion and Order, 15 FCC </w:t>
      </w:r>
      <w:r w:rsidRPr="00344C0B">
        <w:t>Rcd</w:t>
      </w:r>
      <w:r w:rsidRPr="00344C0B">
        <w:t xml:space="preserve"> 303 (1999). </w:t>
      </w:r>
    </w:p>
  </w:footnote>
  <w:footnote w:id="22">
    <w:p w:rsidR="00DB4819" w:rsidRPr="00344C0B" w:rsidP="00DB4819" w14:paraId="6CEE474E" w14:textId="77777777">
      <w:pPr>
        <w:pStyle w:val="FootnoteText"/>
      </w:pPr>
      <w:r w:rsidRPr="00344C0B">
        <w:rPr>
          <w:rStyle w:val="FootnoteReference"/>
        </w:rPr>
        <w:footnoteRef/>
      </w:r>
      <w:r w:rsidRPr="00344C0B">
        <w:t xml:space="preserve"> 47 U.S.C. § 503(b)(2)(E).</w:t>
      </w:r>
    </w:p>
  </w:footnote>
  <w:footnote w:id="23">
    <w:p w:rsidR="005C1280" w:rsidRPr="00026998" w14:paraId="5EBB7188" w14:textId="30847411">
      <w:pPr>
        <w:pStyle w:val="FootnoteText"/>
      </w:pPr>
      <w:r>
        <w:rPr>
          <w:rStyle w:val="FootnoteReference"/>
        </w:rPr>
        <w:footnoteRef/>
      </w:r>
      <w:r>
        <w:t xml:space="preserve"> </w:t>
      </w:r>
      <w:r w:rsidR="00026998">
        <w:t>47 CFR § 1.106(p)(3).</w:t>
      </w:r>
    </w:p>
  </w:footnote>
  <w:footnote w:id="24">
    <w:p w:rsidR="00BC3143" w:rsidRPr="006F359E" w14:paraId="1A631D3D" w14:textId="0F4AF66B">
      <w:pPr>
        <w:pStyle w:val="FootnoteText"/>
      </w:pPr>
      <w:r>
        <w:rPr>
          <w:rStyle w:val="FootnoteReference"/>
        </w:rPr>
        <w:footnoteRef/>
      </w:r>
      <w:r>
        <w:t xml:space="preserve"> </w:t>
      </w:r>
      <w:r w:rsidR="00026998">
        <w:t>Petition at 7, para. 10.</w:t>
      </w:r>
      <w:r w:rsidR="00F1238E">
        <w:t xml:space="preserve">  </w:t>
      </w:r>
      <w:r w:rsidR="00C77598">
        <w:t>Although the Petition cited, for the first time in this proceeding, section 0.111(a)(19)</w:t>
      </w:r>
      <w:r w:rsidR="00B06456">
        <w:t xml:space="preserve"> of the Commission’s rules </w:t>
      </w:r>
      <w:r w:rsidR="00C77598">
        <w:t xml:space="preserve">to support its argument that the Bureau was somehow obligated to provide </w:t>
      </w:r>
      <w:r w:rsidR="0004007F">
        <w:t xml:space="preserve">some form of notice to ODV before issuing the </w:t>
      </w:r>
      <w:r w:rsidR="0004007F">
        <w:rPr>
          <w:i/>
          <w:iCs/>
        </w:rPr>
        <w:t>Notice</w:t>
      </w:r>
      <w:r w:rsidR="0004007F">
        <w:t xml:space="preserve">, </w:t>
      </w:r>
      <w:r w:rsidR="00FE2269">
        <w:t xml:space="preserve">we view the reference to section 0.111(a)(19) of the Commission’s rules as an amplification of the argument that ODV made in the Response and not a new </w:t>
      </w:r>
      <w:r w:rsidR="00D626DD">
        <w:t xml:space="preserve">argument </w:t>
      </w:r>
      <w:r w:rsidR="00B06456">
        <w:t xml:space="preserve">for purposes of section 1.106(p)(3) of the Commission’s rules. </w:t>
      </w:r>
      <w:r w:rsidR="006F359E">
        <w:t xml:space="preserve"> </w:t>
      </w:r>
      <w:r w:rsidR="006F359E">
        <w:rPr>
          <w:i/>
          <w:iCs/>
        </w:rPr>
        <w:t>See</w:t>
      </w:r>
      <w:r w:rsidR="006F359E">
        <w:t xml:space="preserve">, </w:t>
      </w:r>
      <w:r w:rsidR="006F359E">
        <w:rPr>
          <w:i/>
          <w:iCs/>
        </w:rPr>
        <w:t>e.g.</w:t>
      </w:r>
      <w:r w:rsidR="006F359E">
        <w:t xml:space="preserve">, </w:t>
      </w:r>
      <w:r w:rsidRPr="0030467B" w:rsidR="00F86A07">
        <w:rPr>
          <w:i/>
          <w:iCs/>
        </w:rPr>
        <w:t xml:space="preserve">WKMJ Radio Live </w:t>
      </w:r>
      <w:r w:rsidRPr="0030467B" w:rsidR="0030467B">
        <w:rPr>
          <w:i/>
          <w:iCs/>
        </w:rPr>
        <w:t>t</w:t>
      </w:r>
      <w:r w:rsidRPr="0030467B" w:rsidR="00F86A07">
        <w:rPr>
          <w:i/>
          <w:iCs/>
        </w:rPr>
        <w:t>he People Station, Inc.</w:t>
      </w:r>
      <w:r w:rsidR="00F86A07">
        <w:t xml:space="preserve">, Memorandum Opinion and Order, 31 FCC </w:t>
      </w:r>
      <w:r w:rsidR="00F86A07">
        <w:t>Rcd</w:t>
      </w:r>
      <w:r w:rsidR="00F86A07">
        <w:t xml:space="preserve"> 4306, </w:t>
      </w:r>
      <w:r w:rsidR="0030467B">
        <w:t>4307, para. 3 (2016) (</w:t>
      </w:r>
      <w:r w:rsidR="00D3527A">
        <w:t xml:space="preserve">rejecting petitioner’s </w:t>
      </w:r>
      <w:r w:rsidR="002C413B">
        <w:t xml:space="preserve">assertion that it was raising a new argument where the argument </w:t>
      </w:r>
      <w:r w:rsidR="002D1973">
        <w:t>“</w:t>
      </w:r>
      <w:r w:rsidRPr="002D1973" w:rsidR="002D1973">
        <w:t>does no more than repeat, re-characterize, or expand arguments already made, considered, and rejected</w:t>
      </w:r>
      <w:r w:rsidR="00FE67C3">
        <w:t>.</w:t>
      </w:r>
      <w:r w:rsidR="002D1973">
        <w:t>”).</w:t>
      </w:r>
    </w:p>
  </w:footnote>
  <w:footnote w:id="25">
    <w:p w:rsidR="00C35EC8" w14:paraId="5CB4D829" w14:textId="0807F656">
      <w:pPr>
        <w:pStyle w:val="FootnoteText"/>
      </w:pPr>
      <w:r>
        <w:rPr>
          <w:rStyle w:val="FootnoteReference"/>
        </w:rPr>
        <w:footnoteRef/>
      </w:r>
      <w:r>
        <w:t xml:space="preserve"> </w:t>
      </w:r>
      <w:r w:rsidR="002A1D9D">
        <w:rPr>
          <w:i/>
          <w:iCs/>
        </w:rPr>
        <w:t>Id</w:t>
      </w:r>
      <w:r w:rsidR="002A1D9D">
        <w:t xml:space="preserve">. at 3, para. 4.  </w:t>
      </w:r>
    </w:p>
  </w:footnote>
  <w:footnote w:id="26">
    <w:p w:rsidR="006C48A0" w:rsidRPr="003655B6" w14:paraId="4C2E2CD8" w14:textId="7C3DAC2F">
      <w:pPr>
        <w:pStyle w:val="FootnoteText"/>
      </w:pPr>
      <w:r>
        <w:rPr>
          <w:rStyle w:val="FootnoteReference"/>
        </w:rPr>
        <w:footnoteRef/>
      </w:r>
      <w:r>
        <w:t xml:space="preserve"> </w:t>
      </w:r>
      <w:r>
        <w:rPr>
          <w:i/>
          <w:iCs/>
        </w:rPr>
        <w:t>See</w:t>
      </w:r>
      <w:r>
        <w:t xml:space="preserve"> </w:t>
      </w:r>
      <w:r w:rsidR="007D1A7C">
        <w:rPr>
          <w:i/>
          <w:iCs/>
        </w:rPr>
        <w:t>supra</w:t>
      </w:r>
      <w:r w:rsidR="007D1A7C">
        <w:t xml:space="preserve"> </w:t>
      </w:r>
      <w:r>
        <w:t xml:space="preserve">para. </w:t>
      </w:r>
      <w:r w:rsidR="00FE67C3">
        <w:fldChar w:fldCharType="begin"/>
      </w:r>
      <w:r w:rsidR="00FE67C3">
        <w:instrText xml:space="preserve"> REF _Ref43889852 \r \h </w:instrText>
      </w:r>
      <w:r w:rsidR="00FE67C3">
        <w:fldChar w:fldCharType="separate"/>
      </w:r>
      <w:r w:rsidR="00FE67C3">
        <w:t>4</w:t>
      </w:r>
      <w:r w:rsidR="00FE67C3">
        <w:fldChar w:fldCharType="end"/>
      </w:r>
      <w:r w:rsidR="003655B6">
        <w:t>.</w:t>
      </w:r>
    </w:p>
  </w:footnote>
  <w:footnote w:id="27">
    <w:p w:rsidR="00F32FB8" w14:paraId="2E29FE1F" w14:textId="0E1E7B55">
      <w:pPr>
        <w:pStyle w:val="FootnoteText"/>
      </w:pPr>
      <w:r>
        <w:rPr>
          <w:rStyle w:val="FootnoteReference"/>
        </w:rPr>
        <w:footnoteRef/>
      </w:r>
      <w:r>
        <w:t xml:space="preserve"> Petition at </w:t>
      </w:r>
      <w:r w:rsidR="00F31B7C">
        <w:t>7, para. 10</w:t>
      </w:r>
      <w:r>
        <w:t xml:space="preserve">. </w:t>
      </w:r>
    </w:p>
  </w:footnote>
  <w:footnote w:id="28">
    <w:p w:rsidR="003D74D4" w:rsidRPr="001656E6" w:rsidP="001656E6" w14:paraId="771B91C9" w14:textId="2D087A24">
      <w:pPr>
        <w:pStyle w:val="FootnoteText"/>
      </w:pPr>
      <w:r>
        <w:rPr>
          <w:rStyle w:val="FootnoteReference"/>
        </w:rPr>
        <w:footnoteRef/>
      </w:r>
      <w:r>
        <w:t xml:space="preserve"> </w:t>
      </w:r>
      <w:r w:rsidRPr="000E72EC" w:rsidR="00F43B71">
        <w:rPr>
          <w:i/>
          <w:iCs/>
        </w:rPr>
        <w:t xml:space="preserve">Missouri </w:t>
      </w:r>
      <w:r w:rsidRPr="00F43B71" w:rsidR="00F43B71">
        <w:rPr>
          <w:i/>
          <w:iCs/>
        </w:rPr>
        <w:t xml:space="preserve">RSA No. 2 Partnership </w:t>
      </w:r>
      <w:r w:rsidRPr="00F43B71" w:rsidR="00F43B71">
        <w:rPr>
          <w:i/>
          <w:iCs/>
        </w:rPr>
        <w:t>d.b.</w:t>
      </w:r>
      <w:r w:rsidRPr="00F43B71" w:rsidR="00F43B71">
        <w:rPr>
          <w:i/>
          <w:iCs/>
        </w:rPr>
        <w:t>a</w:t>
      </w:r>
      <w:r w:rsidRPr="00F43B71" w:rsidR="00F43B71">
        <w:rPr>
          <w:i/>
          <w:iCs/>
        </w:rPr>
        <w:t xml:space="preserve"> Alltel</w:t>
      </w:r>
      <w:r w:rsidR="00F43B71">
        <w:t xml:space="preserve">, Forfeiture Order 18 FCC </w:t>
      </w:r>
      <w:r w:rsidR="00F43B71">
        <w:t>Rcd</w:t>
      </w:r>
      <w:r w:rsidR="00F43B71">
        <w:t xml:space="preserve"> 12653, 12654, para. 6 (EB 2003) (</w:t>
      </w:r>
      <w:r w:rsidR="00F43B71">
        <w:rPr>
          <w:i/>
          <w:iCs/>
        </w:rPr>
        <w:t>Missouri RSA Forfeiture Order</w:t>
      </w:r>
      <w:r w:rsidR="00F43B71">
        <w:t>)</w:t>
      </w:r>
      <w:r w:rsidR="008048A0">
        <w:t xml:space="preserve">; </w:t>
      </w:r>
      <w:r w:rsidRPr="008048A0" w:rsidR="008048A0">
        <w:rPr>
          <w:i/>
          <w:iCs/>
        </w:rPr>
        <w:t>see also</w:t>
      </w:r>
      <w:r w:rsidR="008048A0">
        <w:rPr>
          <w:i/>
          <w:iCs/>
        </w:rPr>
        <w:t xml:space="preserve"> </w:t>
      </w:r>
      <w:r w:rsidRPr="00ED74A3" w:rsidR="002C35CF">
        <w:rPr>
          <w:i/>
          <w:iCs/>
        </w:rPr>
        <w:t xml:space="preserve">Fabrice </w:t>
      </w:r>
      <w:r w:rsidRPr="00ED74A3" w:rsidR="002C35CF">
        <w:rPr>
          <w:i/>
          <w:iCs/>
        </w:rPr>
        <w:t>Polynice</w:t>
      </w:r>
      <w:r w:rsidRPr="00ED74A3" w:rsidR="002C35CF">
        <w:rPr>
          <w:i/>
          <w:iCs/>
        </w:rPr>
        <w:t xml:space="preserve"> North Miami, FL, Harold </w:t>
      </w:r>
      <w:r w:rsidRPr="00ED74A3" w:rsidR="002C35CF">
        <w:rPr>
          <w:i/>
          <w:iCs/>
        </w:rPr>
        <w:t>Sido</w:t>
      </w:r>
      <w:r w:rsidRPr="00ED74A3" w:rsidR="002C35CF">
        <w:rPr>
          <w:i/>
          <w:iCs/>
        </w:rPr>
        <w:t xml:space="preserve"> and </w:t>
      </w:r>
      <w:r w:rsidRPr="00ED74A3" w:rsidR="002C35CF">
        <w:rPr>
          <w:i/>
          <w:iCs/>
        </w:rPr>
        <w:t>Veronise</w:t>
      </w:r>
      <w:r w:rsidRPr="00ED74A3" w:rsidR="002C35CF">
        <w:rPr>
          <w:i/>
          <w:iCs/>
        </w:rPr>
        <w:t xml:space="preserve"> </w:t>
      </w:r>
      <w:r w:rsidRPr="00ED74A3" w:rsidR="002C35CF">
        <w:rPr>
          <w:i/>
          <w:iCs/>
        </w:rPr>
        <w:t>Sido</w:t>
      </w:r>
      <w:r w:rsidRPr="00ED74A3" w:rsidR="002C35CF">
        <w:rPr>
          <w:i/>
          <w:iCs/>
        </w:rPr>
        <w:t xml:space="preserve"> North Miami, FL</w:t>
      </w:r>
      <w:r w:rsidR="002C35CF">
        <w:t xml:space="preserve">, Forfeiture Order, 33 FCC </w:t>
      </w:r>
      <w:r w:rsidR="002C35CF">
        <w:t>Rcd</w:t>
      </w:r>
      <w:r w:rsidR="002C35CF">
        <w:t xml:space="preserve"> 6852, 6858-59, paras. 16-18 (2018); </w:t>
      </w:r>
      <w:r w:rsidR="00B909C6">
        <w:rPr>
          <w:i/>
          <w:iCs/>
        </w:rPr>
        <w:t>Radio X Broadcasting Corporation, Bayamon, Puerto Rico</w:t>
      </w:r>
      <w:r w:rsidR="00B909C6">
        <w:t xml:space="preserve">, Memorandum Opinion and Order, 19 FCC </w:t>
      </w:r>
      <w:r w:rsidR="00B909C6">
        <w:t>Rcd</w:t>
      </w:r>
      <w:r w:rsidR="00B909C6">
        <w:t xml:space="preserve"> 18690, 18692, para. 7 (EB 2004) (</w:t>
      </w:r>
      <w:r w:rsidR="001656E6">
        <w:t xml:space="preserve">following </w:t>
      </w:r>
      <w:r w:rsidR="001656E6">
        <w:rPr>
          <w:i/>
          <w:iCs/>
        </w:rPr>
        <w:t>Missouri RSA Forfeiture Order</w:t>
      </w:r>
      <w:r w:rsidR="001656E6">
        <w:t xml:space="preserve">), </w:t>
      </w:r>
      <w:r w:rsidR="001656E6">
        <w:rPr>
          <w:i/>
          <w:iCs/>
        </w:rPr>
        <w:t>review denied</w:t>
      </w:r>
      <w:r w:rsidR="001656E6">
        <w:t xml:space="preserve">, Memorandum Opinion and Order, 21 FCC </w:t>
      </w:r>
      <w:r w:rsidR="001656E6">
        <w:t>Rcd</w:t>
      </w:r>
      <w:r w:rsidR="001656E6">
        <w:t xml:space="preserve"> 12209 (2006).</w:t>
      </w:r>
      <w:r w:rsidR="002C35CF">
        <w:t xml:space="preserve">  </w:t>
      </w:r>
    </w:p>
  </w:footnote>
  <w:footnote w:id="29">
    <w:p w:rsidR="00356A54" w:rsidRPr="00356A54" w14:paraId="5FCDB395" w14:textId="58598AC6">
      <w:pPr>
        <w:pStyle w:val="FootnoteText"/>
      </w:pPr>
      <w:r>
        <w:rPr>
          <w:rStyle w:val="FootnoteReference"/>
        </w:rPr>
        <w:footnoteRef/>
      </w:r>
      <w:r>
        <w:t xml:space="preserve"> </w:t>
      </w:r>
      <w:r>
        <w:rPr>
          <w:i/>
          <w:iCs/>
        </w:rPr>
        <w:t xml:space="preserve">See </w:t>
      </w:r>
      <w:r>
        <w:t xml:space="preserve">47 CFR </w:t>
      </w:r>
      <w:r w:rsidRPr="00EF20FB" w:rsidR="007D1A7C">
        <w:rPr>
          <w:color w:val="000000"/>
        </w:rPr>
        <w:t>§</w:t>
      </w:r>
      <w:r w:rsidR="007D1A7C">
        <w:rPr>
          <w:color w:val="000000"/>
        </w:rPr>
        <w:t xml:space="preserve"> </w:t>
      </w:r>
      <w:r>
        <w:t>0.111(a)(19).</w:t>
      </w:r>
    </w:p>
  </w:footnote>
  <w:footnote w:id="30">
    <w:p w:rsidR="00F2793C" w:rsidRPr="001826AD" w14:paraId="192B41DF" w14:textId="6AAB99C6">
      <w:pPr>
        <w:pStyle w:val="FootnoteText"/>
      </w:pPr>
      <w:r>
        <w:rPr>
          <w:rStyle w:val="FootnoteReference"/>
        </w:rPr>
        <w:footnoteRef/>
      </w:r>
      <w:r>
        <w:t xml:space="preserve"> </w:t>
      </w:r>
      <w:r w:rsidR="001826AD">
        <w:t>Petition at 7, para. 10.</w:t>
      </w:r>
    </w:p>
  </w:footnote>
  <w:footnote w:id="31">
    <w:p w:rsidR="00872012" w:rsidRPr="009752A9" w14:paraId="1926B9A1" w14:textId="41DB84EA">
      <w:pPr>
        <w:pStyle w:val="FootnoteText"/>
      </w:pPr>
      <w:r>
        <w:rPr>
          <w:rStyle w:val="FootnoteReference"/>
        </w:rPr>
        <w:footnoteRef/>
      </w:r>
      <w:r>
        <w:t xml:space="preserve"> </w:t>
      </w:r>
      <w:r w:rsidR="00014E3D">
        <w:rPr>
          <w:i/>
          <w:iCs/>
        </w:rPr>
        <w:t>Missouri RSA Forfeiture Order</w:t>
      </w:r>
      <w:r w:rsidR="00014E3D">
        <w:t xml:space="preserve">, 18 FCC </w:t>
      </w:r>
      <w:r w:rsidR="00014E3D">
        <w:t>Rcd</w:t>
      </w:r>
      <w:r w:rsidR="00014E3D">
        <w:t xml:space="preserve"> at 12654, para. 6</w:t>
      </w:r>
      <w:r w:rsidR="00014E3D">
        <w:rPr>
          <w:i/>
          <w:iCs/>
        </w:rPr>
        <w:t>.</w:t>
      </w:r>
      <w:r w:rsidR="00014E3D">
        <w:t xml:space="preserve">  </w:t>
      </w:r>
    </w:p>
  </w:footnote>
  <w:footnote w:id="32">
    <w:p w:rsidR="007F4BE3" w14:paraId="54154F9C" w14:textId="16485CD5">
      <w:pPr>
        <w:pStyle w:val="FootnoteText"/>
      </w:pPr>
      <w:r>
        <w:rPr>
          <w:rStyle w:val="FootnoteReference"/>
        </w:rPr>
        <w:footnoteRef/>
      </w:r>
      <w:r>
        <w:t xml:space="preserve"> </w:t>
      </w:r>
      <w:r w:rsidRPr="00EF20FB" w:rsidR="00700718">
        <w:rPr>
          <w:color w:val="000000"/>
        </w:rPr>
        <w:t xml:space="preserve">47 U.S.C. § 312(f)(1).  </w:t>
      </w:r>
      <w:r w:rsidRPr="00EF20FB" w:rsidR="00700718">
        <w:rPr>
          <w:color w:val="000000"/>
          <w:spacing w:val="-3"/>
          <w:szCs w:val="22"/>
        </w:rPr>
        <w:t xml:space="preserve">The legislative history to section 312(f)(1) of the Act clarifies that this definition of willful applies to both sections 312 and 503(b) of the Act, and the Commission has so interpreted the term in the section 503(b) context.  </w:t>
      </w:r>
      <w:r w:rsidRPr="00EF20FB" w:rsidR="00700718">
        <w:rPr>
          <w:color w:val="000000"/>
        </w:rPr>
        <w:t>H.R. Rep. No. 97-765, 97</w:t>
      </w:r>
      <w:r w:rsidRPr="00EF20FB" w:rsidR="00700718">
        <w:rPr>
          <w:color w:val="000000"/>
          <w:vertAlign w:val="superscript"/>
        </w:rPr>
        <w:t>th</w:t>
      </w:r>
      <w:r w:rsidRPr="00EF20FB" w:rsidR="00700718">
        <w:rPr>
          <w:color w:val="000000"/>
        </w:rPr>
        <w:t xml:space="preserve"> Cong. 2d Sess. 51 (1982) (</w:t>
      </w:r>
      <w:r w:rsidR="00700718">
        <w:rPr>
          <w:color w:val="000000"/>
        </w:rPr>
        <w:t>“</w:t>
      </w:r>
      <w:r w:rsidRPr="00EF20FB" w:rsidR="00700718">
        <w:rPr>
          <w:rStyle w:val="documentbody"/>
          <w:color w:val="000000"/>
        </w:rPr>
        <w:t xml:space="preserve">This provision [inserted in section 312] defines the terms </w:t>
      </w:r>
      <w:r w:rsidR="00700718">
        <w:rPr>
          <w:rStyle w:val="documentbody"/>
          <w:color w:val="000000"/>
        </w:rPr>
        <w:t>‘</w:t>
      </w:r>
      <w:r w:rsidRPr="00EF20FB" w:rsidR="00700718">
        <w:rPr>
          <w:rStyle w:val="documentbody"/>
          <w:color w:val="000000"/>
        </w:rPr>
        <w:t>willful</w:t>
      </w:r>
      <w:r w:rsidR="00700718">
        <w:rPr>
          <w:rStyle w:val="documentbody"/>
          <w:color w:val="000000"/>
        </w:rPr>
        <w:t>’</w:t>
      </w:r>
      <w:r w:rsidRPr="00EF20FB" w:rsidR="00700718">
        <w:rPr>
          <w:rStyle w:val="documentbody"/>
          <w:color w:val="000000"/>
        </w:rPr>
        <w:t xml:space="preserve"> and </w:t>
      </w:r>
      <w:r w:rsidR="00700718">
        <w:rPr>
          <w:rStyle w:val="documentbody"/>
          <w:color w:val="000000"/>
        </w:rPr>
        <w:t>‘</w:t>
      </w:r>
      <w:r w:rsidRPr="00EF20FB" w:rsidR="00700718">
        <w:rPr>
          <w:rStyle w:val="documentbody"/>
          <w:color w:val="000000"/>
        </w:rPr>
        <w:t>repeated</w:t>
      </w:r>
      <w:r w:rsidR="00700718">
        <w:rPr>
          <w:rStyle w:val="documentbody"/>
          <w:color w:val="000000"/>
        </w:rPr>
        <w:t>’</w:t>
      </w:r>
      <w:r w:rsidRPr="00EF20FB" w:rsidR="00700718">
        <w:rPr>
          <w:rStyle w:val="documentbody"/>
          <w:color w:val="000000"/>
        </w:rPr>
        <w:t xml:space="preserve"> for purposes of section </w:t>
      </w:r>
      <w:r w:rsidRPr="00EF20FB" w:rsidR="00700718">
        <w:rPr>
          <w:rStyle w:val="searchterm"/>
          <w:color w:val="000000"/>
        </w:rPr>
        <w:t>312</w:t>
      </w:r>
      <w:r w:rsidRPr="00EF20FB" w:rsidR="00700718">
        <w:rPr>
          <w:rStyle w:val="documentbody"/>
          <w:color w:val="000000"/>
        </w:rPr>
        <w:t xml:space="preserve">, and for any other relevant section of the act (e.g., section 503) </w:t>
      </w:r>
      <w:r w:rsidRPr="00EF20FB" w:rsidR="00700718">
        <w:rPr>
          <w:rStyle w:val="documentbody"/>
          <w:color w:val="000000"/>
        </w:rPr>
        <w:t>. . . .</w:t>
      </w:r>
      <w:r w:rsidRPr="00EF20FB" w:rsidR="00700718">
        <w:rPr>
          <w:rStyle w:val="documentbody"/>
          <w:color w:val="000000"/>
        </w:rPr>
        <w:t xml:space="preserve">  As </w:t>
      </w:r>
      <w:r w:rsidRPr="00EF20FB" w:rsidR="00700718">
        <w:rPr>
          <w:rStyle w:val="documentbody"/>
          <w:color w:val="000000"/>
        </w:rPr>
        <w:t>defined[</w:t>
      </w:r>
      <w:r w:rsidRPr="00EF20FB" w:rsidR="00700718">
        <w:rPr>
          <w:rStyle w:val="documentbody"/>
          <w:color w:val="000000"/>
        </w:rPr>
        <w:t xml:space="preserve">,] . . . </w:t>
      </w:r>
      <w:r w:rsidR="00700718">
        <w:rPr>
          <w:rStyle w:val="documentbody"/>
          <w:color w:val="000000"/>
        </w:rPr>
        <w:t>‘</w:t>
      </w:r>
      <w:r w:rsidRPr="00EF20FB" w:rsidR="00700718">
        <w:rPr>
          <w:rStyle w:val="documentbody"/>
          <w:color w:val="000000"/>
        </w:rPr>
        <w:t>willful</w:t>
      </w:r>
      <w:r w:rsidR="00700718">
        <w:rPr>
          <w:rStyle w:val="documentbody"/>
          <w:color w:val="000000"/>
        </w:rPr>
        <w:t>’</w:t>
      </w:r>
      <w:r w:rsidRPr="00EF20FB" w:rsidR="00700718">
        <w:rPr>
          <w:rStyle w:val="documentbody"/>
          <w:color w:val="000000"/>
        </w:rPr>
        <w:t xml:space="preserve"> means that the licensee knew that he was doing the act in question, regardless of whether there was an intent to violate the law. </w:t>
      </w:r>
      <w:r w:rsidR="002C56C0">
        <w:rPr>
          <w:rStyle w:val="documentbody"/>
          <w:color w:val="000000"/>
        </w:rPr>
        <w:t>. . .</w:t>
      </w:r>
      <w:r w:rsidRPr="00EF20FB" w:rsidR="00700718">
        <w:rPr>
          <w:rStyle w:val="documentbody"/>
          <w:color w:val="000000"/>
        </w:rPr>
        <w:t xml:space="preserve"> </w:t>
      </w:r>
      <w:r w:rsidR="002C56C0">
        <w:rPr>
          <w:rStyle w:val="documentbody"/>
          <w:color w:val="000000"/>
        </w:rPr>
        <w:t xml:space="preserve"> </w:t>
      </w:r>
      <w:r w:rsidRPr="00EF20FB" w:rsidR="00700718">
        <w:rPr>
          <w:rStyle w:val="documentbody"/>
          <w:color w:val="000000"/>
        </w:rPr>
        <w:t xml:space="preserve">The </w:t>
      </w:r>
      <w:r w:rsidRPr="00EF20FB" w:rsidR="00700718">
        <w:rPr>
          <w:rStyle w:val="documentbody"/>
          <w:color w:val="000000"/>
        </w:rPr>
        <w:t>definition</w:t>
      </w:r>
      <w:r w:rsidR="00700718">
        <w:rPr>
          <w:rStyle w:val="documentbody"/>
          <w:color w:val="000000"/>
        </w:rPr>
        <w:t>[</w:t>
      </w:r>
      <w:r w:rsidR="00700718">
        <w:rPr>
          <w:rStyle w:val="documentbody"/>
          <w:color w:val="000000"/>
        </w:rPr>
        <w:t>] [is]</w:t>
      </w:r>
      <w:r w:rsidRPr="00EF20FB" w:rsidR="00700718">
        <w:rPr>
          <w:rStyle w:val="documentbody"/>
          <w:color w:val="000000"/>
        </w:rPr>
        <w:t xml:space="preserve"> intended primarily to clarify the language in sections </w:t>
      </w:r>
      <w:r w:rsidRPr="00EF20FB" w:rsidR="00700718">
        <w:rPr>
          <w:rStyle w:val="searchterm"/>
          <w:color w:val="000000"/>
        </w:rPr>
        <w:t>312</w:t>
      </w:r>
      <w:r w:rsidRPr="00EF20FB" w:rsidR="00700718">
        <w:rPr>
          <w:rStyle w:val="documentbody"/>
          <w:color w:val="000000"/>
        </w:rPr>
        <w:t xml:space="preserve"> and 503, and </w:t>
      </w:r>
      <w:r w:rsidR="00700718">
        <w:rPr>
          <w:rStyle w:val="documentbody"/>
          <w:color w:val="000000"/>
        </w:rPr>
        <w:t>[is]</w:t>
      </w:r>
      <w:r w:rsidRPr="00EF20FB" w:rsidR="00700718">
        <w:rPr>
          <w:rStyle w:val="documentbody"/>
          <w:color w:val="000000"/>
        </w:rPr>
        <w:t xml:space="preserve"> consistent with the Commission</w:t>
      </w:r>
      <w:r w:rsidR="00700718">
        <w:rPr>
          <w:rStyle w:val="documentbody"/>
          <w:color w:val="000000"/>
        </w:rPr>
        <w:t>’</w:t>
      </w:r>
      <w:r w:rsidRPr="00EF20FB" w:rsidR="00700718">
        <w:rPr>
          <w:rStyle w:val="documentbody"/>
          <w:color w:val="000000"/>
        </w:rPr>
        <w:t xml:space="preserve">s application of </w:t>
      </w:r>
      <w:r w:rsidR="00700718">
        <w:rPr>
          <w:rStyle w:val="documentbody"/>
          <w:color w:val="000000"/>
        </w:rPr>
        <w:t>[the]</w:t>
      </w:r>
      <w:r w:rsidRPr="00EF20FB" w:rsidR="00700718">
        <w:rPr>
          <w:rStyle w:val="documentbody"/>
          <w:color w:val="000000"/>
        </w:rPr>
        <w:t xml:space="preserve"> term</w:t>
      </w:r>
      <w:r w:rsidR="00700718">
        <w:rPr>
          <w:rStyle w:val="documentbody"/>
          <w:color w:val="000000"/>
        </w:rPr>
        <w:t>[]</w:t>
      </w:r>
      <w:r w:rsidRPr="00EF20FB" w:rsidR="00700718">
        <w:rPr>
          <w:rStyle w:val="documentbody"/>
          <w:color w:val="000000"/>
        </w:rPr>
        <w:t xml:space="preserve"> . . . .</w:t>
      </w:r>
      <w:r w:rsidR="00700718">
        <w:rPr>
          <w:rStyle w:val="documentbody"/>
          <w:color w:val="000000"/>
        </w:rPr>
        <w:t>”</w:t>
      </w:r>
      <w:r w:rsidRPr="00EF20FB" w:rsidR="00700718">
        <w:rPr>
          <w:rStyle w:val="documentbody"/>
          <w:color w:val="000000"/>
        </w:rPr>
        <w:t xml:space="preserve">); </w:t>
      </w:r>
      <w:r w:rsidRPr="00EF20FB" w:rsidR="00700718">
        <w:rPr>
          <w:i/>
          <w:color w:val="000000"/>
        </w:rPr>
        <w:t>see, e.g.</w:t>
      </w:r>
      <w:r w:rsidRPr="00EF20FB" w:rsidR="00700718">
        <w:rPr>
          <w:color w:val="000000"/>
        </w:rPr>
        <w:t>,</w:t>
      </w:r>
      <w:r w:rsidRPr="00EF20FB" w:rsidR="00700718">
        <w:rPr>
          <w:i/>
          <w:color w:val="000000"/>
        </w:rPr>
        <w:t xml:space="preserve"> S. Cal. Broad. Co.</w:t>
      </w:r>
      <w:r w:rsidRPr="00EF20FB" w:rsidR="00700718">
        <w:rPr>
          <w:color w:val="000000"/>
        </w:rPr>
        <w:t xml:space="preserve">, Memorandum Opinion and Order, 6 FCC </w:t>
      </w:r>
      <w:r w:rsidRPr="00EF20FB" w:rsidR="00700718">
        <w:rPr>
          <w:color w:val="000000"/>
        </w:rPr>
        <w:t>Rcd</w:t>
      </w:r>
      <w:r w:rsidRPr="00EF20FB" w:rsidR="00700718">
        <w:rPr>
          <w:color w:val="000000"/>
        </w:rPr>
        <w:t xml:space="preserve"> 4387, 4388, para. 5 (1991), </w:t>
      </w:r>
      <w:r w:rsidRPr="00EF20FB" w:rsidR="00700718">
        <w:rPr>
          <w:i/>
          <w:color w:val="000000"/>
        </w:rPr>
        <w:t>recons. denied</w:t>
      </w:r>
      <w:r w:rsidRPr="00EF20FB" w:rsidR="00700718">
        <w:rPr>
          <w:color w:val="000000"/>
        </w:rPr>
        <w:t>,</w:t>
      </w:r>
      <w:r w:rsidRPr="00EF20FB" w:rsidR="00700718">
        <w:rPr>
          <w:i/>
          <w:color w:val="000000"/>
        </w:rPr>
        <w:t xml:space="preserve"> </w:t>
      </w:r>
      <w:r w:rsidRPr="00EF20FB" w:rsidR="00700718">
        <w:rPr>
          <w:color w:val="000000"/>
        </w:rPr>
        <w:t xml:space="preserve">7 FCC </w:t>
      </w:r>
      <w:r w:rsidRPr="00EF20FB" w:rsidR="00700718">
        <w:rPr>
          <w:color w:val="000000"/>
        </w:rPr>
        <w:t>Rcd</w:t>
      </w:r>
      <w:r w:rsidRPr="00EF20FB" w:rsidR="00700718">
        <w:rPr>
          <w:color w:val="000000"/>
        </w:rPr>
        <w:t xml:space="preserve"> 3454 (1992).</w:t>
      </w:r>
      <w:r w:rsidRPr="00EF20FB" w:rsidR="00700718">
        <w:rPr>
          <w:color w:val="000000"/>
          <w:spacing w:val="-3"/>
          <w:szCs w:val="22"/>
        </w:rPr>
        <w:t xml:space="preserve">  </w:t>
      </w:r>
    </w:p>
  </w:footnote>
  <w:footnote w:id="33">
    <w:p w:rsidR="007E3BDB" w:rsidRPr="0071655B" w14:paraId="6437D970" w14:textId="72182A72">
      <w:pPr>
        <w:pStyle w:val="FootnoteText"/>
      </w:pPr>
      <w:r>
        <w:rPr>
          <w:rStyle w:val="FootnoteReference"/>
        </w:rPr>
        <w:footnoteRef/>
      </w:r>
      <w:r>
        <w:t xml:space="preserve"> Petition at 3, para. 4.</w:t>
      </w:r>
      <w:r w:rsidR="00D27F74">
        <w:t xml:space="preserve">  </w:t>
      </w:r>
      <w:r w:rsidR="0071655B">
        <w:t xml:space="preserve">  </w:t>
      </w:r>
    </w:p>
  </w:footnote>
  <w:footnote w:id="34">
    <w:p w:rsidR="00DA678E" w14:paraId="4C331EC2" w14:textId="6FAF97CC">
      <w:pPr>
        <w:pStyle w:val="FootnoteText"/>
      </w:pPr>
      <w:r>
        <w:rPr>
          <w:rStyle w:val="FootnoteReference"/>
        </w:rPr>
        <w:footnoteRef/>
      </w:r>
      <w:r>
        <w:t xml:space="preserve"> </w:t>
      </w:r>
      <w:r w:rsidR="00306530">
        <w:rPr>
          <w:i/>
          <w:iCs/>
        </w:rPr>
        <w:t xml:space="preserve">Id. </w:t>
      </w:r>
      <w:r>
        <w:t>at 4, para. 4 (“perhaps [ODV]</w:t>
      </w:r>
      <w:r w:rsidRPr="0067798A">
        <w:t xml:space="preserve"> should have requested either a license modification or special temporary authority to operate with an increased </w:t>
      </w:r>
      <w:r>
        <w:t xml:space="preserve">[transmitter power output] </w:t>
      </w:r>
      <w:r>
        <w:t>. . . .</w:t>
      </w:r>
      <w:r>
        <w:t>”).</w:t>
      </w:r>
    </w:p>
  </w:footnote>
  <w:footnote w:id="35">
    <w:p w:rsidR="00C6403F" w:rsidRPr="0067426B" w14:paraId="07DB5467" w14:textId="2A3A2777">
      <w:pPr>
        <w:pStyle w:val="FootnoteText"/>
      </w:pPr>
      <w:r>
        <w:rPr>
          <w:rStyle w:val="FootnoteReference"/>
        </w:rPr>
        <w:footnoteRef/>
      </w:r>
      <w:r>
        <w:t xml:space="preserve"> </w:t>
      </w:r>
      <w:r w:rsidR="000D42B4">
        <w:rPr>
          <w:i/>
          <w:iCs/>
        </w:rPr>
        <w:t>See</w:t>
      </w:r>
      <w:r w:rsidR="000D42B4">
        <w:t xml:space="preserve">, </w:t>
      </w:r>
      <w:r w:rsidR="000D42B4">
        <w:rPr>
          <w:i/>
          <w:iCs/>
        </w:rPr>
        <w:t>e.g.</w:t>
      </w:r>
      <w:r w:rsidR="000D42B4">
        <w:t xml:space="preserve">, </w:t>
      </w:r>
      <w:r w:rsidR="000D42B4">
        <w:rPr>
          <w:i/>
          <w:iCs/>
        </w:rPr>
        <w:t>Infinity Radio Operations, Inc.</w:t>
      </w:r>
      <w:r w:rsidR="000D42B4">
        <w:t xml:space="preserve">, Order on Review, 22 FCC </w:t>
      </w:r>
      <w:r w:rsidR="000D42B4">
        <w:t>Rcd</w:t>
      </w:r>
      <w:r w:rsidR="000D42B4">
        <w:t xml:space="preserve"> 9</w:t>
      </w:r>
      <w:r w:rsidR="00097650">
        <w:t>8</w:t>
      </w:r>
      <w:r w:rsidR="000D42B4">
        <w:t>2</w:t>
      </w:r>
      <w:r w:rsidR="002C56C0">
        <w:t>4</w:t>
      </w:r>
      <w:r w:rsidR="000D42B4">
        <w:t>, 9829, para. 16 (2007) (</w:t>
      </w:r>
      <w:r w:rsidR="0067426B">
        <w:t xml:space="preserve">stating that “corrective measures before the licensee is notified of an investigation are not necessarily sufficient to avoid enforcement action”), </w:t>
      </w:r>
      <w:r w:rsidR="0067426B">
        <w:rPr>
          <w:i/>
          <w:iCs/>
        </w:rPr>
        <w:t>citing</w:t>
      </w:r>
      <w:r w:rsidR="0067426B">
        <w:t xml:space="preserve"> </w:t>
      </w:r>
      <w:r w:rsidR="0067426B">
        <w:rPr>
          <w:i/>
          <w:iCs/>
        </w:rPr>
        <w:t>Mid-Missouri Broadcasting, Inc.</w:t>
      </w:r>
      <w:r w:rsidR="0067426B">
        <w:t xml:space="preserve">, Notice of Apparent Liability for Forfeiture, 19 FCC </w:t>
      </w:r>
      <w:r w:rsidR="0067426B">
        <w:t>Rcd</w:t>
      </w:r>
      <w:r w:rsidR="0067426B">
        <w:t xml:space="preserve"> 22900, 22902-03, para. 8 (EB 2004) (stating that post-violation compliance efforts, while laudable, “are not relevant to our determination of </w:t>
      </w:r>
      <w:r w:rsidR="009307B2">
        <w:t xml:space="preserve">[an] </w:t>
      </w:r>
      <w:r w:rsidR="0067426B">
        <w:t>appropriate forfeiture amount</w:t>
      </w:r>
      <w:r w:rsidR="009307B2">
        <w:t>.</w:t>
      </w:r>
      <w:r w:rsidR="0067426B">
        <w:t>”).</w:t>
      </w:r>
    </w:p>
  </w:footnote>
  <w:footnote w:id="36">
    <w:p w:rsidR="005F3177" w14:paraId="780A75C8" w14:textId="323D5CC7">
      <w:pPr>
        <w:pStyle w:val="FootnoteText"/>
      </w:pPr>
      <w:r>
        <w:rPr>
          <w:rStyle w:val="FootnoteReference"/>
        </w:rPr>
        <w:footnoteRef/>
      </w:r>
      <w:r>
        <w:t xml:space="preserve"> </w:t>
      </w:r>
      <w:r w:rsidR="00B733BD">
        <w:t xml:space="preserve">47 CFR § 1.106(c) (stating that </w:t>
      </w:r>
      <w:r w:rsidRPr="009F6507" w:rsidR="00B733BD">
        <w:t xml:space="preserve">a petition for reconsideration </w:t>
      </w:r>
      <w:r w:rsidR="00B733BD">
        <w:t>relying on new facts or arguments “may be granted only” when the petitioner satisfies the conditions of section 1.106(c)(1)</w:t>
      </w:r>
      <w:r w:rsidR="00D919B0">
        <w:t xml:space="preserve"> (changed circumstances since the last </w:t>
      </w:r>
      <w:r w:rsidR="00BC1096">
        <w:t>opportunity</w:t>
      </w:r>
      <w:r w:rsidR="00D919B0">
        <w:t xml:space="preserve"> to present </w:t>
      </w:r>
      <w:r w:rsidR="00AC47C4">
        <w:t>such matters to the Commission or facts or arguments unknown to the petitioner until after the last opportunity to present such matters to the Commission)</w:t>
      </w:r>
      <w:r w:rsidR="00B733BD">
        <w:t xml:space="preserve"> or (c)(2)</w:t>
      </w:r>
      <w:r w:rsidR="00BC1096">
        <w:t xml:space="preserve"> (consideration of new facts or arguments is “required in the public interest”</w:t>
      </w:r>
      <w:r w:rsidR="00B733BD">
        <w:t>).</w:t>
      </w:r>
    </w:p>
  </w:footnote>
  <w:footnote w:id="37">
    <w:p w:rsidR="00145843" w:rsidRPr="000E1A09" w14:paraId="5283720F" w14:textId="23E5BBCA">
      <w:pPr>
        <w:pStyle w:val="FootnoteText"/>
      </w:pPr>
      <w:r>
        <w:rPr>
          <w:rStyle w:val="FootnoteReference"/>
        </w:rPr>
        <w:footnoteRef/>
      </w:r>
      <w:r>
        <w:t xml:space="preserve"> </w:t>
      </w:r>
      <w:r>
        <w:rPr>
          <w:i/>
          <w:iCs/>
        </w:rPr>
        <w:t xml:space="preserve">See </w:t>
      </w:r>
      <w:r>
        <w:t xml:space="preserve">Response at </w:t>
      </w:r>
      <w:r w:rsidR="00ED321B">
        <w:t>2</w:t>
      </w:r>
      <w:r w:rsidR="00097650">
        <w:t>, para. 2</w:t>
      </w:r>
      <w:r>
        <w:t xml:space="preserve"> (only seeking a downward reduction of the </w:t>
      </w:r>
      <w:r w:rsidR="000E1A09">
        <w:rPr>
          <w:i/>
          <w:iCs/>
        </w:rPr>
        <w:t>Notice</w:t>
      </w:r>
      <w:r w:rsidR="000E1A09">
        <w:t xml:space="preserve">’s proposed forfeiture </w:t>
      </w:r>
      <w:r w:rsidR="000E1A09">
        <w:t>on the basis of</w:t>
      </w:r>
      <w:r w:rsidR="000E1A09">
        <w:t xml:space="preserve"> </w:t>
      </w:r>
      <w:r w:rsidR="00ED321B">
        <w:t>the station’s financial condition</w:t>
      </w:r>
      <w:r w:rsidR="000E1A09">
        <w:t>).</w:t>
      </w:r>
    </w:p>
  </w:footnote>
  <w:footnote w:id="38">
    <w:p w:rsidR="00C64052" w:rsidRPr="00C64052" w:rsidP="003A3506" w14:paraId="14A1D1E7" w14:textId="7C33E046">
      <w:pPr>
        <w:pStyle w:val="FootnoteText"/>
      </w:pPr>
      <w:r>
        <w:rPr>
          <w:rStyle w:val="FootnoteReference"/>
        </w:rPr>
        <w:footnoteRef/>
      </w:r>
      <w:r>
        <w:t xml:space="preserve"> </w:t>
      </w:r>
      <w:r>
        <w:rPr>
          <w:i/>
          <w:iCs/>
        </w:rPr>
        <w:t>See</w:t>
      </w:r>
      <w:r>
        <w:t xml:space="preserve"> 47 CFR § 1.106(c)</w:t>
      </w:r>
      <w:r w:rsidR="009441F1">
        <w:t>(1)</w:t>
      </w:r>
      <w:r w:rsidR="00BC1096">
        <w:t>.</w:t>
      </w:r>
      <w:r w:rsidR="009441F1">
        <w:t xml:space="preserve"> </w:t>
      </w:r>
    </w:p>
  </w:footnote>
  <w:footnote w:id="39">
    <w:p w:rsidR="009441F1" w:rsidRPr="009441F1" w14:paraId="1E14F7BB" w14:textId="7FE7D719">
      <w:pPr>
        <w:pStyle w:val="FootnoteText"/>
      </w:pPr>
      <w:r>
        <w:rPr>
          <w:rStyle w:val="FootnoteReference"/>
        </w:rPr>
        <w:footnoteRef/>
      </w:r>
      <w:r>
        <w:t xml:space="preserve"> </w:t>
      </w:r>
      <w:r>
        <w:rPr>
          <w:i/>
          <w:iCs/>
        </w:rPr>
        <w:t>See</w:t>
      </w:r>
      <w:r>
        <w:t xml:space="preserve"> 47 CFR § 1.106(c)(2)</w:t>
      </w:r>
      <w:r w:rsidR="00BC1096">
        <w:t>.</w:t>
      </w:r>
    </w:p>
  </w:footnote>
  <w:footnote w:id="40">
    <w:p w:rsidR="009F6507" w14:paraId="07E6CB7F" w14:textId="1CDE58DF">
      <w:pPr>
        <w:pStyle w:val="FootnoteText"/>
      </w:pPr>
      <w:r>
        <w:rPr>
          <w:rStyle w:val="FootnoteReference"/>
        </w:rPr>
        <w:footnoteRef/>
      </w:r>
      <w:r>
        <w:t xml:space="preserve"> </w:t>
      </w:r>
      <w:r w:rsidR="00BC1096">
        <w:t xml:space="preserve">47 CFR § 1.106(c). </w:t>
      </w:r>
    </w:p>
  </w:footnote>
  <w:footnote w:id="41">
    <w:p w:rsidR="001C1ACC" w14:paraId="3AB84ABB" w14:textId="5CB3D1CE">
      <w:pPr>
        <w:pStyle w:val="FootnoteText"/>
      </w:pPr>
      <w:r>
        <w:rPr>
          <w:rStyle w:val="FootnoteReference"/>
        </w:rPr>
        <w:footnoteRef/>
      </w:r>
      <w:r>
        <w:t xml:space="preserve"> Petition at 6, para. 9.</w:t>
      </w:r>
    </w:p>
  </w:footnote>
  <w:footnote w:id="42">
    <w:p w:rsidR="001C1ACC" w14:paraId="26BC3D25" w14:textId="03FCBF89">
      <w:pPr>
        <w:pStyle w:val="FootnoteText"/>
      </w:pPr>
      <w:r>
        <w:rPr>
          <w:rStyle w:val="FootnoteReference"/>
        </w:rPr>
        <w:footnoteRef/>
      </w:r>
      <w:r>
        <w:t xml:space="preserve"> </w:t>
      </w:r>
      <w:r>
        <w:rPr>
          <w:i/>
          <w:iCs/>
        </w:rPr>
        <w:t>See Tidewater Communications, LLC</w:t>
      </w:r>
      <w:r w:rsidRPr="00D67EC9">
        <w:t>,</w:t>
      </w:r>
      <w:r>
        <w:t xml:space="preserve"> Order on Review, 25 FCC </w:t>
      </w:r>
      <w:r>
        <w:t>Rcd</w:t>
      </w:r>
      <w:r>
        <w:t xml:space="preserve"> 1675, 1678-79, para. 11 (2010) (affirming the Bureau’s rejection of a request for a downward reduction based on a history of compliance where a prior monetary forfeiture was cancelled but the underlying</w:t>
      </w:r>
      <w:r>
        <w:rPr>
          <w:i/>
          <w:iCs/>
        </w:rPr>
        <w:t xml:space="preserve"> </w:t>
      </w:r>
      <w:r>
        <w:t>notice of violation survived).</w:t>
      </w:r>
    </w:p>
  </w:footnote>
  <w:footnote w:id="43">
    <w:p w:rsidR="001C1ACC" w14:paraId="1E3A0F42" w14:textId="6401CF81">
      <w:pPr>
        <w:pStyle w:val="FootnoteText"/>
      </w:pPr>
      <w:r>
        <w:rPr>
          <w:rStyle w:val="FootnoteReference"/>
        </w:rPr>
        <w:footnoteRef/>
      </w:r>
      <w:r>
        <w:t xml:space="preserve"> </w:t>
      </w:r>
      <w:r>
        <w:rPr>
          <w:i/>
          <w:iCs/>
        </w:rPr>
        <w:t>See</w:t>
      </w:r>
      <w:r>
        <w:t xml:space="preserve"> </w:t>
      </w:r>
      <w:r w:rsidRPr="00241CEF" w:rsidR="00F36F27">
        <w:rPr>
          <w:i/>
          <w:iCs/>
        </w:rPr>
        <w:t>Ondas</w:t>
      </w:r>
      <w:r w:rsidRPr="00241CEF" w:rsidR="00F36F27">
        <w:rPr>
          <w:i/>
          <w:iCs/>
        </w:rPr>
        <w:t xml:space="preserve"> de Vida Network, Inc. Licensee of Station K284CD</w:t>
      </w:r>
      <w:r w:rsidRPr="004B4A48" w:rsidR="00F36F27">
        <w:t xml:space="preserve">, Notice of Violation (EB 2017), </w:t>
      </w:r>
      <w:hyperlink r:id="rId1" w:history="1">
        <w:r w:rsidRPr="005648E2" w:rsidR="00F36F27">
          <w:rPr>
            <w:rStyle w:val="Hyperlink"/>
          </w:rPr>
          <w:t>https://docs.fcc.gov/public/attachments/DOC-343773A1.pdf</w:t>
        </w:r>
      </w:hyperlink>
      <w:r w:rsidR="00F36F27">
        <w:t xml:space="preserve"> </w:t>
      </w:r>
      <w:r w:rsidRPr="004B4A48" w:rsidR="00F36F27">
        <w:t>(operating from unauthorized location and with excessive power)</w:t>
      </w:r>
      <w:r w:rsidR="00F36F27">
        <w:t xml:space="preserve">; </w:t>
      </w:r>
      <w:r w:rsidRPr="00241CEF">
        <w:rPr>
          <w:i/>
          <w:iCs/>
        </w:rPr>
        <w:t>Ondas</w:t>
      </w:r>
      <w:r w:rsidRPr="00241CEF">
        <w:rPr>
          <w:i/>
          <w:iCs/>
        </w:rPr>
        <w:t xml:space="preserve"> de Vida, Inc., Licensee of Radio Station K205DZ</w:t>
      </w:r>
      <w:r w:rsidRPr="004B4A48">
        <w:t xml:space="preserve">, Notice of Violation (EB 2009),  </w:t>
      </w:r>
      <w:hyperlink r:id="rId2" w:history="1">
        <w:r w:rsidRPr="005648E2">
          <w:rPr>
            <w:rStyle w:val="Hyperlink"/>
          </w:rPr>
          <w:t>https://docs.fcc.gov/public/attachments/DOC-292674A1.pdf</w:t>
        </w:r>
      </w:hyperlink>
      <w:r>
        <w:t xml:space="preserve"> </w:t>
      </w:r>
      <w:r w:rsidRPr="004B4A48">
        <w:t>(antenna orientation and overpowered).</w:t>
      </w:r>
      <w:r>
        <w:t xml:space="preserve">  If viewed outside the narrow </w:t>
      </w:r>
      <w:r w:rsidR="00EA152F">
        <w:t xml:space="preserve">types of </w:t>
      </w:r>
      <w:r>
        <w:t xml:space="preserve">violations at issue in this proceeding, ODV’s </w:t>
      </w:r>
      <w:r w:rsidR="00EA152F">
        <w:t xml:space="preserve">description of </w:t>
      </w:r>
      <w:r w:rsidR="00F36F27">
        <w:t xml:space="preserve">its </w:t>
      </w:r>
      <w:r w:rsidR="00EA152F">
        <w:t xml:space="preserve">compliance history as “unblemished” </w:t>
      </w:r>
      <w:r>
        <w:t xml:space="preserve">begins to strain credulity.  </w:t>
      </w:r>
      <w:r w:rsidRPr="00EA152F">
        <w:rPr>
          <w:i/>
          <w:iCs/>
        </w:rPr>
        <w:t xml:space="preserve">See </w:t>
      </w:r>
      <w:r w:rsidRPr="00EA152F">
        <w:rPr>
          <w:i/>
          <w:iCs/>
        </w:rPr>
        <w:t>Ondas</w:t>
      </w:r>
      <w:r w:rsidRPr="00EA152F">
        <w:rPr>
          <w:i/>
          <w:iCs/>
        </w:rPr>
        <w:t xml:space="preserve"> de Vida, Inc., Licensee of Station K212GC</w:t>
      </w:r>
      <w:r w:rsidRPr="00341FBF">
        <w:t xml:space="preserve">, Notice of Violation (EB 2013), </w:t>
      </w:r>
      <w:hyperlink r:id="rId3" w:history="1">
        <w:r w:rsidRPr="005648E2" w:rsidR="00EA152F">
          <w:rPr>
            <w:rStyle w:val="Hyperlink"/>
          </w:rPr>
          <w:t>https://docs.fcc.gov/public/attachments/DOC-321205A1.pdf</w:t>
        </w:r>
      </w:hyperlink>
      <w:r w:rsidR="00EA152F">
        <w:t xml:space="preserve"> </w:t>
      </w:r>
      <w:r w:rsidRPr="00341FBF">
        <w:t>(interference to another licensee)</w:t>
      </w:r>
      <w:r w:rsidR="00EA152F">
        <w:t xml:space="preserve">; </w:t>
      </w:r>
      <w:r w:rsidRPr="00706D4B">
        <w:rPr>
          <w:i/>
          <w:iCs/>
        </w:rPr>
        <w:t>Ondas</w:t>
      </w:r>
      <w:r w:rsidRPr="00706D4B">
        <w:rPr>
          <w:i/>
          <w:iCs/>
        </w:rPr>
        <w:t xml:space="preserve"> de Vida Network, Inc., Licensee of Station K212GC</w:t>
      </w:r>
      <w:r w:rsidRPr="00341FBF">
        <w:t xml:space="preserve">, Notice of Violation (EB 2013),  </w:t>
      </w:r>
      <w:hyperlink r:id="rId4" w:history="1">
        <w:r w:rsidRPr="005648E2" w:rsidR="00706D4B">
          <w:rPr>
            <w:rStyle w:val="Hyperlink"/>
          </w:rPr>
          <w:t>https://docs.fcc.gov/public/attachments/DOC-318539A1.pdf</w:t>
        </w:r>
      </w:hyperlink>
      <w:r w:rsidR="00706D4B">
        <w:t xml:space="preserve"> </w:t>
      </w:r>
      <w:r w:rsidRPr="00341FBF">
        <w:t xml:space="preserve">(interference to another licensee); </w:t>
      </w:r>
      <w:r w:rsidRPr="00706D4B">
        <w:rPr>
          <w:i/>
          <w:iCs/>
        </w:rPr>
        <w:t>Ondas</w:t>
      </w:r>
      <w:r w:rsidRPr="00706D4B">
        <w:rPr>
          <w:i/>
          <w:iCs/>
        </w:rPr>
        <w:t xml:space="preserve"> de Vida Network, Inc., Licensee of Station K234BS</w:t>
      </w:r>
      <w:r w:rsidRPr="00341FBF">
        <w:t xml:space="preserve">, Notice of Violation (EB 2013),  </w:t>
      </w:r>
      <w:hyperlink r:id="rId5" w:history="1">
        <w:r w:rsidRPr="005648E2" w:rsidR="00706D4B">
          <w:rPr>
            <w:rStyle w:val="Hyperlink"/>
          </w:rPr>
          <w:t>https://docs.fcc.gov/public/attachments/DOC-324209A1.pdf</w:t>
        </w:r>
      </w:hyperlink>
      <w:r w:rsidR="00706D4B">
        <w:t xml:space="preserve"> </w:t>
      </w:r>
      <w:r w:rsidRPr="00341FBF">
        <w:t>(unauthorized modification of transmission facility)</w:t>
      </w:r>
      <w:r w:rsidR="00F36F27">
        <w:t xml:space="preserve">; </w:t>
      </w:r>
      <w:r w:rsidRPr="00EA152F" w:rsidR="00F36F27">
        <w:rPr>
          <w:i/>
          <w:iCs/>
        </w:rPr>
        <w:t>Ondas</w:t>
      </w:r>
      <w:r w:rsidRPr="00EA152F" w:rsidR="00F36F27">
        <w:rPr>
          <w:i/>
          <w:iCs/>
        </w:rPr>
        <w:t xml:space="preserve"> de Vida, Inc., Licensee of Radio Station K205DZ</w:t>
      </w:r>
      <w:r w:rsidRPr="00341FBF" w:rsidR="00F36F27">
        <w:t xml:space="preserve">, Notice of Violation (EB 2011), </w:t>
      </w:r>
      <w:hyperlink r:id="rId6" w:history="1">
        <w:r w:rsidRPr="005648E2" w:rsidR="00F36F27">
          <w:rPr>
            <w:rStyle w:val="Hyperlink"/>
          </w:rPr>
          <w:t>https://docs.fcc.gov/public/attachments/DOC-311101A1.pdf</w:t>
        </w:r>
      </w:hyperlink>
      <w:r w:rsidR="00F36F27">
        <w:t xml:space="preserve"> </w:t>
      </w:r>
      <w:r w:rsidRPr="00341FBF" w:rsidR="00F36F27">
        <w:t xml:space="preserve">(antenna orientation); </w:t>
      </w:r>
      <w:r w:rsidRPr="00EA152F" w:rsidR="00983387">
        <w:rPr>
          <w:i/>
          <w:iCs/>
        </w:rPr>
        <w:t>Ondas</w:t>
      </w:r>
      <w:r w:rsidRPr="00EA152F" w:rsidR="00983387">
        <w:rPr>
          <w:i/>
          <w:iCs/>
        </w:rPr>
        <w:t xml:space="preserve"> de Vida Network, Inc., Licensee of Radio Station KODV(FM)</w:t>
      </w:r>
      <w:r w:rsidRPr="00341FBF" w:rsidR="00983387">
        <w:t xml:space="preserve">, Notice of Violation (EB 2010), </w:t>
      </w:r>
      <w:hyperlink r:id="rId7" w:history="1">
        <w:r w:rsidRPr="005648E2" w:rsidR="00983387">
          <w:rPr>
            <w:rStyle w:val="Hyperlink"/>
          </w:rPr>
          <w:t>https://docs.fcc.gov/public/attachments/DOC-299874A1.pdf</w:t>
        </w:r>
      </w:hyperlink>
      <w:r w:rsidR="00983387">
        <w:t xml:space="preserve"> </w:t>
      </w:r>
      <w:r w:rsidRPr="00341FBF" w:rsidR="00983387">
        <w:t xml:space="preserve">(EAS violations); </w:t>
      </w:r>
      <w:r w:rsidRPr="00EA152F" w:rsidR="00F36F27">
        <w:rPr>
          <w:i/>
          <w:iCs/>
        </w:rPr>
        <w:t>Ondas</w:t>
      </w:r>
      <w:r w:rsidRPr="00EA152F" w:rsidR="00F36F27">
        <w:rPr>
          <w:i/>
          <w:iCs/>
        </w:rPr>
        <w:t xml:space="preserve"> de Vida, Inc., Licensee of Radio Station K205DZ</w:t>
      </w:r>
      <w:r w:rsidRPr="00341FBF" w:rsidR="00F36F27">
        <w:t>, Notice of Violation (EB 200</w:t>
      </w:r>
      <w:r w:rsidR="00F36F27">
        <w:t>7</w:t>
      </w:r>
      <w:r w:rsidRPr="00341FBF" w:rsidR="00F36F27">
        <w:t xml:space="preserve">), </w:t>
      </w:r>
      <w:hyperlink r:id="rId8" w:history="1">
        <w:r w:rsidRPr="005648E2" w:rsidR="00F36F27">
          <w:rPr>
            <w:rStyle w:val="Hyperlink"/>
          </w:rPr>
          <w:t>https://docs.fcc.gov/public/attachments/DOC-276660A1.pdf</w:t>
        </w:r>
      </w:hyperlink>
      <w:r w:rsidR="00F36F27">
        <w:t xml:space="preserve"> </w:t>
      </w:r>
      <w:r w:rsidRPr="00341FBF" w:rsidR="00F36F27">
        <w:t>(antenna orientation)</w:t>
      </w:r>
      <w:r w:rsidRPr="00341FBF">
        <w:t>.</w:t>
      </w:r>
    </w:p>
  </w:footnote>
  <w:footnote w:id="44">
    <w:p w:rsidR="00D2480B" w:rsidRPr="00193A4F" w:rsidP="00D2480B" w14:paraId="5797E0DF" w14:textId="77777777">
      <w:pPr>
        <w:pStyle w:val="FootnoteText"/>
      </w:pPr>
      <w:r w:rsidRPr="00193A4F">
        <w:rPr>
          <w:rStyle w:val="FootnoteReference"/>
        </w:rPr>
        <w:footnoteRef/>
      </w:r>
      <w:r w:rsidRPr="00193A4F">
        <w:t xml:space="preserve"> 47 U.S.C. § 405; 47 CFR § 1.106.</w:t>
      </w:r>
    </w:p>
  </w:footnote>
  <w:footnote w:id="45">
    <w:p w:rsidR="00B62C89" w:rsidRPr="00193A4F" w:rsidP="00B62C89" w14:paraId="353476B8" w14:textId="77777777">
      <w:pPr>
        <w:pStyle w:val="FootnoteText"/>
      </w:pPr>
      <w:r w:rsidRPr="00193A4F">
        <w:rPr>
          <w:rStyle w:val="FootnoteReference"/>
        </w:rPr>
        <w:footnoteRef/>
      </w:r>
      <w:r w:rsidRPr="00193A4F">
        <w:t xml:space="preserve"> 47 </w:t>
      </w:r>
      <w:r>
        <w:t xml:space="preserve">U.S.C. § 503(b); 47 CFR § </w:t>
      </w:r>
      <w:r w:rsidRPr="00193A4F">
        <w:t>1.80.</w:t>
      </w:r>
    </w:p>
  </w:footnote>
  <w:footnote w:id="46">
    <w:p w:rsidR="00B62C89" w14:paraId="0A2B7593" w14:textId="754EDD44">
      <w:pPr>
        <w:pStyle w:val="FootnoteText"/>
      </w:pPr>
      <w:r>
        <w:rPr>
          <w:rStyle w:val="FootnoteReference"/>
        </w:rPr>
        <w:footnoteRef/>
      </w:r>
      <w:r>
        <w:t xml:space="preserve"> 47 U.S.C. § 301; 47 CFR §§ 1.903(a), 74.1235(e).</w:t>
      </w:r>
    </w:p>
  </w:footnote>
  <w:footnote w:id="47">
    <w:p w:rsidR="00D2480B" w:rsidRPr="00193A4F" w:rsidP="00D2480B" w14:paraId="63538718" w14:textId="77777777">
      <w:pPr>
        <w:pStyle w:val="FootnoteText"/>
      </w:pPr>
      <w:r w:rsidRPr="00193A4F">
        <w:rPr>
          <w:rStyle w:val="FootnoteReference"/>
        </w:rPr>
        <w:footnoteRef/>
      </w:r>
      <w:r w:rsidRPr="00193A4F">
        <w:t xml:space="preserve"> 47 CFR § 1.80.</w:t>
      </w:r>
    </w:p>
  </w:footnote>
  <w:footnote w:id="48">
    <w:p w:rsidR="00D2480B" w:rsidRPr="00193A4F" w:rsidP="00D2480B" w14:paraId="167288CD" w14:textId="77777777">
      <w:pPr>
        <w:pStyle w:val="FootnoteText"/>
      </w:pPr>
      <w:r w:rsidRPr="00193A4F">
        <w:rPr>
          <w:rStyle w:val="FootnoteReference"/>
        </w:rPr>
        <w:footnoteRef/>
      </w:r>
      <w:r w:rsidRPr="00193A4F">
        <w:t xml:space="preserve"> 47 U.S.C. § 504(a).</w:t>
      </w:r>
    </w:p>
  </w:footnote>
  <w:footnote w:id="49">
    <w:p w:rsidR="00D2480B" w:rsidRPr="005476AB" w:rsidP="00D2480B" w14:paraId="42F6D539"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50">
    <w:p w:rsidR="00D2480B" w:rsidRPr="005476AB" w:rsidP="00D2480B" w14:paraId="125EC0C1"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9" w:history="1">
        <w:r w:rsidRPr="005476AB">
          <w:rPr>
            <w:rStyle w:val="Hyperlink"/>
          </w:rPr>
          <w:t>ARINQUIRIES@fcc.gov</w:t>
        </w:r>
      </w:hyperlink>
      <w:r w:rsidRPr="005476AB">
        <w:t>.</w:t>
      </w:r>
    </w:p>
  </w:footnote>
  <w:footnote w:id="51">
    <w:p w:rsidR="00D2480B" w:rsidP="00D2480B" w14:paraId="581565CF" w14:textId="77777777">
      <w:pPr>
        <w:pStyle w:val="FootnoteText"/>
      </w:pPr>
      <w:r w:rsidRPr="005476AB">
        <w:rPr>
          <w:rStyle w:val="FootnoteReference"/>
        </w:rPr>
        <w:footnoteRef/>
      </w:r>
      <w:r w:rsidRPr="005476AB">
        <w:t xml:space="preserve"> Instructions for completing the form may be obtained at </w:t>
      </w:r>
      <w:hyperlink r:id="rId10" w:history="1">
        <w:r w:rsidRPr="008A2184">
          <w:rPr>
            <w:rStyle w:val="Hyperlink"/>
          </w:rPr>
          <w:t>http://www.fcc.gov/Forms/Form159/159.pdf</w:t>
        </w:r>
      </w:hyperlink>
      <w:r w:rsidRPr="005476AB">
        <w:t>.</w:t>
      </w:r>
      <w:r>
        <w:t xml:space="preserve"> </w:t>
      </w:r>
    </w:p>
  </w:footnote>
  <w:footnote w:id="52">
    <w:p w:rsidR="00D2480B" w:rsidP="00D2480B" w14:paraId="47EF8ACB" w14:textId="77777777">
      <w:pPr>
        <w:pStyle w:val="FootnoteText"/>
      </w:pPr>
      <w:r w:rsidRPr="00193A4F">
        <w:rPr>
          <w:rStyle w:val="FootnoteReference"/>
        </w:rPr>
        <w:footnoteRef/>
      </w:r>
      <w:r w:rsidRPr="00193A4F">
        <w:t xml:space="preserve"> </w:t>
      </w:r>
      <w:r w:rsidRPr="00193A4F">
        <w:rPr>
          <w:i/>
        </w:rPr>
        <w:t>See</w:t>
      </w:r>
      <w:r w:rsidRPr="00193A4F">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C4AF17" w14:textId="58C4C2B9">
    <w:pPr>
      <w:pStyle w:val="Header"/>
      <w:rPr>
        <w:b w:val="0"/>
      </w:rPr>
    </w:pPr>
    <w:r>
      <w:tab/>
      <w:t>Federal Communications Commission</w:t>
    </w:r>
    <w:r>
      <w:tab/>
    </w:r>
    <w:r w:rsidR="00AC186B">
      <w:t>DA 20-</w:t>
    </w:r>
    <w:r w:rsidR="00EC3EAF">
      <w:t>830</w:t>
    </w:r>
  </w:p>
  <w:p w:rsidR="00D25FB5" w14:paraId="617DD407" w14:textId="201B4A2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333C061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213ABFE" w14:textId="12D823B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D110F0">
      <w:rPr>
        <w:spacing w:val="-2"/>
      </w:rPr>
      <w:t>DA 20-</w:t>
    </w:r>
    <w:r w:rsidR="00EC3EAF">
      <w:rPr>
        <w:spacing w:val="-2"/>
      </w:rPr>
      <w:t>830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6"/>
    <w:lvlOverride w:ilvl="0">
      <w:startOverride w:val="1"/>
    </w:lvlOverride>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0F0"/>
    <w:rsid w:val="00001746"/>
    <w:rsid w:val="00001FC9"/>
    <w:rsid w:val="000058BE"/>
    <w:rsid w:val="00007BBE"/>
    <w:rsid w:val="00011EB5"/>
    <w:rsid w:val="0001239B"/>
    <w:rsid w:val="00013C92"/>
    <w:rsid w:val="00014E3D"/>
    <w:rsid w:val="00016B85"/>
    <w:rsid w:val="00023B39"/>
    <w:rsid w:val="00023E96"/>
    <w:rsid w:val="00025EE1"/>
    <w:rsid w:val="00025F56"/>
    <w:rsid w:val="00026998"/>
    <w:rsid w:val="00036039"/>
    <w:rsid w:val="00036B06"/>
    <w:rsid w:val="00037F90"/>
    <w:rsid w:val="0004007F"/>
    <w:rsid w:val="00041460"/>
    <w:rsid w:val="000629ED"/>
    <w:rsid w:val="000652F4"/>
    <w:rsid w:val="00065DFF"/>
    <w:rsid w:val="00072569"/>
    <w:rsid w:val="0007571D"/>
    <w:rsid w:val="0008028D"/>
    <w:rsid w:val="000875BF"/>
    <w:rsid w:val="00091267"/>
    <w:rsid w:val="0009541C"/>
    <w:rsid w:val="00096D8C"/>
    <w:rsid w:val="00097650"/>
    <w:rsid w:val="000A6332"/>
    <w:rsid w:val="000B3CC4"/>
    <w:rsid w:val="000B7D28"/>
    <w:rsid w:val="000C0B65"/>
    <w:rsid w:val="000C46EB"/>
    <w:rsid w:val="000D0088"/>
    <w:rsid w:val="000D42B4"/>
    <w:rsid w:val="000D5CEE"/>
    <w:rsid w:val="000D6C13"/>
    <w:rsid w:val="000E05FE"/>
    <w:rsid w:val="000E1A09"/>
    <w:rsid w:val="000E3D42"/>
    <w:rsid w:val="000E72EC"/>
    <w:rsid w:val="000F57A2"/>
    <w:rsid w:val="000F5D6F"/>
    <w:rsid w:val="00100513"/>
    <w:rsid w:val="00107C35"/>
    <w:rsid w:val="00112074"/>
    <w:rsid w:val="0011358A"/>
    <w:rsid w:val="00122BD5"/>
    <w:rsid w:val="00133F79"/>
    <w:rsid w:val="00145843"/>
    <w:rsid w:val="001461C9"/>
    <w:rsid w:val="0014725C"/>
    <w:rsid w:val="001478B1"/>
    <w:rsid w:val="001505AE"/>
    <w:rsid w:val="00156A5F"/>
    <w:rsid w:val="0016093D"/>
    <w:rsid w:val="00161410"/>
    <w:rsid w:val="00162101"/>
    <w:rsid w:val="0016233A"/>
    <w:rsid w:val="001656E6"/>
    <w:rsid w:val="001746DE"/>
    <w:rsid w:val="00174F07"/>
    <w:rsid w:val="001826AD"/>
    <w:rsid w:val="00193A4F"/>
    <w:rsid w:val="00194A66"/>
    <w:rsid w:val="001951B4"/>
    <w:rsid w:val="001A2502"/>
    <w:rsid w:val="001B1FAE"/>
    <w:rsid w:val="001B382B"/>
    <w:rsid w:val="001C06B6"/>
    <w:rsid w:val="001C19F5"/>
    <w:rsid w:val="001C1ACC"/>
    <w:rsid w:val="001C3DD3"/>
    <w:rsid w:val="001C7276"/>
    <w:rsid w:val="001D68EF"/>
    <w:rsid w:val="001D6BCF"/>
    <w:rsid w:val="001E01CA"/>
    <w:rsid w:val="001E5514"/>
    <w:rsid w:val="001E7CAA"/>
    <w:rsid w:val="001F766B"/>
    <w:rsid w:val="00201D02"/>
    <w:rsid w:val="0020227E"/>
    <w:rsid w:val="00211E74"/>
    <w:rsid w:val="00213B2F"/>
    <w:rsid w:val="00217368"/>
    <w:rsid w:val="00222EDE"/>
    <w:rsid w:val="002230E4"/>
    <w:rsid w:val="00235E84"/>
    <w:rsid w:val="00240E1C"/>
    <w:rsid w:val="0024188E"/>
    <w:rsid w:val="0024191B"/>
    <w:rsid w:val="00241CEF"/>
    <w:rsid w:val="00245EA4"/>
    <w:rsid w:val="002510EC"/>
    <w:rsid w:val="00270460"/>
    <w:rsid w:val="00275CF5"/>
    <w:rsid w:val="00277C79"/>
    <w:rsid w:val="0028301F"/>
    <w:rsid w:val="00285017"/>
    <w:rsid w:val="00287D7B"/>
    <w:rsid w:val="002943EB"/>
    <w:rsid w:val="00295274"/>
    <w:rsid w:val="002974FF"/>
    <w:rsid w:val="00297A23"/>
    <w:rsid w:val="002A1D9D"/>
    <w:rsid w:val="002A2D2E"/>
    <w:rsid w:val="002A42F3"/>
    <w:rsid w:val="002A6579"/>
    <w:rsid w:val="002B0C4B"/>
    <w:rsid w:val="002B1AB6"/>
    <w:rsid w:val="002B7F52"/>
    <w:rsid w:val="002C00E8"/>
    <w:rsid w:val="002C35CF"/>
    <w:rsid w:val="002C413B"/>
    <w:rsid w:val="002C553B"/>
    <w:rsid w:val="002C566C"/>
    <w:rsid w:val="002C56C0"/>
    <w:rsid w:val="002D1973"/>
    <w:rsid w:val="002D4079"/>
    <w:rsid w:val="002E227D"/>
    <w:rsid w:val="002E7463"/>
    <w:rsid w:val="002F0FDE"/>
    <w:rsid w:val="002F3B92"/>
    <w:rsid w:val="002F5322"/>
    <w:rsid w:val="002F599C"/>
    <w:rsid w:val="002F76FE"/>
    <w:rsid w:val="00300158"/>
    <w:rsid w:val="0030396E"/>
    <w:rsid w:val="0030467B"/>
    <w:rsid w:val="00306530"/>
    <w:rsid w:val="00313C39"/>
    <w:rsid w:val="0032023F"/>
    <w:rsid w:val="00327067"/>
    <w:rsid w:val="00341899"/>
    <w:rsid w:val="00341FBF"/>
    <w:rsid w:val="00343749"/>
    <w:rsid w:val="00344C0B"/>
    <w:rsid w:val="003517D5"/>
    <w:rsid w:val="00355F27"/>
    <w:rsid w:val="00356A54"/>
    <w:rsid w:val="003576AB"/>
    <w:rsid w:val="003636FF"/>
    <w:rsid w:val="00365346"/>
    <w:rsid w:val="003655B6"/>
    <w:rsid w:val="003660ED"/>
    <w:rsid w:val="00372E39"/>
    <w:rsid w:val="0037328A"/>
    <w:rsid w:val="0037476F"/>
    <w:rsid w:val="0038532D"/>
    <w:rsid w:val="00391D75"/>
    <w:rsid w:val="00394983"/>
    <w:rsid w:val="00394E0A"/>
    <w:rsid w:val="003A3506"/>
    <w:rsid w:val="003A3E55"/>
    <w:rsid w:val="003B0550"/>
    <w:rsid w:val="003B11B2"/>
    <w:rsid w:val="003B4F8C"/>
    <w:rsid w:val="003B515F"/>
    <w:rsid w:val="003B694F"/>
    <w:rsid w:val="003C2653"/>
    <w:rsid w:val="003D74C9"/>
    <w:rsid w:val="003D74D4"/>
    <w:rsid w:val="003D7E6A"/>
    <w:rsid w:val="003E34B3"/>
    <w:rsid w:val="003F171C"/>
    <w:rsid w:val="003F4E85"/>
    <w:rsid w:val="0040340F"/>
    <w:rsid w:val="00411726"/>
    <w:rsid w:val="00412FC5"/>
    <w:rsid w:val="00416224"/>
    <w:rsid w:val="00422276"/>
    <w:rsid w:val="004234EE"/>
    <w:rsid w:val="00423A90"/>
    <w:rsid w:val="004242F1"/>
    <w:rsid w:val="00441AFC"/>
    <w:rsid w:val="00443114"/>
    <w:rsid w:val="00445A00"/>
    <w:rsid w:val="00447097"/>
    <w:rsid w:val="00451B0F"/>
    <w:rsid w:val="004525A3"/>
    <w:rsid w:val="00453EC4"/>
    <w:rsid w:val="00460A58"/>
    <w:rsid w:val="0049415B"/>
    <w:rsid w:val="00495255"/>
    <w:rsid w:val="004A1CCC"/>
    <w:rsid w:val="004A5285"/>
    <w:rsid w:val="004A57FD"/>
    <w:rsid w:val="004B4A48"/>
    <w:rsid w:val="004B559C"/>
    <w:rsid w:val="004C2EE3"/>
    <w:rsid w:val="004C2FE9"/>
    <w:rsid w:val="004C452C"/>
    <w:rsid w:val="004C62B8"/>
    <w:rsid w:val="004D206C"/>
    <w:rsid w:val="004D253E"/>
    <w:rsid w:val="004D25FE"/>
    <w:rsid w:val="004D2C74"/>
    <w:rsid w:val="004D338F"/>
    <w:rsid w:val="004D5D35"/>
    <w:rsid w:val="004E4A22"/>
    <w:rsid w:val="004F26FB"/>
    <w:rsid w:val="004F34F9"/>
    <w:rsid w:val="004F6B84"/>
    <w:rsid w:val="004F73A4"/>
    <w:rsid w:val="004F7813"/>
    <w:rsid w:val="00501F73"/>
    <w:rsid w:val="00506CAB"/>
    <w:rsid w:val="00511968"/>
    <w:rsid w:val="005176D7"/>
    <w:rsid w:val="00532D54"/>
    <w:rsid w:val="00536F28"/>
    <w:rsid w:val="00537CBA"/>
    <w:rsid w:val="005476AB"/>
    <w:rsid w:val="0055614C"/>
    <w:rsid w:val="005648E2"/>
    <w:rsid w:val="00566D06"/>
    <w:rsid w:val="00574BD1"/>
    <w:rsid w:val="00580C84"/>
    <w:rsid w:val="00581581"/>
    <w:rsid w:val="00581C2A"/>
    <w:rsid w:val="0058566F"/>
    <w:rsid w:val="00593CAF"/>
    <w:rsid w:val="005B1A77"/>
    <w:rsid w:val="005C1280"/>
    <w:rsid w:val="005C4391"/>
    <w:rsid w:val="005C5983"/>
    <w:rsid w:val="005C5B2F"/>
    <w:rsid w:val="005D01C0"/>
    <w:rsid w:val="005D2230"/>
    <w:rsid w:val="005D22E5"/>
    <w:rsid w:val="005E14C2"/>
    <w:rsid w:val="005F1229"/>
    <w:rsid w:val="005F3177"/>
    <w:rsid w:val="006003CF"/>
    <w:rsid w:val="006005DF"/>
    <w:rsid w:val="00601B10"/>
    <w:rsid w:val="00603107"/>
    <w:rsid w:val="00603376"/>
    <w:rsid w:val="00607BA5"/>
    <w:rsid w:val="0061180A"/>
    <w:rsid w:val="0061184E"/>
    <w:rsid w:val="006219E8"/>
    <w:rsid w:val="00623515"/>
    <w:rsid w:val="00626EB6"/>
    <w:rsid w:val="006429EB"/>
    <w:rsid w:val="00646045"/>
    <w:rsid w:val="0065459C"/>
    <w:rsid w:val="00655D03"/>
    <w:rsid w:val="00662434"/>
    <w:rsid w:val="00662773"/>
    <w:rsid w:val="006630A9"/>
    <w:rsid w:val="00663F11"/>
    <w:rsid w:val="0067245A"/>
    <w:rsid w:val="0067426B"/>
    <w:rsid w:val="00674BEC"/>
    <w:rsid w:val="0067798A"/>
    <w:rsid w:val="006820DF"/>
    <w:rsid w:val="00683388"/>
    <w:rsid w:val="00683F84"/>
    <w:rsid w:val="0069685B"/>
    <w:rsid w:val="00697185"/>
    <w:rsid w:val="006A0C88"/>
    <w:rsid w:val="006A69EA"/>
    <w:rsid w:val="006A6A81"/>
    <w:rsid w:val="006B1A70"/>
    <w:rsid w:val="006B3291"/>
    <w:rsid w:val="006C48A0"/>
    <w:rsid w:val="006C5C0E"/>
    <w:rsid w:val="006D22ED"/>
    <w:rsid w:val="006D5646"/>
    <w:rsid w:val="006E1DDE"/>
    <w:rsid w:val="006E4DA8"/>
    <w:rsid w:val="006F359E"/>
    <w:rsid w:val="006F7393"/>
    <w:rsid w:val="00700718"/>
    <w:rsid w:val="0070224F"/>
    <w:rsid w:val="00705B72"/>
    <w:rsid w:val="00706D4B"/>
    <w:rsid w:val="007115F7"/>
    <w:rsid w:val="0071655B"/>
    <w:rsid w:val="00721A2B"/>
    <w:rsid w:val="00721C23"/>
    <w:rsid w:val="00724CAD"/>
    <w:rsid w:val="00740944"/>
    <w:rsid w:val="00742FC5"/>
    <w:rsid w:val="00743EC4"/>
    <w:rsid w:val="00785689"/>
    <w:rsid w:val="0079325E"/>
    <w:rsid w:val="00793A96"/>
    <w:rsid w:val="0079754B"/>
    <w:rsid w:val="007A0581"/>
    <w:rsid w:val="007A1524"/>
    <w:rsid w:val="007A1E6D"/>
    <w:rsid w:val="007A7D91"/>
    <w:rsid w:val="007B0EB2"/>
    <w:rsid w:val="007B1B9B"/>
    <w:rsid w:val="007B2458"/>
    <w:rsid w:val="007C0EBF"/>
    <w:rsid w:val="007D083D"/>
    <w:rsid w:val="007D1A7C"/>
    <w:rsid w:val="007D2C27"/>
    <w:rsid w:val="007D3946"/>
    <w:rsid w:val="007E1070"/>
    <w:rsid w:val="007E3BDB"/>
    <w:rsid w:val="007E40AB"/>
    <w:rsid w:val="007F4BE3"/>
    <w:rsid w:val="008028DC"/>
    <w:rsid w:val="008048A0"/>
    <w:rsid w:val="00810B6F"/>
    <w:rsid w:val="00812E80"/>
    <w:rsid w:val="008220E6"/>
    <w:rsid w:val="00822CE0"/>
    <w:rsid w:val="00823594"/>
    <w:rsid w:val="00841AB1"/>
    <w:rsid w:val="008435F3"/>
    <w:rsid w:val="00860FCE"/>
    <w:rsid w:val="00865B4A"/>
    <w:rsid w:val="00866E40"/>
    <w:rsid w:val="00872012"/>
    <w:rsid w:val="0087363A"/>
    <w:rsid w:val="00890F4C"/>
    <w:rsid w:val="00891526"/>
    <w:rsid w:val="008A2184"/>
    <w:rsid w:val="008A2BBF"/>
    <w:rsid w:val="008B0EC6"/>
    <w:rsid w:val="008B34BE"/>
    <w:rsid w:val="008C53EE"/>
    <w:rsid w:val="008C68F1"/>
    <w:rsid w:val="008D0719"/>
    <w:rsid w:val="008E2D1E"/>
    <w:rsid w:val="00903909"/>
    <w:rsid w:val="0090662A"/>
    <w:rsid w:val="00912B4D"/>
    <w:rsid w:val="00912F49"/>
    <w:rsid w:val="00921803"/>
    <w:rsid w:val="00925E5F"/>
    <w:rsid w:val="00926503"/>
    <w:rsid w:val="009307B2"/>
    <w:rsid w:val="00936148"/>
    <w:rsid w:val="009367A0"/>
    <w:rsid w:val="00936F24"/>
    <w:rsid w:val="00937C86"/>
    <w:rsid w:val="009441F1"/>
    <w:rsid w:val="00945D03"/>
    <w:rsid w:val="009460C0"/>
    <w:rsid w:val="00961BBE"/>
    <w:rsid w:val="00961DFB"/>
    <w:rsid w:val="00970E92"/>
    <w:rsid w:val="009726D8"/>
    <w:rsid w:val="009737FE"/>
    <w:rsid w:val="009752A9"/>
    <w:rsid w:val="00976C01"/>
    <w:rsid w:val="00983387"/>
    <w:rsid w:val="009A052B"/>
    <w:rsid w:val="009A2C24"/>
    <w:rsid w:val="009A463D"/>
    <w:rsid w:val="009B19ED"/>
    <w:rsid w:val="009B2041"/>
    <w:rsid w:val="009B5801"/>
    <w:rsid w:val="009D7017"/>
    <w:rsid w:val="009D7308"/>
    <w:rsid w:val="009E437D"/>
    <w:rsid w:val="009E5D6E"/>
    <w:rsid w:val="009F50C5"/>
    <w:rsid w:val="009F6507"/>
    <w:rsid w:val="009F76DB"/>
    <w:rsid w:val="00A03D70"/>
    <w:rsid w:val="00A1457C"/>
    <w:rsid w:val="00A14B2C"/>
    <w:rsid w:val="00A24177"/>
    <w:rsid w:val="00A32C3B"/>
    <w:rsid w:val="00A4456D"/>
    <w:rsid w:val="00A45F4F"/>
    <w:rsid w:val="00A4775F"/>
    <w:rsid w:val="00A47E32"/>
    <w:rsid w:val="00A600A9"/>
    <w:rsid w:val="00A63AFC"/>
    <w:rsid w:val="00A713D6"/>
    <w:rsid w:val="00A759A2"/>
    <w:rsid w:val="00A903F4"/>
    <w:rsid w:val="00A91BD7"/>
    <w:rsid w:val="00AA1311"/>
    <w:rsid w:val="00AA4FBD"/>
    <w:rsid w:val="00AA55B7"/>
    <w:rsid w:val="00AA5B9E"/>
    <w:rsid w:val="00AB2407"/>
    <w:rsid w:val="00AB2703"/>
    <w:rsid w:val="00AB4FF2"/>
    <w:rsid w:val="00AB53DF"/>
    <w:rsid w:val="00AC0AD4"/>
    <w:rsid w:val="00AC186B"/>
    <w:rsid w:val="00AC47C4"/>
    <w:rsid w:val="00AD0726"/>
    <w:rsid w:val="00AD34B3"/>
    <w:rsid w:val="00AD4547"/>
    <w:rsid w:val="00AE47BE"/>
    <w:rsid w:val="00B00338"/>
    <w:rsid w:val="00B06456"/>
    <w:rsid w:val="00B07E5C"/>
    <w:rsid w:val="00B10D6A"/>
    <w:rsid w:val="00B13854"/>
    <w:rsid w:val="00B14401"/>
    <w:rsid w:val="00B16945"/>
    <w:rsid w:val="00B20605"/>
    <w:rsid w:val="00B22D60"/>
    <w:rsid w:val="00B26C4D"/>
    <w:rsid w:val="00B34199"/>
    <w:rsid w:val="00B35C46"/>
    <w:rsid w:val="00B35F8D"/>
    <w:rsid w:val="00B47989"/>
    <w:rsid w:val="00B50247"/>
    <w:rsid w:val="00B62C89"/>
    <w:rsid w:val="00B675CF"/>
    <w:rsid w:val="00B73273"/>
    <w:rsid w:val="00B733BD"/>
    <w:rsid w:val="00B75D04"/>
    <w:rsid w:val="00B77120"/>
    <w:rsid w:val="00B811F7"/>
    <w:rsid w:val="00B83340"/>
    <w:rsid w:val="00B85C31"/>
    <w:rsid w:val="00B909C6"/>
    <w:rsid w:val="00BA08F1"/>
    <w:rsid w:val="00BA0B53"/>
    <w:rsid w:val="00BA5DC6"/>
    <w:rsid w:val="00BA6196"/>
    <w:rsid w:val="00BA787C"/>
    <w:rsid w:val="00BB18F6"/>
    <w:rsid w:val="00BB30A8"/>
    <w:rsid w:val="00BB4015"/>
    <w:rsid w:val="00BB4E94"/>
    <w:rsid w:val="00BB5886"/>
    <w:rsid w:val="00BC0D16"/>
    <w:rsid w:val="00BC1096"/>
    <w:rsid w:val="00BC1F2F"/>
    <w:rsid w:val="00BC24F1"/>
    <w:rsid w:val="00BC2A43"/>
    <w:rsid w:val="00BC2A63"/>
    <w:rsid w:val="00BC3143"/>
    <w:rsid w:val="00BC3C22"/>
    <w:rsid w:val="00BC6D8C"/>
    <w:rsid w:val="00BC7BD8"/>
    <w:rsid w:val="00BD1E81"/>
    <w:rsid w:val="00BD207C"/>
    <w:rsid w:val="00BD7D59"/>
    <w:rsid w:val="00BE5D53"/>
    <w:rsid w:val="00BE73A4"/>
    <w:rsid w:val="00BF60CC"/>
    <w:rsid w:val="00BF7989"/>
    <w:rsid w:val="00BF7F8B"/>
    <w:rsid w:val="00C003F3"/>
    <w:rsid w:val="00C04A92"/>
    <w:rsid w:val="00C146A4"/>
    <w:rsid w:val="00C2387A"/>
    <w:rsid w:val="00C34006"/>
    <w:rsid w:val="00C35EC8"/>
    <w:rsid w:val="00C36B4C"/>
    <w:rsid w:val="00C426B1"/>
    <w:rsid w:val="00C43926"/>
    <w:rsid w:val="00C4528D"/>
    <w:rsid w:val="00C5303B"/>
    <w:rsid w:val="00C5675B"/>
    <w:rsid w:val="00C612E5"/>
    <w:rsid w:val="00C6403F"/>
    <w:rsid w:val="00C64052"/>
    <w:rsid w:val="00C66160"/>
    <w:rsid w:val="00C71376"/>
    <w:rsid w:val="00C721AC"/>
    <w:rsid w:val="00C74B40"/>
    <w:rsid w:val="00C77598"/>
    <w:rsid w:val="00C835AB"/>
    <w:rsid w:val="00C845DD"/>
    <w:rsid w:val="00C90D6A"/>
    <w:rsid w:val="00C93322"/>
    <w:rsid w:val="00CA247E"/>
    <w:rsid w:val="00CA3179"/>
    <w:rsid w:val="00CA6D21"/>
    <w:rsid w:val="00CB36D5"/>
    <w:rsid w:val="00CB77DA"/>
    <w:rsid w:val="00CC3995"/>
    <w:rsid w:val="00CC401A"/>
    <w:rsid w:val="00CC4356"/>
    <w:rsid w:val="00CC72B6"/>
    <w:rsid w:val="00CD31BB"/>
    <w:rsid w:val="00CD40CD"/>
    <w:rsid w:val="00CD57B8"/>
    <w:rsid w:val="00CD6FEE"/>
    <w:rsid w:val="00CE1981"/>
    <w:rsid w:val="00CF41DB"/>
    <w:rsid w:val="00D0218D"/>
    <w:rsid w:val="00D02B87"/>
    <w:rsid w:val="00D110F0"/>
    <w:rsid w:val="00D12909"/>
    <w:rsid w:val="00D15FC9"/>
    <w:rsid w:val="00D1601D"/>
    <w:rsid w:val="00D21AAD"/>
    <w:rsid w:val="00D2480B"/>
    <w:rsid w:val="00D2580D"/>
    <w:rsid w:val="00D25FB5"/>
    <w:rsid w:val="00D272C6"/>
    <w:rsid w:val="00D27F74"/>
    <w:rsid w:val="00D3527A"/>
    <w:rsid w:val="00D44223"/>
    <w:rsid w:val="00D57DD1"/>
    <w:rsid w:val="00D626DD"/>
    <w:rsid w:val="00D638F7"/>
    <w:rsid w:val="00D63AAC"/>
    <w:rsid w:val="00D66CF9"/>
    <w:rsid w:val="00D67EC9"/>
    <w:rsid w:val="00D767B6"/>
    <w:rsid w:val="00D919B0"/>
    <w:rsid w:val="00D943F8"/>
    <w:rsid w:val="00DA2529"/>
    <w:rsid w:val="00DA678E"/>
    <w:rsid w:val="00DB130A"/>
    <w:rsid w:val="00DB2EBB"/>
    <w:rsid w:val="00DB424E"/>
    <w:rsid w:val="00DB4819"/>
    <w:rsid w:val="00DC10A1"/>
    <w:rsid w:val="00DC11C9"/>
    <w:rsid w:val="00DC14E6"/>
    <w:rsid w:val="00DC655F"/>
    <w:rsid w:val="00DC765C"/>
    <w:rsid w:val="00DD0B59"/>
    <w:rsid w:val="00DD18E3"/>
    <w:rsid w:val="00DD20F0"/>
    <w:rsid w:val="00DD55C2"/>
    <w:rsid w:val="00DD7EBD"/>
    <w:rsid w:val="00DE15E0"/>
    <w:rsid w:val="00DE415E"/>
    <w:rsid w:val="00DF532A"/>
    <w:rsid w:val="00DF62B6"/>
    <w:rsid w:val="00E05904"/>
    <w:rsid w:val="00E07225"/>
    <w:rsid w:val="00E162BF"/>
    <w:rsid w:val="00E35B3A"/>
    <w:rsid w:val="00E35D22"/>
    <w:rsid w:val="00E3724F"/>
    <w:rsid w:val="00E40A3F"/>
    <w:rsid w:val="00E429DB"/>
    <w:rsid w:val="00E43A76"/>
    <w:rsid w:val="00E5409F"/>
    <w:rsid w:val="00E67CF8"/>
    <w:rsid w:val="00E72176"/>
    <w:rsid w:val="00E774C3"/>
    <w:rsid w:val="00E81489"/>
    <w:rsid w:val="00E83C70"/>
    <w:rsid w:val="00E86B52"/>
    <w:rsid w:val="00E94614"/>
    <w:rsid w:val="00EA152F"/>
    <w:rsid w:val="00EB69B4"/>
    <w:rsid w:val="00EC3EAF"/>
    <w:rsid w:val="00ED2F48"/>
    <w:rsid w:val="00ED321B"/>
    <w:rsid w:val="00ED74A3"/>
    <w:rsid w:val="00EE2B37"/>
    <w:rsid w:val="00EE3EEE"/>
    <w:rsid w:val="00EE431E"/>
    <w:rsid w:val="00EE6488"/>
    <w:rsid w:val="00EF20FB"/>
    <w:rsid w:val="00EF4240"/>
    <w:rsid w:val="00F021FA"/>
    <w:rsid w:val="00F1238E"/>
    <w:rsid w:val="00F1284F"/>
    <w:rsid w:val="00F221ED"/>
    <w:rsid w:val="00F23D9B"/>
    <w:rsid w:val="00F262A3"/>
    <w:rsid w:val="00F2793C"/>
    <w:rsid w:val="00F31B7C"/>
    <w:rsid w:val="00F32FB8"/>
    <w:rsid w:val="00F36F27"/>
    <w:rsid w:val="00F43B71"/>
    <w:rsid w:val="00F46790"/>
    <w:rsid w:val="00F471BF"/>
    <w:rsid w:val="00F5321B"/>
    <w:rsid w:val="00F5792A"/>
    <w:rsid w:val="00F62E97"/>
    <w:rsid w:val="00F64209"/>
    <w:rsid w:val="00F671FE"/>
    <w:rsid w:val="00F80F95"/>
    <w:rsid w:val="00F86A07"/>
    <w:rsid w:val="00F91391"/>
    <w:rsid w:val="00F93BF5"/>
    <w:rsid w:val="00FA7612"/>
    <w:rsid w:val="00FB00D5"/>
    <w:rsid w:val="00FC01C5"/>
    <w:rsid w:val="00FC508D"/>
    <w:rsid w:val="00FC5453"/>
    <w:rsid w:val="00FC759C"/>
    <w:rsid w:val="00FD72A5"/>
    <w:rsid w:val="00FD7B51"/>
    <w:rsid w:val="00FE2269"/>
    <w:rsid w:val="00FE67C3"/>
    <w:rsid w:val="00FF1395"/>
    <w:rsid w:val="00FF1D84"/>
    <w:rsid w:val="00FF65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A6DBB48-87FC-4057-8B48-07587979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EAF"/>
    <w:pPr>
      <w:widowControl w:val="0"/>
    </w:pPr>
    <w:rPr>
      <w:snapToGrid w:val="0"/>
      <w:kern w:val="28"/>
      <w:sz w:val="22"/>
    </w:rPr>
  </w:style>
  <w:style w:type="paragraph" w:styleId="Heading1">
    <w:name w:val="heading 1"/>
    <w:basedOn w:val="Normal"/>
    <w:next w:val="ParaNum"/>
    <w:qFormat/>
    <w:rsid w:val="00EC3EA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C3EAF"/>
    <w:pPr>
      <w:keepNext/>
      <w:numPr>
        <w:ilvl w:val="1"/>
        <w:numId w:val="3"/>
      </w:numPr>
      <w:spacing w:after="120"/>
      <w:outlineLvl w:val="1"/>
    </w:pPr>
    <w:rPr>
      <w:b/>
    </w:rPr>
  </w:style>
  <w:style w:type="paragraph" w:styleId="Heading3">
    <w:name w:val="heading 3"/>
    <w:basedOn w:val="Normal"/>
    <w:next w:val="ParaNum"/>
    <w:qFormat/>
    <w:rsid w:val="00EC3EAF"/>
    <w:pPr>
      <w:keepNext/>
      <w:numPr>
        <w:ilvl w:val="2"/>
        <w:numId w:val="3"/>
      </w:numPr>
      <w:tabs>
        <w:tab w:val="left" w:pos="2160"/>
      </w:tabs>
      <w:spacing w:after="120"/>
      <w:outlineLvl w:val="2"/>
    </w:pPr>
    <w:rPr>
      <w:b/>
    </w:rPr>
  </w:style>
  <w:style w:type="paragraph" w:styleId="Heading4">
    <w:name w:val="heading 4"/>
    <w:basedOn w:val="Normal"/>
    <w:next w:val="ParaNum"/>
    <w:qFormat/>
    <w:rsid w:val="00EC3EAF"/>
    <w:pPr>
      <w:keepNext/>
      <w:numPr>
        <w:ilvl w:val="3"/>
        <w:numId w:val="3"/>
      </w:numPr>
      <w:tabs>
        <w:tab w:val="left" w:pos="2880"/>
      </w:tabs>
      <w:spacing w:after="120"/>
      <w:outlineLvl w:val="3"/>
    </w:pPr>
    <w:rPr>
      <w:b/>
    </w:rPr>
  </w:style>
  <w:style w:type="paragraph" w:styleId="Heading5">
    <w:name w:val="heading 5"/>
    <w:basedOn w:val="Normal"/>
    <w:next w:val="ParaNum"/>
    <w:qFormat/>
    <w:rsid w:val="00EC3EA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C3EAF"/>
    <w:pPr>
      <w:numPr>
        <w:ilvl w:val="5"/>
        <w:numId w:val="3"/>
      </w:numPr>
      <w:tabs>
        <w:tab w:val="left" w:pos="4320"/>
      </w:tabs>
      <w:spacing w:after="120"/>
      <w:outlineLvl w:val="5"/>
    </w:pPr>
    <w:rPr>
      <w:b/>
    </w:rPr>
  </w:style>
  <w:style w:type="paragraph" w:styleId="Heading7">
    <w:name w:val="heading 7"/>
    <w:basedOn w:val="Normal"/>
    <w:next w:val="ParaNum"/>
    <w:qFormat/>
    <w:rsid w:val="00EC3EA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C3EA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C3EA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C3E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3EAF"/>
  </w:style>
  <w:style w:type="paragraph" w:customStyle="1" w:styleId="ParaNum">
    <w:name w:val="ParaNum"/>
    <w:basedOn w:val="Normal"/>
    <w:link w:val="ParaNumChar"/>
    <w:rsid w:val="00EC3EAF"/>
    <w:pPr>
      <w:numPr>
        <w:numId w:val="2"/>
      </w:numPr>
      <w:tabs>
        <w:tab w:val="clear" w:pos="1080"/>
        <w:tab w:val="num" w:pos="1440"/>
      </w:tabs>
      <w:spacing w:after="120"/>
    </w:pPr>
  </w:style>
  <w:style w:type="paragraph" w:styleId="EndnoteText">
    <w:name w:val="endnote text"/>
    <w:basedOn w:val="Normal"/>
    <w:semiHidden/>
    <w:rsid w:val="00EC3EAF"/>
    <w:rPr>
      <w:sz w:val="20"/>
    </w:rPr>
  </w:style>
  <w:style w:type="character" w:styleId="EndnoteReference">
    <w:name w:val="endnote reference"/>
    <w:semiHidden/>
    <w:rsid w:val="00EC3EAF"/>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EC3EAF"/>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EC3EAF"/>
    <w:rPr>
      <w:rFonts w:ascii="Times New Roman" w:hAnsi="Times New Roman"/>
      <w:dstrike w:val="0"/>
      <w:color w:val="auto"/>
      <w:sz w:val="20"/>
      <w:vertAlign w:val="superscript"/>
    </w:rPr>
  </w:style>
  <w:style w:type="paragraph" w:styleId="TOC1">
    <w:name w:val="toc 1"/>
    <w:basedOn w:val="Normal"/>
    <w:next w:val="Normal"/>
    <w:semiHidden/>
    <w:rsid w:val="00EC3EA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C3EAF"/>
    <w:pPr>
      <w:tabs>
        <w:tab w:val="left" w:pos="720"/>
        <w:tab w:val="right" w:leader="dot" w:pos="9360"/>
      </w:tabs>
      <w:suppressAutoHyphens/>
      <w:ind w:left="720" w:right="720" w:hanging="360"/>
    </w:pPr>
    <w:rPr>
      <w:noProof/>
    </w:rPr>
  </w:style>
  <w:style w:type="paragraph" w:styleId="TOC3">
    <w:name w:val="toc 3"/>
    <w:basedOn w:val="Normal"/>
    <w:next w:val="Normal"/>
    <w:semiHidden/>
    <w:rsid w:val="00EC3EA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C3EA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C3EA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C3EA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C3EA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C3EA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C3EA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C3EAF"/>
    <w:pPr>
      <w:tabs>
        <w:tab w:val="right" w:pos="9360"/>
      </w:tabs>
      <w:suppressAutoHyphens/>
    </w:pPr>
  </w:style>
  <w:style w:type="character" w:customStyle="1" w:styleId="EquationCaption">
    <w:name w:val="_Equation Caption"/>
    <w:rsid w:val="00EC3EAF"/>
  </w:style>
  <w:style w:type="paragraph" w:styleId="Header">
    <w:name w:val="header"/>
    <w:basedOn w:val="Normal"/>
    <w:autoRedefine/>
    <w:rsid w:val="00EC3EAF"/>
    <w:pPr>
      <w:tabs>
        <w:tab w:val="center" w:pos="4680"/>
        <w:tab w:val="right" w:pos="9360"/>
      </w:tabs>
    </w:pPr>
    <w:rPr>
      <w:b/>
    </w:rPr>
  </w:style>
  <w:style w:type="paragraph" w:styleId="Footer">
    <w:name w:val="footer"/>
    <w:basedOn w:val="Normal"/>
    <w:link w:val="FooterChar"/>
    <w:uiPriority w:val="99"/>
    <w:rsid w:val="00EC3EAF"/>
    <w:pPr>
      <w:tabs>
        <w:tab w:val="center" w:pos="4320"/>
        <w:tab w:val="right" w:pos="8640"/>
      </w:tabs>
    </w:pPr>
  </w:style>
  <w:style w:type="character" w:styleId="PageNumber">
    <w:name w:val="page number"/>
    <w:basedOn w:val="DefaultParagraphFont"/>
    <w:rsid w:val="00EC3EAF"/>
  </w:style>
  <w:style w:type="paragraph" w:styleId="BlockText">
    <w:name w:val="Block Text"/>
    <w:basedOn w:val="Normal"/>
    <w:rsid w:val="00EC3EAF"/>
    <w:pPr>
      <w:spacing w:after="240"/>
      <w:ind w:left="1440" w:right="1440"/>
    </w:pPr>
  </w:style>
  <w:style w:type="paragraph" w:customStyle="1" w:styleId="Paratitle">
    <w:name w:val="Para title"/>
    <w:basedOn w:val="Normal"/>
    <w:rsid w:val="00EC3EAF"/>
    <w:pPr>
      <w:tabs>
        <w:tab w:val="center" w:pos="9270"/>
      </w:tabs>
      <w:spacing w:after="240"/>
    </w:pPr>
    <w:rPr>
      <w:spacing w:val="-2"/>
    </w:rPr>
  </w:style>
  <w:style w:type="paragraph" w:customStyle="1" w:styleId="Bullet">
    <w:name w:val="Bullet"/>
    <w:basedOn w:val="Normal"/>
    <w:rsid w:val="00EC3EAF"/>
    <w:pPr>
      <w:tabs>
        <w:tab w:val="left" w:pos="2160"/>
      </w:tabs>
      <w:spacing w:after="220"/>
      <w:ind w:left="2160" w:hanging="720"/>
    </w:pPr>
  </w:style>
  <w:style w:type="paragraph" w:customStyle="1" w:styleId="TableFormat">
    <w:name w:val="TableFormat"/>
    <w:basedOn w:val="Bullet"/>
    <w:rsid w:val="00EC3EAF"/>
    <w:pPr>
      <w:tabs>
        <w:tab w:val="clear" w:pos="2160"/>
        <w:tab w:val="left" w:pos="5040"/>
      </w:tabs>
      <w:ind w:left="5040" w:hanging="3600"/>
    </w:pPr>
  </w:style>
  <w:style w:type="paragraph" w:customStyle="1" w:styleId="TOCTitle">
    <w:name w:val="TOC Title"/>
    <w:basedOn w:val="Normal"/>
    <w:rsid w:val="00EC3EA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C3EAF"/>
    <w:pPr>
      <w:jc w:val="center"/>
    </w:pPr>
    <w:rPr>
      <w:rFonts w:ascii="Times New Roman Bold" w:hAnsi="Times New Roman Bold"/>
      <w:b/>
      <w:bCs/>
      <w:caps/>
      <w:szCs w:val="22"/>
    </w:rPr>
  </w:style>
  <w:style w:type="character" w:styleId="Hyperlink">
    <w:name w:val="Hyperlink"/>
    <w:rsid w:val="00EC3EAF"/>
    <w:rPr>
      <w:color w:val="0000FF"/>
      <w:u w:val="single"/>
    </w:rPr>
  </w:style>
  <w:style w:type="character" w:customStyle="1" w:styleId="FooterChar">
    <w:name w:val="Footer Char"/>
    <w:link w:val="Footer"/>
    <w:uiPriority w:val="99"/>
    <w:rsid w:val="00EC3EAF"/>
    <w:rPr>
      <w:snapToGrid w:val="0"/>
      <w:kern w:val="28"/>
      <w:sz w:val="22"/>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link w:val="FootnoteText"/>
    <w:locked/>
    <w:rsid w:val="00D2480B"/>
  </w:style>
  <w:style w:type="character" w:customStyle="1" w:styleId="ParaNumChar">
    <w:name w:val="ParaNum Char"/>
    <w:link w:val="ParaNum"/>
    <w:locked/>
    <w:rsid w:val="00D2480B"/>
    <w:rPr>
      <w:snapToGrid w:val="0"/>
      <w:kern w:val="28"/>
      <w:sz w:val="22"/>
    </w:rPr>
  </w:style>
  <w:style w:type="paragraph" w:styleId="BalloonText">
    <w:name w:val="Balloon Text"/>
    <w:basedOn w:val="Normal"/>
    <w:link w:val="BalloonTextChar"/>
    <w:rsid w:val="0067245A"/>
    <w:rPr>
      <w:sz w:val="18"/>
      <w:szCs w:val="18"/>
    </w:rPr>
  </w:style>
  <w:style w:type="character" w:customStyle="1" w:styleId="BalloonTextChar">
    <w:name w:val="Balloon Text Char"/>
    <w:link w:val="BalloonText"/>
    <w:rsid w:val="0067245A"/>
    <w:rPr>
      <w:snapToGrid w:val="0"/>
      <w:kern w:val="28"/>
      <w:sz w:val="18"/>
      <w:szCs w:val="18"/>
    </w:rPr>
  </w:style>
  <w:style w:type="character" w:customStyle="1" w:styleId="documentbody">
    <w:name w:val="documentbody"/>
    <w:uiPriority w:val="99"/>
    <w:rsid w:val="00700718"/>
  </w:style>
  <w:style w:type="character" w:customStyle="1" w:styleId="searchterm">
    <w:name w:val="searchterm"/>
    <w:uiPriority w:val="99"/>
    <w:rsid w:val="00700718"/>
  </w:style>
  <w:style w:type="character" w:styleId="CommentReference">
    <w:name w:val="annotation reference"/>
    <w:rsid w:val="00EB69B4"/>
    <w:rPr>
      <w:sz w:val="16"/>
      <w:szCs w:val="16"/>
    </w:rPr>
  </w:style>
  <w:style w:type="paragraph" w:styleId="CommentText">
    <w:name w:val="annotation text"/>
    <w:basedOn w:val="Normal"/>
    <w:link w:val="CommentTextChar"/>
    <w:rsid w:val="00EB69B4"/>
    <w:rPr>
      <w:sz w:val="20"/>
    </w:rPr>
  </w:style>
  <w:style w:type="character" w:customStyle="1" w:styleId="CommentTextChar">
    <w:name w:val="Comment Text Char"/>
    <w:link w:val="CommentText"/>
    <w:rsid w:val="00EB69B4"/>
    <w:rPr>
      <w:snapToGrid w:val="0"/>
      <w:kern w:val="28"/>
    </w:rPr>
  </w:style>
  <w:style w:type="paragraph" w:styleId="CommentSubject">
    <w:name w:val="annotation subject"/>
    <w:basedOn w:val="CommentText"/>
    <w:next w:val="CommentText"/>
    <w:link w:val="CommentSubjectChar"/>
    <w:rsid w:val="00EB69B4"/>
    <w:rPr>
      <w:b/>
      <w:bCs/>
    </w:rPr>
  </w:style>
  <w:style w:type="character" w:customStyle="1" w:styleId="CommentSubjectChar">
    <w:name w:val="Comment Subject Char"/>
    <w:link w:val="CommentSubject"/>
    <w:rsid w:val="00EB69B4"/>
    <w:rPr>
      <w:b/>
      <w:bCs/>
      <w:snapToGrid w:val="0"/>
      <w:kern w:val="28"/>
    </w:rPr>
  </w:style>
  <w:style w:type="character" w:customStyle="1" w:styleId="UnresolvedMention">
    <w:name w:val="Unresolved Mention"/>
    <w:uiPriority w:val="99"/>
    <w:semiHidden/>
    <w:unhideWhenUsed/>
    <w:rsid w:val="001C1ACC"/>
    <w:rPr>
      <w:color w:val="605E5C"/>
      <w:shd w:val="clear" w:color="auto" w:fill="E1DFDD"/>
    </w:rPr>
  </w:style>
  <w:style w:type="paragraph" w:styleId="NormalWeb">
    <w:name w:val="Normal (Web)"/>
    <w:basedOn w:val="Normal"/>
    <w:uiPriority w:val="99"/>
    <w:unhideWhenUsed/>
    <w:rsid w:val="00041460"/>
    <w:pPr>
      <w:widowControl/>
      <w:spacing w:before="100" w:beforeAutospacing="1" w:after="100" w:afterAutospacing="1"/>
    </w:pPr>
    <w:rPr>
      <w:snapToGrid/>
      <w:kern w:val="0"/>
      <w:sz w:val="24"/>
      <w:szCs w:val="24"/>
    </w:rPr>
  </w:style>
  <w:style w:type="character" w:styleId="FollowedHyperlink">
    <w:name w:val="FollowedHyperlink"/>
    <w:rsid w:val="009307B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43773A1.pdf" TargetMode="External" /><Relationship Id="rId10" Type="http://schemas.openxmlformats.org/officeDocument/2006/relationships/hyperlink" Target="http://www.fcc.gov/Forms/Form159/159.pdf" TargetMode="External" /><Relationship Id="rId2" Type="http://schemas.openxmlformats.org/officeDocument/2006/relationships/hyperlink" Target="https://docs.fcc.gov/public/attachments/DOC-292674A1.pdf" TargetMode="External" /><Relationship Id="rId3" Type="http://schemas.openxmlformats.org/officeDocument/2006/relationships/hyperlink" Target="https://docs.fcc.gov/public/attachments/DOC-321205A1.pdf" TargetMode="External" /><Relationship Id="rId4" Type="http://schemas.openxmlformats.org/officeDocument/2006/relationships/hyperlink" Target="https://docs.fcc.gov/public/attachments/DOC-318539A1.pdf" TargetMode="External" /><Relationship Id="rId5" Type="http://schemas.openxmlformats.org/officeDocument/2006/relationships/hyperlink" Target="https://docs.fcc.gov/public/attachments/DOC-324209A1.pdf" TargetMode="External" /><Relationship Id="rId6" Type="http://schemas.openxmlformats.org/officeDocument/2006/relationships/hyperlink" Target="https://docs.fcc.gov/public/attachments/DOC-311101A1.pdf" TargetMode="External" /><Relationship Id="rId7" Type="http://schemas.openxmlformats.org/officeDocument/2006/relationships/hyperlink" Target="https://docs.fcc.gov/public/attachments/DOC-299874A1.pdf" TargetMode="External" /><Relationship Id="rId8" Type="http://schemas.openxmlformats.org/officeDocument/2006/relationships/hyperlink" Target="https://docs.fcc.gov/public/attachments/DOC-276660A1.pdf" TargetMode="External" /><Relationship Id="rId9" Type="http://schemas.openxmlformats.org/officeDocument/2006/relationships/hyperlink" Target="mailto:ARINQUIRIES@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