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15ACE" w:rsidRPr="007D1BDC" w:rsidP="00F15ACE" w14:paraId="234DF648" w14:textId="449064F1">
      <w:pPr>
        <w:widowControl/>
        <w:jc w:val="center"/>
        <w:rPr>
          <w:b/>
        </w:rPr>
      </w:pPr>
      <w:bookmarkStart w:id="0" w:name="_Hlk10708376"/>
      <w:bookmarkStart w:id="1" w:name="_GoBack"/>
      <w:bookmarkEnd w:id="1"/>
      <w:r w:rsidRPr="007D1BDC">
        <w:rPr>
          <w:b/>
          <w:kern w:val="0"/>
          <w:szCs w:val="22"/>
        </w:rPr>
        <w:t>Before</w:t>
      </w:r>
      <w:r w:rsidRPr="007D1BDC">
        <w:rPr>
          <w:b/>
        </w:rPr>
        <w:t xml:space="preserve"> the</w:t>
      </w:r>
    </w:p>
    <w:p w:rsidR="00F15ACE" w:rsidRPr="007D1BDC" w:rsidP="00F15ACE" w14:paraId="00EDEA9F" w14:textId="77777777">
      <w:pPr>
        <w:pStyle w:val="StyleBoldCentered"/>
        <w:widowControl/>
        <w:rPr>
          <w:rFonts w:ascii="Times New Roman" w:hAnsi="Times New Roman"/>
        </w:rPr>
      </w:pPr>
      <w:r w:rsidRPr="007D1BDC">
        <w:rPr>
          <w:rFonts w:ascii="Times New Roman" w:hAnsi="Times New Roman"/>
        </w:rPr>
        <w:t>F</w:t>
      </w:r>
      <w:r w:rsidRPr="007D1BDC">
        <w:rPr>
          <w:rFonts w:ascii="Times New Roman" w:hAnsi="Times New Roman"/>
          <w:caps w:val="0"/>
        </w:rPr>
        <w:t>ederal Communications Commission</w:t>
      </w:r>
    </w:p>
    <w:p w:rsidR="00F15ACE" w:rsidRPr="007D1BDC" w:rsidP="00F15ACE" w14:paraId="424E8DA9" w14:textId="77777777">
      <w:pPr>
        <w:pStyle w:val="StyleBoldCentered"/>
        <w:widowControl/>
        <w:rPr>
          <w:rFonts w:ascii="Times New Roman" w:hAnsi="Times New Roman"/>
        </w:rPr>
      </w:pPr>
      <w:r w:rsidRPr="007D1BDC">
        <w:rPr>
          <w:rFonts w:ascii="Times New Roman" w:hAnsi="Times New Roman"/>
          <w:caps w:val="0"/>
        </w:rPr>
        <w:t>Washington</w:t>
      </w:r>
      <w:r w:rsidRPr="007D1BDC">
        <w:rPr>
          <w:rFonts w:ascii="Times New Roman" w:hAnsi="Times New Roman"/>
        </w:rPr>
        <w:t>, DC 20554</w:t>
      </w:r>
    </w:p>
    <w:p w:rsidR="00F15ACE" w:rsidRPr="007D1BDC" w:rsidP="00F15ACE" w14:paraId="5A9D5334" w14:textId="77777777">
      <w:pPr>
        <w:widowControl/>
      </w:pPr>
    </w:p>
    <w:tbl>
      <w:tblPr>
        <w:tblW w:w="0" w:type="auto"/>
        <w:tblLayout w:type="fixed"/>
        <w:tblLook w:val="0000"/>
      </w:tblPr>
      <w:tblGrid>
        <w:gridCol w:w="4698"/>
        <w:gridCol w:w="630"/>
        <w:gridCol w:w="4248"/>
      </w:tblGrid>
      <w:tr w14:paraId="10B3080D" w14:textId="77777777" w:rsidTr="00F15ACE">
        <w:tblPrEx>
          <w:tblW w:w="0" w:type="auto"/>
          <w:tblLayout w:type="fixed"/>
          <w:tblLook w:val="0000"/>
        </w:tblPrEx>
        <w:tc>
          <w:tcPr>
            <w:tcW w:w="4698" w:type="dxa"/>
          </w:tcPr>
          <w:p w:rsidR="00F15ACE" w:rsidRPr="007D1BDC" w:rsidP="00F15ACE" w14:paraId="608DC9C8" w14:textId="77777777">
            <w:pPr>
              <w:widowControl/>
              <w:suppressAutoHyphens/>
              <w:rPr>
                <w:spacing w:val="-2"/>
              </w:rPr>
            </w:pPr>
            <w:r w:rsidRPr="007D1BDC">
              <w:rPr>
                <w:spacing w:val="-2"/>
              </w:rPr>
              <w:t>In the Matter of</w:t>
            </w:r>
          </w:p>
          <w:p w:rsidR="00F15ACE" w:rsidRPr="007D1BDC" w:rsidP="00F15ACE" w14:paraId="3A82D9F8" w14:textId="77777777">
            <w:pPr>
              <w:widowControl/>
              <w:suppressAutoHyphens/>
              <w:rPr>
                <w:spacing w:val="-2"/>
              </w:rPr>
            </w:pPr>
          </w:p>
          <w:p w:rsidR="00F15ACE" w:rsidRPr="007D1BDC" w:rsidP="00F15ACE" w14:paraId="48F0D08A" w14:textId="77777777">
            <w:pPr>
              <w:widowControl/>
              <w:suppressAutoHyphens/>
              <w:rPr>
                <w:spacing w:val="-2"/>
              </w:rPr>
            </w:pPr>
            <w:r w:rsidRPr="007D1BDC">
              <w:rPr>
                <w:spacing w:val="-2"/>
              </w:rPr>
              <w:t>Mobile Relay Associates</w:t>
            </w:r>
          </w:p>
          <w:p w:rsidR="00F15ACE" w:rsidRPr="007D1BDC" w:rsidP="00F15ACE" w14:paraId="597D28FB" w14:textId="77777777">
            <w:pPr>
              <w:widowControl/>
              <w:suppressAutoHyphens/>
              <w:rPr>
                <w:spacing w:val="-2"/>
              </w:rPr>
            </w:pPr>
          </w:p>
          <w:p w:rsidR="00F15ACE" w:rsidRPr="007D1BDC" w:rsidP="00F15ACE" w14:paraId="3199FFC6" w14:textId="77777777">
            <w:pPr>
              <w:widowControl/>
              <w:suppressAutoHyphens/>
              <w:rPr>
                <w:spacing w:val="-2"/>
              </w:rPr>
            </w:pPr>
            <w:r w:rsidRPr="007D1BDC">
              <w:rPr>
                <w:spacing w:val="-2"/>
              </w:rPr>
              <w:t>Licensee of WPPF234</w:t>
            </w:r>
          </w:p>
          <w:p w:rsidR="00F15ACE" w:rsidRPr="007D1BDC" w:rsidP="00F15ACE" w14:paraId="7BF6198E" w14:textId="77777777">
            <w:pPr>
              <w:widowControl/>
              <w:suppressAutoHyphens/>
              <w:rPr>
                <w:spacing w:val="-2"/>
              </w:rPr>
            </w:pPr>
            <w:r w:rsidRPr="007D1BDC">
              <w:rPr>
                <w:spacing w:val="-2"/>
              </w:rPr>
              <w:t xml:space="preserve">Malibu, California </w:t>
            </w:r>
          </w:p>
        </w:tc>
        <w:tc>
          <w:tcPr>
            <w:tcW w:w="630" w:type="dxa"/>
          </w:tcPr>
          <w:p w:rsidR="00F15ACE" w:rsidRPr="007D1BDC" w:rsidP="00F15ACE" w14:paraId="2B3F597E" w14:textId="77777777">
            <w:pPr>
              <w:widowControl/>
              <w:suppressAutoHyphens/>
              <w:rPr>
                <w:spacing w:val="-2"/>
              </w:rPr>
            </w:pPr>
            <w:r w:rsidRPr="007D1BDC">
              <w:rPr>
                <w:spacing w:val="-2"/>
              </w:rPr>
              <w:t>)</w:t>
            </w:r>
          </w:p>
          <w:p w:rsidR="00F15ACE" w:rsidRPr="007D1BDC" w:rsidP="00F15ACE" w14:paraId="385908D2" w14:textId="77777777">
            <w:pPr>
              <w:widowControl/>
              <w:suppressAutoHyphens/>
              <w:rPr>
                <w:spacing w:val="-2"/>
              </w:rPr>
            </w:pPr>
            <w:r w:rsidRPr="007D1BDC">
              <w:rPr>
                <w:spacing w:val="-2"/>
              </w:rPr>
              <w:t>)</w:t>
            </w:r>
          </w:p>
          <w:p w:rsidR="00F15ACE" w:rsidRPr="007D1BDC" w:rsidP="00F15ACE" w14:paraId="4AB43628" w14:textId="77777777">
            <w:pPr>
              <w:widowControl/>
              <w:suppressAutoHyphens/>
              <w:rPr>
                <w:spacing w:val="-2"/>
              </w:rPr>
            </w:pPr>
            <w:r w:rsidRPr="007D1BDC">
              <w:rPr>
                <w:spacing w:val="-2"/>
              </w:rPr>
              <w:t>)</w:t>
            </w:r>
          </w:p>
          <w:p w:rsidR="00F15ACE" w:rsidRPr="007D1BDC" w:rsidP="00F15ACE" w14:paraId="7E8E7C83" w14:textId="77777777">
            <w:pPr>
              <w:widowControl/>
              <w:suppressAutoHyphens/>
              <w:rPr>
                <w:spacing w:val="-2"/>
              </w:rPr>
            </w:pPr>
            <w:r w:rsidRPr="007D1BDC">
              <w:rPr>
                <w:spacing w:val="-2"/>
              </w:rPr>
              <w:t>)</w:t>
            </w:r>
          </w:p>
          <w:p w:rsidR="00F15ACE" w:rsidRPr="007D1BDC" w:rsidP="00F15ACE" w14:paraId="3B4BA194" w14:textId="77777777">
            <w:pPr>
              <w:widowControl/>
              <w:suppressAutoHyphens/>
              <w:rPr>
                <w:spacing w:val="-2"/>
              </w:rPr>
            </w:pPr>
            <w:r w:rsidRPr="007D1BDC">
              <w:rPr>
                <w:spacing w:val="-2"/>
              </w:rPr>
              <w:t>)</w:t>
            </w:r>
          </w:p>
          <w:p w:rsidR="00F15ACE" w:rsidRPr="007D1BDC" w:rsidP="00F15ACE" w14:paraId="2D642BAC" w14:textId="77777777">
            <w:pPr>
              <w:widowControl/>
              <w:suppressAutoHyphens/>
              <w:rPr>
                <w:spacing w:val="-2"/>
              </w:rPr>
            </w:pPr>
            <w:r w:rsidRPr="007D1BDC">
              <w:rPr>
                <w:spacing w:val="-2"/>
              </w:rPr>
              <w:t>)</w:t>
            </w:r>
          </w:p>
          <w:p w:rsidR="000F349C" w:rsidRPr="007D1BDC" w:rsidP="00F15ACE" w14:paraId="60DB9E19" w14:textId="77777777">
            <w:pPr>
              <w:widowControl/>
              <w:suppressAutoHyphens/>
              <w:rPr>
                <w:spacing w:val="-2"/>
              </w:rPr>
            </w:pPr>
          </w:p>
          <w:p w:rsidR="000F349C" w:rsidRPr="007D1BDC" w:rsidP="00F15ACE" w14:paraId="5F828B7F" w14:textId="76EC4337">
            <w:pPr>
              <w:widowControl/>
              <w:suppressAutoHyphens/>
              <w:rPr>
                <w:spacing w:val="-2"/>
              </w:rPr>
            </w:pPr>
          </w:p>
        </w:tc>
        <w:tc>
          <w:tcPr>
            <w:tcW w:w="4248" w:type="dxa"/>
          </w:tcPr>
          <w:p w:rsidR="00F15ACE" w:rsidRPr="007D1BDC" w:rsidP="00F15ACE" w14:paraId="2E2E7415" w14:textId="77777777">
            <w:pPr>
              <w:widowControl/>
              <w:suppressAutoHyphens/>
              <w:rPr>
                <w:spacing w:val="-2"/>
              </w:rPr>
            </w:pPr>
          </w:p>
          <w:p w:rsidR="00F15ACE" w:rsidRPr="007D1BDC" w:rsidP="00F15ACE" w14:paraId="47282784" w14:textId="77777777">
            <w:pPr>
              <w:widowControl/>
              <w:suppressAutoHyphens/>
              <w:rPr>
                <w:spacing w:val="-2"/>
              </w:rPr>
            </w:pPr>
          </w:p>
          <w:p w:rsidR="00F15ACE" w:rsidRPr="007D1BDC" w:rsidP="00F15ACE" w14:paraId="6A80BD48" w14:textId="77777777">
            <w:pPr>
              <w:widowControl/>
              <w:suppressAutoHyphens/>
              <w:ind w:left="432"/>
              <w:rPr>
                <w:spacing w:val="-2"/>
              </w:rPr>
            </w:pPr>
            <w:r w:rsidRPr="007D1BDC">
              <w:rPr>
                <w:spacing w:val="-2"/>
              </w:rPr>
              <w:t xml:space="preserve">File No.:  EB-FIELDWR-13-00006950 </w:t>
            </w:r>
          </w:p>
          <w:p w:rsidR="00F15ACE" w:rsidRPr="007D1BDC" w:rsidP="00F15ACE" w14:paraId="67EA5430" w14:textId="77777777">
            <w:pPr>
              <w:widowControl/>
              <w:suppressAutoHyphens/>
              <w:ind w:left="432"/>
              <w:rPr>
                <w:spacing w:val="-2"/>
              </w:rPr>
            </w:pPr>
            <w:r w:rsidRPr="007D1BDC">
              <w:rPr>
                <w:spacing w:val="-2"/>
              </w:rPr>
              <w:t>NAL/Acct. No.:  201532900001</w:t>
            </w:r>
          </w:p>
          <w:p w:rsidR="00F15ACE" w:rsidRPr="007D1BDC" w:rsidP="00F15ACE" w14:paraId="23AC97E5" w14:textId="77777777">
            <w:pPr>
              <w:widowControl/>
              <w:suppressAutoHyphens/>
              <w:ind w:left="432"/>
              <w:rPr>
                <w:spacing w:val="-2"/>
              </w:rPr>
            </w:pPr>
            <w:r w:rsidRPr="007D1BDC">
              <w:rPr>
                <w:spacing w:val="-2"/>
              </w:rPr>
              <w:t>FRN:  0001532027</w:t>
            </w:r>
          </w:p>
          <w:p w:rsidR="00F15ACE" w:rsidRPr="007D1BDC" w:rsidP="00F15ACE" w14:paraId="2F4BF998" w14:textId="77777777">
            <w:pPr>
              <w:widowControl/>
              <w:suppressAutoHyphens/>
              <w:ind w:left="432"/>
              <w:rPr>
                <w:spacing w:val="-2"/>
              </w:rPr>
            </w:pPr>
            <w:r w:rsidRPr="007D1BDC">
              <w:rPr>
                <w:spacing w:val="-2"/>
              </w:rPr>
              <w:t xml:space="preserve"> </w:t>
            </w:r>
          </w:p>
        </w:tc>
      </w:tr>
    </w:tbl>
    <w:p w:rsidR="00F15ACE" w:rsidRPr="007D1BDC" w:rsidP="00F15ACE" w14:paraId="3F48874E" w14:textId="77777777">
      <w:pPr>
        <w:widowControl/>
      </w:pPr>
    </w:p>
    <w:p w:rsidR="00F15ACE" w:rsidRPr="007D1BDC" w:rsidP="00F15ACE" w14:paraId="5C7B9819" w14:textId="644D0E81">
      <w:pPr>
        <w:pStyle w:val="StyleBoldCentered"/>
        <w:widowControl/>
        <w:spacing w:after="220"/>
        <w:rPr>
          <w:rFonts w:ascii="Times New Roman" w:hAnsi="Times New Roman"/>
        </w:rPr>
      </w:pPr>
      <w:r w:rsidRPr="007D1BDC">
        <w:rPr>
          <w:rFonts w:ascii="Times New Roman" w:hAnsi="Times New Roman"/>
        </w:rPr>
        <w:t>MEMORANDUM OPINION AND ORDER</w:t>
      </w:r>
    </w:p>
    <w:p w:rsidR="00F15ACE" w:rsidRPr="007D1BDC" w:rsidP="00F15ACE" w14:paraId="0C86CBFB" w14:textId="10233D1D">
      <w:pPr>
        <w:widowControl/>
        <w:tabs>
          <w:tab w:val="right" w:pos="9360"/>
        </w:tabs>
        <w:suppressAutoHyphens/>
        <w:rPr>
          <w:spacing w:val="-2"/>
        </w:rPr>
      </w:pPr>
      <w:r w:rsidRPr="007D1BDC">
        <w:rPr>
          <w:b/>
          <w:spacing w:val="-2"/>
        </w:rPr>
        <w:t xml:space="preserve">Adopted:  </w:t>
      </w:r>
      <w:r w:rsidR="00BA0B4F">
        <w:rPr>
          <w:b/>
          <w:spacing w:val="-2"/>
        </w:rPr>
        <w:t>August 4</w:t>
      </w:r>
      <w:r w:rsidRPr="007D1BDC" w:rsidR="002F3135">
        <w:rPr>
          <w:b/>
          <w:spacing w:val="-2"/>
        </w:rPr>
        <w:t>, 20</w:t>
      </w:r>
      <w:r w:rsidRPr="007D1BDC" w:rsidR="000B62D6">
        <w:rPr>
          <w:b/>
          <w:spacing w:val="-2"/>
        </w:rPr>
        <w:t>20</w:t>
      </w:r>
      <w:r w:rsidRPr="007D1BDC">
        <w:rPr>
          <w:b/>
          <w:spacing w:val="-2"/>
        </w:rPr>
        <w:tab/>
        <w:t xml:space="preserve">Released:  </w:t>
      </w:r>
      <w:r w:rsidR="00BA0B4F">
        <w:rPr>
          <w:b/>
          <w:spacing w:val="-2"/>
        </w:rPr>
        <w:t>August 4</w:t>
      </w:r>
      <w:r w:rsidRPr="007D1BDC" w:rsidR="002F3135">
        <w:rPr>
          <w:b/>
          <w:spacing w:val="-2"/>
        </w:rPr>
        <w:t>, 20</w:t>
      </w:r>
      <w:r w:rsidRPr="007D1BDC" w:rsidR="000B62D6">
        <w:rPr>
          <w:b/>
          <w:spacing w:val="-2"/>
        </w:rPr>
        <w:t>20</w:t>
      </w:r>
    </w:p>
    <w:p w:rsidR="00F15ACE" w:rsidRPr="007D1BDC" w:rsidP="00F15ACE" w14:paraId="2A4C07F2" w14:textId="77777777">
      <w:pPr>
        <w:widowControl/>
        <w:jc w:val="center"/>
      </w:pPr>
    </w:p>
    <w:p w:rsidR="00F15ACE" w:rsidRPr="007D1BDC" w:rsidP="00F15ACE" w14:paraId="41D98563" w14:textId="77777777">
      <w:pPr>
        <w:widowControl/>
        <w:rPr>
          <w:spacing w:val="-2"/>
        </w:rPr>
      </w:pPr>
      <w:r w:rsidRPr="007D1BDC">
        <w:t>By the Chief, Enforcement Bureau</w:t>
      </w:r>
      <w:r w:rsidRPr="007D1BDC">
        <w:rPr>
          <w:spacing w:val="-2"/>
        </w:rPr>
        <w:t>:</w:t>
      </w:r>
    </w:p>
    <w:p w:rsidR="00F15ACE" w:rsidRPr="007D1BDC" w:rsidP="00F15ACE" w14:paraId="50DF02D4" w14:textId="77777777">
      <w:pPr>
        <w:widowControl/>
        <w:rPr>
          <w:spacing w:val="-2"/>
        </w:rPr>
      </w:pPr>
    </w:p>
    <w:p w:rsidR="00F15ACE" w:rsidRPr="00A316F8" w:rsidP="00F15ACE" w14:paraId="167C4D05" w14:textId="65612ECA">
      <w:pPr>
        <w:pStyle w:val="Heading1"/>
        <w:widowControl/>
        <w:rPr>
          <w:rFonts w:ascii="Times New Roman" w:hAnsi="Times New Roman"/>
          <w:szCs w:val="22"/>
        </w:rPr>
      </w:pPr>
      <w:bookmarkStart w:id="2" w:name="_Toc379288998"/>
      <w:bookmarkStart w:id="3" w:name="_Toc379365499"/>
      <w:r w:rsidRPr="00A316F8">
        <w:rPr>
          <w:rFonts w:ascii="Times New Roman" w:hAnsi="Times New Roman"/>
          <w:szCs w:val="22"/>
        </w:rPr>
        <w:t>INTRODUCTION</w:t>
      </w:r>
      <w:bookmarkEnd w:id="2"/>
      <w:bookmarkEnd w:id="3"/>
    </w:p>
    <w:p w:rsidR="000753D3" w:rsidRPr="00A316F8" w:rsidP="00991843" w14:paraId="7683ECE3" w14:textId="2BD04143">
      <w:pPr>
        <w:pStyle w:val="ListParagraph"/>
        <w:widowControl/>
        <w:numPr>
          <w:ilvl w:val="0"/>
          <w:numId w:val="5"/>
        </w:numPr>
        <w:spacing w:after="120"/>
        <w:ind w:left="0" w:firstLine="720"/>
        <w:outlineLvl w:val="0"/>
        <w:rPr>
          <w:szCs w:val="22"/>
        </w:rPr>
      </w:pPr>
      <w:bookmarkStart w:id="4" w:name="_Hlk38984133"/>
      <w:r w:rsidRPr="00A316F8">
        <w:rPr>
          <w:szCs w:val="22"/>
          <w:shd w:val="clear" w:color="auto" w:fill="FFFFFF"/>
        </w:rPr>
        <w:t xml:space="preserve">The Commission developed operating requirements for </w:t>
      </w:r>
      <w:r w:rsidRPr="00A316F8" w:rsidR="00410F34">
        <w:rPr>
          <w:szCs w:val="22"/>
          <w:shd w:val="clear" w:color="auto" w:fill="FFFFFF"/>
        </w:rPr>
        <w:t>p</w:t>
      </w:r>
      <w:r w:rsidRPr="00A316F8">
        <w:rPr>
          <w:szCs w:val="22"/>
          <w:shd w:val="clear" w:color="auto" w:fill="FFFFFF"/>
        </w:rPr>
        <w:t xml:space="preserve">rivate </w:t>
      </w:r>
      <w:r w:rsidRPr="00A316F8" w:rsidR="00410F34">
        <w:rPr>
          <w:szCs w:val="22"/>
          <w:shd w:val="clear" w:color="auto" w:fill="FFFFFF"/>
        </w:rPr>
        <w:t>l</w:t>
      </w:r>
      <w:r w:rsidRPr="00A316F8">
        <w:rPr>
          <w:szCs w:val="22"/>
          <w:shd w:val="clear" w:color="auto" w:fill="FFFFFF"/>
        </w:rPr>
        <w:t xml:space="preserve">and </w:t>
      </w:r>
      <w:r w:rsidRPr="00A316F8" w:rsidR="00410F34">
        <w:rPr>
          <w:szCs w:val="22"/>
          <w:shd w:val="clear" w:color="auto" w:fill="FFFFFF"/>
        </w:rPr>
        <w:t>m</w:t>
      </w:r>
      <w:r w:rsidRPr="00A316F8">
        <w:rPr>
          <w:szCs w:val="22"/>
          <w:shd w:val="clear" w:color="auto" w:fill="FFFFFF"/>
        </w:rPr>
        <w:t xml:space="preserve">obile </w:t>
      </w:r>
      <w:r w:rsidRPr="00A316F8" w:rsidR="00410F34">
        <w:rPr>
          <w:szCs w:val="22"/>
          <w:shd w:val="clear" w:color="auto" w:fill="FFFFFF"/>
        </w:rPr>
        <w:t>r</w:t>
      </w:r>
      <w:r w:rsidRPr="00A316F8">
        <w:rPr>
          <w:szCs w:val="22"/>
          <w:shd w:val="clear" w:color="auto" w:fill="FFFFFF"/>
        </w:rPr>
        <w:t xml:space="preserve">adio systems to promote the efficient use of shared spectrum and to address frequency congestion.  </w:t>
      </w:r>
      <w:r w:rsidRPr="00A316F8" w:rsidR="008829A5">
        <w:rPr>
          <w:szCs w:val="22"/>
          <w:shd w:val="clear" w:color="auto" w:fill="FFFFFF"/>
        </w:rPr>
        <w:t>Licensees must limit their</w:t>
      </w:r>
      <w:r w:rsidRPr="00A316F8">
        <w:rPr>
          <w:szCs w:val="22"/>
          <w:shd w:val="clear" w:color="auto" w:fill="FFFFFF"/>
        </w:rPr>
        <w:t xml:space="preserve"> transmissions to the minimum practicable transmission time and monitor the transmitting frequency to detect </w:t>
      </w:r>
      <w:r w:rsidRPr="00A316F8" w:rsidR="008829A5">
        <w:rPr>
          <w:szCs w:val="22"/>
          <w:shd w:val="clear" w:color="auto" w:fill="FFFFFF"/>
        </w:rPr>
        <w:t xml:space="preserve">other </w:t>
      </w:r>
      <w:r w:rsidRPr="00A316F8">
        <w:rPr>
          <w:szCs w:val="22"/>
          <w:shd w:val="clear" w:color="auto" w:fill="FFFFFF"/>
        </w:rPr>
        <w:t xml:space="preserve">communications in progress.  Licensees </w:t>
      </w:r>
      <w:r w:rsidRPr="00A316F8" w:rsidR="00FA0B33">
        <w:rPr>
          <w:szCs w:val="22"/>
          <w:shd w:val="clear" w:color="auto" w:fill="FFFFFF"/>
        </w:rPr>
        <w:t xml:space="preserve">also </w:t>
      </w:r>
      <w:r w:rsidRPr="00A316F8">
        <w:rPr>
          <w:szCs w:val="22"/>
          <w:shd w:val="clear" w:color="auto" w:fill="FFFFFF"/>
        </w:rPr>
        <w:t xml:space="preserve">are </w:t>
      </w:r>
      <w:r w:rsidRPr="00A316F8" w:rsidR="003749EF">
        <w:rPr>
          <w:szCs w:val="22"/>
          <w:shd w:val="clear" w:color="auto" w:fill="FFFFFF"/>
        </w:rPr>
        <w:t xml:space="preserve">required </w:t>
      </w:r>
      <w:r w:rsidRPr="00A316F8">
        <w:rPr>
          <w:szCs w:val="22"/>
          <w:shd w:val="clear" w:color="auto" w:fill="FFFFFF"/>
        </w:rPr>
        <w:t xml:space="preserve">to cooperate in using shared frequencies to reduce interference and resolve instances of interferences by mutually satisfactory arrangements.  </w:t>
      </w:r>
      <w:r w:rsidRPr="00A316F8" w:rsidR="00C841F9">
        <w:rPr>
          <w:szCs w:val="22"/>
          <w:shd w:val="clear" w:color="auto" w:fill="FFFFFF"/>
        </w:rPr>
        <w:t>In this Order, we enforce those requirements and</w:t>
      </w:r>
      <w:r w:rsidRPr="00A316F8" w:rsidR="002B028A">
        <w:rPr>
          <w:szCs w:val="22"/>
        </w:rPr>
        <w:t xml:space="preserve"> </w:t>
      </w:r>
      <w:r w:rsidRPr="00A316F8" w:rsidR="004A44EC">
        <w:rPr>
          <w:szCs w:val="22"/>
        </w:rPr>
        <w:t xml:space="preserve">deny </w:t>
      </w:r>
      <w:r w:rsidRPr="00A316F8" w:rsidR="00BB6A0E">
        <w:rPr>
          <w:szCs w:val="22"/>
        </w:rPr>
        <w:t>Mobile Relay Associates</w:t>
      </w:r>
      <w:r w:rsidRPr="00A316F8" w:rsidR="00895DF0">
        <w:rPr>
          <w:szCs w:val="22"/>
        </w:rPr>
        <w:t>’</w:t>
      </w:r>
      <w:r w:rsidRPr="00A316F8" w:rsidR="00BB6A0E">
        <w:rPr>
          <w:szCs w:val="22"/>
        </w:rPr>
        <w:t xml:space="preserve"> (Mobile Relay</w:t>
      </w:r>
      <w:r w:rsidRPr="00A316F8" w:rsidR="00A42E36">
        <w:rPr>
          <w:szCs w:val="22"/>
        </w:rPr>
        <w:t xml:space="preserve"> or Company</w:t>
      </w:r>
      <w:r w:rsidRPr="00A316F8" w:rsidR="00BB6A0E">
        <w:rPr>
          <w:szCs w:val="22"/>
        </w:rPr>
        <w:t>)</w:t>
      </w:r>
      <w:r>
        <w:rPr>
          <w:rStyle w:val="FootnoteReference"/>
          <w:sz w:val="22"/>
          <w:szCs w:val="22"/>
        </w:rPr>
        <w:footnoteReference w:id="3"/>
      </w:r>
      <w:r w:rsidRPr="00A316F8" w:rsidR="00BB6A0E">
        <w:rPr>
          <w:szCs w:val="22"/>
        </w:rPr>
        <w:t xml:space="preserve"> </w:t>
      </w:r>
      <w:r w:rsidRPr="00A316F8" w:rsidR="006B36CF">
        <w:rPr>
          <w:szCs w:val="22"/>
        </w:rPr>
        <w:t>Petition for Reconsideration</w:t>
      </w:r>
      <w:r>
        <w:rPr>
          <w:rStyle w:val="FootnoteReference"/>
          <w:sz w:val="22"/>
          <w:szCs w:val="22"/>
        </w:rPr>
        <w:footnoteReference w:id="4"/>
      </w:r>
      <w:r w:rsidRPr="00A316F8" w:rsidR="006B36CF">
        <w:rPr>
          <w:szCs w:val="22"/>
        </w:rPr>
        <w:t xml:space="preserve"> </w:t>
      </w:r>
      <w:r w:rsidRPr="00A316F8" w:rsidR="00BB6A0E">
        <w:rPr>
          <w:szCs w:val="22"/>
        </w:rPr>
        <w:t xml:space="preserve">of the $25,000 </w:t>
      </w:r>
      <w:r w:rsidRPr="00A316F8" w:rsidR="004A44EC">
        <w:rPr>
          <w:i/>
          <w:szCs w:val="22"/>
        </w:rPr>
        <w:t>Forfeiture Order</w:t>
      </w:r>
      <w:r>
        <w:rPr>
          <w:rStyle w:val="FootnoteReference"/>
          <w:sz w:val="22"/>
          <w:szCs w:val="22"/>
        </w:rPr>
        <w:footnoteReference w:id="5"/>
      </w:r>
      <w:r w:rsidRPr="00A316F8" w:rsidR="004A44EC">
        <w:rPr>
          <w:szCs w:val="22"/>
        </w:rPr>
        <w:t xml:space="preserve"> issued against </w:t>
      </w:r>
      <w:r w:rsidRPr="00A316F8" w:rsidR="00E769C8">
        <w:rPr>
          <w:szCs w:val="22"/>
        </w:rPr>
        <w:t>Mobile Relay</w:t>
      </w:r>
      <w:r w:rsidRPr="00A316F8" w:rsidR="004A44EC">
        <w:rPr>
          <w:szCs w:val="22"/>
        </w:rPr>
        <w:t xml:space="preserve"> for failing to monitor and take other precautions to avoid causing harmful interference to another licensee operating on a shared frequency.</w:t>
      </w:r>
      <w:r>
        <w:rPr>
          <w:rStyle w:val="FootnoteReference"/>
          <w:sz w:val="22"/>
          <w:szCs w:val="22"/>
        </w:rPr>
        <w:footnoteReference w:id="6"/>
      </w:r>
    </w:p>
    <w:p w:rsidR="00991843" w:rsidRPr="00A316F8" w:rsidP="00991843" w14:paraId="491EDA7B" w14:textId="77777777">
      <w:pPr>
        <w:pStyle w:val="ListParagraph"/>
        <w:widowControl/>
        <w:spacing w:after="120"/>
        <w:outlineLvl w:val="0"/>
        <w:rPr>
          <w:szCs w:val="22"/>
        </w:rPr>
      </w:pPr>
    </w:p>
    <w:bookmarkEnd w:id="4"/>
    <w:p w:rsidR="001E0B21" w:rsidRPr="007D1BDC" w:rsidP="006D4990" w14:paraId="156B433D" w14:textId="1EB8D5C6">
      <w:pPr>
        <w:pStyle w:val="ListParagraph"/>
        <w:widowControl/>
        <w:numPr>
          <w:ilvl w:val="0"/>
          <w:numId w:val="5"/>
        </w:numPr>
        <w:spacing w:after="120"/>
        <w:ind w:left="0" w:firstLine="720"/>
        <w:outlineLvl w:val="0"/>
        <w:rPr>
          <w:szCs w:val="22"/>
        </w:rPr>
      </w:pPr>
      <w:r w:rsidRPr="00A316F8">
        <w:rPr>
          <w:szCs w:val="22"/>
        </w:rPr>
        <w:t>Reconsideration is appropriate only when the petitioner either demonstrates a material error or omission in the underlying order or raises additional facts not known or not existing until after the petitioner’s last opportunity to present such matters.</w:t>
      </w:r>
      <w:r>
        <w:rPr>
          <w:rStyle w:val="FootnoteReference"/>
          <w:sz w:val="22"/>
          <w:szCs w:val="22"/>
        </w:rPr>
        <w:footnoteReference w:id="7"/>
      </w:r>
      <w:r w:rsidRPr="00A316F8">
        <w:rPr>
          <w:szCs w:val="22"/>
        </w:rPr>
        <w:t xml:space="preserve">  </w:t>
      </w:r>
      <w:r w:rsidRPr="00A316F8" w:rsidR="00B866A5">
        <w:rPr>
          <w:szCs w:val="22"/>
        </w:rPr>
        <w:t>Mobile Relay fails to so demonstrate in its Petition.</w:t>
      </w:r>
      <w:r w:rsidRPr="007D1BDC" w:rsidR="00B866A5">
        <w:t xml:space="preserve">  </w:t>
      </w:r>
      <w:r w:rsidRPr="007D1BDC" w:rsidR="00404F61">
        <w:rPr>
          <w:szCs w:val="22"/>
        </w:rPr>
        <w:t>Upon review of the Petition and the entire record,</w:t>
      </w:r>
      <w:r w:rsidRPr="007D1BDC" w:rsidR="00404F61">
        <w:rPr>
          <w:spacing w:val="-2"/>
        </w:rPr>
        <w:t xml:space="preserve"> we find no basis for reconsideration.  </w:t>
      </w:r>
      <w:r w:rsidRPr="007D1BDC">
        <w:rPr>
          <w:szCs w:val="22"/>
        </w:rPr>
        <w:t xml:space="preserve">We, therefore, find that the Bureau properly decided the matters raised and deny </w:t>
      </w:r>
      <w:r w:rsidRPr="007D1BDC" w:rsidR="000D6893">
        <w:rPr>
          <w:szCs w:val="22"/>
        </w:rPr>
        <w:t>Mobile Relay</w:t>
      </w:r>
      <w:r w:rsidRPr="007D1BDC">
        <w:rPr>
          <w:szCs w:val="22"/>
        </w:rPr>
        <w:t>’s Petition</w:t>
      </w:r>
      <w:r w:rsidRPr="007D1BDC">
        <w:rPr>
          <w:rStyle w:val="CommentReference"/>
        </w:rPr>
        <w:t>.</w:t>
      </w:r>
    </w:p>
    <w:p w:rsidR="00F15ACE" w:rsidRPr="007D1BDC" w:rsidP="00F15ACE" w14:paraId="7D340A30" w14:textId="77777777">
      <w:pPr>
        <w:pStyle w:val="Heading1"/>
        <w:widowControl/>
        <w:rPr>
          <w:rFonts w:ascii="Times New Roman" w:hAnsi="Times New Roman"/>
        </w:rPr>
      </w:pPr>
      <w:bookmarkStart w:id="5" w:name="_Toc379288999"/>
      <w:bookmarkStart w:id="6" w:name="_Toc379365500"/>
      <w:r w:rsidRPr="007D1BDC">
        <w:rPr>
          <w:rFonts w:ascii="Times New Roman" w:hAnsi="Times New Roman"/>
        </w:rPr>
        <w:t>BACKGROUND</w:t>
      </w:r>
      <w:bookmarkEnd w:id="5"/>
      <w:bookmarkEnd w:id="6"/>
    </w:p>
    <w:p w:rsidR="000E5156" w:rsidRPr="00A316F8" w:rsidP="00D50171" w14:paraId="0C529A21" w14:textId="16F07F5A">
      <w:pPr>
        <w:pStyle w:val="ListParagraph"/>
        <w:numPr>
          <w:ilvl w:val="0"/>
          <w:numId w:val="5"/>
        </w:numPr>
        <w:spacing w:after="240"/>
        <w:ind w:left="0" w:firstLine="720"/>
        <w:contextualSpacing w:val="0"/>
        <w:rPr>
          <w:szCs w:val="22"/>
        </w:rPr>
      </w:pPr>
      <w:bookmarkStart w:id="7" w:name="co_tablefootnote_5_1"/>
      <w:bookmarkStart w:id="8" w:name="co_tablefootnote_6_1"/>
      <w:bookmarkStart w:id="9" w:name="co_tablefootnote_7_1"/>
      <w:bookmarkEnd w:id="7"/>
      <w:bookmarkEnd w:id="8"/>
      <w:bookmarkEnd w:id="9"/>
      <w:r w:rsidRPr="00A316F8">
        <w:rPr>
          <w:i/>
          <w:iCs/>
          <w:szCs w:val="22"/>
        </w:rPr>
        <w:t>Legal Framework</w:t>
      </w:r>
      <w:r w:rsidRPr="00A316F8">
        <w:rPr>
          <w:szCs w:val="22"/>
        </w:rPr>
        <w:t xml:space="preserve">.  </w:t>
      </w:r>
      <w:r w:rsidRPr="00A316F8">
        <w:rPr>
          <w:szCs w:val="22"/>
        </w:rPr>
        <w:t>T</w:t>
      </w:r>
      <w:r w:rsidRPr="00A316F8" w:rsidR="00691801">
        <w:rPr>
          <w:szCs w:val="22"/>
        </w:rPr>
        <w:t xml:space="preserve">he Communications Act of 1934, as amended (the Act), </w:t>
      </w:r>
      <w:r w:rsidRPr="00A316F8">
        <w:rPr>
          <w:szCs w:val="22"/>
        </w:rPr>
        <w:t xml:space="preserve">and the Commission’s rules permit the filings of petitions for reconsideration.  Section 405 of the Act states that </w:t>
      </w:r>
      <w:r w:rsidRPr="00A316F8" w:rsidR="00691801">
        <w:rPr>
          <w:szCs w:val="22"/>
        </w:rPr>
        <w:t>“[a]</w:t>
      </w:r>
      <w:r w:rsidRPr="00A316F8" w:rsidR="00691801">
        <w:rPr>
          <w:szCs w:val="22"/>
        </w:rPr>
        <w:t>fter</w:t>
      </w:r>
      <w:r w:rsidRPr="00A316F8" w:rsidR="00691801">
        <w:rPr>
          <w:szCs w:val="22"/>
        </w:rPr>
        <w:t xml:space="preserve"> an order, decision, report, or action has been made or taken in any proceeding by the Commission . . . any party thereto, or any other person aggrieved or whose interests are adversely affected thereby, may petition for reconsideration only to the authority making or taking the order, decision, report, or action[.]”</w:t>
      </w:r>
      <w:r>
        <w:rPr>
          <w:rStyle w:val="FootnoteReference"/>
          <w:sz w:val="22"/>
          <w:szCs w:val="22"/>
        </w:rPr>
        <w:footnoteReference w:id="8"/>
      </w:r>
      <w:r w:rsidRPr="00A316F8" w:rsidR="00691801">
        <w:rPr>
          <w:szCs w:val="22"/>
        </w:rPr>
        <w:t xml:space="preserve">  </w:t>
      </w:r>
      <w:r w:rsidRPr="00A316F8">
        <w:rPr>
          <w:szCs w:val="22"/>
        </w:rPr>
        <w:t xml:space="preserve">Section 1.106 of the Commission’s rules </w:t>
      </w:r>
      <w:r w:rsidRPr="00A316F8" w:rsidR="009337DE">
        <w:rPr>
          <w:szCs w:val="22"/>
        </w:rPr>
        <w:t xml:space="preserve">sets for the legal standard </w:t>
      </w:r>
      <w:r w:rsidRPr="00A316F8" w:rsidR="00D50171">
        <w:rPr>
          <w:szCs w:val="22"/>
        </w:rPr>
        <w:t>used to assess reconsideration petitions.</w:t>
      </w:r>
      <w:r>
        <w:rPr>
          <w:rStyle w:val="FootnoteReference"/>
          <w:sz w:val="22"/>
          <w:szCs w:val="22"/>
        </w:rPr>
        <w:footnoteReference w:id="9"/>
      </w:r>
      <w:r w:rsidRPr="00A316F8" w:rsidR="00D50171">
        <w:rPr>
          <w:szCs w:val="22"/>
        </w:rPr>
        <w:t xml:space="preserve">  Generally, the petition (</w:t>
      </w:r>
      <w:r w:rsidRPr="00A316F8" w:rsidR="00D50171">
        <w:rPr>
          <w:szCs w:val="22"/>
        </w:rPr>
        <w:t>i</w:t>
      </w:r>
      <w:r w:rsidRPr="00A316F8" w:rsidR="00D50171">
        <w:rPr>
          <w:szCs w:val="22"/>
        </w:rPr>
        <w:t>) must show a material error or omission in the underlying order,</w:t>
      </w:r>
      <w:r>
        <w:rPr>
          <w:rStyle w:val="FootnoteReference"/>
          <w:sz w:val="22"/>
          <w:szCs w:val="22"/>
        </w:rPr>
        <w:footnoteReference w:id="10"/>
      </w:r>
      <w:r w:rsidRPr="00A316F8" w:rsidR="00D50171">
        <w:rPr>
          <w:szCs w:val="22"/>
        </w:rPr>
        <w:t xml:space="preserve"> (ii) raise facts not known or in existence at the time that order,</w:t>
      </w:r>
      <w:r>
        <w:rPr>
          <w:rStyle w:val="FootnoteReference"/>
          <w:sz w:val="22"/>
          <w:szCs w:val="22"/>
        </w:rPr>
        <w:footnoteReference w:id="11"/>
      </w:r>
      <w:r w:rsidRPr="00A316F8" w:rsidR="00D50171">
        <w:rPr>
          <w:szCs w:val="22"/>
        </w:rPr>
        <w:t xml:space="preserve"> or (iii) show that the consideration of facts or arguments is required by the public interest.</w:t>
      </w:r>
      <w:r>
        <w:rPr>
          <w:rStyle w:val="FootnoteReference"/>
          <w:sz w:val="22"/>
          <w:szCs w:val="22"/>
        </w:rPr>
        <w:footnoteReference w:id="12"/>
      </w:r>
    </w:p>
    <w:p w:rsidR="009629EF" w:rsidRPr="00A316F8" w:rsidP="00610A44" w14:paraId="1531702A" w14:textId="3A55BA00">
      <w:pPr>
        <w:pStyle w:val="ListParagraph"/>
        <w:widowControl/>
        <w:numPr>
          <w:ilvl w:val="0"/>
          <w:numId w:val="5"/>
        </w:numPr>
        <w:spacing w:after="240"/>
        <w:ind w:left="0" w:firstLine="720"/>
        <w:contextualSpacing w:val="0"/>
        <w:rPr>
          <w:szCs w:val="22"/>
        </w:rPr>
      </w:pPr>
      <w:r w:rsidRPr="00A316F8">
        <w:rPr>
          <w:szCs w:val="22"/>
        </w:rPr>
        <w:t xml:space="preserve">Part 90 of the Commission’s rules contains the relevant private land mobile radio service rules.  Frequencies assigned to </w:t>
      </w:r>
      <w:r w:rsidRPr="00A316F8">
        <w:rPr>
          <w:szCs w:val="22"/>
          <w:shd w:val="clear" w:color="auto" w:fill="FFFFFF"/>
        </w:rPr>
        <w:t>private land mobile radio</w:t>
      </w:r>
      <w:r w:rsidRPr="00A316F8">
        <w:rPr>
          <w:szCs w:val="22"/>
        </w:rPr>
        <w:t xml:space="preserve"> stations are available on a shared basis, unless specified otherwise.</w:t>
      </w:r>
      <w:r>
        <w:rPr>
          <w:szCs w:val="22"/>
          <w:vertAlign w:val="superscript"/>
        </w:rPr>
        <w:footnoteReference w:id="13"/>
      </w:r>
      <w:r w:rsidRPr="00A316F8">
        <w:rPr>
          <w:szCs w:val="22"/>
        </w:rPr>
        <w:t xml:space="preserve">  </w:t>
      </w:r>
      <w:r w:rsidRPr="00A316F8" w:rsidR="000C320C">
        <w:rPr>
          <w:szCs w:val="22"/>
        </w:rPr>
        <w:t>Section 90.173(b)</w:t>
      </w:r>
      <w:r w:rsidRPr="00A316F8" w:rsidR="00DF2E9A">
        <w:rPr>
          <w:szCs w:val="22"/>
        </w:rPr>
        <w:t xml:space="preserve"> </w:t>
      </w:r>
      <w:r w:rsidRPr="00A316F8" w:rsidR="007A5BD2">
        <w:rPr>
          <w:szCs w:val="22"/>
        </w:rPr>
        <w:t xml:space="preserve">requires </w:t>
      </w:r>
      <w:r w:rsidRPr="00A316F8" w:rsidR="00E72BC5">
        <w:rPr>
          <w:szCs w:val="22"/>
        </w:rPr>
        <w:t>l</w:t>
      </w:r>
      <w:r w:rsidRPr="00A316F8" w:rsidR="00E72BC5">
        <w:rPr>
          <w:szCs w:val="22"/>
          <w:shd w:val="clear" w:color="auto" w:fill="FFFFFF"/>
        </w:rPr>
        <w:t>icensees to cooperate in using shared frequencies to reduce interference and</w:t>
      </w:r>
      <w:r w:rsidRPr="00A316F8" w:rsidR="00B866A5">
        <w:rPr>
          <w:szCs w:val="22"/>
          <w:shd w:val="clear" w:color="auto" w:fill="FFFFFF"/>
        </w:rPr>
        <w:t xml:space="preserve"> to</w:t>
      </w:r>
      <w:r w:rsidRPr="00A316F8" w:rsidR="00E72BC5">
        <w:rPr>
          <w:szCs w:val="22"/>
          <w:shd w:val="clear" w:color="auto" w:fill="FFFFFF"/>
        </w:rPr>
        <w:t xml:space="preserve"> resolve instances of interferences by mutually satisfactory arrangements.</w:t>
      </w:r>
      <w:r>
        <w:rPr>
          <w:rStyle w:val="FootnoteReference"/>
          <w:sz w:val="22"/>
          <w:szCs w:val="22"/>
          <w:shd w:val="clear" w:color="auto" w:fill="FFFFFF"/>
        </w:rPr>
        <w:footnoteReference w:id="14"/>
      </w:r>
      <w:r w:rsidRPr="00A316F8" w:rsidR="00E72BC5">
        <w:rPr>
          <w:szCs w:val="22"/>
          <w:shd w:val="clear" w:color="auto" w:fill="FFFFFF"/>
        </w:rPr>
        <w:t xml:space="preserve">  </w:t>
      </w:r>
      <w:r w:rsidRPr="00A316F8">
        <w:rPr>
          <w:szCs w:val="22"/>
        </w:rPr>
        <w:t xml:space="preserve">Section 90.403(e) </w:t>
      </w:r>
      <w:r w:rsidRPr="00A316F8" w:rsidR="00192F11">
        <w:rPr>
          <w:szCs w:val="22"/>
        </w:rPr>
        <w:t>requires</w:t>
      </w:r>
      <w:r w:rsidRPr="00A316F8">
        <w:rPr>
          <w:szCs w:val="22"/>
        </w:rPr>
        <w:t xml:space="preserve"> </w:t>
      </w:r>
      <w:r w:rsidRPr="00A316F8" w:rsidR="000C320C">
        <w:rPr>
          <w:szCs w:val="22"/>
        </w:rPr>
        <w:t>l</w:t>
      </w:r>
      <w:r w:rsidRPr="00A316F8">
        <w:rPr>
          <w:szCs w:val="22"/>
        </w:rPr>
        <w:t xml:space="preserve">icensees </w:t>
      </w:r>
      <w:r w:rsidRPr="00A316F8" w:rsidR="00192F11">
        <w:rPr>
          <w:szCs w:val="22"/>
        </w:rPr>
        <w:t xml:space="preserve">to </w:t>
      </w:r>
      <w:r w:rsidRPr="00A316F8" w:rsidR="000C320C">
        <w:rPr>
          <w:szCs w:val="22"/>
        </w:rPr>
        <w:t>“</w:t>
      </w:r>
      <w:r w:rsidRPr="00A316F8">
        <w:rPr>
          <w:szCs w:val="22"/>
        </w:rPr>
        <w:t>take reasonable precautions to avoid causing harmful interference</w:t>
      </w:r>
      <w:r w:rsidRPr="00A316F8" w:rsidR="000C320C">
        <w:rPr>
          <w:szCs w:val="22"/>
        </w:rPr>
        <w:t>[</w:t>
      </w:r>
      <w:r w:rsidRPr="00A316F8" w:rsidR="00192F11">
        <w:rPr>
          <w:szCs w:val="22"/>
        </w:rPr>
        <w:t>, which</w:t>
      </w:r>
      <w:r w:rsidRPr="00A316F8" w:rsidR="000C320C">
        <w:rPr>
          <w:szCs w:val="22"/>
        </w:rPr>
        <w:t>]</w:t>
      </w:r>
      <w:r w:rsidRPr="00A316F8">
        <w:rPr>
          <w:szCs w:val="22"/>
        </w:rPr>
        <w:t xml:space="preserve"> includes monitoring the transmitting frequency for communicat</w:t>
      </w:r>
      <w:r w:rsidRPr="00A316F8" w:rsidR="006D6370">
        <w:rPr>
          <w:szCs w:val="22"/>
        </w:rPr>
        <w:t>i</w:t>
      </w:r>
      <w:r w:rsidRPr="00A316F8">
        <w:rPr>
          <w:szCs w:val="22"/>
        </w:rPr>
        <w:t>ons in progress and such other measures as may be necessary to minimize the potential for causing</w:t>
      </w:r>
      <w:r w:rsidRPr="00A316F8" w:rsidR="00430ACD">
        <w:rPr>
          <w:szCs w:val="22"/>
        </w:rPr>
        <w:t xml:space="preserve"> interference.</w:t>
      </w:r>
      <w:r w:rsidRPr="00A316F8" w:rsidR="000C320C">
        <w:rPr>
          <w:szCs w:val="22"/>
        </w:rPr>
        <w:t>”</w:t>
      </w:r>
      <w:r>
        <w:rPr>
          <w:rStyle w:val="FootnoteReference"/>
          <w:sz w:val="22"/>
          <w:szCs w:val="22"/>
        </w:rPr>
        <w:footnoteReference w:id="15"/>
      </w:r>
      <w:r w:rsidRPr="00A316F8">
        <w:rPr>
          <w:szCs w:val="22"/>
        </w:rPr>
        <w:t xml:space="preserve">  </w:t>
      </w:r>
      <w:r w:rsidRPr="00A316F8" w:rsidR="000C320C">
        <w:rPr>
          <w:szCs w:val="22"/>
        </w:rPr>
        <w:t>Finally, s</w:t>
      </w:r>
      <w:r w:rsidRPr="00A316F8" w:rsidR="00A614AE">
        <w:rPr>
          <w:szCs w:val="22"/>
        </w:rPr>
        <w:t>ection 90.187(b) states that “. . . trunked systems operating under this section must employ equipment that prevents transmission on a trunked frequency if a signal from another system is present on that frequency.  The level of monitoring must be sufficient to avoid harmful interference to other systems.”</w:t>
      </w:r>
      <w:r>
        <w:rPr>
          <w:rStyle w:val="FootnoteReference"/>
          <w:sz w:val="22"/>
          <w:szCs w:val="22"/>
        </w:rPr>
        <w:footnoteReference w:id="16"/>
      </w:r>
    </w:p>
    <w:p w:rsidR="00C678C8" w:rsidRPr="00A316F8" w:rsidP="004A3762" w14:paraId="3D09CDC1" w14:textId="052AD764">
      <w:pPr>
        <w:pStyle w:val="ListParagraph"/>
        <w:numPr>
          <w:ilvl w:val="0"/>
          <w:numId w:val="5"/>
        </w:numPr>
        <w:spacing w:after="240"/>
        <w:ind w:left="0" w:firstLine="720"/>
        <w:contextualSpacing w:val="0"/>
        <w:rPr>
          <w:szCs w:val="22"/>
        </w:rPr>
      </w:pPr>
      <w:r w:rsidRPr="00A316F8">
        <w:rPr>
          <w:i/>
          <w:iCs/>
          <w:szCs w:val="22"/>
        </w:rPr>
        <w:t>Factual Background</w:t>
      </w:r>
      <w:r w:rsidRPr="00A316F8">
        <w:rPr>
          <w:szCs w:val="22"/>
        </w:rPr>
        <w:t xml:space="preserve">.  </w:t>
      </w:r>
      <w:r w:rsidRPr="00A316F8" w:rsidR="000E5A08">
        <w:rPr>
          <w:szCs w:val="22"/>
        </w:rPr>
        <w:t>Mobile Relay</w:t>
      </w:r>
      <w:r w:rsidRPr="00A316F8" w:rsidR="006725DA">
        <w:rPr>
          <w:szCs w:val="22"/>
        </w:rPr>
        <w:t xml:space="preserve"> </w:t>
      </w:r>
      <w:r w:rsidRPr="00A316F8" w:rsidR="00637FBF">
        <w:rPr>
          <w:szCs w:val="22"/>
        </w:rPr>
        <w:t xml:space="preserve">is the licensee of multiple </w:t>
      </w:r>
      <w:r w:rsidRPr="00A316F8" w:rsidR="00410F34">
        <w:rPr>
          <w:szCs w:val="22"/>
          <w:shd w:val="clear" w:color="auto" w:fill="FFFFFF"/>
        </w:rPr>
        <w:t>p</w:t>
      </w:r>
      <w:r w:rsidRPr="00A316F8" w:rsidR="002D07BD">
        <w:rPr>
          <w:szCs w:val="22"/>
          <w:shd w:val="clear" w:color="auto" w:fill="FFFFFF"/>
        </w:rPr>
        <w:t xml:space="preserve">rivate </w:t>
      </w:r>
      <w:r w:rsidRPr="00A316F8" w:rsidR="00410F34">
        <w:rPr>
          <w:szCs w:val="22"/>
          <w:shd w:val="clear" w:color="auto" w:fill="FFFFFF"/>
        </w:rPr>
        <w:t>l</w:t>
      </w:r>
      <w:r w:rsidRPr="00A316F8" w:rsidR="002D07BD">
        <w:rPr>
          <w:szCs w:val="22"/>
          <w:shd w:val="clear" w:color="auto" w:fill="FFFFFF"/>
        </w:rPr>
        <w:t xml:space="preserve">and </w:t>
      </w:r>
      <w:r w:rsidRPr="00A316F8" w:rsidR="00410F34">
        <w:rPr>
          <w:szCs w:val="22"/>
          <w:shd w:val="clear" w:color="auto" w:fill="FFFFFF"/>
        </w:rPr>
        <w:t>m</w:t>
      </w:r>
      <w:r w:rsidRPr="00A316F8" w:rsidR="002D07BD">
        <w:rPr>
          <w:szCs w:val="22"/>
          <w:shd w:val="clear" w:color="auto" w:fill="FFFFFF"/>
        </w:rPr>
        <w:t xml:space="preserve">obile </w:t>
      </w:r>
      <w:r w:rsidRPr="00A316F8" w:rsidR="00410F34">
        <w:rPr>
          <w:szCs w:val="22"/>
          <w:shd w:val="clear" w:color="auto" w:fill="FFFFFF"/>
        </w:rPr>
        <w:t>r</w:t>
      </w:r>
      <w:r w:rsidRPr="00A316F8" w:rsidR="002D07BD">
        <w:rPr>
          <w:szCs w:val="22"/>
          <w:shd w:val="clear" w:color="auto" w:fill="FFFFFF"/>
        </w:rPr>
        <w:t>adio</w:t>
      </w:r>
      <w:r w:rsidRPr="00A316F8" w:rsidR="00637FBF">
        <w:rPr>
          <w:szCs w:val="22"/>
        </w:rPr>
        <w:t xml:space="preserve"> stations in the Los Angeles area</w:t>
      </w:r>
      <w:r w:rsidRPr="00A316F8" w:rsidR="006725DA">
        <w:rPr>
          <w:szCs w:val="22"/>
        </w:rPr>
        <w:t>, including station WPPF234, Malibu, California</w:t>
      </w:r>
      <w:r w:rsidRPr="00A316F8" w:rsidR="001C55DA">
        <w:rPr>
          <w:szCs w:val="22"/>
        </w:rPr>
        <w:t xml:space="preserve"> (Station)</w:t>
      </w:r>
      <w:r w:rsidRPr="00A316F8" w:rsidR="00637FBF">
        <w:rPr>
          <w:szCs w:val="22"/>
        </w:rPr>
        <w:t>.</w:t>
      </w:r>
      <w:r>
        <w:rPr>
          <w:rStyle w:val="FootnoteReference"/>
          <w:sz w:val="22"/>
          <w:szCs w:val="22"/>
        </w:rPr>
        <w:footnoteReference w:id="17"/>
      </w:r>
      <w:r w:rsidRPr="00A316F8" w:rsidR="00637FBF">
        <w:rPr>
          <w:szCs w:val="22"/>
        </w:rPr>
        <w:t xml:space="preserve">  </w:t>
      </w:r>
      <w:r w:rsidRPr="00A316F8" w:rsidR="008F7349">
        <w:rPr>
          <w:szCs w:val="22"/>
        </w:rPr>
        <w:t>The Company</w:t>
      </w:r>
      <w:r w:rsidRPr="00A316F8" w:rsidR="00637FBF">
        <w:rPr>
          <w:szCs w:val="22"/>
        </w:rPr>
        <w:t xml:space="preserve"> is required </w:t>
      </w:r>
      <w:r w:rsidRPr="00A316F8" w:rsidR="00CC3764">
        <w:rPr>
          <w:szCs w:val="22"/>
        </w:rPr>
        <w:t>to operate the Station as a trunked Industrial/Business Pool station</w:t>
      </w:r>
      <w:r w:rsidRPr="00A316F8" w:rsidR="00B54B98">
        <w:rPr>
          <w:szCs w:val="22"/>
        </w:rPr>
        <w:t>.</w:t>
      </w:r>
      <w:r>
        <w:rPr>
          <w:rStyle w:val="FootnoteReference"/>
          <w:sz w:val="22"/>
          <w:szCs w:val="22"/>
        </w:rPr>
        <w:footnoteReference w:id="18"/>
      </w:r>
      <w:r w:rsidRPr="00A316F8" w:rsidR="00CC3764">
        <w:rPr>
          <w:szCs w:val="22"/>
        </w:rPr>
        <w:t xml:space="preserve"> </w:t>
      </w:r>
      <w:r w:rsidRPr="00A316F8" w:rsidR="00B54B98">
        <w:rPr>
          <w:szCs w:val="22"/>
        </w:rPr>
        <w:t xml:space="preserve"> Mobile Relay is also required to</w:t>
      </w:r>
      <w:r w:rsidRPr="00A316F8" w:rsidR="00637FBF">
        <w:rPr>
          <w:szCs w:val="22"/>
        </w:rPr>
        <w:t xml:space="preserve"> share two of </w:t>
      </w:r>
      <w:r w:rsidRPr="00A316F8" w:rsidR="00566D7B">
        <w:rPr>
          <w:szCs w:val="22"/>
        </w:rPr>
        <w:t>the Station’s</w:t>
      </w:r>
      <w:r w:rsidRPr="00A316F8" w:rsidR="00637FBF">
        <w:rPr>
          <w:szCs w:val="22"/>
        </w:rPr>
        <w:t xml:space="preserve"> assigned frequencies</w:t>
      </w:r>
      <w:r w:rsidRPr="00A316F8" w:rsidR="00566D7B">
        <w:rPr>
          <w:szCs w:val="22"/>
        </w:rPr>
        <w:t>, 151.7825 MHz and 152.2925 MHz,</w:t>
      </w:r>
      <w:r w:rsidRPr="007D1BDC" w:rsidR="00637FBF">
        <w:rPr>
          <w:szCs w:val="22"/>
        </w:rPr>
        <w:t xml:space="preserve"> </w:t>
      </w:r>
      <w:r w:rsidRPr="00A316F8" w:rsidR="00637FBF">
        <w:rPr>
          <w:szCs w:val="22"/>
        </w:rPr>
        <w:t xml:space="preserve">with other co-channel </w:t>
      </w:r>
      <w:r w:rsidRPr="00A316F8" w:rsidR="001C55DA">
        <w:rPr>
          <w:szCs w:val="22"/>
        </w:rPr>
        <w:t xml:space="preserve">land mobile </w:t>
      </w:r>
      <w:r w:rsidRPr="00A316F8" w:rsidR="00637FBF">
        <w:rPr>
          <w:szCs w:val="22"/>
        </w:rPr>
        <w:t>licensees</w:t>
      </w:r>
      <w:r w:rsidRPr="00A316F8" w:rsidR="001B098A">
        <w:rPr>
          <w:szCs w:val="22"/>
        </w:rPr>
        <w:t>.</w:t>
      </w:r>
      <w:r>
        <w:rPr>
          <w:szCs w:val="22"/>
          <w:vertAlign w:val="superscript"/>
        </w:rPr>
        <w:footnoteReference w:id="19"/>
      </w:r>
      <w:r w:rsidRPr="00A316F8" w:rsidR="00D21A11">
        <w:rPr>
          <w:szCs w:val="22"/>
        </w:rPr>
        <w:t xml:space="preserve"> </w:t>
      </w:r>
      <w:r w:rsidRPr="00A316F8" w:rsidR="00637FBF">
        <w:rPr>
          <w:szCs w:val="22"/>
        </w:rPr>
        <w:t xml:space="preserve"> </w:t>
      </w:r>
      <w:r w:rsidRPr="00A316F8" w:rsidR="007A49F3">
        <w:rPr>
          <w:snapToGrid w:val="0"/>
          <w:szCs w:val="22"/>
        </w:rPr>
        <w:t>I</w:t>
      </w:r>
      <w:r w:rsidRPr="00A316F8">
        <w:rPr>
          <w:snapToGrid w:val="0"/>
          <w:szCs w:val="22"/>
        </w:rPr>
        <w:t xml:space="preserve">n March 2013, </w:t>
      </w:r>
      <w:r w:rsidRPr="00A316F8" w:rsidR="00F607BD">
        <w:rPr>
          <w:szCs w:val="22"/>
        </w:rPr>
        <w:t xml:space="preserve">after investigating complaints of </w:t>
      </w:r>
      <w:r w:rsidRPr="00A316F8" w:rsidR="00F607BD">
        <w:rPr>
          <w:szCs w:val="22"/>
        </w:rPr>
        <w:t>interference against the Station,</w:t>
      </w:r>
      <w:bookmarkStart w:id="10" w:name="_Ref45722605"/>
      <w:r>
        <w:rPr>
          <w:rStyle w:val="FootnoteReference"/>
          <w:sz w:val="22"/>
          <w:szCs w:val="22"/>
        </w:rPr>
        <w:footnoteReference w:id="20"/>
      </w:r>
      <w:bookmarkEnd w:id="10"/>
      <w:r w:rsidRPr="00A316F8" w:rsidR="00F607BD">
        <w:rPr>
          <w:snapToGrid w:val="0"/>
          <w:szCs w:val="22"/>
        </w:rPr>
        <w:t xml:space="preserve"> the</w:t>
      </w:r>
      <w:r w:rsidRPr="00A316F8">
        <w:rPr>
          <w:snapToGrid w:val="0"/>
          <w:szCs w:val="22"/>
        </w:rPr>
        <w:t xml:space="preserve"> Bureau issued a Notice of Violation</w:t>
      </w:r>
      <w:r w:rsidRPr="00A316F8" w:rsidR="00F607BD">
        <w:rPr>
          <w:snapToGrid w:val="0"/>
          <w:szCs w:val="22"/>
        </w:rPr>
        <w:t xml:space="preserve"> </w:t>
      </w:r>
      <w:r w:rsidRPr="00A316F8">
        <w:rPr>
          <w:snapToGrid w:val="0"/>
          <w:szCs w:val="22"/>
        </w:rPr>
        <w:t xml:space="preserve">to </w:t>
      </w:r>
      <w:r w:rsidRPr="00A316F8" w:rsidR="003106DC">
        <w:rPr>
          <w:snapToGrid w:val="0"/>
          <w:szCs w:val="22"/>
        </w:rPr>
        <w:t xml:space="preserve">Mobile Relay for several </w:t>
      </w:r>
      <w:r w:rsidRPr="00A316F8" w:rsidR="00D01D3A">
        <w:rPr>
          <w:snapToGrid w:val="0"/>
          <w:szCs w:val="22"/>
        </w:rPr>
        <w:t xml:space="preserve">rule </w:t>
      </w:r>
      <w:r w:rsidRPr="00A316F8" w:rsidR="003106DC">
        <w:rPr>
          <w:snapToGrid w:val="0"/>
          <w:szCs w:val="22"/>
        </w:rPr>
        <w:t xml:space="preserve">violations, including </w:t>
      </w:r>
      <w:r w:rsidRPr="00A316F8">
        <w:rPr>
          <w:snapToGrid w:val="0"/>
          <w:szCs w:val="22"/>
        </w:rPr>
        <w:t xml:space="preserve">failing to: </w:t>
      </w:r>
      <w:r w:rsidRPr="00A316F8" w:rsidR="00B54B98">
        <w:rPr>
          <w:snapToGrid w:val="0"/>
          <w:szCs w:val="22"/>
        </w:rPr>
        <w:t xml:space="preserve"> </w:t>
      </w:r>
      <w:r w:rsidRPr="00A316F8" w:rsidR="001C55DA">
        <w:rPr>
          <w:snapToGrid w:val="0"/>
          <w:szCs w:val="22"/>
        </w:rPr>
        <w:t>(</w:t>
      </w:r>
      <w:r w:rsidRPr="00A316F8">
        <w:rPr>
          <w:snapToGrid w:val="0"/>
          <w:szCs w:val="22"/>
        </w:rPr>
        <w:t xml:space="preserve">1) restrict </w:t>
      </w:r>
      <w:r w:rsidRPr="00A316F8" w:rsidR="001C55DA">
        <w:rPr>
          <w:snapToGrid w:val="0"/>
          <w:szCs w:val="22"/>
        </w:rPr>
        <w:t xml:space="preserve">the </w:t>
      </w:r>
      <w:r w:rsidRPr="00A316F8">
        <w:rPr>
          <w:snapToGrid w:val="0"/>
          <w:szCs w:val="22"/>
        </w:rPr>
        <w:t>Station’s transmission</w:t>
      </w:r>
      <w:r w:rsidRPr="00A316F8" w:rsidR="00165A68">
        <w:rPr>
          <w:snapToGrid w:val="0"/>
          <w:szCs w:val="22"/>
        </w:rPr>
        <w:t>s</w:t>
      </w:r>
      <w:r w:rsidRPr="00A316F8">
        <w:rPr>
          <w:snapToGrid w:val="0"/>
          <w:szCs w:val="22"/>
        </w:rPr>
        <w:t xml:space="preserve"> to the minimum practical transmission time</w:t>
      </w:r>
      <w:r w:rsidRPr="00A316F8" w:rsidR="009824E1">
        <w:rPr>
          <w:snapToGrid w:val="0"/>
          <w:szCs w:val="22"/>
        </w:rPr>
        <w:t xml:space="preserve">, </w:t>
      </w:r>
      <w:r w:rsidRPr="00A316F8" w:rsidR="001C55DA">
        <w:rPr>
          <w:snapToGrid w:val="0"/>
          <w:szCs w:val="22"/>
        </w:rPr>
        <w:t>(</w:t>
      </w:r>
      <w:r w:rsidRPr="00A316F8">
        <w:rPr>
          <w:snapToGrid w:val="0"/>
          <w:szCs w:val="22"/>
        </w:rPr>
        <w:t>2) monitor the transmitting frequencies of other licensees</w:t>
      </w:r>
      <w:r w:rsidRPr="00A316F8" w:rsidR="009824E1">
        <w:rPr>
          <w:snapToGrid w:val="0"/>
          <w:szCs w:val="22"/>
        </w:rPr>
        <w:t xml:space="preserve">, </w:t>
      </w:r>
      <w:r w:rsidRPr="00A316F8">
        <w:rPr>
          <w:snapToGrid w:val="0"/>
          <w:szCs w:val="22"/>
        </w:rPr>
        <w:t xml:space="preserve">or </w:t>
      </w:r>
      <w:r w:rsidRPr="00A316F8" w:rsidR="001C55DA">
        <w:rPr>
          <w:snapToGrid w:val="0"/>
          <w:szCs w:val="22"/>
        </w:rPr>
        <w:t>(</w:t>
      </w:r>
      <w:r w:rsidRPr="00A316F8" w:rsidR="00F607BD">
        <w:rPr>
          <w:snapToGrid w:val="0"/>
          <w:szCs w:val="22"/>
        </w:rPr>
        <w:t xml:space="preserve">3) </w:t>
      </w:r>
      <w:r w:rsidRPr="00A316F8">
        <w:rPr>
          <w:snapToGrid w:val="0"/>
          <w:szCs w:val="22"/>
        </w:rPr>
        <w:t>take any other reasonable precautions to avoid causing harmful interference</w:t>
      </w:r>
      <w:r w:rsidRPr="00A316F8" w:rsidR="003106DC">
        <w:rPr>
          <w:snapToGrid w:val="0"/>
          <w:szCs w:val="22"/>
        </w:rPr>
        <w:t>.</w:t>
      </w:r>
      <w:bookmarkStart w:id="11" w:name="_Hlk519494966"/>
      <w:r>
        <w:rPr>
          <w:rStyle w:val="FootnoteReference"/>
          <w:snapToGrid w:val="0"/>
          <w:sz w:val="22"/>
          <w:szCs w:val="22"/>
        </w:rPr>
        <w:footnoteReference w:id="21"/>
      </w:r>
      <w:bookmarkEnd w:id="11"/>
    </w:p>
    <w:p w:rsidR="004454FE" w:rsidRPr="00A316F8" w:rsidP="00CE4FFF" w14:paraId="56EE9DCF" w14:textId="7EBA3B4D">
      <w:pPr>
        <w:pStyle w:val="ListParagraph"/>
        <w:numPr>
          <w:ilvl w:val="0"/>
          <w:numId w:val="5"/>
        </w:numPr>
        <w:spacing w:after="240"/>
        <w:ind w:left="0" w:firstLine="720"/>
        <w:contextualSpacing w:val="0"/>
        <w:rPr>
          <w:szCs w:val="22"/>
        </w:rPr>
      </w:pPr>
      <w:r w:rsidRPr="00A316F8">
        <w:rPr>
          <w:szCs w:val="22"/>
        </w:rPr>
        <w:t>In June 2015</w:t>
      </w:r>
      <w:r w:rsidRPr="00A316F8" w:rsidR="007267F5">
        <w:rPr>
          <w:szCs w:val="22"/>
        </w:rPr>
        <w:t>,</w:t>
      </w:r>
      <w:r w:rsidRPr="00A316F8">
        <w:rPr>
          <w:szCs w:val="22"/>
        </w:rPr>
        <w:t xml:space="preserve"> t</w:t>
      </w:r>
      <w:r w:rsidRPr="00A316F8">
        <w:rPr>
          <w:spacing w:val="-2"/>
          <w:szCs w:val="22"/>
        </w:rPr>
        <w:t xml:space="preserve">he </w:t>
      </w:r>
      <w:r w:rsidRPr="00A316F8" w:rsidR="00C356A8">
        <w:rPr>
          <w:spacing w:val="-2"/>
          <w:szCs w:val="22"/>
        </w:rPr>
        <w:t>Bureau</w:t>
      </w:r>
      <w:r w:rsidRPr="00A316F8">
        <w:rPr>
          <w:spacing w:val="-2"/>
          <w:szCs w:val="22"/>
        </w:rPr>
        <w:t xml:space="preserve"> </w:t>
      </w:r>
      <w:r w:rsidRPr="00A316F8" w:rsidR="001C55DA">
        <w:rPr>
          <w:spacing w:val="-2"/>
          <w:szCs w:val="22"/>
        </w:rPr>
        <w:t>further investigated the Station</w:t>
      </w:r>
      <w:r w:rsidRPr="00A316F8" w:rsidR="00DD60ED">
        <w:rPr>
          <w:spacing w:val="-2"/>
          <w:szCs w:val="22"/>
        </w:rPr>
        <w:t xml:space="preserve"> a</w:t>
      </w:r>
      <w:r w:rsidRPr="00A316F8" w:rsidR="007A49F3">
        <w:rPr>
          <w:spacing w:val="-2"/>
          <w:szCs w:val="22"/>
        </w:rPr>
        <w:t>nd</w:t>
      </w:r>
      <w:r w:rsidRPr="00A316F8" w:rsidR="007A49F3">
        <w:rPr>
          <w:szCs w:val="22"/>
        </w:rPr>
        <w:t xml:space="preserve"> </w:t>
      </w:r>
      <w:r w:rsidRPr="00A316F8" w:rsidR="00A9724D">
        <w:rPr>
          <w:szCs w:val="22"/>
        </w:rPr>
        <w:t xml:space="preserve">determined </w:t>
      </w:r>
      <w:r w:rsidRPr="00A316F8" w:rsidR="00C356A8">
        <w:rPr>
          <w:snapToGrid w:val="0"/>
          <w:szCs w:val="22"/>
        </w:rPr>
        <w:t>Mobile Relay</w:t>
      </w:r>
      <w:r w:rsidRPr="00A316F8" w:rsidR="00C356A8">
        <w:rPr>
          <w:szCs w:val="22"/>
        </w:rPr>
        <w:t xml:space="preserve">’s </w:t>
      </w:r>
      <w:r w:rsidRPr="00A316F8" w:rsidR="00A9724D">
        <w:rPr>
          <w:szCs w:val="22"/>
        </w:rPr>
        <w:t xml:space="preserve">operations </w:t>
      </w:r>
      <w:r w:rsidRPr="00A316F8" w:rsidR="001C55DA">
        <w:rPr>
          <w:szCs w:val="22"/>
        </w:rPr>
        <w:t xml:space="preserve">were </w:t>
      </w:r>
      <w:r w:rsidRPr="00A316F8">
        <w:rPr>
          <w:szCs w:val="22"/>
        </w:rPr>
        <w:t>caus</w:t>
      </w:r>
      <w:r w:rsidRPr="00A316F8" w:rsidR="001C55DA">
        <w:rPr>
          <w:szCs w:val="22"/>
        </w:rPr>
        <w:t>ing</w:t>
      </w:r>
      <w:r w:rsidRPr="00A316F8">
        <w:rPr>
          <w:szCs w:val="22"/>
        </w:rPr>
        <w:t xml:space="preserve"> harmful interference to Eden</w:t>
      </w:r>
      <w:r w:rsidRPr="00A316F8" w:rsidR="001C55DA">
        <w:rPr>
          <w:szCs w:val="22"/>
        </w:rPr>
        <w:t>, one of the earlier complainants</w:t>
      </w:r>
      <w:r w:rsidRPr="00A316F8">
        <w:rPr>
          <w:szCs w:val="22"/>
        </w:rPr>
        <w:t>.</w:t>
      </w:r>
      <w:r>
        <w:rPr>
          <w:rStyle w:val="FootnoteReference"/>
          <w:sz w:val="22"/>
          <w:szCs w:val="22"/>
        </w:rPr>
        <w:footnoteReference w:id="22"/>
      </w:r>
      <w:r w:rsidRPr="00A316F8">
        <w:rPr>
          <w:szCs w:val="22"/>
        </w:rPr>
        <w:t xml:space="preserve">  </w:t>
      </w:r>
      <w:r w:rsidRPr="00A316F8" w:rsidR="001C55DA">
        <w:rPr>
          <w:szCs w:val="22"/>
        </w:rPr>
        <w:t xml:space="preserve">Notably, </w:t>
      </w:r>
      <w:r w:rsidRPr="00A316F8" w:rsidR="008F7349">
        <w:rPr>
          <w:snapToGrid w:val="0"/>
          <w:szCs w:val="22"/>
        </w:rPr>
        <w:t>the Company</w:t>
      </w:r>
      <w:r w:rsidRPr="00A316F8">
        <w:rPr>
          <w:szCs w:val="22"/>
        </w:rPr>
        <w:t xml:space="preserve">’s 95% occupancy rate effectively prevented Eden from using frequency 152.2925 MHz, the </w:t>
      </w:r>
      <w:r w:rsidRPr="00A316F8" w:rsidR="001C55DA">
        <w:rPr>
          <w:szCs w:val="22"/>
        </w:rPr>
        <w:t xml:space="preserve">frequency </w:t>
      </w:r>
      <w:r w:rsidRPr="00A316F8">
        <w:rPr>
          <w:szCs w:val="22"/>
        </w:rPr>
        <w:t xml:space="preserve">it shares with </w:t>
      </w:r>
      <w:r w:rsidRPr="00A316F8" w:rsidR="00C356A8">
        <w:rPr>
          <w:snapToGrid w:val="0"/>
          <w:szCs w:val="22"/>
        </w:rPr>
        <w:t>Mobile Relay</w:t>
      </w:r>
      <w:r w:rsidRPr="00A316F8">
        <w:rPr>
          <w:szCs w:val="22"/>
        </w:rPr>
        <w:t>’s Station.</w:t>
      </w:r>
      <w:r>
        <w:rPr>
          <w:szCs w:val="22"/>
          <w:vertAlign w:val="superscript"/>
        </w:rPr>
        <w:footnoteReference w:id="23"/>
      </w:r>
      <w:r w:rsidRPr="00A316F8" w:rsidR="00CE4FFF">
        <w:rPr>
          <w:szCs w:val="22"/>
        </w:rPr>
        <w:t xml:space="preserve">  In </w:t>
      </w:r>
      <w:r w:rsidRPr="00A316F8" w:rsidR="00522837">
        <w:rPr>
          <w:szCs w:val="22"/>
        </w:rPr>
        <w:t xml:space="preserve">July 2015, the Bureau issued a </w:t>
      </w:r>
      <w:r w:rsidRPr="00A316F8" w:rsidR="007F4F0E">
        <w:rPr>
          <w:i/>
          <w:szCs w:val="22"/>
        </w:rPr>
        <w:t>Notice</w:t>
      </w:r>
      <w:r w:rsidRPr="00A316F8" w:rsidR="00522837">
        <w:rPr>
          <w:szCs w:val="22"/>
        </w:rPr>
        <w:t xml:space="preserve"> finding that </w:t>
      </w:r>
      <w:r w:rsidRPr="00A316F8" w:rsidR="000E5A08">
        <w:rPr>
          <w:szCs w:val="22"/>
        </w:rPr>
        <w:t>Mobile Relay</w:t>
      </w:r>
      <w:r w:rsidRPr="00A316F8" w:rsidR="00522837">
        <w:rPr>
          <w:szCs w:val="22"/>
        </w:rPr>
        <w:t xml:space="preserve"> apparently willfully and repeatedly violated sections </w:t>
      </w:r>
      <w:r w:rsidRPr="00A316F8" w:rsidR="006135E8">
        <w:rPr>
          <w:szCs w:val="22"/>
        </w:rPr>
        <w:t>90.187(b)</w:t>
      </w:r>
      <w:r>
        <w:rPr>
          <w:rStyle w:val="FootnoteReference"/>
          <w:sz w:val="22"/>
          <w:szCs w:val="22"/>
        </w:rPr>
        <w:footnoteReference w:id="24"/>
      </w:r>
      <w:r w:rsidRPr="00A316F8" w:rsidR="006135E8">
        <w:rPr>
          <w:szCs w:val="22"/>
        </w:rPr>
        <w:t xml:space="preserve"> </w:t>
      </w:r>
      <w:r w:rsidRPr="00A316F8" w:rsidR="00522837">
        <w:rPr>
          <w:szCs w:val="22"/>
        </w:rPr>
        <w:t xml:space="preserve">and </w:t>
      </w:r>
      <w:r w:rsidRPr="00A316F8" w:rsidR="006135E8">
        <w:rPr>
          <w:szCs w:val="22"/>
        </w:rPr>
        <w:t>90.403(e)</w:t>
      </w:r>
      <w:r>
        <w:rPr>
          <w:rStyle w:val="FootnoteReference"/>
          <w:sz w:val="22"/>
          <w:szCs w:val="22"/>
        </w:rPr>
        <w:footnoteReference w:id="25"/>
      </w:r>
      <w:r w:rsidRPr="00A316F8" w:rsidR="006135E8">
        <w:rPr>
          <w:szCs w:val="22"/>
        </w:rPr>
        <w:t xml:space="preserve"> </w:t>
      </w:r>
      <w:r w:rsidRPr="00A316F8" w:rsidR="00522837">
        <w:rPr>
          <w:spacing w:val="-2"/>
          <w:szCs w:val="22"/>
        </w:rPr>
        <w:t>o</w:t>
      </w:r>
      <w:r w:rsidRPr="00A316F8" w:rsidR="00522837">
        <w:rPr>
          <w:szCs w:val="22"/>
        </w:rPr>
        <w:t>f the Commission’s rules</w:t>
      </w:r>
      <w:r w:rsidRPr="00A316F8" w:rsidR="008074CC">
        <w:rPr>
          <w:szCs w:val="22"/>
        </w:rPr>
        <w:t xml:space="preserve"> because </w:t>
      </w:r>
      <w:r w:rsidRPr="00A316F8" w:rsidR="00D94697">
        <w:rPr>
          <w:szCs w:val="22"/>
        </w:rPr>
        <w:t>the Company</w:t>
      </w:r>
      <w:r w:rsidRPr="00A316F8" w:rsidR="000A0CA8">
        <w:rPr>
          <w:szCs w:val="22"/>
        </w:rPr>
        <w:t xml:space="preserve"> </w:t>
      </w:r>
      <w:r w:rsidRPr="00A316F8" w:rsidR="00456486">
        <w:rPr>
          <w:szCs w:val="22"/>
        </w:rPr>
        <w:t>operat</w:t>
      </w:r>
      <w:r w:rsidRPr="00A316F8" w:rsidR="000A0CA8">
        <w:rPr>
          <w:szCs w:val="22"/>
        </w:rPr>
        <w:t>ed</w:t>
      </w:r>
      <w:r w:rsidRPr="00A316F8" w:rsidR="00456486">
        <w:rPr>
          <w:szCs w:val="22"/>
        </w:rPr>
        <w:t xml:space="preserve"> nearly continuously</w:t>
      </w:r>
      <w:r w:rsidRPr="00A316F8" w:rsidR="00564606">
        <w:rPr>
          <w:szCs w:val="22"/>
        </w:rPr>
        <w:t xml:space="preserve"> on its Station</w:t>
      </w:r>
      <w:r w:rsidRPr="00A316F8" w:rsidR="002E1FA0">
        <w:rPr>
          <w:szCs w:val="22"/>
        </w:rPr>
        <w:t>, utilizing a 95% duty cycle</w:t>
      </w:r>
      <w:r>
        <w:rPr>
          <w:rStyle w:val="FootnoteReference"/>
          <w:sz w:val="22"/>
          <w:szCs w:val="22"/>
        </w:rPr>
        <w:footnoteReference w:id="26"/>
      </w:r>
      <w:r w:rsidRPr="00A316F8" w:rsidR="00456486">
        <w:rPr>
          <w:szCs w:val="22"/>
        </w:rPr>
        <w:t xml:space="preserve"> on the shared frequencies</w:t>
      </w:r>
      <w:r w:rsidRPr="00A316F8" w:rsidR="00AA0C82">
        <w:rPr>
          <w:szCs w:val="22"/>
        </w:rPr>
        <w:t>,</w:t>
      </w:r>
      <w:r w:rsidRPr="00A316F8" w:rsidR="00456486">
        <w:rPr>
          <w:szCs w:val="22"/>
        </w:rPr>
        <w:t xml:space="preserve"> 151.7825 MHz and 152.2925 MHz</w:t>
      </w:r>
      <w:r w:rsidRPr="00A316F8" w:rsidR="000A0CA8">
        <w:rPr>
          <w:szCs w:val="22"/>
        </w:rPr>
        <w:t>, without employ</w:t>
      </w:r>
      <w:r w:rsidRPr="00A316F8" w:rsidR="008074CC">
        <w:rPr>
          <w:szCs w:val="22"/>
        </w:rPr>
        <w:t>ing</w:t>
      </w:r>
      <w:r w:rsidRPr="00A316F8" w:rsidR="000A0CA8">
        <w:rPr>
          <w:szCs w:val="22"/>
        </w:rPr>
        <w:t xml:space="preserve"> equipment</w:t>
      </w:r>
      <w:r w:rsidRPr="00A316F8" w:rsidR="00456486">
        <w:rPr>
          <w:szCs w:val="22"/>
        </w:rPr>
        <w:t xml:space="preserve"> </w:t>
      </w:r>
      <w:r w:rsidRPr="00A316F8" w:rsidR="004E4057">
        <w:rPr>
          <w:szCs w:val="22"/>
        </w:rPr>
        <w:t xml:space="preserve">that monitored communications in progress </w:t>
      </w:r>
      <w:r w:rsidRPr="00A316F8" w:rsidR="008074CC">
        <w:rPr>
          <w:szCs w:val="22"/>
        </w:rPr>
        <w:t xml:space="preserve">and engaging in monitoring to avoid </w:t>
      </w:r>
      <w:r w:rsidRPr="00A316F8" w:rsidR="004B36D5">
        <w:rPr>
          <w:szCs w:val="22"/>
        </w:rPr>
        <w:t xml:space="preserve">causing </w:t>
      </w:r>
      <w:r w:rsidRPr="00A316F8" w:rsidR="008074CC">
        <w:rPr>
          <w:szCs w:val="22"/>
        </w:rPr>
        <w:t>harmful interference to other systems.</w:t>
      </w:r>
      <w:r>
        <w:rPr>
          <w:rStyle w:val="FootnoteReference"/>
          <w:sz w:val="22"/>
          <w:szCs w:val="22"/>
        </w:rPr>
        <w:footnoteReference w:id="27"/>
      </w:r>
      <w:r w:rsidRPr="00A316F8" w:rsidR="00BB0C1A">
        <w:rPr>
          <w:szCs w:val="22"/>
        </w:rPr>
        <w:t xml:space="preserve">  </w:t>
      </w:r>
      <w:r w:rsidRPr="00A316F8" w:rsidR="008074CC">
        <w:rPr>
          <w:szCs w:val="22"/>
        </w:rPr>
        <w:t>T</w:t>
      </w:r>
      <w:r w:rsidRPr="00A316F8" w:rsidR="00456486">
        <w:rPr>
          <w:szCs w:val="22"/>
        </w:rPr>
        <w:t xml:space="preserve">he </w:t>
      </w:r>
      <w:r w:rsidRPr="00A316F8" w:rsidR="00F954D9">
        <w:rPr>
          <w:szCs w:val="22"/>
        </w:rPr>
        <w:t>Bureau</w:t>
      </w:r>
      <w:r w:rsidRPr="00A316F8" w:rsidR="00456486">
        <w:rPr>
          <w:szCs w:val="22"/>
        </w:rPr>
        <w:t xml:space="preserve"> proposed a forfeiture of $25,000 for these </w:t>
      </w:r>
      <w:r w:rsidRPr="00A316F8" w:rsidR="00564606">
        <w:rPr>
          <w:szCs w:val="22"/>
        </w:rPr>
        <w:t xml:space="preserve">apparent </w:t>
      </w:r>
      <w:r w:rsidRPr="00A316F8" w:rsidR="00456486">
        <w:rPr>
          <w:szCs w:val="22"/>
        </w:rPr>
        <w:t xml:space="preserve">violations.  </w:t>
      </w:r>
      <w:r w:rsidRPr="00A316F8" w:rsidR="002E1FA0">
        <w:rPr>
          <w:szCs w:val="22"/>
        </w:rPr>
        <w:t xml:space="preserve">In assessing the statutory factors to be considered in determining this </w:t>
      </w:r>
      <w:r w:rsidRPr="00A316F8" w:rsidR="00AD7DB8">
        <w:rPr>
          <w:szCs w:val="22"/>
        </w:rPr>
        <w:t xml:space="preserve">proposed </w:t>
      </w:r>
      <w:r w:rsidRPr="00A316F8" w:rsidR="002E1FA0">
        <w:rPr>
          <w:szCs w:val="22"/>
        </w:rPr>
        <w:t xml:space="preserve">forfeiture amount, we rejected </w:t>
      </w:r>
      <w:r w:rsidRPr="00A316F8" w:rsidR="000E5A08">
        <w:rPr>
          <w:szCs w:val="22"/>
        </w:rPr>
        <w:t>Mobile Relay</w:t>
      </w:r>
      <w:r w:rsidRPr="00A316F8" w:rsidR="002E1FA0">
        <w:rPr>
          <w:szCs w:val="22"/>
        </w:rPr>
        <w:t xml:space="preserve">’s </w:t>
      </w:r>
      <w:r w:rsidRPr="00A316F8" w:rsidR="00432896">
        <w:rPr>
          <w:szCs w:val="22"/>
        </w:rPr>
        <w:t>claim</w:t>
      </w:r>
      <w:r w:rsidRPr="00A316F8" w:rsidR="00A05B2D">
        <w:rPr>
          <w:szCs w:val="22"/>
        </w:rPr>
        <w:t>s</w:t>
      </w:r>
      <w:r w:rsidRPr="00A316F8" w:rsidR="00432896">
        <w:rPr>
          <w:szCs w:val="22"/>
        </w:rPr>
        <w:t xml:space="preserve"> </w:t>
      </w:r>
      <w:r w:rsidRPr="00A316F8" w:rsidR="002E1FA0">
        <w:rPr>
          <w:szCs w:val="22"/>
        </w:rPr>
        <w:t xml:space="preserve">in response to </w:t>
      </w:r>
      <w:r w:rsidRPr="00A316F8" w:rsidR="00E14F20">
        <w:rPr>
          <w:szCs w:val="22"/>
        </w:rPr>
        <w:t xml:space="preserve">the </w:t>
      </w:r>
      <w:r w:rsidRPr="00A316F8" w:rsidR="00B507B8">
        <w:rPr>
          <w:szCs w:val="22"/>
        </w:rPr>
        <w:t>Notice of Violation</w:t>
      </w:r>
      <w:r w:rsidRPr="00A316F8" w:rsidR="00B507B8">
        <w:rPr>
          <w:i/>
          <w:szCs w:val="22"/>
        </w:rPr>
        <w:t xml:space="preserve"> </w:t>
      </w:r>
      <w:r w:rsidRPr="00A316F8" w:rsidR="002E1FA0">
        <w:rPr>
          <w:szCs w:val="22"/>
        </w:rPr>
        <w:t>that it was not operating continuously, but merely engaged in “heavy usage” of the shared frequencies.</w:t>
      </w:r>
      <w:r>
        <w:rPr>
          <w:rStyle w:val="FootnoteReference"/>
          <w:sz w:val="22"/>
          <w:szCs w:val="22"/>
        </w:rPr>
        <w:footnoteReference w:id="28"/>
      </w:r>
      <w:r w:rsidRPr="00A316F8" w:rsidR="002E1FA0">
        <w:rPr>
          <w:szCs w:val="22"/>
        </w:rPr>
        <w:t xml:space="preserve">  We also determined that </w:t>
      </w:r>
      <w:r w:rsidRPr="00A316F8" w:rsidR="007E295E">
        <w:rPr>
          <w:szCs w:val="22"/>
        </w:rPr>
        <w:t>the Company</w:t>
      </w:r>
      <w:r w:rsidRPr="00A316F8" w:rsidR="002E1FA0">
        <w:rPr>
          <w:szCs w:val="22"/>
        </w:rPr>
        <w:t xml:space="preserve">’s </w:t>
      </w:r>
      <w:r w:rsidRPr="00A316F8" w:rsidR="00977B23">
        <w:rPr>
          <w:szCs w:val="22"/>
        </w:rPr>
        <w:t xml:space="preserve">mitigation </w:t>
      </w:r>
      <w:r w:rsidRPr="00A316F8" w:rsidR="002E1FA0">
        <w:rPr>
          <w:szCs w:val="22"/>
        </w:rPr>
        <w:t xml:space="preserve">efforts after receiving </w:t>
      </w:r>
      <w:r w:rsidRPr="00A316F8" w:rsidR="00E14F20">
        <w:rPr>
          <w:szCs w:val="22"/>
        </w:rPr>
        <w:t xml:space="preserve">the </w:t>
      </w:r>
      <w:r w:rsidRPr="00A316F8" w:rsidR="00B507B8">
        <w:rPr>
          <w:szCs w:val="22"/>
        </w:rPr>
        <w:t>Notice of Violation</w:t>
      </w:r>
      <w:r w:rsidRPr="00A316F8" w:rsidR="00A05B2D">
        <w:rPr>
          <w:szCs w:val="22"/>
        </w:rPr>
        <w:t>,</w:t>
      </w:r>
      <w:r w:rsidRPr="00A316F8" w:rsidR="00977B23">
        <w:rPr>
          <w:szCs w:val="22"/>
        </w:rPr>
        <w:t xml:space="preserve"> includ</w:t>
      </w:r>
      <w:r w:rsidRPr="00A316F8" w:rsidR="00782E06">
        <w:rPr>
          <w:szCs w:val="22"/>
        </w:rPr>
        <w:t>ing</w:t>
      </w:r>
      <w:r w:rsidRPr="00A316F8" w:rsidR="00977B23">
        <w:rPr>
          <w:szCs w:val="22"/>
        </w:rPr>
        <w:t xml:space="preserve"> </w:t>
      </w:r>
      <w:r w:rsidRPr="00A316F8" w:rsidR="002062C0">
        <w:rPr>
          <w:szCs w:val="22"/>
        </w:rPr>
        <w:t>reducing the Station’s</w:t>
      </w:r>
      <w:r w:rsidRPr="00A316F8" w:rsidR="006203BD">
        <w:rPr>
          <w:szCs w:val="22"/>
        </w:rPr>
        <w:t xml:space="preserve"> power and </w:t>
      </w:r>
      <w:r w:rsidRPr="00A316F8" w:rsidR="00F7799B">
        <w:rPr>
          <w:szCs w:val="22"/>
        </w:rPr>
        <w:t>adding Le</w:t>
      </w:r>
      <w:r w:rsidRPr="00A316F8" w:rsidR="006203BD">
        <w:rPr>
          <w:szCs w:val="22"/>
        </w:rPr>
        <w:t xml:space="preserve">vel </w:t>
      </w:r>
      <w:r w:rsidRPr="00A316F8" w:rsidR="00F7799B">
        <w:rPr>
          <w:szCs w:val="22"/>
        </w:rPr>
        <w:t xml:space="preserve">2 </w:t>
      </w:r>
      <w:r w:rsidRPr="00A316F8" w:rsidR="006203BD">
        <w:rPr>
          <w:szCs w:val="22"/>
        </w:rPr>
        <w:t>monitoring</w:t>
      </w:r>
      <w:r w:rsidRPr="00A316F8" w:rsidR="00A05B2D">
        <w:rPr>
          <w:szCs w:val="22"/>
        </w:rPr>
        <w:t>,</w:t>
      </w:r>
      <w:r w:rsidRPr="00A316F8" w:rsidR="006203BD">
        <w:rPr>
          <w:szCs w:val="22"/>
        </w:rPr>
        <w:t xml:space="preserve"> </w:t>
      </w:r>
      <w:r w:rsidRPr="00A316F8" w:rsidR="001917E0">
        <w:rPr>
          <w:szCs w:val="22"/>
        </w:rPr>
        <w:t>were insufficient to avoid causing harmful interference.</w:t>
      </w:r>
      <w:r>
        <w:rPr>
          <w:rStyle w:val="FootnoteReference"/>
          <w:sz w:val="22"/>
          <w:szCs w:val="22"/>
        </w:rPr>
        <w:footnoteReference w:id="29"/>
      </w:r>
      <w:r w:rsidRPr="00A316F8" w:rsidR="00DD0FF6">
        <w:rPr>
          <w:szCs w:val="22"/>
        </w:rPr>
        <w:t xml:space="preserve"> </w:t>
      </w:r>
      <w:r w:rsidRPr="00A316F8" w:rsidR="00D3123E">
        <w:rPr>
          <w:szCs w:val="22"/>
        </w:rPr>
        <w:t xml:space="preserve"> </w:t>
      </w:r>
      <w:r w:rsidRPr="00A316F8" w:rsidR="00DD0FF6">
        <w:rPr>
          <w:szCs w:val="22"/>
        </w:rPr>
        <w:t xml:space="preserve">The </w:t>
      </w:r>
      <w:r w:rsidRPr="00A316F8" w:rsidR="00DD0FF6">
        <w:rPr>
          <w:spacing w:val="-3"/>
          <w:szCs w:val="22"/>
        </w:rPr>
        <w:t>Bureau</w:t>
      </w:r>
      <w:r w:rsidRPr="00A316F8" w:rsidR="00DD0FF6">
        <w:rPr>
          <w:szCs w:val="22"/>
        </w:rPr>
        <w:t xml:space="preserve"> </w:t>
      </w:r>
      <w:r w:rsidRPr="00A316F8" w:rsidR="00D77113">
        <w:rPr>
          <w:szCs w:val="22"/>
        </w:rPr>
        <w:t xml:space="preserve">concluded that </w:t>
      </w:r>
      <w:r w:rsidRPr="00A316F8" w:rsidR="00DD0FF6">
        <w:rPr>
          <w:spacing w:val="-2"/>
          <w:szCs w:val="22"/>
          <w:u w:color="000000"/>
        </w:rPr>
        <w:t xml:space="preserve">Mobile Relay’s </w:t>
      </w:r>
      <w:r w:rsidRPr="00A316F8" w:rsidR="00D85E51">
        <w:rPr>
          <w:spacing w:val="-2"/>
          <w:szCs w:val="22"/>
          <w:u w:color="000000"/>
        </w:rPr>
        <w:t xml:space="preserve">ongoing pattern of </w:t>
      </w:r>
      <w:r w:rsidRPr="00A316F8" w:rsidR="00DD0FF6">
        <w:rPr>
          <w:spacing w:val="-2"/>
          <w:szCs w:val="22"/>
          <w:u w:color="000000"/>
        </w:rPr>
        <w:t xml:space="preserve">violations after </w:t>
      </w:r>
      <w:r w:rsidRPr="00A316F8" w:rsidR="00E74064">
        <w:rPr>
          <w:spacing w:val="-2"/>
          <w:szCs w:val="22"/>
          <w:u w:color="000000"/>
        </w:rPr>
        <w:t>being put on notice were sufficientl</w:t>
      </w:r>
      <w:r w:rsidRPr="00A316F8" w:rsidR="001658C2">
        <w:rPr>
          <w:spacing w:val="-2"/>
          <w:szCs w:val="22"/>
          <w:u w:color="000000"/>
        </w:rPr>
        <w:t>y</w:t>
      </w:r>
      <w:r w:rsidRPr="00A316F8" w:rsidR="007E35C9">
        <w:rPr>
          <w:spacing w:val="-2"/>
          <w:szCs w:val="22"/>
          <w:u w:color="000000"/>
        </w:rPr>
        <w:t xml:space="preserve"> egregious and </w:t>
      </w:r>
      <w:r w:rsidRPr="00A316F8" w:rsidR="001658C2">
        <w:rPr>
          <w:spacing w:val="-2"/>
          <w:szCs w:val="22"/>
          <w:u w:color="000000"/>
        </w:rPr>
        <w:t>prolonged to</w:t>
      </w:r>
      <w:r w:rsidRPr="00A316F8" w:rsidR="007E35C9">
        <w:rPr>
          <w:spacing w:val="-2"/>
          <w:szCs w:val="22"/>
          <w:u w:color="000000"/>
        </w:rPr>
        <w:t xml:space="preserve"> </w:t>
      </w:r>
      <w:r w:rsidRPr="00A316F8" w:rsidR="00DD0FF6">
        <w:rPr>
          <w:spacing w:val="-2"/>
          <w:szCs w:val="22"/>
          <w:u w:color="000000"/>
        </w:rPr>
        <w:t>warrant a significant monetary forfeiture.</w:t>
      </w:r>
      <w:r>
        <w:rPr>
          <w:spacing w:val="-2"/>
          <w:szCs w:val="22"/>
          <w:u w:color="000000"/>
          <w:vertAlign w:val="superscript"/>
        </w:rPr>
        <w:footnoteReference w:id="30"/>
      </w:r>
    </w:p>
    <w:p w:rsidR="004454FE" w:rsidRPr="00A316F8" w:rsidP="004454FE" w14:paraId="0B073D0F" w14:textId="2A8F4110">
      <w:pPr>
        <w:pStyle w:val="ParaNum"/>
        <w:widowControl/>
        <w:numPr>
          <w:ilvl w:val="0"/>
          <w:numId w:val="5"/>
        </w:numPr>
        <w:ind w:left="0" w:firstLine="720"/>
        <w:rPr>
          <w:spacing w:val="-2"/>
          <w:szCs w:val="22"/>
          <w:u w:color="000000"/>
        </w:rPr>
      </w:pPr>
      <w:r w:rsidRPr="00A316F8">
        <w:rPr>
          <w:szCs w:val="22"/>
          <w:shd w:val="clear" w:color="auto" w:fill="FFFFFF"/>
        </w:rPr>
        <w:t xml:space="preserve">On August 13, 2015, </w:t>
      </w:r>
      <w:r w:rsidRPr="00A316F8" w:rsidR="000E5A08">
        <w:rPr>
          <w:szCs w:val="22"/>
          <w:shd w:val="clear" w:color="auto" w:fill="FFFFFF"/>
        </w:rPr>
        <w:t>Mobile Relay</w:t>
      </w:r>
      <w:r w:rsidRPr="00A316F8">
        <w:rPr>
          <w:szCs w:val="22"/>
          <w:shd w:val="clear" w:color="auto" w:fill="FFFFFF"/>
        </w:rPr>
        <w:t xml:space="preserve"> filed a response to the</w:t>
      </w:r>
      <w:r w:rsidRPr="00A316F8" w:rsidR="00C47D48">
        <w:rPr>
          <w:szCs w:val="22"/>
          <w:shd w:val="clear" w:color="auto" w:fill="FFFFFF"/>
        </w:rPr>
        <w:t xml:space="preserve"> </w:t>
      </w:r>
      <w:r w:rsidRPr="00A316F8" w:rsidR="007F4F0E">
        <w:rPr>
          <w:rStyle w:val="ssit"/>
          <w:i/>
          <w:iCs/>
          <w:szCs w:val="22"/>
          <w:bdr w:val="none" w:sz="0" w:space="0" w:color="auto" w:frame="1"/>
          <w:shd w:val="clear" w:color="auto" w:fill="FFFFFF"/>
        </w:rPr>
        <w:t>Notice</w:t>
      </w:r>
      <w:r w:rsidRPr="00A316F8">
        <w:rPr>
          <w:szCs w:val="22"/>
          <w:shd w:val="clear" w:color="auto" w:fill="FFFFFF"/>
        </w:rPr>
        <w:t>.</w:t>
      </w:r>
      <w:r>
        <w:rPr>
          <w:rStyle w:val="FootnoteReference"/>
          <w:sz w:val="22"/>
          <w:szCs w:val="22"/>
          <w:shd w:val="clear" w:color="auto" w:fill="FFFFFF"/>
        </w:rPr>
        <w:footnoteReference w:id="31"/>
      </w:r>
      <w:r w:rsidRPr="00A316F8">
        <w:rPr>
          <w:spacing w:val="-3"/>
          <w:szCs w:val="22"/>
        </w:rPr>
        <w:t xml:space="preserve">  </w:t>
      </w:r>
      <w:r w:rsidRPr="00A316F8" w:rsidR="007E295E">
        <w:rPr>
          <w:szCs w:val="22"/>
          <w:shd w:val="clear" w:color="auto" w:fill="FFFFFF"/>
        </w:rPr>
        <w:t>The Company</w:t>
      </w:r>
      <w:r w:rsidRPr="00A316F8">
        <w:rPr>
          <w:szCs w:val="22"/>
          <w:shd w:val="clear" w:color="auto" w:fill="FFFFFF"/>
        </w:rPr>
        <w:t xml:space="preserve"> argue</w:t>
      </w:r>
      <w:r w:rsidRPr="00A316F8" w:rsidR="00B21515">
        <w:rPr>
          <w:szCs w:val="22"/>
          <w:shd w:val="clear" w:color="auto" w:fill="FFFFFF"/>
        </w:rPr>
        <w:t>d</w:t>
      </w:r>
      <w:r w:rsidRPr="00A316F8">
        <w:rPr>
          <w:szCs w:val="22"/>
          <w:shd w:val="clear" w:color="auto" w:fill="FFFFFF"/>
        </w:rPr>
        <w:t xml:space="preserve"> that its operations did not result in rule violations,</w:t>
      </w:r>
      <w:r>
        <w:rPr>
          <w:rStyle w:val="FootnoteReference"/>
          <w:sz w:val="22"/>
          <w:szCs w:val="22"/>
          <w:shd w:val="clear" w:color="auto" w:fill="FFFFFF"/>
        </w:rPr>
        <w:footnoteReference w:id="32"/>
      </w:r>
      <w:r w:rsidRPr="00A316F8">
        <w:rPr>
          <w:spacing w:val="-3"/>
          <w:szCs w:val="22"/>
        </w:rPr>
        <w:t xml:space="preserve"> </w:t>
      </w:r>
      <w:r w:rsidRPr="00A316F8">
        <w:rPr>
          <w:szCs w:val="22"/>
          <w:shd w:val="clear" w:color="auto" w:fill="FFFFFF"/>
        </w:rPr>
        <w:t xml:space="preserve">and that imposition of a penalty would be unduly </w:t>
      </w:r>
      <w:r w:rsidRPr="00A316F8">
        <w:rPr>
          <w:szCs w:val="22"/>
          <w:shd w:val="clear" w:color="auto" w:fill="FFFFFF"/>
        </w:rPr>
        <w:t xml:space="preserve">discriminatory to </w:t>
      </w:r>
      <w:r w:rsidRPr="00A316F8" w:rsidR="000E5A08">
        <w:rPr>
          <w:szCs w:val="22"/>
          <w:shd w:val="clear" w:color="auto" w:fill="FFFFFF"/>
        </w:rPr>
        <w:t>Mobile Relay</w:t>
      </w:r>
      <w:r w:rsidRPr="00A316F8">
        <w:rPr>
          <w:szCs w:val="22"/>
          <w:shd w:val="clear" w:color="auto" w:fill="FFFFFF"/>
        </w:rPr>
        <w:t>.</w:t>
      </w:r>
      <w:r>
        <w:rPr>
          <w:rStyle w:val="FootnoteReference"/>
          <w:sz w:val="22"/>
          <w:szCs w:val="22"/>
          <w:shd w:val="clear" w:color="auto" w:fill="FFFFFF"/>
        </w:rPr>
        <w:footnoteReference w:id="33"/>
      </w:r>
      <w:r w:rsidRPr="00A316F8">
        <w:rPr>
          <w:szCs w:val="22"/>
          <w:shd w:val="clear" w:color="auto" w:fill="FFFFFF"/>
        </w:rPr>
        <w:t xml:space="preserve"> </w:t>
      </w:r>
      <w:r w:rsidRPr="00A316F8">
        <w:rPr>
          <w:spacing w:val="-3"/>
          <w:szCs w:val="22"/>
        </w:rPr>
        <w:t xml:space="preserve"> </w:t>
      </w:r>
      <w:r w:rsidRPr="00A316F8">
        <w:rPr>
          <w:spacing w:val="-3"/>
          <w:szCs w:val="22"/>
        </w:rPr>
        <w:t xml:space="preserve">On December 2, 2015, </w:t>
      </w:r>
      <w:r w:rsidRPr="00A316F8" w:rsidR="00F7799B">
        <w:rPr>
          <w:spacing w:val="-3"/>
          <w:szCs w:val="22"/>
        </w:rPr>
        <w:t>we</w:t>
      </w:r>
      <w:r w:rsidRPr="00A316F8">
        <w:rPr>
          <w:spacing w:val="-3"/>
          <w:szCs w:val="22"/>
        </w:rPr>
        <w:t xml:space="preserve"> issued a </w:t>
      </w:r>
      <w:r w:rsidRPr="00A316F8">
        <w:rPr>
          <w:i/>
          <w:szCs w:val="22"/>
        </w:rPr>
        <w:t>Forfeiture Order</w:t>
      </w:r>
      <w:r w:rsidRPr="00A316F8">
        <w:rPr>
          <w:szCs w:val="22"/>
        </w:rPr>
        <w:t xml:space="preserve"> affirm</w:t>
      </w:r>
      <w:r w:rsidRPr="00A316F8" w:rsidR="00A40316">
        <w:rPr>
          <w:szCs w:val="22"/>
        </w:rPr>
        <w:t>ing</w:t>
      </w:r>
      <w:r w:rsidRPr="00A316F8">
        <w:rPr>
          <w:szCs w:val="22"/>
        </w:rPr>
        <w:t xml:space="preserve"> the $25,000 </w:t>
      </w:r>
      <w:r w:rsidRPr="00A316F8" w:rsidR="00F50435">
        <w:rPr>
          <w:szCs w:val="22"/>
        </w:rPr>
        <w:t xml:space="preserve">proposed </w:t>
      </w:r>
      <w:r w:rsidRPr="00A316F8">
        <w:rPr>
          <w:szCs w:val="22"/>
        </w:rPr>
        <w:t>forfeiture.</w:t>
      </w:r>
      <w:r>
        <w:rPr>
          <w:rStyle w:val="FootnoteReference"/>
          <w:sz w:val="22"/>
          <w:szCs w:val="22"/>
        </w:rPr>
        <w:footnoteReference w:id="34"/>
      </w:r>
      <w:r w:rsidRPr="00A316F8">
        <w:rPr>
          <w:szCs w:val="22"/>
        </w:rPr>
        <w:t xml:space="preserve"> </w:t>
      </w:r>
      <w:bookmarkStart w:id="12" w:name="_Hlk519496543"/>
    </w:p>
    <w:bookmarkEnd w:id="12"/>
    <w:p w:rsidR="00E42EB4" w:rsidRPr="00A316F8" w:rsidP="0022220E" w14:paraId="5D049A19" w14:textId="51AECA6C">
      <w:pPr>
        <w:pStyle w:val="ParaNum"/>
        <w:widowControl/>
        <w:numPr>
          <w:ilvl w:val="0"/>
          <w:numId w:val="5"/>
        </w:numPr>
        <w:spacing w:after="240"/>
        <w:ind w:left="0" w:firstLine="720"/>
        <w:rPr>
          <w:szCs w:val="22"/>
        </w:rPr>
      </w:pPr>
      <w:r w:rsidRPr="00A316F8">
        <w:rPr>
          <w:szCs w:val="22"/>
        </w:rPr>
        <w:t xml:space="preserve">On January 4, 2016, </w:t>
      </w:r>
      <w:r w:rsidRPr="00A316F8" w:rsidR="000E5A08">
        <w:rPr>
          <w:szCs w:val="22"/>
        </w:rPr>
        <w:t>Mobile Relay</w:t>
      </w:r>
      <w:r w:rsidRPr="00A316F8" w:rsidR="0078763C">
        <w:rPr>
          <w:szCs w:val="22"/>
        </w:rPr>
        <w:t xml:space="preserve"> filed it</w:t>
      </w:r>
      <w:r w:rsidRPr="00A316F8" w:rsidR="00AD1A52">
        <w:rPr>
          <w:szCs w:val="22"/>
        </w:rPr>
        <w:t>s</w:t>
      </w:r>
      <w:r w:rsidRPr="00A316F8">
        <w:rPr>
          <w:szCs w:val="22"/>
        </w:rPr>
        <w:t xml:space="preserve"> Petition</w:t>
      </w:r>
      <w:r w:rsidRPr="00A316F8" w:rsidR="00CB4504">
        <w:rPr>
          <w:szCs w:val="22"/>
        </w:rPr>
        <w:t xml:space="preserve"> seeking reconsideration of the </w:t>
      </w:r>
      <w:r w:rsidRPr="00A316F8" w:rsidR="00CB4504">
        <w:rPr>
          <w:i/>
          <w:iCs/>
          <w:szCs w:val="22"/>
        </w:rPr>
        <w:t>Forfeiture Order</w:t>
      </w:r>
      <w:r w:rsidRPr="00A316F8" w:rsidR="00600B88">
        <w:rPr>
          <w:szCs w:val="22"/>
        </w:rPr>
        <w:t xml:space="preserve"> and </w:t>
      </w:r>
      <w:r w:rsidRPr="00A316F8" w:rsidR="00CB4504">
        <w:rPr>
          <w:szCs w:val="22"/>
        </w:rPr>
        <w:t>rais</w:t>
      </w:r>
      <w:r w:rsidRPr="00A316F8" w:rsidR="00B54B98">
        <w:rPr>
          <w:szCs w:val="22"/>
        </w:rPr>
        <w:t>es</w:t>
      </w:r>
      <w:r w:rsidRPr="00A316F8" w:rsidR="00CB4504">
        <w:rPr>
          <w:szCs w:val="22"/>
        </w:rPr>
        <w:t xml:space="preserve"> three </w:t>
      </w:r>
      <w:r w:rsidRPr="00A316F8" w:rsidR="00E54648">
        <w:rPr>
          <w:szCs w:val="22"/>
        </w:rPr>
        <w:t>arguments</w:t>
      </w:r>
      <w:r w:rsidRPr="00A316F8" w:rsidR="00CB4504">
        <w:rPr>
          <w:szCs w:val="22"/>
        </w:rPr>
        <w:t xml:space="preserve">.  </w:t>
      </w:r>
      <w:r w:rsidRPr="00A316F8" w:rsidR="008C7977">
        <w:rPr>
          <w:i/>
          <w:iCs/>
          <w:szCs w:val="22"/>
        </w:rPr>
        <w:t>First</w:t>
      </w:r>
      <w:r w:rsidRPr="00A316F8" w:rsidR="008C7977">
        <w:rPr>
          <w:szCs w:val="22"/>
        </w:rPr>
        <w:t xml:space="preserve">, </w:t>
      </w:r>
      <w:r w:rsidRPr="00A316F8" w:rsidR="001561BF">
        <w:rPr>
          <w:szCs w:val="22"/>
        </w:rPr>
        <w:t>the Company</w:t>
      </w:r>
      <w:r w:rsidRPr="00A316F8" w:rsidR="008C7977">
        <w:rPr>
          <w:szCs w:val="22"/>
        </w:rPr>
        <w:t xml:space="preserve"> argue</w:t>
      </w:r>
      <w:r w:rsidRPr="00A316F8" w:rsidR="00B10F1A">
        <w:rPr>
          <w:szCs w:val="22"/>
        </w:rPr>
        <w:t>s</w:t>
      </w:r>
      <w:r w:rsidRPr="00A316F8" w:rsidR="008C7977">
        <w:rPr>
          <w:szCs w:val="22"/>
        </w:rPr>
        <w:t xml:space="preserve"> the Bureau did not provide </w:t>
      </w:r>
      <w:r w:rsidRPr="00A316F8" w:rsidR="000E5A08">
        <w:rPr>
          <w:szCs w:val="22"/>
        </w:rPr>
        <w:t>Mobile Relay</w:t>
      </w:r>
      <w:r w:rsidRPr="00A316F8" w:rsidR="008C7977">
        <w:rPr>
          <w:szCs w:val="22"/>
        </w:rPr>
        <w:t xml:space="preserve"> notice that its high occupancy rate, i.e., 95% duty cycle, of the shared channels violate</w:t>
      </w:r>
      <w:r w:rsidRPr="00A316F8" w:rsidR="00B21515">
        <w:rPr>
          <w:szCs w:val="22"/>
        </w:rPr>
        <w:t>d</w:t>
      </w:r>
      <w:r w:rsidRPr="00A316F8" w:rsidR="008C7977">
        <w:rPr>
          <w:szCs w:val="22"/>
        </w:rPr>
        <w:t xml:space="preserve"> </w:t>
      </w:r>
      <w:r w:rsidRPr="00A316F8" w:rsidR="00B21515">
        <w:rPr>
          <w:szCs w:val="22"/>
        </w:rPr>
        <w:t>p</w:t>
      </w:r>
      <w:r w:rsidRPr="00A316F8" w:rsidR="008C7977">
        <w:rPr>
          <w:szCs w:val="22"/>
        </w:rPr>
        <w:t xml:space="preserve">art 90 of the Commission’s rules.  </w:t>
      </w:r>
      <w:r w:rsidRPr="00A316F8" w:rsidR="008C7977">
        <w:rPr>
          <w:i/>
          <w:iCs/>
          <w:szCs w:val="22"/>
        </w:rPr>
        <w:t>Second</w:t>
      </w:r>
      <w:r w:rsidRPr="00A316F8" w:rsidR="008C7977">
        <w:rPr>
          <w:szCs w:val="22"/>
        </w:rPr>
        <w:t xml:space="preserve">, </w:t>
      </w:r>
      <w:r w:rsidRPr="00A316F8" w:rsidR="000E5A08">
        <w:rPr>
          <w:szCs w:val="22"/>
        </w:rPr>
        <w:t>Mobile Relay</w:t>
      </w:r>
      <w:r w:rsidRPr="00A316F8" w:rsidR="008C7977">
        <w:rPr>
          <w:szCs w:val="22"/>
        </w:rPr>
        <w:t xml:space="preserve"> </w:t>
      </w:r>
      <w:r w:rsidRPr="00A316F8" w:rsidR="00285977">
        <w:rPr>
          <w:szCs w:val="22"/>
        </w:rPr>
        <w:t xml:space="preserve">contends </w:t>
      </w:r>
      <w:r w:rsidRPr="00A316F8" w:rsidR="008C7977">
        <w:rPr>
          <w:szCs w:val="22"/>
        </w:rPr>
        <w:t xml:space="preserve">the Bureau abused its prosecutorial discretion by treating </w:t>
      </w:r>
      <w:r w:rsidRPr="00A316F8" w:rsidR="000E5A08">
        <w:rPr>
          <w:szCs w:val="22"/>
        </w:rPr>
        <w:t>Mobile Relay</w:t>
      </w:r>
      <w:r w:rsidRPr="00A316F8" w:rsidR="008C7977">
        <w:rPr>
          <w:szCs w:val="22"/>
        </w:rPr>
        <w:t xml:space="preserve"> differently </w:t>
      </w:r>
      <w:r w:rsidRPr="00A316F8" w:rsidR="00FC0371">
        <w:rPr>
          <w:szCs w:val="22"/>
        </w:rPr>
        <w:t xml:space="preserve">than </w:t>
      </w:r>
      <w:r w:rsidRPr="00A316F8" w:rsidR="008C7977">
        <w:rPr>
          <w:szCs w:val="22"/>
        </w:rPr>
        <w:t>other similarly situated licensees and, therefore, acted in an arbitrary and capricious manner.</w:t>
      </w:r>
      <w:r>
        <w:rPr>
          <w:rStyle w:val="FootnoteReference"/>
          <w:sz w:val="22"/>
          <w:szCs w:val="22"/>
        </w:rPr>
        <w:footnoteReference w:id="35"/>
      </w:r>
      <w:r w:rsidRPr="00A316F8" w:rsidR="008C7977">
        <w:rPr>
          <w:szCs w:val="22"/>
        </w:rPr>
        <w:t xml:space="preserve">  </w:t>
      </w:r>
      <w:r w:rsidRPr="00A316F8" w:rsidR="00B54B98">
        <w:rPr>
          <w:i/>
          <w:iCs/>
          <w:szCs w:val="22"/>
        </w:rPr>
        <w:t>Third</w:t>
      </w:r>
      <w:r w:rsidRPr="00A316F8" w:rsidR="00AB127A">
        <w:rPr>
          <w:szCs w:val="22"/>
        </w:rPr>
        <w:t xml:space="preserve">, </w:t>
      </w:r>
      <w:r w:rsidRPr="00A316F8" w:rsidR="001561BF">
        <w:rPr>
          <w:szCs w:val="22"/>
        </w:rPr>
        <w:t>the Com</w:t>
      </w:r>
      <w:r w:rsidRPr="00A316F8" w:rsidR="00285977">
        <w:rPr>
          <w:szCs w:val="22"/>
        </w:rPr>
        <w:t xml:space="preserve">pany </w:t>
      </w:r>
      <w:r w:rsidRPr="00A316F8" w:rsidR="00B70B52">
        <w:rPr>
          <w:szCs w:val="22"/>
        </w:rPr>
        <w:t>claim</w:t>
      </w:r>
      <w:r w:rsidRPr="00A316F8" w:rsidR="00CB4504">
        <w:rPr>
          <w:szCs w:val="22"/>
        </w:rPr>
        <w:t>s</w:t>
      </w:r>
      <w:r w:rsidRPr="00A316F8" w:rsidR="00B70B52">
        <w:rPr>
          <w:szCs w:val="22"/>
        </w:rPr>
        <w:t xml:space="preserve"> </w:t>
      </w:r>
      <w:r w:rsidRPr="00A316F8" w:rsidR="00490A26">
        <w:rPr>
          <w:szCs w:val="22"/>
        </w:rPr>
        <w:t xml:space="preserve">the </w:t>
      </w:r>
      <w:r w:rsidRPr="00A316F8" w:rsidR="005E2F18">
        <w:rPr>
          <w:szCs w:val="22"/>
        </w:rPr>
        <w:t>Bureau</w:t>
      </w:r>
      <w:r w:rsidRPr="00A316F8" w:rsidR="00490A26">
        <w:rPr>
          <w:szCs w:val="22"/>
        </w:rPr>
        <w:t xml:space="preserve"> is “punishing” </w:t>
      </w:r>
      <w:r w:rsidRPr="00A316F8" w:rsidR="000E5A08">
        <w:rPr>
          <w:szCs w:val="22"/>
        </w:rPr>
        <w:t>Mobile Relay</w:t>
      </w:r>
      <w:r w:rsidRPr="00A316F8" w:rsidR="00490A26">
        <w:rPr>
          <w:szCs w:val="22"/>
        </w:rPr>
        <w:t xml:space="preserve"> because it </w:t>
      </w:r>
      <w:r w:rsidRPr="00A316F8" w:rsidR="00651A73">
        <w:rPr>
          <w:szCs w:val="22"/>
        </w:rPr>
        <w:t>often complained about</w:t>
      </w:r>
      <w:r w:rsidRPr="00A316F8" w:rsidR="00490A26">
        <w:rPr>
          <w:szCs w:val="22"/>
        </w:rPr>
        <w:t xml:space="preserve"> other licensees </w:t>
      </w:r>
      <w:r w:rsidRPr="00A316F8" w:rsidR="00CE2F06">
        <w:rPr>
          <w:szCs w:val="22"/>
        </w:rPr>
        <w:t xml:space="preserve">allegedly </w:t>
      </w:r>
      <w:r w:rsidRPr="00A316F8" w:rsidR="008C7977">
        <w:rPr>
          <w:szCs w:val="22"/>
        </w:rPr>
        <w:t>causing</w:t>
      </w:r>
      <w:r w:rsidRPr="00A316F8" w:rsidR="00490A26">
        <w:rPr>
          <w:szCs w:val="22"/>
        </w:rPr>
        <w:t xml:space="preserve"> </w:t>
      </w:r>
      <w:r w:rsidRPr="00A316F8" w:rsidR="00651A73">
        <w:rPr>
          <w:szCs w:val="22"/>
        </w:rPr>
        <w:t xml:space="preserve">harmful </w:t>
      </w:r>
      <w:r w:rsidRPr="00A316F8" w:rsidR="00490A26">
        <w:rPr>
          <w:szCs w:val="22"/>
        </w:rPr>
        <w:t xml:space="preserve">interference to </w:t>
      </w:r>
      <w:r w:rsidRPr="00A316F8" w:rsidR="000E5A08">
        <w:rPr>
          <w:szCs w:val="22"/>
        </w:rPr>
        <w:t>Mobile Relay</w:t>
      </w:r>
      <w:r w:rsidRPr="00A316F8" w:rsidR="00490A26">
        <w:rPr>
          <w:szCs w:val="22"/>
        </w:rPr>
        <w:t>’s systems</w:t>
      </w:r>
      <w:r w:rsidRPr="00A316F8" w:rsidR="00651A73">
        <w:rPr>
          <w:szCs w:val="22"/>
        </w:rPr>
        <w:t xml:space="preserve"> on a widespread basis</w:t>
      </w:r>
      <w:r w:rsidRPr="00A316F8" w:rsidR="00490A26">
        <w:rPr>
          <w:szCs w:val="22"/>
        </w:rPr>
        <w:t>.</w:t>
      </w:r>
      <w:r>
        <w:rPr>
          <w:rStyle w:val="FootnoteReference"/>
          <w:sz w:val="22"/>
          <w:szCs w:val="22"/>
        </w:rPr>
        <w:footnoteReference w:id="36"/>
      </w:r>
      <w:r w:rsidRPr="00A316F8" w:rsidR="002007B3">
        <w:rPr>
          <w:szCs w:val="22"/>
        </w:rPr>
        <w:t xml:space="preserve">  </w:t>
      </w:r>
    </w:p>
    <w:p w:rsidR="00F15ACE" w:rsidRPr="007D1BDC" w:rsidP="00F15ACE" w14:paraId="3B52AEB1" w14:textId="5ECE18F2">
      <w:pPr>
        <w:pStyle w:val="Heading1"/>
        <w:widowControl/>
        <w:rPr>
          <w:rFonts w:ascii="Times New Roman" w:hAnsi="Times New Roman"/>
        </w:rPr>
      </w:pPr>
      <w:bookmarkStart w:id="13" w:name="_Toc379289000"/>
      <w:bookmarkStart w:id="14" w:name="_Toc379365501"/>
      <w:r w:rsidRPr="007D1BDC">
        <w:rPr>
          <w:rFonts w:ascii="Times New Roman" w:hAnsi="Times New Roman"/>
        </w:rPr>
        <w:t>DISCUSSION</w:t>
      </w:r>
      <w:bookmarkEnd w:id="13"/>
      <w:bookmarkEnd w:id="14"/>
    </w:p>
    <w:p w:rsidR="00F42D4F" w:rsidRPr="00A316F8" w:rsidP="00CB0634" w14:paraId="08A115BB" w14:textId="44145668">
      <w:pPr>
        <w:pStyle w:val="ParaNum"/>
        <w:widowControl/>
        <w:numPr>
          <w:ilvl w:val="0"/>
          <w:numId w:val="5"/>
        </w:numPr>
        <w:spacing w:after="240"/>
        <w:ind w:left="0" w:firstLine="720"/>
        <w:rPr>
          <w:szCs w:val="22"/>
        </w:rPr>
      </w:pPr>
      <w:r w:rsidRPr="00A316F8">
        <w:rPr>
          <w:szCs w:val="22"/>
        </w:rPr>
        <w:t>The Bureau issued a forfeiture in this case in accordance with section</w:t>
      </w:r>
      <w:r w:rsidRPr="00A316F8" w:rsidR="00F63DC7">
        <w:rPr>
          <w:szCs w:val="22"/>
        </w:rPr>
        <w:t xml:space="preserve"> </w:t>
      </w:r>
      <w:r w:rsidRPr="00A316F8">
        <w:rPr>
          <w:szCs w:val="22"/>
        </w:rPr>
        <w:t>503(b) of the Act,</w:t>
      </w:r>
      <w:r>
        <w:rPr>
          <w:rStyle w:val="FootnoteReference"/>
          <w:sz w:val="22"/>
          <w:szCs w:val="22"/>
        </w:rPr>
        <w:footnoteReference w:id="37"/>
      </w:r>
      <w:r w:rsidRPr="00A316F8">
        <w:rPr>
          <w:szCs w:val="22"/>
        </w:rPr>
        <w:t xml:space="preserve"> section 1.80 of the Commission’s rules,</w:t>
      </w:r>
      <w:r>
        <w:rPr>
          <w:szCs w:val="22"/>
          <w:vertAlign w:val="superscript"/>
        </w:rPr>
        <w:footnoteReference w:id="38"/>
      </w:r>
      <w:r w:rsidRPr="00A316F8">
        <w:rPr>
          <w:szCs w:val="22"/>
        </w:rPr>
        <w:t xml:space="preserve"> and the Commission’s </w:t>
      </w:r>
      <w:r w:rsidRPr="00A316F8">
        <w:rPr>
          <w:i/>
          <w:szCs w:val="22"/>
        </w:rPr>
        <w:t xml:space="preserve">Forfeiture Policy </w:t>
      </w:r>
      <w:r w:rsidRPr="00A316F8">
        <w:rPr>
          <w:rFonts w:eastAsia="MS Mincho"/>
          <w:i/>
          <w:szCs w:val="22"/>
        </w:rPr>
        <w:t>Statement</w:t>
      </w:r>
      <w:r w:rsidRPr="00A316F8">
        <w:rPr>
          <w:szCs w:val="22"/>
        </w:rPr>
        <w:t>.</w:t>
      </w:r>
      <w:r>
        <w:rPr>
          <w:rStyle w:val="FootnoteReference"/>
          <w:sz w:val="22"/>
          <w:szCs w:val="22"/>
        </w:rPr>
        <w:footnoteReference w:id="39"/>
      </w:r>
      <w:r w:rsidRPr="00A316F8">
        <w:rPr>
          <w:szCs w:val="22"/>
        </w:rPr>
        <w:t xml:space="preserve">  When we assess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Pr>
          <w:szCs w:val="22"/>
          <w:vertAlign w:val="superscript"/>
        </w:rPr>
        <w:footnoteReference w:id="40"/>
      </w:r>
      <w:r w:rsidRPr="00A316F8">
        <w:rPr>
          <w:szCs w:val="22"/>
        </w:rPr>
        <w:t xml:space="preserve"> </w:t>
      </w:r>
    </w:p>
    <w:p w:rsidR="001E0E7A" w:rsidRPr="00A316F8" w:rsidP="00272286" w14:paraId="309FB19F" w14:textId="61B93501">
      <w:pPr>
        <w:pStyle w:val="ParaNum"/>
        <w:widowControl/>
        <w:numPr>
          <w:ilvl w:val="0"/>
          <w:numId w:val="5"/>
        </w:numPr>
        <w:spacing w:after="240"/>
        <w:ind w:left="0" w:firstLine="720"/>
        <w:rPr>
          <w:szCs w:val="22"/>
        </w:rPr>
      </w:pPr>
      <w:r w:rsidRPr="00A316F8">
        <w:rPr>
          <w:szCs w:val="22"/>
        </w:rPr>
        <w:t>Section 1.106(p) authorizes the Bureau</w:t>
      </w:r>
      <w:r w:rsidRPr="00A316F8" w:rsidR="002B7713">
        <w:rPr>
          <w:szCs w:val="22"/>
        </w:rPr>
        <w:t>, pursuant to delegated authority,</w:t>
      </w:r>
      <w:r w:rsidRPr="00A316F8">
        <w:rPr>
          <w:szCs w:val="22"/>
        </w:rPr>
        <w:t xml:space="preserve"> to dismiss or deny a petition for reconsideration that</w:t>
      </w:r>
      <w:r w:rsidRPr="00A316F8" w:rsidR="00B44930">
        <w:rPr>
          <w:szCs w:val="22"/>
        </w:rPr>
        <w:t xml:space="preserve"> is used to merely repeat </w:t>
      </w:r>
      <w:r w:rsidRPr="00A316F8" w:rsidR="00C602C2">
        <w:rPr>
          <w:szCs w:val="22"/>
        </w:rPr>
        <w:t xml:space="preserve">legal and factual </w:t>
      </w:r>
      <w:r w:rsidRPr="00A316F8" w:rsidR="00B44930">
        <w:rPr>
          <w:szCs w:val="22"/>
        </w:rPr>
        <w:t xml:space="preserve">arguments that have been “fully considered and rejected by the </w:t>
      </w:r>
      <w:r w:rsidRPr="00A316F8" w:rsidR="00B54B98">
        <w:rPr>
          <w:szCs w:val="22"/>
        </w:rPr>
        <w:t>[</w:t>
      </w:r>
      <w:r w:rsidRPr="00A316F8" w:rsidR="00B44930">
        <w:rPr>
          <w:szCs w:val="22"/>
        </w:rPr>
        <w:t>Bureau</w:t>
      </w:r>
      <w:r w:rsidRPr="00A316F8" w:rsidR="00B54B98">
        <w:rPr>
          <w:szCs w:val="22"/>
        </w:rPr>
        <w:t>]</w:t>
      </w:r>
      <w:r w:rsidRPr="00A316F8" w:rsidR="00B44930">
        <w:rPr>
          <w:szCs w:val="22"/>
        </w:rPr>
        <w:t xml:space="preserve"> within the same proceeding</w:t>
      </w:r>
      <w:r w:rsidRPr="00A316F8" w:rsidR="00B54B98">
        <w:rPr>
          <w:szCs w:val="22"/>
        </w:rPr>
        <w:t>[</w:t>
      </w:r>
      <w:r w:rsidRPr="00A316F8" w:rsidR="00B44930">
        <w:rPr>
          <w:szCs w:val="22"/>
        </w:rPr>
        <w:t>.</w:t>
      </w:r>
      <w:r w:rsidRPr="00A316F8" w:rsidR="00B54B98">
        <w:rPr>
          <w:szCs w:val="22"/>
        </w:rPr>
        <w:t>]”</w:t>
      </w:r>
      <w:r>
        <w:rPr>
          <w:rStyle w:val="FootnoteReference"/>
          <w:sz w:val="22"/>
          <w:szCs w:val="22"/>
        </w:rPr>
        <w:footnoteReference w:id="41"/>
      </w:r>
      <w:r w:rsidRPr="00A316F8" w:rsidR="00B44930">
        <w:rPr>
          <w:szCs w:val="22"/>
        </w:rPr>
        <w:t xml:space="preserve"> </w:t>
      </w:r>
      <w:r w:rsidRPr="00A316F8">
        <w:rPr>
          <w:szCs w:val="22"/>
        </w:rPr>
        <w:t xml:space="preserve"> </w:t>
      </w:r>
      <w:r w:rsidRPr="00A316F8" w:rsidR="00B44930">
        <w:rPr>
          <w:szCs w:val="22"/>
        </w:rPr>
        <w:t xml:space="preserve">We dismiss Mobile Relay’s Petition to the extent that it repeats its </w:t>
      </w:r>
      <w:r w:rsidRPr="00A316F8" w:rsidR="00782E06">
        <w:rPr>
          <w:szCs w:val="22"/>
        </w:rPr>
        <w:t xml:space="preserve">previously examined and rejected </w:t>
      </w:r>
      <w:r w:rsidRPr="00A316F8" w:rsidR="00B44930">
        <w:rPr>
          <w:szCs w:val="22"/>
        </w:rPr>
        <w:t xml:space="preserve">claim of disparate </w:t>
      </w:r>
      <w:r w:rsidRPr="00A316F8" w:rsidR="00782E06">
        <w:rPr>
          <w:szCs w:val="22"/>
        </w:rPr>
        <w:t xml:space="preserve">and arbitrary and capricious </w:t>
      </w:r>
      <w:r w:rsidRPr="00A316F8" w:rsidR="00B44930">
        <w:rPr>
          <w:szCs w:val="22"/>
        </w:rPr>
        <w:t>treatmen</w:t>
      </w:r>
      <w:r w:rsidRPr="00A316F8" w:rsidR="00591867">
        <w:rPr>
          <w:szCs w:val="22"/>
        </w:rPr>
        <w:t>t</w:t>
      </w:r>
      <w:r w:rsidRPr="00A316F8" w:rsidR="00B44930">
        <w:rPr>
          <w:szCs w:val="22"/>
        </w:rPr>
        <w:t>.</w:t>
      </w:r>
      <w:r>
        <w:rPr>
          <w:rStyle w:val="FootnoteReference"/>
          <w:sz w:val="22"/>
          <w:szCs w:val="22"/>
        </w:rPr>
        <w:footnoteReference w:id="42"/>
      </w:r>
      <w:r w:rsidRPr="00A316F8" w:rsidR="00B44930">
        <w:rPr>
          <w:szCs w:val="22"/>
        </w:rPr>
        <w:t xml:space="preserve">  Similarly, the Bureau may dismiss a petition for reconsideration </w:t>
      </w:r>
      <w:r w:rsidRPr="00A316F8">
        <w:rPr>
          <w:szCs w:val="22"/>
        </w:rPr>
        <w:t xml:space="preserve">if the petition </w:t>
      </w:r>
      <w:r w:rsidRPr="00A316F8" w:rsidR="00D1284D">
        <w:rPr>
          <w:szCs w:val="22"/>
        </w:rPr>
        <w:t xml:space="preserve">relies on facts or </w:t>
      </w:r>
      <w:r w:rsidRPr="00A316F8" w:rsidR="0004555C">
        <w:rPr>
          <w:szCs w:val="22"/>
        </w:rPr>
        <w:t xml:space="preserve">raises new </w:t>
      </w:r>
      <w:r w:rsidRPr="00A316F8" w:rsidR="00D1284D">
        <w:rPr>
          <w:szCs w:val="22"/>
        </w:rPr>
        <w:t>arguments that have not been previously presented to the Bureau</w:t>
      </w:r>
      <w:r w:rsidRPr="007D1BDC" w:rsidR="0004555C">
        <w:rPr>
          <w:szCs w:val="22"/>
        </w:rPr>
        <w:t xml:space="preserve"> </w:t>
      </w:r>
      <w:r w:rsidRPr="00A316F8" w:rsidR="0004555C">
        <w:rPr>
          <w:szCs w:val="22"/>
        </w:rPr>
        <w:t>in this proceeding</w:t>
      </w:r>
      <w:r w:rsidRPr="00A316F8" w:rsidR="00D1284D">
        <w:rPr>
          <w:szCs w:val="22"/>
        </w:rPr>
        <w:t>.</w:t>
      </w:r>
      <w:r>
        <w:rPr>
          <w:rStyle w:val="FootnoteReference"/>
          <w:sz w:val="22"/>
          <w:szCs w:val="22"/>
        </w:rPr>
        <w:footnoteReference w:id="43"/>
      </w:r>
      <w:r w:rsidRPr="00A316F8">
        <w:rPr>
          <w:szCs w:val="22"/>
        </w:rPr>
        <w:t xml:space="preserve"> </w:t>
      </w:r>
      <w:r w:rsidRPr="00A316F8" w:rsidR="00D1284D">
        <w:rPr>
          <w:szCs w:val="22"/>
        </w:rPr>
        <w:t xml:space="preserve"> </w:t>
      </w:r>
      <w:r w:rsidRPr="00A316F8" w:rsidR="00C602C2">
        <w:rPr>
          <w:szCs w:val="22"/>
        </w:rPr>
        <w:t xml:space="preserve">Mobile Relay argues </w:t>
      </w:r>
      <w:r w:rsidRPr="00A316F8" w:rsidR="00C841F9">
        <w:rPr>
          <w:szCs w:val="22"/>
        </w:rPr>
        <w:t xml:space="preserve">for the first time in its Petition that </w:t>
      </w:r>
      <w:r w:rsidRPr="00A316F8" w:rsidR="00C602C2">
        <w:rPr>
          <w:szCs w:val="22"/>
        </w:rPr>
        <w:t>the Bureau is punishing it for filing complaints</w:t>
      </w:r>
      <w:r w:rsidRPr="00A316F8" w:rsidR="00AD0FB4">
        <w:rPr>
          <w:szCs w:val="22"/>
        </w:rPr>
        <w:t xml:space="preserve"> often</w:t>
      </w:r>
      <w:r w:rsidRPr="00A316F8" w:rsidR="00B549C7">
        <w:rPr>
          <w:szCs w:val="22"/>
        </w:rPr>
        <w:t xml:space="preserve">, but </w:t>
      </w:r>
      <w:r w:rsidRPr="00A316F8" w:rsidR="00C841F9">
        <w:rPr>
          <w:szCs w:val="22"/>
        </w:rPr>
        <w:t>does not explain why it could not have raised</w:t>
      </w:r>
      <w:r w:rsidRPr="00A316F8" w:rsidR="0004555C">
        <w:rPr>
          <w:szCs w:val="22"/>
        </w:rPr>
        <w:t xml:space="preserve"> </w:t>
      </w:r>
      <w:r w:rsidRPr="00A316F8" w:rsidR="00C841F9">
        <w:rPr>
          <w:szCs w:val="22"/>
        </w:rPr>
        <w:t>this argument</w:t>
      </w:r>
      <w:r w:rsidRPr="00A316F8" w:rsidR="002D3321">
        <w:rPr>
          <w:szCs w:val="22"/>
        </w:rPr>
        <w:t xml:space="preserve"> before</w:t>
      </w:r>
      <w:r w:rsidRPr="00A316F8" w:rsidR="0004555C">
        <w:rPr>
          <w:szCs w:val="22"/>
        </w:rPr>
        <w:t xml:space="preserve">. </w:t>
      </w:r>
      <w:r w:rsidRPr="00A316F8" w:rsidR="000167A5">
        <w:rPr>
          <w:szCs w:val="22"/>
        </w:rPr>
        <w:t xml:space="preserve"> </w:t>
      </w:r>
      <w:r w:rsidRPr="00A316F8" w:rsidR="00D12534">
        <w:rPr>
          <w:szCs w:val="22"/>
        </w:rPr>
        <w:t>This</w:t>
      </w:r>
      <w:r w:rsidRPr="00A316F8" w:rsidR="00672E2C">
        <w:rPr>
          <w:szCs w:val="22"/>
        </w:rPr>
        <w:t xml:space="preserve"> argument is </w:t>
      </w:r>
      <w:r w:rsidRPr="00A316F8" w:rsidR="00D12534">
        <w:rPr>
          <w:szCs w:val="22"/>
        </w:rPr>
        <w:t xml:space="preserve">thus </w:t>
      </w:r>
      <w:r w:rsidRPr="00A316F8" w:rsidR="00672E2C">
        <w:rPr>
          <w:szCs w:val="22"/>
        </w:rPr>
        <w:t>procedurally deficient</w:t>
      </w:r>
      <w:r w:rsidRPr="00A316F8" w:rsidR="0031126D">
        <w:rPr>
          <w:szCs w:val="22"/>
        </w:rPr>
        <w:t>,</w:t>
      </w:r>
      <w:r w:rsidRPr="00A316F8" w:rsidR="00672E2C">
        <w:rPr>
          <w:szCs w:val="22"/>
        </w:rPr>
        <w:t xml:space="preserve"> </w:t>
      </w:r>
      <w:r w:rsidRPr="00A316F8" w:rsidR="00D12534">
        <w:rPr>
          <w:szCs w:val="22"/>
        </w:rPr>
        <w:t xml:space="preserve">and we dismiss it </w:t>
      </w:r>
      <w:r w:rsidRPr="00A316F8" w:rsidR="00C12BFE">
        <w:rPr>
          <w:szCs w:val="22"/>
        </w:rPr>
        <w:t>accordingly</w:t>
      </w:r>
      <w:r w:rsidRPr="00A316F8" w:rsidR="00F42D4F">
        <w:rPr>
          <w:szCs w:val="22"/>
        </w:rPr>
        <w:t>.</w:t>
      </w:r>
      <w:r w:rsidRPr="00A316F8">
        <w:rPr>
          <w:szCs w:val="22"/>
        </w:rPr>
        <w:t xml:space="preserve">  </w:t>
      </w:r>
      <w:r w:rsidRPr="00A316F8" w:rsidR="006B5F43">
        <w:rPr>
          <w:szCs w:val="22"/>
        </w:rPr>
        <w:t>Moreover</w:t>
      </w:r>
      <w:r w:rsidRPr="00A316F8" w:rsidR="00B659CE">
        <w:rPr>
          <w:szCs w:val="22"/>
        </w:rPr>
        <w:t>,</w:t>
      </w:r>
      <w:r w:rsidRPr="00A316F8" w:rsidR="006B5F43">
        <w:rPr>
          <w:szCs w:val="22"/>
        </w:rPr>
        <w:t xml:space="preserve"> e</w:t>
      </w:r>
      <w:r w:rsidRPr="00A316F8" w:rsidR="00D621FE">
        <w:rPr>
          <w:szCs w:val="22"/>
        </w:rPr>
        <w:t xml:space="preserve">ven if we were to consider </w:t>
      </w:r>
      <w:r w:rsidRPr="00A316F8" w:rsidR="00D12534">
        <w:rPr>
          <w:szCs w:val="22"/>
        </w:rPr>
        <w:t xml:space="preserve">these </w:t>
      </w:r>
      <w:r w:rsidRPr="00A316F8" w:rsidR="00D621FE">
        <w:rPr>
          <w:szCs w:val="22"/>
        </w:rPr>
        <w:t>arguments</w:t>
      </w:r>
      <w:r w:rsidRPr="00A316F8" w:rsidR="003924EB">
        <w:rPr>
          <w:szCs w:val="22"/>
        </w:rPr>
        <w:t>,</w:t>
      </w:r>
      <w:r w:rsidRPr="00A316F8" w:rsidR="00D621FE">
        <w:rPr>
          <w:szCs w:val="22"/>
        </w:rPr>
        <w:t xml:space="preserve"> we find </w:t>
      </w:r>
      <w:r w:rsidRPr="00A316F8" w:rsidR="003924EB">
        <w:rPr>
          <w:szCs w:val="22"/>
        </w:rPr>
        <w:t>none</w:t>
      </w:r>
      <w:r w:rsidRPr="00A316F8" w:rsidR="00D621FE">
        <w:rPr>
          <w:szCs w:val="22"/>
        </w:rPr>
        <w:t xml:space="preserve"> persuasive.  </w:t>
      </w:r>
      <w:r w:rsidRPr="00A316F8">
        <w:rPr>
          <w:szCs w:val="22"/>
        </w:rPr>
        <w:t>We therefore affirm the $</w:t>
      </w:r>
      <w:r w:rsidRPr="00A316F8" w:rsidR="00972F17">
        <w:rPr>
          <w:szCs w:val="22"/>
        </w:rPr>
        <w:t>25,000</w:t>
      </w:r>
      <w:r w:rsidRPr="00A316F8">
        <w:rPr>
          <w:szCs w:val="22"/>
        </w:rPr>
        <w:t xml:space="preserve"> forfeiture assessed in the </w:t>
      </w:r>
      <w:r w:rsidRPr="00A316F8">
        <w:rPr>
          <w:i/>
          <w:szCs w:val="22"/>
        </w:rPr>
        <w:t>Forfeiture Order</w:t>
      </w:r>
      <w:r w:rsidRPr="00A316F8" w:rsidR="00972F17">
        <w:rPr>
          <w:iCs/>
          <w:szCs w:val="22"/>
        </w:rPr>
        <w:t>.</w:t>
      </w:r>
    </w:p>
    <w:p w:rsidR="00736DF1" w14:paraId="2E5096B3" w14:textId="77777777">
      <w:pPr>
        <w:widowControl/>
        <w:spacing w:after="160" w:line="259" w:lineRule="auto"/>
        <w:rPr>
          <w:b/>
        </w:rPr>
      </w:pPr>
      <w:r>
        <w:br w:type="page"/>
      </w:r>
    </w:p>
    <w:p w:rsidR="00C27462" w:rsidRPr="007D1BDC" w:rsidP="00A316F8" w14:paraId="1072424F" w14:textId="77F93419">
      <w:pPr>
        <w:pStyle w:val="Heading2"/>
      </w:pPr>
      <w:r w:rsidRPr="007D1BDC">
        <w:t xml:space="preserve">Sections 90.187(b) and 90.403(e) </w:t>
      </w:r>
      <w:r w:rsidRPr="007D1BDC" w:rsidR="00DE4492">
        <w:t>of the Commission’s Rules Require</w:t>
      </w:r>
      <w:r w:rsidRPr="007D1BDC">
        <w:t xml:space="preserve"> Licensee</w:t>
      </w:r>
      <w:r w:rsidRPr="007D1BDC" w:rsidR="00DE4492">
        <w:t>s</w:t>
      </w:r>
      <w:r w:rsidRPr="007D1BDC" w:rsidR="00AB3F2D">
        <w:t xml:space="preserve"> to Take Reasonable Measures</w:t>
      </w:r>
      <w:r w:rsidRPr="007D1BDC">
        <w:t xml:space="preserve"> to Avoid Causing Harmful Interference</w:t>
      </w:r>
    </w:p>
    <w:p w:rsidR="00FD4AD8" w:rsidRPr="00A316F8" w:rsidP="006C45D8" w14:paraId="235F2CA6" w14:textId="498204F0">
      <w:pPr>
        <w:pStyle w:val="ListParagraph"/>
        <w:numPr>
          <w:ilvl w:val="0"/>
          <w:numId w:val="5"/>
        </w:numPr>
        <w:spacing w:after="240"/>
        <w:ind w:left="0" w:firstLine="720"/>
        <w:contextualSpacing w:val="0"/>
        <w:rPr>
          <w:szCs w:val="22"/>
        </w:rPr>
      </w:pPr>
      <w:r w:rsidRPr="00A316F8">
        <w:rPr>
          <w:szCs w:val="22"/>
        </w:rPr>
        <w:t xml:space="preserve">Licensees are </w:t>
      </w:r>
      <w:r w:rsidRPr="00A316F8" w:rsidR="002D2AB4">
        <w:rPr>
          <w:szCs w:val="22"/>
        </w:rPr>
        <w:t xml:space="preserve">obligated to become familiar with and comply with the </w:t>
      </w:r>
      <w:r w:rsidRPr="00A316F8">
        <w:rPr>
          <w:szCs w:val="22"/>
        </w:rPr>
        <w:t>Commission</w:t>
      </w:r>
      <w:r w:rsidRPr="00A316F8" w:rsidR="002D2AB4">
        <w:rPr>
          <w:szCs w:val="22"/>
        </w:rPr>
        <w:t>’s</w:t>
      </w:r>
      <w:r w:rsidRPr="00A316F8">
        <w:rPr>
          <w:szCs w:val="22"/>
        </w:rPr>
        <w:t xml:space="preserve"> rules.</w:t>
      </w:r>
      <w:r>
        <w:rPr>
          <w:rStyle w:val="FootnoteReference"/>
          <w:sz w:val="22"/>
          <w:szCs w:val="22"/>
        </w:rPr>
        <w:footnoteReference w:id="44"/>
      </w:r>
      <w:r w:rsidRPr="00A316F8">
        <w:rPr>
          <w:szCs w:val="22"/>
        </w:rPr>
        <w:t xml:space="preserve">  </w:t>
      </w:r>
      <w:r w:rsidRPr="00A316F8" w:rsidR="00AB3F2D">
        <w:rPr>
          <w:szCs w:val="22"/>
        </w:rPr>
        <w:t xml:space="preserve">The plain language of sections 90.403(e) and 90.187(b) requires Mobile Relay, a private land mobile radio service licensee, to take reasonable steps, including monitoring, to avoid causing harmful interference to other private land mobile radio service licensees.  Specifically, section 90.403(e) of the Commission’s rules requires licensees to “take reasonable precautions to avoid causing harmful interference.  This includes monitoring the transmitting frequency for </w:t>
      </w:r>
      <w:r w:rsidRPr="00A316F8" w:rsidR="002735A6">
        <w:rPr>
          <w:szCs w:val="22"/>
        </w:rPr>
        <w:t xml:space="preserve">existing </w:t>
      </w:r>
      <w:r w:rsidRPr="00A316F8" w:rsidR="00AB3F2D">
        <w:rPr>
          <w:szCs w:val="22"/>
        </w:rPr>
        <w:t>communications and such other measures as may be necessary to minimize the potential for causing interference.”</w:t>
      </w:r>
      <w:r>
        <w:rPr>
          <w:rStyle w:val="FootnoteReference"/>
          <w:sz w:val="22"/>
          <w:szCs w:val="22"/>
        </w:rPr>
        <w:footnoteReference w:id="45"/>
      </w:r>
      <w:r w:rsidRPr="00A316F8" w:rsidR="00AB3F2D">
        <w:rPr>
          <w:szCs w:val="22"/>
        </w:rPr>
        <w:t xml:space="preserve">  </w:t>
      </w:r>
      <w:r w:rsidRPr="00A316F8" w:rsidR="006D14D1">
        <w:rPr>
          <w:szCs w:val="22"/>
        </w:rPr>
        <w:t>S</w:t>
      </w:r>
      <w:r w:rsidRPr="00A316F8" w:rsidR="00AB3F2D">
        <w:rPr>
          <w:szCs w:val="22"/>
        </w:rPr>
        <w:t>ection 90.187(b) of the Commission’s rules states that “the level of monitoring must be sufficient to avoid harmful interference to other systems.”</w:t>
      </w:r>
      <w:r>
        <w:rPr>
          <w:rStyle w:val="FootnoteReference"/>
          <w:sz w:val="22"/>
          <w:szCs w:val="22"/>
        </w:rPr>
        <w:footnoteReference w:id="46"/>
      </w:r>
      <w:r w:rsidRPr="00A316F8" w:rsidR="00AB3F2D">
        <w:rPr>
          <w:szCs w:val="22"/>
        </w:rPr>
        <w:t xml:space="preserve">  </w:t>
      </w:r>
      <w:r w:rsidRPr="00A316F8" w:rsidR="00C33C85">
        <w:rPr>
          <w:szCs w:val="22"/>
        </w:rPr>
        <w:t xml:space="preserve">Bureau agents </w:t>
      </w:r>
      <w:r w:rsidRPr="00A316F8" w:rsidR="00FC6100">
        <w:rPr>
          <w:szCs w:val="22"/>
        </w:rPr>
        <w:t xml:space="preserve">informed </w:t>
      </w:r>
      <w:r w:rsidRPr="00A316F8" w:rsidR="000E5A08">
        <w:rPr>
          <w:szCs w:val="22"/>
        </w:rPr>
        <w:t>Mobile Relay</w:t>
      </w:r>
      <w:r w:rsidRPr="00A316F8" w:rsidR="00C33C85">
        <w:rPr>
          <w:szCs w:val="22"/>
        </w:rPr>
        <w:t xml:space="preserve"> </w:t>
      </w:r>
      <w:r w:rsidRPr="00A316F8" w:rsidR="003264A5">
        <w:rPr>
          <w:szCs w:val="22"/>
        </w:rPr>
        <w:t xml:space="preserve">that its operations were causing </w:t>
      </w:r>
      <w:r w:rsidRPr="00A316F8" w:rsidR="00C33C85">
        <w:rPr>
          <w:szCs w:val="22"/>
        </w:rPr>
        <w:t xml:space="preserve">interference </w:t>
      </w:r>
      <w:r w:rsidRPr="00A316F8" w:rsidR="00AB3F2D">
        <w:rPr>
          <w:szCs w:val="22"/>
        </w:rPr>
        <w:t xml:space="preserve">when it first </w:t>
      </w:r>
      <w:r w:rsidRPr="00A316F8" w:rsidR="003264A5">
        <w:rPr>
          <w:szCs w:val="22"/>
        </w:rPr>
        <w:t>issu</w:t>
      </w:r>
      <w:r w:rsidRPr="00A316F8" w:rsidR="00AB3F2D">
        <w:rPr>
          <w:szCs w:val="22"/>
        </w:rPr>
        <w:t>ed</w:t>
      </w:r>
      <w:r w:rsidRPr="00A316F8" w:rsidR="003264A5">
        <w:rPr>
          <w:szCs w:val="22"/>
        </w:rPr>
        <w:t xml:space="preserve"> </w:t>
      </w:r>
      <w:r w:rsidRPr="00A316F8" w:rsidR="001A13B4">
        <w:rPr>
          <w:szCs w:val="22"/>
        </w:rPr>
        <w:t xml:space="preserve">an </w:t>
      </w:r>
      <w:r w:rsidRPr="00A316F8" w:rsidR="004E02A7">
        <w:rPr>
          <w:szCs w:val="22"/>
        </w:rPr>
        <w:t xml:space="preserve">Notice of Violation </w:t>
      </w:r>
      <w:r w:rsidRPr="00A316F8" w:rsidR="005A61CB">
        <w:rPr>
          <w:szCs w:val="22"/>
        </w:rPr>
        <w:t>to the Company</w:t>
      </w:r>
      <w:r w:rsidRPr="00A316F8" w:rsidR="003C4439">
        <w:rPr>
          <w:szCs w:val="22"/>
        </w:rPr>
        <w:t xml:space="preserve"> in 2013</w:t>
      </w:r>
      <w:r w:rsidRPr="00A316F8" w:rsidR="003264A5">
        <w:rPr>
          <w:szCs w:val="22"/>
        </w:rPr>
        <w:t xml:space="preserve">.  When </w:t>
      </w:r>
      <w:r w:rsidRPr="00A316F8" w:rsidR="006C1251">
        <w:rPr>
          <w:szCs w:val="22"/>
        </w:rPr>
        <w:t>Bureau agents</w:t>
      </w:r>
      <w:r w:rsidRPr="00A316F8" w:rsidR="003264A5">
        <w:rPr>
          <w:szCs w:val="22"/>
        </w:rPr>
        <w:t xml:space="preserve"> later investigated</w:t>
      </w:r>
      <w:r w:rsidRPr="00A316F8" w:rsidR="00FC6100">
        <w:rPr>
          <w:szCs w:val="22"/>
        </w:rPr>
        <w:t xml:space="preserve"> Mobile Relay’s operations</w:t>
      </w:r>
      <w:r w:rsidRPr="00A316F8" w:rsidR="003264A5">
        <w:rPr>
          <w:szCs w:val="22"/>
        </w:rPr>
        <w:t xml:space="preserve">, </w:t>
      </w:r>
      <w:r w:rsidRPr="00A316F8" w:rsidR="001A13B4">
        <w:rPr>
          <w:szCs w:val="22"/>
        </w:rPr>
        <w:t xml:space="preserve">they observed that </w:t>
      </w:r>
      <w:r w:rsidRPr="00A316F8" w:rsidR="00717370">
        <w:rPr>
          <w:szCs w:val="22"/>
        </w:rPr>
        <w:t>the Company</w:t>
      </w:r>
      <w:r w:rsidRPr="00A316F8" w:rsidR="00C33C85">
        <w:rPr>
          <w:szCs w:val="22"/>
        </w:rPr>
        <w:t xml:space="preserve"> </w:t>
      </w:r>
      <w:r w:rsidRPr="00A316F8" w:rsidR="003264A5">
        <w:rPr>
          <w:szCs w:val="22"/>
        </w:rPr>
        <w:t xml:space="preserve">had not </w:t>
      </w:r>
      <w:r w:rsidRPr="00A316F8" w:rsidR="00626E37">
        <w:rPr>
          <w:szCs w:val="22"/>
        </w:rPr>
        <w:t xml:space="preserve">employed equipment </w:t>
      </w:r>
      <w:r w:rsidRPr="00A316F8" w:rsidR="00741F63">
        <w:rPr>
          <w:szCs w:val="22"/>
        </w:rPr>
        <w:t xml:space="preserve">that </w:t>
      </w:r>
      <w:r w:rsidRPr="00A316F8" w:rsidR="00626E37">
        <w:rPr>
          <w:szCs w:val="22"/>
        </w:rPr>
        <w:t>automatically monitor</w:t>
      </w:r>
      <w:r w:rsidRPr="00A316F8" w:rsidR="00741F63">
        <w:rPr>
          <w:szCs w:val="22"/>
        </w:rPr>
        <w:t>ed</w:t>
      </w:r>
      <w:r w:rsidRPr="00A316F8" w:rsidR="00626E37">
        <w:rPr>
          <w:szCs w:val="22"/>
        </w:rPr>
        <w:t xml:space="preserve"> communications in progress or </w:t>
      </w:r>
      <w:r w:rsidRPr="00A316F8" w:rsidR="00D12534">
        <w:rPr>
          <w:szCs w:val="22"/>
        </w:rPr>
        <w:t xml:space="preserve">otherwise </w:t>
      </w:r>
      <w:r w:rsidRPr="00A316F8" w:rsidR="003264A5">
        <w:rPr>
          <w:szCs w:val="22"/>
        </w:rPr>
        <w:t>implemented monitoring sufficient to avoid harmful interference</w:t>
      </w:r>
      <w:r w:rsidRPr="00A316F8" w:rsidR="00D12534">
        <w:rPr>
          <w:szCs w:val="22"/>
        </w:rPr>
        <w:t>.  Rather, the agents</w:t>
      </w:r>
      <w:r w:rsidRPr="00A316F8" w:rsidR="003264A5">
        <w:rPr>
          <w:szCs w:val="22"/>
        </w:rPr>
        <w:t xml:space="preserve"> </w:t>
      </w:r>
      <w:r w:rsidRPr="00A316F8" w:rsidR="00741F63">
        <w:rPr>
          <w:szCs w:val="22"/>
        </w:rPr>
        <w:t xml:space="preserve">determined </w:t>
      </w:r>
      <w:r w:rsidRPr="00A316F8" w:rsidR="00D812E0">
        <w:rPr>
          <w:szCs w:val="22"/>
        </w:rPr>
        <w:t xml:space="preserve">that </w:t>
      </w:r>
      <w:r w:rsidRPr="00A316F8" w:rsidR="000E5A08">
        <w:rPr>
          <w:szCs w:val="22"/>
        </w:rPr>
        <w:t>Mobile Relay</w:t>
      </w:r>
      <w:r w:rsidRPr="00A316F8" w:rsidR="003264A5">
        <w:rPr>
          <w:szCs w:val="22"/>
        </w:rPr>
        <w:t xml:space="preserve"> was, in fact, causing harmful interference</w:t>
      </w:r>
      <w:r w:rsidRPr="00A316F8" w:rsidR="001A13B4">
        <w:rPr>
          <w:szCs w:val="22"/>
        </w:rPr>
        <w:t xml:space="preserve"> to </w:t>
      </w:r>
      <w:r w:rsidRPr="00A316F8" w:rsidR="009E37FD">
        <w:rPr>
          <w:szCs w:val="22"/>
        </w:rPr>
        <w:t>an</w:t>
      </w:r>
      <w:r w:rsidRPr="00A316F8" w:rsidR="001A3AA5">
        <w:rPr>
          <w:szCs w:val="22"/>
        </w:rPr>
        <w:t>other license</w:t>
      </w:r>
      <w:r w:rsidRPr="00A316F8" w:rsidR="009E37FD">
        <w:rPr>
          <w:szCs w:val="22"/>
        </w:rPr>
        <w:t>d station</w:t>
      </w:r>
      <w:r w:rsidRPr="00A316F8" w:rsidR="003264A5">
        <w:rPr>
          <w:szCs w:val="22"/>
        </w:rPr>
        <w:t>.</w:t>
      </w:r>
      <w:r>
        <w:rPr>
          <w:rStyle w:val="FootnoteReference"/>
          <w:sz w:val="22"/>
          <w:szCs w:val="22"/>
        </w:rPr>
        <w:footnoteReference w:id="47"/>
      </w:r>
    </w:p>
    <w:p w:rsidR="00C33C85" w:rsidRPr="00A316F8" w:rsidP="006C45D8" w14:paraId="0A0F2707" w14:textId="1C0450B8">
      <w:pPr>
        <w:pStyle w:val="ListParagraph"/>
        <w:numPr>
          <w:ilvl w:val="0"/>
          <w:numId w:val="5"/>
        </w:numPr>
        <w:spacing w:after="240"/>
        <w:ind w:left="0" w:firstLine="720"/>
        <w:contextualSpacing w:val="0"/>
        <w:rPr>
          <w:szCs w:val="22"/>
        </w:rPr>
      </w:pPr>
      <w:r w:rsidRPr="00A316F8">
        <w:rPr>
          <w:szCs w:val="22"/>
        </w:rPr>
        <w:t>The Company</w:t>
      </w:r>
      <w:r w:rsidRPr="00A316F8" w:rsidR="00FD4AD8">
        <w:rPr>
          <w:szCs w:val="22"/>
        </w:rPr>
        <w:t xml:space="preserve"> misunderstands these rules in its argument that </w:t>
      </w:r>
      <w:r w:rsidRPr="00A316F8" w:rsidR="002B58DD">
        <w:rPr>
          <w:szCs w:val="22"/>
        </w:rPr>
        <w:t xml:space="preserve">it did not have notice that the manner in which it was operating—using a 95% duty cycle—violated the Commission’s rules.  </w:t>
      </w:r>
      <w:r w:rsidRPr="00A316F8" w:rsidR="00FE06B7">
        <w:rPr>
          <w:szCs w:val="22"/>
        </w:rPr>
        <w:t xml:space="preserve">The rules at issue require licensees </w:t>
      </w:r>
      <w:r w:rsidRPr="00A316F8" w:rsidR="0069142F">
        <w:rPr>
          <w:szCs w:val="22"/>
        </w:rPr>
        <w:t xml:space="preserve">to </w:t>
      </w:r>
      <w:r w:rsidRPr="00A316F8" w:rsidR="00FE06B7">
        <w:rPr>
          <w:szCs w:val="22"/>
        </w:rPr>
        <w:t>take reasonable precautions and sufficient</w:t>
      </w:r>
      <w:r w:rsidRPr="00A316F8" w:rsidR="00426E9F">
        <w:rPr>
          <w:szCs w:val="22"/>
        </w:rPr>
        <w:t>ly</w:t>
      </w:r>
      <w:r w:rsidRPr="00A316F8" w:rsidR="00FE06B7">
        <w:rPr>
          <w:szCs w:val="22"/>
        </w:rPr>
        <w:t xml:space="preserve"> monitor</w:t>
      </w:r>
      <w:r w:rsidRPr="00A316F8" w:rsidR="00E705F1">
        <w:rPr>
          <w:szCs w:val="22"/>
        </w:rPr>
        <w:t xml:space="preserve"> transmitting frequencies of other licensees</w:t>
      </w:r>
      <w:r w:rsidRPr="00A316F8" w:rsidR="00FE06B7">
        <w:rPr>
          <w:szCs w:val="22"/>
        </w:rPr>
        <w:t xml:space="preserve"> to avoid causing harmful interference.  The Commission </w:t>
      </w:r>
      <w:r w:rsidRPr="00A316F8" w:rsidR="00F73A08">
        <w:rPr>
          <w:szCs w:val="22"/>
        </w:rPr>
        <w:t xml:space="preserve">relies on </w:t>
      </w:r>
      <w:r w:rsidRPr="00A316F8" w:rsidR="00FE06B7">
        <w:rPr>
          <w:szCs w:val="22"/>
        </w:rPr>
        <w:t xml:space="preserve">licensees to take such measures as are necessary to avoid causing harmful interference.  </w:t>
      </w:r>
      <w:r w:rsidRPr="00A316F8" w:rsidR="001D2CA1">
        <w:rPr>
          <w:szCs w:val="22"/>
        </w:rPr>
        <w:t xml:space="preserve">In this instance, </w:t>
      </w:r>
      <w:r w:rsidRPr="00A316F8" w:rsidR="001B51B3">
        <w:rPr>
          <w:szCs w:val="22"/>
        </w:rPr>
        <w:t>Bureau agents determined that Mobile Relays’ transmissions</w:t>
      </w:r>
      <w:r w:rsidRPr="00A316F8" w:rsidR="00D12534">
        <w:rPr>
          <w:szCs w:val="22"/>
        </w:rPr>
        <w:t xml:space="preserve"> effectively</w:t>
      </w:r>
      <w:r w:rsidRPr="00A316F8" w:rsidR="001B51B3">
        <w:rPr>
          <w:szCs w:val="22"/>
        </w:rPr>
        <w:t xml:space="preserve"> monopolized a non-exclusive channel </w:t>
      </w:r>
      <w:r w:rsidRPr="00A316F8" w:rsidR="00D12534">
        <w:rPr>
          <w:szCs w:val="22"/>
        </w:rPr>
        <w:t xml:space="preserve">operating </w:t>
      </w:r>
      <w:r w:rsidRPr="00A316F8" w:rsidR="001B51B3">
        <w:rPr>
          <w:szCs w:val="22"/>
        </w:rPr>
        <w:t>with a 95% duty cycle</w:t>
      </w:r>
      <w:r w:rsidRPr="00A316F8">
        <w:rPr>
          <w:szCs w:val="22"/>
        </w:rPr>
        <w:t>,</w:t>
      </w:r>
      <w:r w:rsidRPr="00A316F8" w:rsidR="001B51B3">
        <w:rPr>
          <w:szCs w:val="22"/>
        </w:rPr>
        <w:t xml:space="preserve"> </w:t>
      </w:r>
      <w:r w:rsidRPr="00A316F8" w:rsidR="00AE0A99">
        <w:rPr>
          <w:szCs w:val="22"/>
        </w:rPr>
        <w:t>thereby</w:t>
      </w:r>
      <w:r w:rsidRPr="00A316F8" w:rsidR="001B51B3">
        <w:rPr>
          <w:szCs w:val="22"/>
        </w:rPr>
        <w:t xml:space="preserve"> </w:t>
      </w:r>
      <w:r w:rsidRPr="00A316F8" w:rsidR="00FE06B7">
        <w:rPr>
          <w:szCs w:val="22"/>
        </w:rPr>
        <w:t>caus</w:t>
      </w:r>
      <w:r w:rsidRPr="00A316F8" w:rsidR="00AE0A99">
        <w:rPr>
          <w:szCs w:val="22"/>
        </w:rPr>
        <w:t>ing</w:t>
      </w:r>
      <w:r w:rsidRPr="00A316F8" w:rsidR="00FE06B7">
        <w:rPr>
          <w:szCs w:val="22"/>
        </w:rPr>
        <w:t xml:space="preserve"> harmful interference to </w:t>
      </w:r>
      <w:r w:rsidRPr="00A316F8" w:rsidR="006C7760">
        <w:rPr>
          <w:szCs w:val="22"/>
        </w:rPr>
        <w:t>an</w:t>
      </w:r>
      <w:r w:rsidRPr="00A316F8" w:rsidR="00FE06B7">
        <w:rPr>
          <w:szCs w:val="22"/>
        </w:rPr>
        <w:t>other</w:t>
      </w:r>
      <w:r w:rsidRPr="00A316F8" w:rsidR="006C7760">
        <w:rPr>
          <w:szCs w:val="22"/>
        </w:rPr>
        <w:t xml:space="preserve"> co-channel</w:t>
      </w:r>
      <w:r w:rsidRPr="00A316F8" w:rsidR="001B51B3">
        <w:rPr>
          <w:szCs w:val="22"/>
        </w:rPr>
        <w:t xml:space="preserve"> licensee</w:t>
      </w:r>
      <w:r w:rsidRPr="00A316F8" w:rsidR="006C7760">
        <w:rPr>
          <w:szCs w:val="22"/>
        </w:rPr>
        <w:t>, Eden</w:t>
      </w:r>
      <w:r w:rsidRPr="00A316F8" w:rsidR="00FE06B7">
        <w:rPr>
          <w:szCs w:val="22"/>
        </w:rPr>
        <w:t>.</w:t>
      </w:r>
      <w:r>
        <w:rPr>
          <w:rStyle w:val="FootnoteReference"/>
          <w:sz w:val="22"/>
          <w:szCs w:val="22"/>
        </w:rPr>
        <w:footnoteReference w:id="48"/>
      </w:r>
      <w:r w:rsidRPr="00A316F8" w:rsidR="00FE06B7">
        <w:rPr>
          <w:szCs w:val="22"/>
        </w:rPr>
        <w:t xml:space="preserve">  Thus, i</w:t>
      </w:r>
      <w:r w:rsidRPr="00A316F8" w:rsidR="003704B3">
        <w:rPr>
          <w:szCs w:val="22"/>
        </w:rPr>
        <w:t xml:space="preserve">n light of the plain language </w:t>
      </w:r>
      <w:r w:rsidRPr="00A316F8" w:rsidR="00E140C8">
        <w:rPr>
          <w:szCs w:val="22"/>
        </w:rPr>
        <w:t xml:space="preserve">of the rules </w:t>
      </w:r>
      <w:r w:rsidRPr="00A316F8" w:rsidR="003704B3">
        <w:rPr>
          <w:szCs w:val="22"/>
        </w:rPr>
        <w:t xml:space="preserve">and the actual notice </w:t>
      </w:r>
      <w:r w:rsidRPr="00A316F8" w:rsidR="006F17E3">
        <w:rPr>
          <w:szCs w:val="22"/>
        </w:rPr>
        <w:t xml:space="preserve">that </w:t>
      </w:r>
      <w:r w:rsidRPr="00A316F8" w:rsidR="000E5A08">
        <w:rPr>
          <w:szCs w:val="22"/>
        </w:rPr>
        <w:t>Mobile Relay</w:t>
      </w:r>
      <w:r w:rsidRPr="00A316F8" w:rsidR="00E140C8">
        <w:rPr>
          <w:szCs w:val="22"/>
        </w:rPr>
        <w:t xml:space="preserve"> </w:t>
      </w:r>
      <w:r w:rsidRPr="00A316F8" w:rsidR="003704B3">
        <w:rPr>
          <w:szCs w:val="22"/>
        </w:rPr>
        <w:t>received from the N</w:t>
      </w:r>
      <w:r w:rsidRPr="00A316F8" w:rsidR="004E02A7">
        <w:rPr>
          <w:szCs w:val="22"/>
        </w:rPr>
        <w:t xml:space="preserve">otice of </w:t>
      </w:r>
      <w:r w:rsidRPr="00A316F8" w:rsidR="003704B3">
        <w:rPr>
          <w:szCs w:val="22"/>
        </w:rPr>
        <w:t>V</w:t>
      </w:r>
      <w:r w:rsidRPr="00A316F8" w:rsidR="004E02A7">
        <w:rPr>
          <w:szCs w:val="22"/>
        </w:rPr>
        <w:t>iolation</w:t>
      </w:r>
      <w:r w:rsidRPr="00A316F8" w:rsidR="003704B3">
        <w:rPr>
          <w:szCs w:val="22"/>
        </w:rPr>
        <w:t xml:space="preserve">, </w:t>
      </w:r>
      <w:r w:rsidRPr="00A316F8">
        <w:rPr>
          <w:szCs w:val="22"/>
        </w:rPr>
        <w:t>the Company</w:t>
      </w:r>
      <w:r w:rsidRPr="00A316F8" w:rsidR="009A0426">
        <w:rPr>
          <w:szCs w:val="22"/>
        </w:rPr>
        <w:t xml:space="preserve">’s </w:t>
      </w:r>
      <w:r w:rsidRPr="00A316F8" w:rsidR="003704B3">
        <w:rPr>
          <w:szCs w:val="22"/>
        </w:rPr>
        <w:t>argument that it lacked notice</w:t>
      </w:r>
      <w:r w:rsidRPr="00A316F8" w:rsidR="009E37FD">
        <w:rPr>
          <w:szCs w:val="22"/>
        </w:rPr>
        <w:t xml:space="preserve"> </w:t>
      </w:r>
      <w:r w:rsidRPr="00A316F8" w:rsidR="004F5168">
        <w:rPr>
          <w:szCs w:val="22"/>
        </w:rPr>
        <w:t xml:space="preserve">that </w:t>
      </w:r>
      <w:r w:rsidRPr="00A316F8" w:rsidR="009E37FD">
        <w:rPr>
          <w:szCs w:val="22"/>
        </w:rPr>
        <w:t>it</w:t>
      </w:r>
      <w:r w:rsidRPr="00A316F8" w:rsidR="006F17E3">
        <w:rPr>
          <w:szCs w:val="22"/>
        </w:rPr>
        <w:t>s operations violated the Commission’s rules</w:t>
      </w:r>
      <w:r w:rsidRPr="00A316F8" w:rsidR="003704B3">
        <w:rPr>
          <w:szCs w:val="22"/>
        </w:rPr>
        <w:t xml:space="preserve"> defies credulity.</w:t>
      </w:r>
    </w:p>
    <w:p w:rsidR="00F5321A" w:rsidRPr="007D1BDC" w:rsidP="00A316F8" w14:paraId="3261A211" w14:textId="39703BB8">
      <w:pPr>
        <w:pStyle w:val="Heading2"/>
      </w:pPr>
      <w:r>
        <w:t>T</w:t>
      </w:r>
      <w:r w:rsidR="00D10707">
        <w:t xml:space="preserve">he Act and the Commission’s Rules </w:t>
      </w:r>
      <w:r w:rsidRPr="007D1BDC" w:rsidR="00404D60">
        <w:t>Grant t</w:t>
      </w:r>
      <w:r w:rsidRPr="007D1BDC" w:rsidR="00071035">
        <w:t>he Bureau Considerable Discretion when Determining a Forfeiture</w:t>
      </w:r>
    </w:p>
    <w:p w:rsidR="009A0834" w:rsidRPr="005B4B54" w:rsidP="00736DF1" w14:paraId="03EE3055" w14:textId="4C53BF0E">
      <w:pPr>
        <w:pStyle w:val="ListParagraph"/>
        <w:widowControl/>
        <w:numPr>
          <w:ilvl w:val="0"/>
          <w:numId w:val="5"/>
        </w:numPr>
        <w:spacing w:after="240"/>
        <w:ind w:left="0" w:firstLine="720"/>
        <w:contextualSpacing w:val="0"/>
        <w:rPr>
          <w:szCs w:val="22"/>
        </w:rPr>
      </w:pPr>
      <w:r w:rsidRPr="005B4B54">
        <w:rPr>
          <w:color w:val="000000"/>
          <w:szCs w:val="22"/>
          <w:shd w:val="clear" w:color="auto" w:fill="FFFFFF"/>
        </w:rPr>
        <w:t>Section 403 of the Act provides the Commission with “full authority and power at any time to institute an inquiry, on its own motion, .</w:t>
      </w:r>
      <w:r w:rsidRPr="005B4B54" w:rsidR="00F82583">
        <w:rPr>
          <w:color w:val="000000"/>
          <w:szCs w:val="22"/>
          <w:shd w:val="clear" w:color="auto" w:fill="FFFFFF"/>
        </w:rPr>
        <w:t xml:space="preserve"> </w:t>
      </w:r>
      <w:r w:rsidRPr="005B4B54">
        <w:rPr>
          <w:color w:val="000000"/>
          <w:szCs w:val="22"/>
          <w:shd w:val="clear" w:color="auto" w:fill="FFFFFF"/>
        </w:rPr>
        <w:t>.</w:t>
      </w:r>
      <w:r w:rsidRPr="005B4B54" w:rsidR="00F82583">
        <w:rPr>
          <w:color w:val="000000"/>
          <w:szCs w:val="22"/>
          <w:shd w:val="clear" w:color="auto" w:fill="FFFFFF"/>
        </w:rPr>
        <w:t xml:space="preserve"> </w:t>
      </w:r>
      <w:r w:rsidRPr="005B4B54">
        <w:rPr>
          <w:color w:val="000000"/>
          <w:szCs w:val="22"/>
          <w:shd w:val="clear" w:color="auto" w:fill="FFFFFF"/>
        </w:rPr>
        <w:t>. relating to the enforcement of any of the provisions of this Act.”</w:t>
      </w:r>
      <w:r>
        <w:rPr>
          <w:rStyle w:val="FootnoteReference"/>
          <w:color w:val="000000"/>
          <w:sz w:val="22"/>
          <w:szCs w:val="22"/>
          <w:bdr w:val="none" w:sz="0" w:space="0" w:color="auto" w:frame="1"/>
        </w:rPr>
        <w:footnoteReference w:id="49"/>
      </w:r>
      <w:r w:rsidRPr="005B4B54">
        <w:rPr>
          <w:color w:val="000000"/>
          <w:szCs w:val="22"/>
          <w:shd w:val="clear" w:color="auto" w:fill="FFFFFF"/>
        </w:rPr>
        <w:t xml:space="preserve">  </w:t>
      </w:r>
      <w:r w:rsidRPr="005B4B54" w:rsidR="00B03EE7">
        <w:rPr>
          <w:color w:val="000000"/>
          <w:szCs w:val="22"/>
          <w:shd w:val="clear" w:color="auto" w:fill="FFFFFF"/>
        </w:rPr>
        <w:t>T</w:t>
      </w:r>
      <w:r w:rsidRPr="005B4B54" w:rsidR="00F76657">
        <w:rPr>
          <w:szCs w:val="22"/>
        </w:rPr>
        <w:t xml:space="preserve">he Commission’s </w:t>
      </w:r>
      <w:r w:rsidRPr="005B4B54" w:rsidR="00F76657">
        <w:rPr>
          <w:i/>
          <w:iCs/>
          <w:szCs w:val="22"/>
        </w:rPr>
        <w:t>Forfeiture Policy Statement</w:t>
      </w:r>
      <w:r w:rsidRPr="005B4B54" w:rsidR="00F76657">
        <w:rPr>
          <w:szCs w:val="22"/>
        </w:rPr>
        <w:t xml:space="preserve"> and s</w:t>
      </w:r>
      <w:r w:rsidRPr="005B4B54" w:rsidR="009020D0">
        <w:rPr>
          <w:szCs w:val="22"/>
        </w:rPr>
        <w:t>ection 1.80 of the Commission’s rules set the base amount for monetary forfeiture amounts</w:t>
      </w:r>
      <w:r w:rsidRPr="005B4B54" w:rsidR="00B03EE7">
        <w:rPr>
          <w:szCs w:val="22"/>
        </w:rPr>
        <w:t xml:space="preserve"> and provide</w:t>
      </w:r>
      <w:r w:rsidRPr="005B4B54" w:rsidR="009020D0">
        <w:rPr>
          <w:szCs w:val="22"/>
        </w:rPr>
        <w:t xml:space="preserve"> the Bureau </w:t>
      </w:r>
      <w:r w:rsidRPr="005B4B54" w:rsidR="00B03EE7">
        <w:rPr>
          <w:szCs w:val="22"/>
        </w:rPr>
        <w:t>with</w:t>
      </w:r>
      <w:r w:rsidRPr="005B4B54" w:rsidR="009020D0">
        <w:rPr>
          <w:szCs w:val="22"/>
        </w:rPr>
        <w:t xml:space="preserve"> considerable discretion to depart from these guidelines when considering the particular facts of each individual case</w:t>
      </w:r>
      <w:r w:rsidRPr="005B4B54" w:rsidR="00B03EE7">
        <w:rPr>
          <w:szCs w:val="22"/>
        </w:rPr>
        <w:t xml:space="preserve">.  Indeed, the </w:t>
      </w:r>
      <w:r w:rsidRPr="005B4B54" w:rsidR="00B03EE7">
        <w:rPr>
          <w:i/>
          <w:iCs/>
          <w:szCs w:val="22"/>
        </w:rPr>
        <w:t>Forfeiture Policy Statement</w:t>
      </w:r>
      <w:r w:rsidRPr="005B4B54" w:rsidR="00B03EE7">
        <w:rPr>
          <w:szCs w:val="22"/>
        </w:rPr>
        <w:t xml:space="preserve"> and section 1.80 set forth various forfeiture adjustment factors that we must consider, if the facts warrant, </w:t>
      </w:r>
      <w:r w:rsidRPr="005B4B54" w:rsidR="00985EC6">
        <w:rPr>
          <w:szCs w:val="22"/>
        </w:rPr>
        <w:t xml:space="preserve">including </w:t>
      </w:r>
      <w:r w:rsidRPr="005B4B54">
        <w:rPr>
          <w:szCs w:val="22"/>
        </w:rPr>
        <w:t xml:space="preserve">the </w:t>
      </w:r>
      <w:r w:rsidRPr="005B4B54" w:rsidR="00985EC6">
        <w:rPr>
          <w:szCs w:val="22"/>
        </w:rPr>
        <w:t>egregiousness and duration</w:t>
      </w:r>
      <w:r w:rsidRPr="005B4B54" w:rsidR="00B03EE7">
        <w:rPr>
          <w:szCs w:val="22"/>
        </w:rPr>
        <w:t xml:space="preserve"> of </w:t>
      </w:r>
      <w:r w:rsidRPr="005B4B54">
        <w:rPr>
          <w:szCs w:val="22"/>
        </w:rPr>
        <w:t xml:space="preserve">the </w:t>
      </w:r>
      <w:r w:rsidRPr="005B4B54" w:rsidR="00B03EE7">
        <w:rPr>
          <w:szCs w:val="22"/>
        </w:rPr>
        <w:t>violations</w:t>
      </w:r>
      <w:r w:rsidRPr="005B4B54" w:rsidR="009020D0">
        <w:rPr>
          <w:szCs w:val="22"/>
        </w:rPr>
        <w:t>.</w:t>
      </w:r>
      <w:r>
        <w:rPr>
          <w:rStyle w:val="FootnoteReference"/>
          <w:sz w:val="22"/>
          <w:szCs w:val="22"/>
          <w:shd w:val="clear" w:color="auto" w:fill="FFFFFF"/>
        </w:rPr>
        <w:footnoteReference w:id="50"/>
      </w:r>
    </w:p>
    <w:p w:rsidR="0000496D" w:rsidRPr="005B4B54" w:rsidP="00C6456E" w14:paraId="007B109F" w14:textId="7688D0F0">
      <w:pPr>
        <w:pStyle w:val="ListParagraph"/>
        <w:numPr>
          <w:ilvl w:val="0"/>
          <w:numId w:val="5"/>
        </w:numPr>
        <w:spacing w:after="240"/>
        <w:ind w:left="0" w:firstLine="720"/>
        <w:contextualSpacing w:val="0"/>
        <w:rPr>
          <w:szCs w:val="22"/>
        </w:rPr>
      </w:pPr>
      <w:r w:rsidRPr="005B4B54">
        <w:rPr>
          <w:szCs w:val="22"/>
        </w:rPr>
        <w:t xml:space="preserve">In its Petition, Mobile Relay repeats its allegation </w:t>
      </w:r>
      <w:r w:rsidRPr="005B4B54" w:rsidR="008C79AC">
        <w:rPr>
          <w:szCs w:val="22"/>
        </w:rPr>
        <w:t xml:space="preserve">asserted in response to the </w:t>
      </w:r>
      <w:r w:rsidRPr="005B4B54" w:rsidR="008C79AC">
        <w:rPr>
          <w:i/>
          <w:iCs/>
          <w:szCs w:val="22"/>
        </w:rPr>
        <w:t>Notice</w:t>
      </w:r>
      <w:r w:rsidRPr="005B4B54" w:rsidR="008C79AC">
        <w:rPr>
          <w:szCs w:val="22"/>
        </w:rPr>
        <w:t xml:space="preserve"> </w:t>
      </w:r>
      <w:r w:rsidRPr="005B4B54">
        <w:rPr>
          <w:szCs w:val="22"/>
        </w:rPr>
        <w:t>that the Bureau acted in an arbitrary and capricious manner in determining the forfeiture amount.</w:t>
      </w:r>
      <w:r>
        <w:rPr>
          <w:rStyle w:val="FootnoteReference"/>
          <w:sz w:val="22"/>
          <w:szCs w:val="22"/>
        </w:rPr>
        <w:footnoteReference w:id="51"/>
      </w:r>
      <w:r w:rsidRPr="005B4B54">
        <w:rPr>
          <w:szCs w:val="22"/>
        </w:rPr>
        <w:t xml:space="preserve">  Specifically, the Company claims </w:t>
      </w:r>
      <w:r w:rsidRPr="005B4B54" w:rsidR="00E7532E">
        <w:rPr>
          <w:szCs w:val="22"/>
        </w:rPr>
        <w:t xml:space="preserve">that </w:t>
      </w:r>
      <w:r w:rsidRPr="005B4B54" w:rsidR="009A0834">
        <w:rPr>
          <w:szCs w:val="22"/>
        </w:rPr>
        <w:t xml:space="preserve">it received disparate treatment from the </w:t>
      </w:r>
      <w:r w:rsidRPr="005B4B54">
        <w:rPr>
          <w:szCs w:val="22"/>
        </w:rPr>
        <w:t xml:space="preserve">Bureau </w:t>
      </w:r>
      <w:r w:rsidRPr="005B4B54" w:rsidR="009A0834">
        <w:rPr>
          <w:szCs w:val="22"/>
        </w:rPr>
        <w:t>in comparison</w:t>
      </w:r>
      <w:r w:rsidRPr="005B4B54" w:rsidR="00B03EE7">
        <w:rPr>
          <w:szCs w:val="22"/>
        </w:rPr>
        <w:t xml:space="preserve"> to other companies</w:t>
      </w:r>
      <w:r w:rsidRPr="005B4B54" w:rsidR="009A0834">
        <w:rPr>
          <w:szCs w:val="22"/>
        </w:rPr>
        <w:t xml:space="preserve"> </w:t>
      </w:r>
      <w:r w:rsidRPr="005B4B54" w:rsidR="00B03EE7">
        <w:rPr>
          <w:szCs w:val="22"/>
        </w:rPr>
        <w:t xml:space="preserve">with similar violations who either incurred no monetary penalty or a lesser monetary penalty.  </w:t>
      </w:r>
      <w:r w:rsidRPr="005B4B54">
        <w:rPr>
          <w:szCs w:val="22"/>
        </w:rPr>
        <w:t xml:space="preserve">We disagree.  </w:t>
      </w:r>
      <w:r w:rsidRPr="005B4B54" w:rsidR="009A0834">
        <w:rPr>
          <w:szCs w:val="22"/>
        </w:rPr>
        <w:t xml:space="preserve">In the </w:t>
      </w:r>
      <w:r w:rsidRPr="005B4B54" w:rsidR="009A0834">
        <w:rPr>
          <w:i/>
          <w:iCs/>
          <w:szCs w:val="22"/>
        </w:rPr>
        <w:t>Notice</w:t>
      </w:r>
      <w:r w:rsidRPr="005B4B54" w:rsidR="009A0834">
        <w:rPr>
          <w:szCs w:val="22"/>
        </w:rPr>
        <w:t>, based on the facts of the case, the Bureau determined that Mobile Relay’s Station operations resulted in causing harmful interference to a co-channel licensee in willful and repeated violation of sections 90.187(b) and 90.403(e) of the Commission’s rules.</w:t>
      </w:r>
      <w:r>
        <w:rPr>
          <w:rStyle w:val="FootnoteReference"/>
          <w:color w:val="000000"/>
          <w:sz w:val="22"/>
          <w:szCs w:val="22"/>
          <w:shd w:val="clear" w:color="auto" w:fill="FFFFFF"/>
        </w:rPr>
        <w:footnoteReference w:id="52"/>
      </w:r>
      <w:r w:rsidRPr="005B4B54" w:rsidR="009A0834">
        <w:rPr>
          <w:szCs w:val="22"/>
        </w:rPr>
        <w:t xml:space="preserve">  Taking into account the egregiousness and duration of the Company’s actions, we proposed a $25,000 forfeiture.</w:t>
      </w:r>
      <w:r>
        <w:rPr>
          <w:rStyle w:val="FootnoteReference"/>
          <w:sz w:val="22"/>
          <w:szCs w:val="22"/>
        </w:rPr>
        <w:footnoteReference w:id="53"/>
      </w:r>
      <w:r w:rsidRPr="005B4B54" w:rsidR="009A0834">
        <w:rPr>
          <w:szCs w:val="22"/>
        </w:rPr>
        <w:t xml:space="preserve">  Subsequently, in affirming the proposed fine i</w:t>
      </w:r>
      <w:r w:rsidRPr="005B4B54" w:rsidR="00985EC6">
        <w:rPr>
          <w:szCs w:val="22"/>
        </w:rPr>
        <w:t xml:space="preserve">n the </w:t>
      </w:r>
      <w:r w:rsidRPr="005B4B54" w:rsidR="00985EC6">
        <w:rPr>
          <w:i/>
          <w:iCs/>
          <w:szCs w:val="22"/>
        </w:rPr>
        <w:t>Forfeiture Order</w:t>
      </w:r>
      <w:r w:rsidRPr="005B4B54" w:rsidR="00985EC6">
        <w:rPr>
          <w:szCs w:val="22"/>
        </w:rPr>
        <w:t xml:space="preserve">, we demonstrated that the Bureau has extensively enforced violations of </w:t>
      </w:r>
      <w:r w:rsidRPr="005B4B54" w:rsidR="00266B3F">
        <w:rPr>
          <w:szCs w:val="22"/>
        </w:rPr>
        <w:t xml:space="preserve">these rules </w:t>
      </w:r>
      <w:r w:rsidRPr="005B4B54" w:rsidR="00985EC6">
        <w:rPr>
          <w:szCs w:val="22"/>
        </w:rPr>
        <w:t xml:space="preserve">against </w:t>
      </w:r>
      <w:r w:rsidRPr="005B4B54" w:rsidR="00266B3F">
        <w:rPr>
          <w:szCs w:val="22"/>
        </w:rPr>
        <w:t xml:space="preserve">other </w:t>
      </w:r>
      <w:r w:rsidRPr="005B4B54" w:rsidR="00985EC6">
        <w:rPr>
          <w:szCs w:val="22"/>
          <w:shd w:val="clear" w:color="auto" w:fill="FFFFFF"/>
        </w:rPr>
        <w:t>licensees</w:t>
      </w:r>
      <w:r w:rsidRPr="005B4B54" w:rsidR="00985EC6">
        <w:rPr>
          <w:szCs w:val="22"/>
        </w:rPr>
        <w:t>, including the subjects of Mobile Relay’s complaints</w:t>
      </w:r>
      <w:r w:rsidRPr="005B4B54" w:rsidR="003E7634">
        <w:rPr>
          <w:szCs w:val="22"/>
        </w:rPr>
        <w:t xml:space="preserve"> when the facts of the case warranted such action, and that the forfeiture in this case is based on the facts and the law specific to it.</w:t>
      </w:r>
      <w:r>
        <w:rPr>
          <w:rStyle w:val="FootnoteReference"/>
          <w:sz w:val="22"/>
          <w:szCs w:val="22"/>
        </w:rPr>
        <w:footnoteReference w:id="54"/>
      </w:r>
      <w:r w:rsidRPr="005B4B54" w:rsidR="00985EC6">
        <w:rPr>
          <w:szCs w:val="22"/>
        </w:rPr>
        <w:t xml:space="preserve"> </w:t>
      </w:r>
      <w:r w:rsidRPr="005B4B54" w:rsidR="003E7634">
        <w:rPr>
          <w:szCs w:val="22"/>
        </w:rPr>
        <w:t xml:space="preserve"> </w:t>
      </w:r>
      <w:bookmarkStart w:id="15" w:name="_Hlk46157617"/>
      <w:r w:rsidRPr="005B4B54" w:rsidR="009A0834">
        <w:rPr>
          <w:szCs w:val="22"/>
        </w:rPr>
        <w:t>In particular</w:t>
      </w:r>
      <w:r w:rsidRPr="005B4B54" w:rsidR="00B507B8">
        <w:rPr>
          <w:szCs w:val="22"/>
        </w:rPr>
        <w:t xml:space="preserve">, </w:t>
      </w:r>
      <w:r w:rsidRPr="005B4B54" w:rsidR="009D7276">
        <w:rPr>
          <w:szCs w:val="22"/>
        </w:rPr>
        <w:t xml:space="preserve">we explained that </w:t>
      </w:r>
      <w:r w:rsidRPr="005B4B54" w:rsidR="00B507B8">
        <w:rPr>
          <w:szCs w:val="22"/>
        </w:rPr>
        <w:t xml:space="preserve">the egregious nature </w:t>
      </w:r>
      <w:r w:rsidRPr="005B4B54" w:rsidR="009D7276">
        <w:rPr>
          <w:szCs w:val="22"/>
        </w:rPr>
        <w:t xml:space="preserve">and duration </w:t>
      </w:r>
      <w:r w:rsidRPr="005B4B54" w:rsidR="00B507B8">
        <w:rPr>
          <w:szCs w:val="22"/>
        </w:rPr>
        <w:t>of M</w:t>
      </w:r>
      <w:r w:rsidRPr="005B4B54" w:rsidR="009D7276">
        <w:rPr>
          <w:szCs w:val="22"/>
        </w:rPr>
        <w:t xml:space="preserve">obile </w:t>
      </w:r>
      <w:r w:rsidRPr="005B4B54" w:rsidR="00B507B8">
        <w:rPr>
          <w:szCs w:val="22"/>
        </w:rPr>
        <w:t>R</w:t>
      </w:r>
      <w:r w:rsidRPr="005B4B54" w:rsidR="009D7276">
        <w:rPr>
          <w:szCs w:val="22"/>
        </w:rPr>
        <w:t>elay</w:t>
      </w:r>
      <w:r w:rsidRPr="005B4B54" w:rsidR="00B507B8">
        <w:rPr>
          <w:szCs w:val="22"/>
        </w:rPr>
        <w:t>’s violation</w:t>
      </w:r>
      <w:r w:rsidRPr="005B4B54" w:rsidR="009D7276">
        <w:rPr>
          <w:szCs w:val="22"/>
        </w:rPr>
        <w:t xml:space="preserve">s for a two year period </w:t>
      </w:r>
      <w:r w:rsidRPr="005B4B54" w:rsidR="00B507B8">
        <w:rPr>
          <w:szCs w:val="22"/>
        </w:rPr>
        <w:t xml:space="preserve">after receiving a Notice of Violation warranted an upward adjustment in </w:t>
      </w:r>
      <w:r w:rsidRPr="005B4B54" w:rsidR="009D7276">
        <w:rPr>
          <w:szCs w:val="22"/>
        </w:rPr>
        <w:t xml:space="preserve">the </w:t>
      </w:r>
      <w:r w:rsidRPr="005B4B54" w:rsidR="00B507B8">
        <w:rPr>
          <w:szCs w:val="22"/>
        </w:rPr>
        <w:t>calculati</w:t>
      </w:r>
      <w:r w:rsidRPr="005B4B54" w:rsidR="009D7276">
        <w:rPr>
          <w:szCs w:val="22"/>
        </w:rPr>
        <w:t>on of</w:t>
      </w:r>
      <w:r w:rsidRPr="005B4B54" w:rsidR="00B507B8">
        <w:rPr>
          <w:szCs w:val="22"/>
        </w:rPr>
        <w:t xml:space="preserve"> </w:t>
      </w:r>
      <w:r w:rsidRPr="005B4B54" w:rsidR="009D7276">
        <w:rPr>
          <w:szCs w:val="22"/>
        </w:rPr>
        <w:t>the sanction</w:t>
      </w:r>
      <w:r w:rsidRPr="005B4B54" w:rsidR="00266B3F">
        <w:rPr>
          <w:szCs w:val="22"/>
        </w:rPr>
        <w:t xml:space="preserve"> here</w:t>
      </w:r>
      <w:r w:rsidRPr="005B4B54" w:rsidR="00B507B8">
        <w:rPr>
          <w:szCs w:val="22"/>
        </w:rPr>
        <w:t>.</w:t>
      </w:r>
      <w:r>
        <w:rPr>
          <w:rStyle w:val="FootnoteReference"/>
          <w:sz w:val="22"/>
          <w:szCs w:val="22"/>
        </w:rPr>
        <w:footnoteReference w:id="55"/>
      </w:r>
      <w:r w:rsidRPr="005B4B54" w:rsidR="00B507B8">
        <w:rPr>
          <w:szCs w:val="22"/>
        </w:rPr>
        <w:t xml:space="preserve"> </w:t>
      </w:r>
      <w:bookmarkEnd w:id="15"/>
      <w:r w:rsidRPr="005B4B54" w:rsidR="00B507B8">
        <w:rPr>
          <w:szCs w:val="22"/>
        </w:rPr>
        <w:t xml:space="preserve"> </w:t>
      </w:r>
      <w:r w:rsidRPr="005B4B54" w:rsidR="009A0834">
        <w:rPr>
          <w:szCs w:val="22"/>
        </w:rPr>
        <w:t>Thus, i</w:t>
      </w:r>
      <w:r w:rsidRPr="005B4B54" w:rsidR="009B3987">
        <w:rPr>
          <w:szCs w:val="22"/>
        </w:rPr>
        <w:t xml:space="preserve">n the </w:t>
      </w:r>
      <w:r w:rsidRPr="005B4B54" w:rsidR="009B3987">
        <w:rPr>
          <w:i/>
          <w:iCs/>
          <w:szCs w:val="22"/>
        </w:rPr>
        <w:t>Forfeiture</w:t>
      </w:r>
      <w:r w:rsidRPr="005B4B54" w:rsidR="009B3987">
        <w:rPr>
          <w:szCs w:val="22"/>
        </w:rPr>
        <w:t xml:space="preserve"> </w:t>
      </w:r>
      <w:r w:rsidRPr="005B4B54" w:rsidR="009B3987">
        <w:rPr>
          <w:i/>
          <w:iCs/>
          <w:szCs w:val="22"/>
        </w:rPr>
        <w:t>Order</w:t>
      </w:r>
      <w:r w:rsidRPr="005B4B54" w:rsidR="009B3987">
        <w:rPr>
          <w:szCs w:val="22"/>
        </w:rPr>
        <w:t>,</w:t>
      </w:r>
      <w:r w:rsidR="009B3987">
        <w:t xml:space="preserve"> t</w:t>
      </w:r>
      <w:r w:rsidRPr="00C6456E">
        <w:t xml:space="preserve">he Bureau considered Mobile Relay’s response to the </w:t>
      </w:r>
      <w:r w:rsidRPr="00C6456E">
        <w:rPr>
          <w:i/>
          <w:iCs/>
        </w:rPr>
        <w:t>Notice</w:t>
      </w:r>
      <w:r w:rsidRPr="00C6456E">
        <w:t xml:space="preserve"> in light of the applicable statutory factors, the Commission’s rules, and the </w:t>
      </w:r>
      <w:r w:rsidRPr="00C6456E">
        <w:rPr>
          <w:i/>
          <w:iCs/>
        </w:rPr>
        <w:t>Forfeiture Policy Statement</w:t>
      </w:r>
      <w:r w:rsidR="009115E9">
        <w:t>,</w:t>
      </w:r>
      <w:r w:rsidR="003823C6">
        <w:t xml:space="preserve"> and</w:t>
      </w:r>
      <w:r w:rsidR="009115E9">
        <w:t xml:space="preserve"> </w:t>
      </w:r>
      <w:r w:rsidR="00311D8C">
        <w:t>affirmed</w:t>
      </w:r>
      <w:r w:rsidR="009115E9">
        <w:t xml:space="preserve"> the proposed $25,000 </w:t>
      </w:r>
      <w:r w:rsidRPr="005B4B54" w:rsidR="009115E9">
        <w:rPr>
          <w:szCs w:val="22"/>
        </w:rPr>
        <w:t>forfeiture</w:t>
      </w:r>
      <w:r w:rsidRPr="005B4B54">
        <w:rPr>
          <w:szCs w:val="22"/>
        </w:rPr>
        <w:t>.</w:t>
      </w:r>
      <w:r>
        <w:rPr>
          <w:rStyle w:val="FootnoteReference"/>
          <w:color w:val="000000"/>
          <w:sz w:val="22"/>
          <w:szCs w:val="22"/>
          <w:shd w:val="clear" w:color="auto" w:fill="FFFFFF"/>
        </w:rPr>
        <w:footnoteReference w:id="56"/>
      </w:r>
    </w:p>
    <w:p w:rsidR="00F5321A" w:rsidRPr="007D1BDC" w:rsidP="00A316F8" w14:paraId="7E6A5A1F" w14:textId="5846FEE0">
      <w:pPr>
        <w:pStyle w:val="Heading2"/>
      </w:pPr>
      <w:r w:rsidRPr="007D1BDC">
        <w:t>Section</w:t>
      </w:r>
      <w:r w:rsidRPr="007D1BDC" w:rsidR="00F14569">
        <w:t xml:space="preserve"> 1.106 Authorizes the Bureau to Dismiss Arguments </w:t>
      </w:r>
      <w:r w:rsidR="00D06F3C">
        <w:t>N</w:t>
      </w:r>
      <w:r w:rsidRPr="007D1BDC" w:rsidR="00D06F3C">
        <w:t xml:space="preserve">ot </w:t>
      </w:r>
      <w:r w:rsidRPr="007D1BDC" w:rsidR="00F14569">
        <w:t xml:space="preserve">Previously Presented </w:t>
      </w:r>
      <w:r w:rsidRPr="007D1BDC" w:rsidR="00B64DCF">
        <w:t>i</w:t>
      </w:r>
      <w:r w:rsidRPr="007D1BDC" w:rsidR="00F14569">
        <w:t xml:space="preserve">n </w:t>
      </w:r>
      <w:r w:rsidRPr="007D1BDC" w:rsidR="00B64DCF">
        <w:t>t</w:t>
      </w:r>
      <w:r w:rsidRPr="007D1BDC" w:rsidR="00F14569">
        <w:t>his Proceeding</w:t>
      </w:r>
    </w:p>
    <w:p w:rsidR="00F84D63" w:rsidRPr="005B4B54" w:rsidP="00404D60" w14:paraId="508C942E" w14:textId="428EF926">
      <w:pPr>
        <w:pStyle w:val="ListParagraph"/>
        <w:widowControl/>
        <w:numPr>
          <w:ilvl w:val="0"/>
          <w:numId w:val="5"/>
        </w:numPr>
        <w:spacing w:after="240"/>
        <w:ind w:left="0" w:firstLine="720"/>
        <w:contextualSpacing w:val="0"/>
        <w:rPr>
          <w:kern w:val="0"/>
          <w:szCs w:val="22"/>
        </w:rPr>
      </w:pPr>
      <w:r w:rsidRPr="005B4B54">
        <w:rPr>
          <w:szCs w:val="22"/>
        </w:rPr>
        <w:t xml:space="preserve">We find Mobile Relay’s argument that </w:t>
      </w:r>
      <w:r w:rsidRPr="005B4B54" w:rsidR="00DE37E5">
        <w:rPr>
          <w:szCs w:val="22"/>
          <w:shd w:val="clear" w:color="auto" w:fill="FFFFFF"/>
        </w:rPr>
        <w:t xml:space="preserve">the Bureau is “punishing” </w:t>
      </w:r>
      <w:r w:rsidRPr="005B4B54" w:rsidR="00D06F3C">
        <w:rPr>
          <w:szCs w:val="22"/>
          <w:shd w:val="clear" w:color="auto" w:fill="FFFFFF"/>
        </w:rPr>
        <w:t xml:space="preserve">the Company </w:t>
      </w:r>
      <w:r w:rsidRPr="005B4B54" w:rsidR="00DE37E5">
        <w:rPr>
          <w:szCs w:val="22"/>
          <w:shd w:val="clear" w:color="auto" w:fill="FFFFFF"/>
        </w:rPr>
        <w:t xml:space="preserve">because </w:t>
      </w:r>
      <w:r w:rsidRPr="005B4B54" w:rsidR="00DE37E5">
        <w:rPr>
          <w:szCs w:val="22"/>
        </w:rPr>
        <w:t xml:space="preserve">it filed numerous </w:t>
      </w:r>
      <w:r w:rsidRPr="005B4B54" w:rsidR="00446A85">
        <w:rPr>
          <w:szCs w:val="22"/>
        </w:rPr>
        <w:t xml:space="preserve">interference </w:t>
      </w:r>
      <w:r w:rsidRPr="005B4B54" w:rsidR="00DE37E5">
        <w:rPr>
          <w:szCs w:val="22"/>
        </w:rPr>
        <w:t xml:space="preserve">complaints </w:t>
      </w:r>
      <w:r w:rsidRPr="005B4B54" w:rsidR="00446A85">
        <w:rPr>
          <w:szCs w:val="22"/>
        </w:rPr>
        <w:t xml:space="preserve">against </w:t>
      </w:r>
      <w:r w:rsidRPr="005B4B54" w:rsidR="00DE37E5">
        <w:rPr>
          <w:szCs w:val="22"/>
        </w:rPr>
        <w:t xml:space="preserve">other licensees </w:t>
      </w:r>
      <w:r w:rsidRPr="005B4B54" w:rsidR="00262719">
        <w:rPr>
          <w:szCs w:val="22"/>
        </w:rPr>
        <w:t>to be</w:t>
      </w:r>
      <w:r w:rsidRPr="005B4B54">
        <w:rPr>
          <w:szCs w:val="22"/>
        </w:rPr>
        <w:t xml:space="preserve"> procedurally barred and substantively </w:t>
      </w:r>
      <w:r w:rsidRPr="005B4B54">
        <w:rPr>
          <w:szCs w:val="22"/>
        </w:rPr>
        <w:t>unsubstantiated</w:t>
      </w:r>
      <w:r w:rsidRPr="005B4B54" w:rsidR="00DE37E5">
        <w:rPr>
          <w:szCs w:val="22"/>
          <w:shd w:val="clear" w:color="auto" w:fill="FFFFFF"/>
        </w:rPr>
        <w:t xml:space="preserve">. </w:t>
      </w:r>
      <w:r w:rsidRPr="005B4B54" w:rsidR="009D14E5">
        <w:rPr>
          <w:szCs w:val="22"/>
        </w:rPr>
        <w:t xml:space="preserve"> </w:t>
      </w:r>
      <w:r w:rsidRPr="005B4B54">
        <w:rPr>
          <w:szCs w:val="22"/>
        </w:rPr>
        <w:t xml:space="preserve">Mobile Relay asserts this claim for the first time in the Petition.  </w:t>
      </w:r>
      <w:r w:rsidRPr="005B4B54" w:rsidR="000C0733">
        <w:rPr>
          <w:szCs w:val="22"/>
        </w:rPr>
        <w:t xml:space="preserve">Section 1.106(c) </w:t>
      </w:r>
      <w:r w:rsidRPr="005B4B54" w:rsidR="00181123">
        <w:rPr>
          <w:szCs w:val="22"/>
        </w:rPr>
        <w:t xml:space="preserve">authorizes the </w:t>
      </w:r>
      <w:r w:rsidRPr="005B4B54" w:rsidR="00790F00">
        <w:rPr>
          <w:szCs w:val="22"/>
        </w:rPr>
        <w:t xml:space="preserve">Bureau </w:t>
      </w:r>
      <w:r w:rsidRPr="005B4B54" w:rsidR="00181123">
        <w:rPr>
          <w:szCs w:val="22"/>
        </w:rPr>
        <w:t xml:space="preserve">to </w:t>
      </w:r>
      <w:r w:rsidRPr="005B4B54" w:rsidR="00790F00">
        <w:rPr>
          <w:szCs w:val="22"/>
        </w:rPr>
        <w:t xml:space="preserve">grant </w:t>
      </w:r>
      <w:r w:rsidRPr="005B4B54" w:rsidR="000C0733">
        <w:rPr>
          <w:szCs w:val="22"/>
        </w:rPr>
        <w:t>a petition for reconsideration that relies on new facts or arguments only if those facts or arguments relate to events that have occurred</w:t>
      </w:r>
      <w:r w:rsidRPr="005B4B54" w:rsidR="00181123">
        <w:rPr>
          <w:szCs w:val="22"/>
        </w:rPr>
        <w:t>,</w:t>
      </w:r>
      <w:r w:rsidRPr="005B4B54" w:rsidR="000C0733">
        <w:rPr>
          <w:szCs w:val="22"/>
        </w:rPr>
        <w:t xml:space="preserve"> or circumstances that have changed</w:t>
      </w:r>
      <w:r w:rsidRPr="005B4B54" w:rsidR="00181123">
        <w:rPr>
          <w:szCs w:val="22"/>
        </w:rPr>
        <w:t>,</w:t>
      </w:r>
      <w:r w:rsidRPr="005B4B54" w:rsidR="000C0733">
        <w:rPr>
          <w:szCs w:val="22"/>
        </w:rPr>
        <w:t xml:space="preserve"> since the last opportunity to present such matters</w:t>
      </w:r>
      <w:r w:rsidRPr="005B4B54" w:rsidR="00F14569">
        <w:rPr>
          <w:szCs w:val="22"/>
        </w:rPr>
        <w:t>;</w:t>
      </w:r>
      <w:r w:rsidRPr="005B4B54" w:rsidR="000C0733">
        <w:rPr>
          <w:szCs w:val="22"/>
        </w:rPr>
        <w:t xml:space="preserve"> or when the petition relies on facts or arguments unknown to the petitioner until after his last opportunity to present those facts or arguments.</w:t>
      </w:r>
      <w:r>
        <w:rPr>
          <w:rStyle w:val="FootnoteReference"/>
          <w:sz w:val="22"/>
          <w:szCs w:val="22"/>
        </w:rPr>
        <w:footnoteReference w:id="57"/>
      </w:r>
      <w:r w:rsidRPr="005B4B54" w:rsidR="005474E4">
        <w:rPr>
          <w:szCs w:val="22"/>
        </w:rPr>
        <w:t xml:space="preserve"> </w:t>
      </w:r>
      <w:r w:rsidRPr="005B4B54" w:rsidR="000C0733">
        <w:rPr>
          <w:szCs w:val="22"/>
        </w:rPr>
        <w:t xml:space="preserve"> </w:t>
      </w:r>
      <w:r w:rsidRPr="005B4B54" w:rsidR="00181123">
        <w:rPr>
          <w:szCs w:val="22"/>
        </w:rPr>
        <w:t xml:space="preserve">Because </w:t>
      </w:r>
      <w:r w:rsidRPr="005B4B54" w:rsidR="00D412EA">
        <w:rPr>
          <w:szCs w:val="22"/>
        </w:rPr>
        <w:t>the Company</w:t>
      </w:r>
      <w:r w:rsidRPr="005B4B54" w:rsidR="00DE37E5">
        <w:rPr>
          <w:szCs w:val="22"/>
        </w:rPr>
        <w:t xml:space="preserve"> fails to </w:t>
      </w:r>
      <w:r w:rsidRPr="005B4B54" w:rsidR="00181123">
        <w:rPr>
          <w:szCs w:val="22"/>
        </w:rPr>
        <w:t xml:space="preserve">explain why it could not have </w:t>
      </w:r>
      <w:r w:rsidRPr="005B4B54" w:rsidR="00DE37E5">
        <w:rPr>
          <w:szCs w:val="22"/>
        </w:rPr>
        <w:t>present</w:t>
      </w:r>
      <w:r w:rsidRPr="005B4B54" w:rsidR="00181123">
        <w:rPr>
          <w:szCs w:val="22"/>
        </w:rPr>
        <w:t>ed this argument or</w:t>
      </w:r>
      <w:r w:rsidRPr="005B4B54" w:rsidR="00DE37E5">
        <w:rPr>
          <w:szCs w:val="22"/>
        </w:rPr>
        <w:t xml:space="preserve"> </w:t>
      </w:r>
      <w:r w:rsidRPr="005B4B54">
        <w:rPr>
          <w:szCs w:val="22"/>
        </w:rPr>
        <w:t>any alleged</w:t>
      </w:r>
      <w:r w:rsidRPr="005B4B54" w:rsidR="00DE37E5">
        <w:rPr>
          <w:szCs w:val="22"/>
        </w:rPr>
        <w:t xml:space="preserve"> facts </w:t>
      </w:r>
      <w:r w:rsidRPr="005B4B54">
        <w:rPr>
          <w:szCs w:val="22"/>
        </w:rPr>
        <w:t>that were not known or knowable to it at earlier stages of this proceeding</w:t>
      </w:r>
      <w:r w:rsidRPr="005B4B54" w:rsidR="00181123">
        <w:rPr>
          <w:szCs w:val="22"/>
        </w:rPr>
        <w:t>, we dismiss this claim</w:t>
      </w:r>
      <w:r w:rsidRPr="005B4B54" w:rsidR="00DE37E5">
        <w:rPr>
          <w:szCs w:val="22"/>
        </w:rPr>
        <w:t xml:space="preserve">.  </w:t>
      </w:r>
      <w:r w:rsidRPr="005B4B54" w:rsidR="000C6DA8">
        <w:rPr>
          <w:szCs w:val="22"/>
          <w:shd w:val="clear" w:color="auto" w:fill="FFFFFF"/>
        </w:rPr>
        <w:t xml:space="preserve">Section 1.106(c)(2) </w:t>
      </w:r>
      <w:r w:rsidRPr="005B4B54">
        <w:rPr>
          <w:szCs w:val="22"/>
          <w:shd w:val="clear" w:color="auto" w:fill="FFFFFF"/>
        </w:rPr>
        <w:t xml:space="preserve">additionally </w:t>
      </w:r>
      <w:r w:rsidRPr="005B4B54" w:rsidR="000C6DA8">
        <w:rPr>
          <w:szCs w:val="22"/>
          <w:shd w:val="clear" w:color="auto" w:fill="FFFFFF"/>
        </w:rPr>
        <w:t>allows the Bureau to consider such facts or arguments if it determines that doing so is required in the public interest.</w:t>
      </w:r>
      <w:r>
        <w:rPr>
          <w:rStyle w:val="FootnoteReference"/>
          <w:sz w:val="22"/>
          <w:szCs w:val="22"/>
          <w:shd w:val="clear" w:color="auto" w:fill="FFFFFF"/>
        </w:rPr>
        <w:footnoteReference w:id="58"/>
      </w:r>
      <w:r w:rsidRPr="005B4B54" w:rsidR="000C6DA8">
        <w:rPr>
          <w:szCs w:val="22"/>
          <w:shd w:val="clear" w:color="auto" w:fill="FFFFFF"/>
        </w:rPr>
        <w:t xml:space="preserve">  Mobile Relay does not provide any reason for its failure to </w:t>
      </w:r>
      <w:r w:rsidRPr="005B4B54" w:rsidR="00790F00">
        <w:rPr>
          <w:szCs w:val="22"/>
          <w:shd w:val="clear" w:color="auto" w:fill="FFFFFF"/>
        </w:rPr>
        <w:t>present</w:t>
      </w:r>
      <w:r w:rsidRPr="005B4B54" w:rsidR="000C6DA8">
        <w:rPr>
          <w:szCs w:val="22"/>
          <w:shd w:val="clear" w:color="auto" w:fill="FFFFFF"/>
        </w:rPr>
        <w:t xml:space="preserve"> this argument earlier or claim that </w:t>
      </w:r>
      <w:r w:rsidRPr="005B4B54" w:rsidR="00B15680">
        <w:rPr>
          <w:szCs w:val="22"/>
          <w:shd w:val="clear" w:color="auto" w:fill="FFFFFF"/>
        </w:rPr>
        <w:t xml:space="preserve">consideration of this argument is </w:t>
      </w:r>
      <w:r w:rsidRPr="005B4B54" w:rsidR="00181123">
        <w:rPr>
          <w:szCs w:val="22"/>
          <w:shd w:val="clear" w:color="auto" w:fill="FFFFFF"/>
        </w:rPr>
        <w:t xml:space="preserve">now </w:t>
      </w:r>
      <w:r w:rsidRPr="005B4B54" w:rsidR="0008713A">
        <w:rPr>
          <w:szCs w:val="22"/>
          <w:shd w:val="clear" w:color="auto" w:fill="FFFFFF"/>
        </w:rPr>
        <w:t xml:space="preserve">necessary </w:t>
      </w:r>
      <w:r w:rsidRPr="005B4B54" w:rsidR="00B15680">
        <w:rPr>
          <w:szCs w:val="22"/>
          <w:shd w:val="clear" w:color="auto" w:fill="FFFFFF"/>
        </w:rPr>
        <w:t xml:space="preserve">in </w:t>
      </w:r>
      <w:r w:rsidRPr="005B4B54" w:rsidR="000C6DA8">
        <w:rPr>
          <w:szCs w:val="22"/>
          <w:shd w:val="clear" w:color="auto" w:fill="FFFFFF"/>
        </w:rPr>
        <w:t>the public interest</w:t>
      </w:r>
      <w:r w:rsidRPr="005B4B54" w:rsidR="00B15680">
        <w:rPr>
          <w:szCs w:val="22"/>
          <w:shd w:val="clear" w:color="auto" w:fill="FFFFFF"/>
        </w:rPr>
        <w:t xml:space="preserve">.  </w:t>
      </w:r>
      <w:r w:rsidRPr="005B4B54" w:rsidR="0008713A">
        <w:rPr>
          <w:szCs w:val="22"/>
          <w:shd w:val="clear" w:color="auto" w:fill="FFFFFF"/>
        </w:rPr>
        <w:t xml:space="preserve">Finally, even </w:t>
      </w:r>
      <w:r w:rsidRPr="005B4B54" w:rsidR="00A10A7F">
        <w:rPr>
          <w:szCs w:val="22"/>
          <w:shd w:val="clear" w:color="auto" w:fill="FFFFFF"/>
        </w:rPr>
        <w:t xml:space="preserve">if we </w:t>
      </w:r>
      <w:r w:rsidRPr="005B4B54" w:rsidR="0008713A">
        <w:rPr>
          <w:szCs w:val="22"/>
          <w:shd w:val="clear" w:color="auto" w:fill="FFFFFF"/>
        </w:rPr>
        <w:t xml:space="preserve">were to consider this claim, we would find it lacks merit as the </w:t>
      </w:r>
      <w:r w:rsidRPr="005B4B54" w:rsidR="0008713A">
        <w:rPr>
          <w:i/>
          <w:iCs/>
          <w:szCs w:val="22"/>
          <w:shd w:val="clear" w:color="auto" w:fill="FFFFFF"/>
        </w:rPr>
        <w:t xml:space="preserve">Forfeiture Order </w:t>
      </w:r>
      <w:r w:rsidRPr="005B4B54" w:rsidR="0008713A">
        <w:rPr>
          <w:szCs w:val="22"/>
          <w:shd w:val="clear" w:color="auto" w:fill="FFFFFF"/>
        </w:rPr>
        <w:t xml:space="preserve">was decided on its merits and not out of any desire to punish </w:t>
      </w:r>
      <w:r w:rsidRPr="005B4B54" w:rsidR="001736FE">
        <w:rPr>
          <w:szCs w:val="22"/>
          <w:shd w:val="clear" w:color="auto" w:fill="FFFFFF"/>
        </w:rPr>
        <w:t>the Company</w:t>
      </w:r>
      <w:r w:rsidRPr="005B4B54" w:rsidR="0008713A">
        <w:rPr>
          <w:szCs w:val="22"/>
          <w:shd w:val="clear" w:color="auto" w:fill="FFFFFF"/>
        </w:rPr>
        <w:t xml:space="preserve"> for filing </w:t>
      </w:r>
      <w:r w:rsidRPr="005B4B54" w:rsidR="001736FE">
        <w:rPr>
          <w:szCs w:val="22"/>
          <w:shd w:val="clear" w:color="auto" w:fill="FFFFFF"/>
        </w:rPr>
        <w:t xml:space="preserve">past </w:t>
      </w:r>
      <w:r w:rsidRPr="005B4B54" w:rsidR="0008713A">
        <w:rPr>
          <w:szCs w:val="22"/>
          <w:shd w:val="clear" w:color="auto" w:fill="FFFFFF"/>
        </w:rPr>
        <w:t>complaints.  Accordingly,</w:t>
      </w:r>
      <w:r w:rsidRPr="005B4B54" w:rsidR="00FF0084">
        <w:rPr>
          <w:kern w:val="0"/>
          <w:szCs w:val="22"/>
          <w:shd w:val="clear" w:color="auto" w:fill="FFFFFF"/>
        </w:rPr>
        <w:t xml:space="preserve"> we </w:t>
      </w:r>
      <w:r w:rsidRPr="005B4B54" w:rsidR="00AA17FA">
        <w:rPr>
          <w:kern w:val="0"/>
          <w:szCs w:val="22"/>
          <w:shd w:val="clear" w:color="auto" w:fill="FFFFFF"/>
        </w:rPr>
        <w:t xml:space="preserve">find that </w:t>
      </w:r>
      <w:r w:rsidRPr="005B4B54" w:rsidR="000E5A08">
        <w:rPr>
          <w:kern w:val="0"/>
          <w:szCs w:val="22"/>
          <w:shd w:val="clear" w:color="auto" w:fill="FFFFFF"/>
        </w:rPr>
        <w:t>Mobile Relay</w:t>
      </w:r>
      <w:r w:rsidRPr="005B4B54" w:rsidR="00FF0084">
        <w:rPr>
          <w:kern w:val="0"/>
          <w:szCs w:val="22"/>
          <w:shd w:val="clear" w:color="auto" w:fill="FFFFFF"/>
        </w:rPr>
        <w:t xml:space="preserve">’s argument </w:t>
      </w:r>
      <w:r w:rsidRPr="005B4B54" w:rsidR="00AA17FA">
        <w:rPr>
          <w:kern w:val="0"/>
          <w:szCs w:val="22"/>
          <w:shd w:val="clear" w:color="auto" w:fill="FFFFFF"/>
        </w:rPr>
        <w:t xml:space="preserve">does not warrant reconsideration of the </w:t>
      </w:r>
      <w:r w:rsidRPr="005B4B54" w:rsidR="009D10A3">
        <w:rPr>
          <w:i/>
          <w:iCs/>
          <w:kern w:val="0"/>
          <w:szCs w:val="22"/>
          <w:shd w:val="clear" w:color="auto" w:fill="FFFFFF"/>
        </w:rPr>
        <w:t>Forfeiture Order</w:t>
      </w:r>
      <w:r w:rsidRPr="005B4B54" w:rsidR="00372A09">
        <w:rPr>
          <w:kern w:val="0"/>
          <w:szCs w:val="22"/>
          <w:shd w:val="clear" w:color="auto" w:fill="FFFFFF"/>
        </w:rPr>
        <w:t>.</w:t>
      </w:r>
    </w:p>
    <w:p w:rsidR="00F84D63" w:rsidRPr="007D1BDC" w:rsidP="00A316F8" w14:paraId="1768FCF8" w14:textId="77777777">
      <w:pPr>
        <w:pStyle w:val="Heading2"/>
      </w:pPr>
      <w:r w:rsidRPr="007D1BDC">
        <w:t xml:space="preserve">The Full </w:t>
      </w:r>
      <w:r w:rsidRPr="007D1BDC" w:rsidR="00241A9F">
        <w:t>F</w:t>
      </w:r>
      <w:r w:rsidRPr="007D1BDC">
        <w:t>orfeiture is Warranted</w:t>
      </w:r>
    </w:p>
    <w:p w:rsidR="00505886" w:rsidRPr="007D1BDC" w:rsidP="00923414" w14:paraId="0A8057FB" w14:textId="3269CBA7">
      <w:pPr>
        <w:pStyle w:val="ListParagraph"/>
        <w:numPr>
          <w:ilvl w:val="0"/>
          <w:numId w:val="5"/>
        </w:numPr>
        <w:spacing w:after="240"/>
        <w:ind w:left="0" w:firstLine="720"/>
        <w:contextualSpacing w:val="0"/>
        <w:rPr>
          <w:bCs/>
          <w:spacing w:val="-2"/>
          <w:kern w:val="0"/>
          <w:szCs w:val="22"/>
          <w:u w:color="000000"/>
        </w:rPr>
      </w:pPr>
      <w:r w:rsidRPr="007D1BDC">
        <w:t xml:space="preserve">After considering the relevant statutory factors and the Commission’s </w:t>
      </w:r>
      <w:r w:rsidRPr="007D1BDC">
        <w:rPr>
          <w:i/>
          <w:iCs/>
        </w:rPr>
        <w:t>Forfeiture Policy</w:t>
      </w:r>
      <w:r w:rsidRPr="007D1BDC">
        <w:rPr>
          <w:bCs/>
          <w:i/>
          <w:iCs/>
        </w:rPr>
        <w:t xml:space="preserve"> Statement</w:t>
      </w:r>
      <w:r w:rsidRPr="007D1BDC">
        <w:rPr>
          <w:bCs/>
        </w:rPr>
        <w:t xml:space="preserve">, we affirm our finding that </w:t>
      </w:r>
      <w:r w:rsidRPr="007D1BDC">
        <w:rPr>
          <w:bCs/>
          <w:szCs w:val="22"/>
        </w:rPr>
        <w:t>Mobile Relay</w:t>
      </w:r>
      <w:r w:rsidRPr="007D1BDC">
        <w:rPr>
          <w:bCs/>
        </w:rPr>
        <w:t xml:space="preserve"> is liable for a total forfeiture of $25,000.  As explained in the </w:t>
      </w:r>
      <w:r w:rsidRPr="007D1BDC">
        <w:rPr>
          <w:bCs/>
          <w:i/>
          <w:iCs/>
        </w:rPr>
        <w:t>Notice</w:t>
      </w:r>
      <w:r w:rsidRPr="007D1BDC">
        <w:rPr>
          <w:bCs/>
        </w:rPr>
        <w:t xml:space="preserve"> and </w:t>
      </w:r>
      <w:r w:rsidRPr="007D1BDC">
        <w:rPr>
          <w:bCs/>
          <w:i/>
        </w:rPr>
        <w:t>Forfeiture Order</w:t>
      </w:r>
      <w:r w:rsidRPr="007D1BDC">
        <w:rPr>
          <w:bCs/>
        </w:rPr>
        <w:t xml:space="preserve">, this total results from </w:t>
      </w:r>
      <w:r w:rsidR="00F878FA">
        <w:rPr>
          <w:bCs/>
          <w:szCs w:val="22"/>
        </w:rPr>
        <w:t>the C</w:t>
      </w:r>
      <w:r w:rsidR="00066097">
        <w:rPr>
          <w:bCs/>
          <w:szCs w:val="22"/>
        </w:rPr>
        <w:t>ompany</w:t>
      </w:r>
      <w:r w:rsidRPr="007D1BDC">
        <w:rPr>
          <w:bCs/>
          <w:szCs w:val="22"/>
        </w:rPr>
        <w:t xml:space="preserve"> willfully and repeatedly violating sections </w:t>
      </w:r>
      <w:r w:rsidRPr="007D1BDC" w:rsidR="002907BB">
        <w:rPr>
          <w:bCs/>
          <w:spacing w:val="-2"/>
          <w:kern w:val="0"/>
          <w:szCs w:val="22"/>
          <w:u w:color="000000"/>
        </w:rPr>
        <w:t xml:space="preserve">90.187(b) and </w:t>
      </w:r>
      <w:r w:rsidRPr="007D1BDC">
        <w:rPr>
          <w:bCs/>
          <w:spacing w:val="-2"/>
          <w:kern w:val="0"/>
          <w:szCs w:val="22"/>
          <w:u w:color="000000"/>
        </w:rPr>
        <w:t>90.403(e) of the Commission’s rules,</w:t>
      </w:r>
      <w:r>
        <w:rPr>
          <w:bCs/>
          <w:spacing w:val="-2"/>
          <w:kern w:val="0"/>
          <w:szCs w:val="22"/>
          <w:u w:color="000000"/>
          <w:vertAlign w:val="superscript"/>
        </w:rPr>
        <w:footnoteReference w:id="59"/>
      </w:r>
      <w:r w:rsidRPr="007D1BDC">
        <w:rPr>
          <w:bCs/>
          <w:spacing w:val="-2"/>
          <w:kern w:val="0"/>
          <w:szCs w:val="22"/>
          <w:u w:color="000000"/>
        </w:rPr>
        <w:t xml:space="preserve"> for failing to monitor and take other </w:t>
      </w:r>
      <w:r w:rsidRPr="007D1BDC" w:rsidR="006E3D97">
        <w:rPr>
          <w:bCs/>
          <w:spacing w:val="-2"/>
          <w:kern w:val="0"/>
          <w:szCs w:val="22"/>
          <w:u w:color="000000"/>
        </w:rPr>
        <w:t xml:space="preserve">reasonable </w:t>
      </w:r>
      <w:r w:rsidRPr="007D1BDC">
        <w:rPr>
          <w:bCs/>
          <w:spacing w:val="-2"/>
          <w:kern w:val="0"/>
          <w:szCs w:val="22"/>
          <w:u w:color="000000"/>
        </w:rPr>
        <w:t xml:space="preserve">precautions to avoid causing harmful interference to another </w:t>
      </w:r>
      <w:r w:rsidRPr="007D1BDC" w:rsidR="0008713A">
        <w:rPr>
          <w:bCs/>
          <w:spacing w:val="-2"/>
          <w:kern w:val="0"/>
          <w:szCs w:val="22"/>
          <w:u w:color="000000"/>
        </w:rPr>
        <w:t>licensed private land mobile radio service</w:t>
      </w:r>
      <w:r w:rsidRPr="007D1BDC">
        <w:rPr>
          <w:bCs/>
          <w:spacing w:val="-2"/>
          <w:kern w:val="0"/>
          <w:szCs w:val="22"/>
          <w:u w:color="000000"/>
        </w:rPr>
        <w:t xml:space="preserve"> station operating on a shared frequency in the Los Angeles area.</w:t>
      </w:r>
    </w:p>
    <w:p w:rsidR="009D7F7B" w:rsidRPr="007D1BDC" w:rsidP="00923414" w14:paraId="4C8F7384" w14:textId="36418461">
      <w:pPr>
        <w:pStyle w:val="ListParagraph"/>
        <w:numPr>
          <w:ilvl w:val="0"/>
          <w:numId w:val="5"/>
        </w:numPr>
        <w:spacing w:after="240"/>
        <w:ind w:left="0" w:firstLine="720"/>
        <w:contextualSpacing w:val="0"/>
      </w:pPr>
      <w:r w:rsidRPr="007D1BDC">
        <w:rPr>
          <w:kern w:val="0"/>
          <w:szCs w:val="22"/>
          <w:shd w:val="clear" w:color="auto" w:fill="FFFFFF"/>
        </w:rPr>
        <w:t xml:space="preserve">We have considered the arguments that Mobile Relay raised in its </w:t>
      </w:r>
      <w:r w:rsidRPr="007D1BDC">
        <w:rPr>
          <w:kern w:val="0"/>
        </w:rPr>
        <w:t>Petition</w:t>
      </w:r>
      <w:r w:rsidRPr="007D1BDC">
        <w:rPr>
          <w:i/>
          <w:iCs/>
          <w:kern w:val="0"/>
        </w:rPr>
        <w:t xml:space="preserve"> </w:t>
      </w:r>
      <w:r w:rsidRPr="007D1BDC">
        <w:rPr>
          <w:kern w:val="0"/>
          <w:szCs w:val="22"/>
          <w:shd w:val="clear" w:color="auto" w:fill="FFFFFF"/>
        </w:rPr>
        <w:t>and find they are unpersuasive.</w:t>
      </w:r>
      <w:r w:rsidRPr="007D1BDC">
        <w:t xml:space="preserve">  We find the Bureau properly considered the arguments raised and uphold the </w:t>
      </w:r>
      <w:r w:rsidRPr="007D1BDC">
        <w:rPr>
          <w:i/>
        </w:rPr>
        <w:t>Forfeiture Order</w:t>
      </w:r>
      <w:r w:rsidRPr="007D1BDC">
        <w:t xml:space="preserve"> for the reasons discussed herein.</w:t>
      </w:r>
      <w:r w:rsidRPr="007D1BDC">
        <w:rPr>
          <w:szCs w:val="22"/>
          <w:shd w:val="clear" w:color="auto" w:fill="FFFFFF"/>
        </w:rPr>
        <w:t xml:space="preserve">  Accordingly,</w:t>
      </w:r>
      <w:r w:rsidRPr="007D1BDC">
        <w:t xml:space="preserve"> we decline to cancel, reduce, or vacate the $25,000 forfeiture adopted in the </w:t>
      </w:r>
      <w:r w:rsidRPr="007D1BDC">
        <w:rPr>
          <w:i/>
        </w:rPr>
        <w:t>Forfeiture</w:t>
      </w:r>
      <w:r w:rsidRPr="007D1BDC">
        <w:rPr>
          <w:iCs/>
        </w:rPr>
        <w:t xml:space="preserve"> </w:t>
      </w:r>
      <w:r w:rsidRPr="007D1BDC">
        <w:rPr>
          <w:i/>
        </w:rPr>
        <w:t>Order.</w:t>
      </w:r>
    </w:p>
    <w:p w:rsidR="00F15ACE" w:rsidRPr="007D1BDC" w:rsidP="00F15ACE" w14:paraId="7D7CF3F7" w14:textId="77777777">
      <w:pPr>
        <w:pStyle w:val="Heading1"/>
        <w:widowControl/>
        <w:rPr>
          <w:rFonts w:ascii="Times New Roman" w:hAnsi="Times New Roman"/>
        </w:rPr>
      </w:pPr>
      <w:r w:rsidRPr="007D1BDC">
        <w:rPr>
          <w:rFonts w:ascii="Times New Roman" w:hAnsi="Times New Roman"/>
        </w:rPr>
        <w:t>ORDERING CLAUSES</w:t>
      </w:r>
    </w:p>
    <w:p w:rsidR="004369C6" w:rsidRPr="005B4B54" w:rsidP="00610A44" w14:paraId="3DA852CD" w14:textId="4D053D4A">
      <w:pPr>
        <w:pStyle w:val="ListParagraph"/>
        <w:widowControl/>
        <w:numPr>
          <w:ilvl w:val="0"/>
          <w:numId w:val="5"/>
        </w:numPr>
        <w:spacing w:after="240"/>
        <w:ind w:left="0" w:firstLine="720"/>
        <w:contextualSpacing w:val="0"/>
        <w:rPr>
          <w:szCs w:val="22"/>
        </w:rPr>
      </w:pPr>
      <w:r w:rsidRPr="007D1BDC">
        <w:rPr>
          <w:szCs w:val="22"/>
        </w:rPr>
        <w:t xml:space="preserve">Accordingly, </w:t>
      </w:r>
      <w:r w:rsidRPr="007D1BDC">
        <w:rPr>
          <w:b/>
          <w:szCs w:val="22"/>
        </w:rPr>
        <w:t>IT IS ORDERED</w:t>
      </w:r>
      <w:r w:rsidRPr="007D1BDC">
        <w:rPr>
          <w:szCs w:val="22"/>
        </w:rPr>
        <w:t xml:space="preserve"> that, pursuant to </w:t>
      </w:r>
      <w:r w:rsidRPr="007D1BDC" w:rsidR="007662C8">
        <w:rPr>
          <w:szCs w:val="22"/>
        </w:rPr>
        <w:t>s</w:t>
      </w:r>
      <w:r w:rsidRPr="007D1BDC">
        <w:rPr>
          <w:szCs w:val="22"/>
        </w:rPr>
        <w:t xml:space="preserve">ection 405 of the Act and </w:t>
      </w:r>
      <w:r w:rsidRPr="007D1BDC" w:rsidR="007662C8">
        <w:rPr>
          <w:szCs w:val="22"/>
        </w:rPr>
        <w:t>s</w:t>
      </w:r>
      <w:r w:rsidRPr="007D1BDC">
        <w:rPr>
          <w:szCs w:val="22"/>
        </w:rPr>
        <w:t xml:space="preserve">ection 1.106 of the </w:t>
      </w:r>
      <w:r w:rsidRPr="007D1BDC" w:rsidR="00CE59E3">
        <w:rPr>
          <w:szCs w:val="22"/>
        </w:rPr>
        <w:t>Commission’s r</w:t>
      </w:r>
      <w:r w:rsidRPr="007D1BDC">
        <w:rPr>
          <w:szCs w:val="22"/>
        </w:rPr>
        <w:t>ules, the Petition for Reconsideration filed by Mobile Relay Associates</w:t>
      </w:r>
      <w:r w:rsidRPr="007D1BDC" w:rsidR="0064770C">
        <w:rPr>
          <w:szCs w:val="22"/>
        </w:rPr>
        <w:t xml:space="preserve"> </w:t>
      </w:r>
      <w:r w:rsidRPr="007D1BDC">
        <w:rPr>
          <w:szCs w:val="22"/>
        </w:rPr>
        <w:t xml:space="preserve">is </w:t>
      </w:r>
      <w:r w:rsidRPr="005B4B54">
        <w:rPr>
          <w:szCs w:val="22"/>
        </w:rPr>
        <w:t xml:space="preserve">hereby </w:t>
      </w:r>
      <w:r w:rsidRPr="005B4B54" w:rsidR="0064770C">
        <w:rPr>
          <w:b/>
          <w:szCs w:val="22"/>
        </w:rPr>
        <w:t>DENIED</w:t>
      </w:r>
      <w:r w:rsidRPr="005B4B54">
        <w:rPr>
          <w:szCs w:val="22"/>
        </w:rPr>
        <w:t>.</w:t>
      </w:r>
      <w:r>
        <w:rPr>
          <w:rStyle w:val="FootnoteReference"/>
          <w:sz w:val="22"/>
          <w:szCs w:val="22"/>
        </w:rPr>
        <w:footnoteReference w:id="60"/>
      </w:r>
    </w:p>
    <w:p w:rsidR="009E399D" w:rsidRPr="005B4B54" w:rsidP="00F84D63" w14:paraId="06E5588B" w14:textId="18ED2707">
      <w:pPr>
        <w:pStyle w:val="ListParagraph"/>
        <w:widowControl/>
        <w:numPr>
          <w:ilvl w:val="0"/>
          <w:numId w:val="5"/>
        </w:numPr>
        <w:spacing w:after="240"/>
        <w:ind w:left="0" w:firstLine="720"/>
        <w:contextualSpacing w:val="0"/>
        <w:rPr>
          <w:szCs w:val="22"/>
        </w:rPr>
      </w:pPr>
      <w:r w:rsidRPr="005B4B54">
        <w:rPr>
          <w:b/>
          <w:szCs w:val="22"/>
        </w:rPr>
        <w:t>IT IS FURTHER ORDERED</w:t>
      </w:r>
      <w:r w:rsidRPr="005B4B54">
        <w:rPr>
          <w:szCs w:val="22"/>
        </w:rPr>
        <w:t xml:space="preserve"> that, pursuant to section 503(b) of the Act and sections 0.111, 0.311, and 1.80 of the Commission’s rules,</w:t>
      </w:r>
      <w:r>
        <w:rPr>
          <w:szCs w:val="22"/>
          <w:vertAlign w:val="superscript"/>
        </w:rPr>
        <w:footnoteReference w:id="61"/>
      </w:r>
      <w:r w:rsidRPr="005B4B54">
        <w:rPr>
          <w:szCs w:val="22"/>
        </w:rPr>
        <w:t xml:space="preserve"> Mobile Relay Associates </w:t>
      </w:r>
      <w:r w:rsidRPr="005B4B54">
        <w:rPr>
          <w:b/>
          <w:szCs w:val="22"/>
        </w:rPr>
        <w:t>IS LIABLE FOR A MONETARY FORFEITURE</w:t>
      </w:r>
      <w:r w:rsidRPr="005B4B54">
        <w:rPr>
          <w:szCs w:val="22"/>
        </w:rPr>
        <w:t xml:space="preserve"> of $25,000 for willfully and repeatedly violating </w:t>
      </w:r>
      <w:r w:rsidRPr="005B4B54">
        <w:rPr>
          <w:bCs/>
          <w:szCs w:val="22"/>
        </w:rPr>
        <w:t xml:space="preserve">sections </w:t>
      </w:r>
      <w:r w:rsidRPr="005B4B54">
        <w:rPr>
          <w:bCs/>
          <w:spacing w:val="-2"/>
          <w:kern w:val="0"/>
          <w:szCs w:val="22"/>
          <w:u w:color="000000"/>
        </w:rPr>
        <w:t>90.187(b) and 90.403(e) of the Commission’s rules</w:t>
      </w:r>
      <w:r w:rsidRPr="005B4B54">
        <w:rPr>
          <w:szCs w:val="22"/>
        </w:rPr>
        <w:t>.</w:t>
      </w:r>
      <w:r>
        <w:rPr>
          <w:rStyle w:val="FootnoteReference"/>
          <w:sz w:val="22"/>
          <w:szCs w:val="22"/>
        </w:rPr>
        <w:footnoteReference w:id="62"/>
      </w:r>
    </w:p>
    <w:p w:rsidR="009E399D" w:rsidRPr="005B4B54" w:rsidP="00F84D63" w14:paraId="0D66F108" w14:textId="65D1535B">
      <w:pPr>
        <w:pStyle w:val="ListParagraph"/>
        <w:widowControl/>
        <w:numPr>
          <w:ilvl w:val="0"/>
          <w:numId w:val="5"/>
        </w:numPr>
        <w:spacing w:after="240"/>
        <w:ind w:left="0" w:firstLine="720"/>
        <w:contextualSpacing w:val="0"/>
        <w:rPr>
          <w:szCs w:val="22"/>
        </w:rPr>
      </w:pPr>
      <w:r w:rsidRPr="005B4B54">
        <w:rPr>
          <w:szCs w:val="22"/>
        </w:rPr>
        <w:t xml:space="preserve">Payment of the forfeiture shall be made in the manner provided for in section 1.80 of the Commission’s rules within thirty (30) calendar days after the release date of this Memorandum Opinion </w:t>
      </w:r>
      <w:r w:rsidRPr="005B4B54">
        <w:rPr>
          <w:szCs w:val="22"/>
        </w:rPr>
        <w:t>and Order.</w:t>
      </w:r>
      <w:r>
        <w:rPr>
          <w:szCs w:val="22"/>
          <w:vertAlign w:val="superscript"/>
        </w:rPr>
        <w:footnoteReference w:id="63"/>
      </w:r>
      <w:r w:rsidRPr="005B4B54">
        <w:rPr>
          <w:szCs w:val="22"/>
        </w:rPr>
        <w:t xml:space="preserve"> </w:t>
      </w:r>
      <w:r w:rsidRPr="005B4B54" w:rsidR="00586E0C">
        <w:rPr>
          <w:szCs w:val="22"/>
        </w:rPr>
        <w:t xml:space="preserve"> </w:t>
      </w:r>
      <w:r w:rsidRPr="005B4B54">
        <w:rPr>
          <w:szCs w:val="22"/>
        </w:rPr>
        <w:t>If the forfeiture is not paid within the period specified, the case may be referred to the U.S. Department of Justice for enforcement of the forfeiture pursuant to section 504(a) of the Act.</w:t>
      </w:r>
      <w:r>
        <w:rPr>
          <w:szCs w:val="22"/>
          <w:vertAlign w:val="superscript"/>
        </w:rPr>
        <w:footnoteReference w:id="64"/>
      </w:r>
    </w:p>
    <w:p w:rsidR="004B4FE5" w:rsidRPr="005B4B54" w:rsidP="00F84D63" w14:paraId="3B9D9912" w14:textId="654118F2">
      <w:pPr>
        <w:pStyle w:val="ListParagraph"/>
        <w:widowControl/>
        <w:numPr>
          <w:ilvl w:val="0"/>
          <w:numId w:val="5"/>
        </w:numPr>
        <w:spacing w:after="240"/>
        <w:ind w:left="0" w:firstLine="720"/>
        <w:contextualSpacing w:val="0"/>
        <w:rPr>
          <w:szCs w:val="22"/>
        </w:rPr>
      </w:pPr>
      <w:r w:rsidRPr="005B4B54">
        <w:rPr>
          <w:szCs w:val="22"/>
        </w:rPr>
        <w:t>Mobile Relay Associates</w:t>
      </w:r>
      <w:r w:rsidRPr="005B4B54">
        <w:rPr>
          <w:szCs w:val="22"/>
        </w:rPr>
        <w:t xml:space="preserve">, shall send electronic notification of payment to the Office of the Field Director, Enforcement Bureau, Federal Communications Commission, at </w:t>
      </w:r>
      <w:hyperlink r:id="rId5" w:history="1">
        <w:r w:rsidRPr="005B4B54">
          <w:rPr>
            <w:rStyle w:val="Hyperlink"/>
            <w:color w:val="auto"/>
            <w:szCs w:val="22"/>
          </w:rPr>
          <w:t>field@fcc.gov</w:t>
        </w:r>
      </w:hyperlink>
      <w:r w:rsidRPr="005B4B54">
        <w:rPr>
          <w:szCs w:val="22"/>
        </w:rPr>
        <w:t xml:space="preserve"> and Joy</w:t>
      </w:r>
      <w:r w:rsidRPr="005B4B54" w:rsidR="00C537DF">
        <w:rPr>
          <w:szCs w:val="22"/>
        </w:rPr>
        <w:t> </w:t>
      </w:r>
      <w:r w:rsidRPr="005B4B54">
        <w:rPr>
          <w:szCs w:val="22"/>
        </w:rPr>
        <w:t xml:space="preserve">Ragsdale, Field Counsel, at </w:t>
      </w:r>
      <w:hyperlink r:id="rId6" w:history="1">
        <w:r w:rsidRPr="005B4B54">
          <w:rPr>
            <w:rStyle w:val="Hyperlink"/>
            <w:color w:val="auto"/>
            <w:szCs w:val="22"/>
          </w:rPr>
          <w:t>joy.ragsdale@fcc.gov</w:t>
        </w:r>
      </w:hyperlink>
      <w:r w:rsidRPr="005B4B54">
        <w:rPr>
          <w:szCs w:val="22"/>
        </w:rPr>
        <w:t xml:space="preserve"> on the date said payment is made.  Payment of the forfeiture must be made by credit card, ACH (Automated Clearing House) debit from a bank account using the Commission’s Fee Filer (the Commission’s online payment system),</w:t>
      </w:r>
      <w:r>
        <w:rPr>
          <w:rStyle w:val="FootnoteReference"/>
          <w:sz w:val="22"/>
          <w:szCs w:val="22"/>
        </w:rPr>
        <w:footnoteReference w:id="65"/>
      </w:r>
      <w:r w:rsidRPr="005B4B54">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66"/>
      </w:r>
    </w:p>
    <w:p w:rsidR="004B4FE5" w:rsidRPr="005B4B54" w:rsidP="004B4FE5" w14:paraId="28062487" w14:textId="77777777">
      <w:pPr>
        <w:widowControl/>
        <w:numPr>
          <w:ilvl w:val="0"/>
          <w:numId w:val="22"/>
        </w:numPr>
        <w:spacing w:after="120"/>
        <w:rPr>
          <w:szCs w:val="22"/>
        </w:rPr>
      </w:pPr>
      <w:r w:rsidRPr="005B4B54">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7" w:history="1">
        <w:r w:rsidRPr="005B4B54">
          <w:rPr>
            <w:rStyle w:val="Hyperlink"/>
            <w:color w:val="auto"/>
            <w:szCs w:val="22"/>
          </w:rPr>
          <w:t>RROGWireFaxes@fcc.gov</w:t>
        </w:r>
      </w:hyperlink>
      <w:r w:rsidRPr="005B4B54">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67"/>
      </w:r>
      <w:r w:rsidRPr="005B4B54">
        <w:rPr>
          <w:szCs w:val="22"/>
        </w:rPr>
        <w:t xml:space="preserve">  For additional detail and wire transfer instructions, go to </w:t>
      </w:r>
      <w:hyperlink r:id="rId8" w:history="1">
        <w:r w:rsidRPr="005B4B54">
          <w:rPr>
            <w:rStyle w:val="Hyperlink"/>
            <w:color w:val="auto"/>
            <w:szCs w:val="22"/>
          </w:rPr>
          <w:t>https://www.fcc.gov/licensing-databases/fees/wire-transfer</w:t>
        </w:r>
      </w:hyperlink>
      <w:r w:rsidRPr="005B4B54">
        <w:rPr>
          <w:szCs w:val="22"/>
        </w:rPr>
        <w:t xml:space="preserve">. </w:t>
      </w:r>
    </w:p>
    <w:p w:rsidR="004B4FE5" w:rsidRPr="005B4B54" w:rsidP="004B4FE5" w14:paraId="0EB4127B" w14:textId="77777777">
      <w:pPr>
        <w:numPr>
          <w:ilvl w:val="0"/>
          <w:numId w:val="22"/>
        </w:numPr>
        <w:spacing w:after="120"/>
        <w:rPr>
          <w:szCs w:val="22"/>
        </w:rPr>
      </w:pPr>
      <w:r w:rsidRPr="005B4B54">
        <w:rPr>
          <w:szCs w:val="22"/>
        </w:rPr>
        <w:t xml:space="preserve">Payment by credit card must be made by using the Commission’s Fee Filer website at </w:t>
      </w:r>
      <w:hyperlink r:id="rId9" w:history="1">
        <w:r w:rsidRPr="005B4B54">
          <w:rPr>
            <w:rStyle w:val="Hyperlink"/>
            <w:color w:val="auto"/>
            <w:szCs w:val="22"/>
          </w:rPr>
          <w:t>https://apps.fcc.gov/FeeFiler/login.cfm</w:t>
        </w:r>
      </w:hyperlink>
      <w:r w:rsidRPr="005B4B54">
        <w:rPr>
          <w:szCs w:val="22"/>
        </w:rPr>
        <w:t>.  To pay by credit card, log-in using the FRN captioned above. If payment must be split across FRNs, complete this process for each FRN.</w:t>
      </w:r>
      <w:r w:rsidRPr="007D1BDC">
        <w:t xml:space="preserve">  </w:t>
      </w:r>
      <w:r w:rsidRPr="005B4B54">
        <w:rPr>
          <w:szCs w:val="22"/>
        </w:rPr>
        <w:t>Next, select “Pay bills” on the Fee Filer Menu, and select the bill number associated with the NAL Account—the bill number is the NAL Account number with the first two digits excluded—and then choose the “Pay by Credit Card” option.  Please note that there is a $24,999.99 limit on credit card transactions.</w:t>
      </w:r>
    </w:p>
    <w:p w:rsidR="004B4FE5" w:rsidRPr="005B4B54" w:rsidP="004B4FE5" w14:paraId="2D35BE71" w14:textId="77777777">
      <w:pPr>
        <w:numPr>
          <w:ilvl w:val="0"/>
          <w:numId w:val="22"/>
        </w:numPr>
        <w:spacing w:after="120"/>
        <w:rPr>
          <w:szCs w:val="22"/>
        </w:rPr>
      </w:pPr>
      <w:r w:rsidRPr="005B4B54">
        <w:rPr>
          <w:szCs w:val="22"/>
        </w:rPr>
        <w:t xml:space="preserve">Payment by ACH must be made by using the Commission’s Fee Filer website at </w:t>
      </w:r>
      <w:hyperlink r:id="rId9" w:history="1">
        <w:r w:rsidRPr="005B4B54">
          <w:rPr>
            <w:rStyle w:val="Hyperlink"/>
            <w:color w:val="auto"/>
            <w:szCs w:val="22"/>
          </w:rPr>
          <w:t>https://apps.fcc.gov/FeeFiler/login.cfm</w:t>
        </w:r>
      </w:hyperlink>
      <w:r w:rsidRPr="005B4B54">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4B4FE5" w:rsidRPr="005B4B54" w:rsidP="00764F17" w14:paraId="01D7D304" w14:textId="63B48588">
      <w:pPr>
        <w:pStyle w:val="ListParagraph"/>
        <w:widowControl/>
        <w:numPr>
          <w:ilvl w:val="0"/>
          <w:numId w:val="5"/>
        </w:numPr>
        <w:spacing w:after="240"/>
        <w:ind w:left="0" w:firstLine="720"/>
        <w:contextualSpacing w:val="0"/>
        <w:rPr>
          <w:szCs w:val="22"/>
        </w:rPr>
      </w:pPr>
      <w:r w:rsidRPr="005B4B54">
        <w:rPr>
          <w:szCs w:val="22"/>
        </w:rPr>
        <w:t>Any request for making full payment over time under an installment plan should be sent to: Chief Financial Officer - Financial Operations, Federal Communications Commission, 445 12th Street, SW, Room 1-A625, Washington, DC 20554.</w:t>
      </w:r>
      <w:r>
        <w:rPr>
          <w:rStyle w:val="FootnoteReference"/>
          <w:sz w:val="22"/>
          <w:szCs w:val="22"/>
        </w:rPr>
        <w:footnoteReference w:id="68"/>
      </w:r>
      <w:r w:rsidRPr="005B4B54">
        <w:rPr>
          <w:szCs w:val="22"/>
        </w:rPr>
        <w:t xml:space="preserve">  Questions regarding payment procedures should be </w:t>
      </w:r>
      <w:r w:rsidRPr="005B4B54">
        <w:rPr>
          <w:szCs w:val="22"/>
        </w:rPr>
        <w:t xml:space="preserve">directed to the Financial Operations Group Help Desk by phone, 1-877-480-3201, or by e-mail, </w:t>
      </w:r>
      <w:hyperlink r:id="rId10" w:history="1">
        <w:r w:rsidRPr="005B4B54">
          <w:rPr>
            <w:rStyle w:val="Hyperlink"/>
            <w:color w:val="auto"/>
            <w:szCs w:val="22"/>
          </w:rPr>
          <w:t>ARINQUIRIES@fcc.gov</w:t>
        </w:r>
      </w:hyperlink>
      <w:r w:rsidRPr="005B4B54">
        <w:rPr>
          <w:szCs w:val="22"/>
        </w:rPr>
        <w:t>.</w:t>
      </w:r>
    </w:p>
    <w:p w:rsidR="004B4FE5" w:rsidRPr="005B4B54" w:rsidP="00407C88" w14:paraId="60F38BEC" w14:textId="5840D29F">
      <w:pPr>
        <w:pStyle w:val="ListParagraph"/>
        <w:keepNext/>
        <w:widowControl/>
        <w:numPr>
          <w:ilvl w:val="0"/>
          <w:numId w:val="5"/>
        </w:numPr>
        <w:spacing w:after="240"/>
        <w:ind w:left="0" w:firstLine="720"/>
        <w:contextualSpacing w:val="0"/>
        <w:rPr>
          <w:szCs w:val="22"/>
        </w:rPr>
      </w:pPr>
      <w:r w:rsidRPr="005B4B54">
        <w:rPr>
          <w:b/>
          <w:szCs w:val="22"/>
        </w:rPr>
        <w:t>IT IS FURTHER ORDERED</w:t>
      </w:r>
      <w:r w:rsidRPr="005B4B54">
        <w:rPr>
          <w:szCs w:val="22"/>
        </w:rPr>
        <w:t xml:space="preserve"> that a copy of this </w:t>
      </w:r>
      <w:r w:rsidRPr="005B4B54">
        <w:rPr>
          <w:i/>
          <w:szCs w:val="22"/>
        </w:rPr>
        <w:t>Memorandum Opinion and Order</w:t>
      </w:r>
      <w:r w:rsidRPr="005B4B54">
        <w:rPr>
          <w:szCs w:val="22"/>
        </w:rPr>
        <w:t xml:space="preserve"> shall be sent by first-class and certified mail, return receipt requested, to Mobile Relay Associates, P.O.</w:t>
      </w:r>
      <w:r w:rsidR="005A2D7B">
        <w:rPr>
          <w:szCs w:val="22"/>
        </w:rPr>
        <w:t> </w:t>
      </w:r>
      <w:r w:rsidRPr="005B4B54">
        <w:rPr>
          <w:szCs w:val="22"/>
        </w:rPr>
        <w:t xml:space="preserve">Box 19, Paramount, CA 90723-0019, and to its counsel, David J. Kaufman, Esquire, Rini O’Neil, PC, 1200 New Hampshire Ave. NW, Suite </w:t>
      </w:r>
      <w:r w:rsidR="00DD4877">
        <w:rPr>
          <w:szCs w:val="22"/>
        </w:rPr>
        <w:t>6</w:t>
      </w:r>
      <w:r w:rsidRPr="005B4B54">
        <w:rPr>
          <w:szCs w:val="22"/>
        </w:rPr>
        <w:t>00, Washington, DC 20036.</w:t>
      </w:r>
    </w:p>
    <w:p w:rsidR="00F15ACE" w:rsidRPr="007D1BDC" w:rsidP="00407C88" w14:paraId="039E31C2" w14:textId="77777777">
      <w:pPr>
        <w:keepNext/>
        <w:widowControl/>
        <w:tabs>
          <w:tab w:val="left" w:pos="0"/>
        </w:tabs>
        <w:suppressAutoHyphens/>
        <w:autoSpaceDE w:val="0"/>
        <w:autoSpaceDN w:val="0"/>
        <w:adjustRightInd w:val="0"/>
      </w:pPr>
    </w:p>
    <w:p w:rsidR="00F15ACE" w:rsidRPr="007D1BDC" w:rsidP="00407C88" w14:paraId="5A03AE95" w14:textId="77777777">
      <w:pPr>
        <w:keepNext/>
        <w:widowControl/>
        <w:ind w:left="4410"/>
      </w:pPr>
      <w:r w:rsidRPr="007D1BDC">
        <w:t>FEDERAL COMMUNICATIONS COMMISSION</w:t>
      </w:r>
    </w:p>
    <w:p w:rsidR="00F15ACE" w:rsidRPr="007D1BDC" w:rsidP="00407C88" w14:paraId="5A4D756D" w14:textId="77777777">
      <w:pPr>
        <w:keepNext/>
        <w:widowControl/>
        <w:ind w:left="4410"/>
      </w:pPr>
    </w:p>
    <w:p w:rsidR="00F15ACE" w:rsidRPr="007D1BDC" w:rsidP="00407C88" w14:paraId="689EB4A1" w14:textId="77777777">
      <w:pPr>
        <w:keepNext/>
        <w:widowControl/>
        <w:ind w:left="4410"/>
      </w:pPr>
    </w:p>
    <w:p w:rsidR="00F15ACE" w:rsidRPr="007D1BDC" w:rsidP="00407C88" w14:paraId="2B84831E" w14:textId="77777777">
      <w:pPr>
        <w:keepNext/>
        <w:widowControl/>
        <w:ind w:left="4410"/>
      </w:pPr>
    </w:p>
    <w:p w:rsidR="00F15ACE" w:rsidRPr="007D1BDC" w:rsidP="00407C88" w14:paraId="15A6EEB1" w14:textId="77777777">
      <w:pPr>
        <w:keepNext/>
        <w:widowControl/>
        <w:ind w:left="4410"/>
      </w:pPr>
    </w:p>
    <w:p w:rsidR="00F15ACE" w:rsidRPr="007D1BDC" w:rsidP="00407C88" w14:paraId="401FB925" w14:textId="79BBD38F">
      <w:pPr>
        <w:keepNext/>
        <w:widowControl/>
        <w:ind w:left="4410"/>
        <w:rPr>
          <w:szCs w:val="22"/>
        </w:rPr>
      </w:pPr>
      <w:r w:rsidRPr="007D1BDC">
        <w:rPr>
          <w:szCs w:val="22"/>
        </w:rPr>
        <w:t xml:space="preserve">Rosemary </w:t>
      </w:r>
      <w:r w:rsidRPr="007D1BDC" w:rsidR="00F01EDA">
        <w:rPr>
          <w:szCs w:val="22"/>
        </w:rPr>
        <w:t xml:space="preserve">C. </w:t>
      </w:r>
      <w:r w:rsidRPr="007D1BDC">
        <w:rPr>
          <w:szCs w:val="22"/>
        </w:rPr>
        <w:t>Harold</w:t>
      </w:r>
    </w:p>
    <w:p w:rsidR="00F15ACE" w:rsidRPr="007D1BDC" w:rsidP="00407C88" w14:paraId="1C0E86CD" w14:textId="77777777">
      <w:pPr>
        <w:keepNext/>
        <w:widowControl/>
        <w:ind w:left="4410"/>
        <w:rPr>
          <w:szCs w:val="22"/>
        </w:rPr>
      </w:pPr>
      <w:r w:rsidRPr="007D1BDC">
        <w:rPr>
          <w:szCs w:val="22"/>
        </w:rPr>
        <w:t>Bureau Chief</w:t>
      </w:r>
    </w:p>
    <w:p w:rsidR="00F15ACE" w:rsidRPr="007D1BDC" w:rsidP="00407C88" w14:paraId="74562F73" w14:textId="77777777">
      <w:pPr>
        <w:keepNext/>
        <w:widowControl/>
        <w:ind w:left="4410"/>
      </w:pPr>
      <w:r w:rsidRPr="007D1BDC">
        <w:rPr>
          <w:szCs w:val="22"/>
        </w:rPr>
        <w:t>Enforcement Bureau</w:t>
      </w:r>
      <w:bookmarkEnd w:id="0"/>
    </w:p>
    <w:sectPr w:rsidSect="00736DF1">
      <w:headerReference w:type="default" r:id="rId11"/>
      <w:footerReference w:type="even" r:id="rId12"/>
      <w:headerReference w:type="first" r:id="rId13"/>
      <w:footerReference w:type="first" r:id="rId14"/>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67C" w14:paraId="7079B8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467C" w14:paraId="08A2A8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6DF1" w14:paraId="43ECEF82" w14:textId="08FA16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2E46" w:rsidP="00F15ACE" w14:paraId="65DA0C46" w14:textId="77777777">
      <w:r>
        <w:separator/>
      </w:r>
    </w:p>
  </w:footnote>
  <w:footnote w:type="continuationSeparator" w:id="1">
    <w:p w:rsidR="003B2E46" w:rsidP="00F15ACE" w14:paraId="536B0EA1" w14:textId="77777777">
      <w:r>
        <w:continuationSeparator/>
      </w:r>
    </w:p>
  </w:footnote>
  <w:footnote w:type="continuationNotice" w:id="2">
    <w:p w:rsidR="003B2E46" w14:paraId="71DC9798" w14:textId="77777777"/>
  </w:footnote>
  <w:footnote w:id="3">
    <w:p w:rsidR="00BB6A0E" w:rsidP="00BB6A0E" w14:paraId="3A5F1C08" w14:textId="77777777">
      <w:pPr>
        <w:pStyle w:val="FootnoteText"/>
      </w:pPr>
      <w:r>
        <w:rPr>
          <w:rStyle w:val="FootnoteReference"/>
        </w:rPr>
        <w:footnoteRef/>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4">
    <w:p w:rsidR="006B36CF" w:rsidP="006B36CF" w14:paraId="1890FDD3" w14:textId="77777777">
      <w:pPr>
        <w:pStyle w:val="FootnoteText"/>
      </w:pPr>
      <w:r>
        <w:rPr>
          <w:rStyle w:val="FootnoteReference"/>
        </w:rPr>
        <w:footnoteRef/>
      </w:r>
      <w:r>
        <w:t xml:space="preserve"> </w:t>
      </w:r>
      <w:r w:rsidRPr="00F15ACE">
        <w:rPr>
          <w:i/>
        </w:rPr>
        <w:t>See</w:t>
      </w:r>
      <w:r w:rsidRPr="00F15ACE">
        <w:t xml:space="preserve"> </w:t>
      </w:r>
      <w:r>
        <w:t xml:space="preserve">Petition for Reconsideration of </w:t>
      </w:r>
      <w:r w:rsidRPr="00B850AF">
        <w:t>Mobile Relay Associates</w:t>
      </w:r>
      <w:r w:rsidRPr="00F15ACE">
        <w:t xml:space="preserve">, </w:t>
      </w:r>
      <w:r w:rsidRPr="00B850AF">
        <w:t>File No.</w:t>
      </w:r>
      <w:r>
        <w:t xml:space="preserve"> </w:t>
      </w:r>
      <w:r w:rsidRPr="00476459">
        <w:rPr>
          <w:spacing w:val="-2"/>
        </w:rPr>
        <w:t>EB-FIELDWR-13-00006950</w:t>
      </w:r>
      <w:r>
        <w:rPr>
          <w:spacing w:val="-2"/>
        </w:rPr>
        <w:t>,</w:t>
      </w:r>
      <w:r>
        <w:t xml:space="preserve"> </w:t>
      </w:r>
      <w:r w:rsidRPr="00F15ACE">
        <w:t>(</w:t>
      </w:r>
      <w:r>
        <w:t>Jan. 4</w:t>
      </w:r>
      <w:r w:rsidRPr="00F15ACE">
        <w:t>, 20</w:t>
      </w:r>
      <w:r>
        <w:t>16</w:t>
      </w:r>
      <w:r w:rsidRPr="00F15ACE">
        <w:t xml:space="preserve">) (on file in </w:t>
      </w:r>
      <w:r w:rsidRPr="00476459">
        <w:rPr>
          <w:spacing w:val="-2"/>
        </w:rPr>
        <w:t>EB-FIELDWR-13-00006950</w:t>
      </w:r>
      <w:r w:rsidRPr="00F15ACE">
        <w:t>) (Petition).</w:t>
      </w:r>
    </w:p>
  </w:footnote>
  <w:footnote w:id="5">
    <w:p w:rsidR="00E769C8" w:rsidP="00E769C8" w14:paraId="5A769771" w14:textId="77777777">
      <w:pPr>
        <w:pStyle w:val="FootnoteText"/>
      </w:pPr>
      <w:r>
        <w:rPr>
          <w:rStyle w:val="FootnoteReference"/>
        </w:rPr>
        <w:footnoteRef/>
      </w:r>
      <w:r>
        <w:t xml:space="preserve"> </w:t>
      </w:r>
      <w:r>
        <w:rPr>
          <w:i/>
        </w:rPr>
        <w:t>Mobile Relay Assocs. Licensee of WPPF</w:t>
      </w:r>
      <w:r w:rsidRPr="0084467C">
        <w:rPr>
          <w:i/>
        </w:rPr>
        <w:t xml:space="preserve">234 </w:t>
      </w:r>
      <w:r w:rsidRPr="008659CF">
        <w:rPr>
          <w:i/>
        </w:rPr>
        <w:t>Malibu, California</w:t>
      </w:r>
      <w:r w:rsidRPr="008659CF">
        <w:t>, Forfeiture Order, 30 FCC</w:t>
      </w:r>
      <w:r>
        <w:t xml:space="preserve"> Rcd 13642 (EB 2015) (</w:t>
      </w:r>
      <w:r w:rsidRPr="0084467C">
        <w:rPr>
          <w:i/>
        </w:rPr>
        <w:t>Forfeiture Order</w:t>
      </w:r>
      <w:r>
        <w:t>),</w:t>
      </w:r>
      <w:r w:rsidRPr="002B028A">
        <w:rPr>
          <w:i/>
          <w:iCs/>
        </w:rPr>
        <w:t xml:space="preserve"> </w:t>
      </w:r>
      <w:r w:rsidRPr="00F25172">
        <w:rPr>
          <w:i/>
          <w:iCs/>
        </w:rPr>
        <w:t>aff’</w:t>
      </w:r>
      <w:r>
        <w:rPr>
          <w:i/>
          <w:iCs/>
        </w:rPr>
        <w:t>g</w:t>
      </w:r>
      <w:r>
        <w:t xml:space="preserve">, </w:t>
      </w:r>
      <w:r w:rsidRPr="008D4EA1">
        <w:rPr>
          <w:iCs/>
        </w:rPr>
        <w:t>Notice of Apparent Liability for Forfeiture</w:t>
      </w:r>
      <w:r w:rsidRPr="00EB484E">
        <w:t xml:space="preserve">, </w:t>
      </w:r>
      <w:r>
        <w:t>30</w:t>
      </w:r>
      <w:r w:rsidRPr="00EB484E">
        <w:t xml:space="preserve"> FCC Rcd </w:t>
      </w:r>
      <w:r>
        <w:t>7134 (EB 2015</w:t>
      </w:r>
      <w:r w:rsidRPr="00EB484E">
        <w:t>) (</w:t>
      </w:r>
      <w:r w:rsidRPr="007F4F0E">
        <w:rPr>
          <w:i/>
        </w:rPr>
        <w:t>Notice</w:t>
      </w:r>
      <w:r w:rsidRPr="00EB484E">
        <w:t>)</w:t>
      </w:r>
      <w:r>
        <w:t xml:space="preserve">.  </w:t>
      </w:r>
      <w:r w:rsidRPr="00A12117">
        <w:t xml:space="preserve">The </w:t>
      </w:r>
      <w:r w:rsidRPr="007F4F0E">
        <w:rPr>
          <w:i/>
        </w:rPr>
        <w:t>Notice</w:t>
      </w:r>
      <w:r w:rsidRPr="00A12117">
        <w:t xml:space="preserve"> </w:t>
      </w:r>
      <w:r>
        <w:t xml:space="preserve">and </w:t>
      </w:r>
      <w:r w:rsidRPr="00DF2426">
        <w:rPr>
          <w:i/>
        </w:rPr>
        <w:t>Forfeiture Order</w:t>
      </w:r>
      <w:r>
        <w:t xml:space="preserve"> </w:t>
      </w:r>
      <w:r w:rsidRPr="00A12117">
        <w:t xml:space="preserve">include </w:t>
      </w:r>
      <w:r>
        <w:t xml:space="preserve">more </w:t>
      </w:r>
      <w:r w:rsidRPr="00A12117">
        <w:t>complete discussion</w:t>
      </w:r>
      <w:r>
        <w:t>s</w:t>
      </w:r>
      <w:r w:rsidRPr="00A12117">
        <w:t xml:space="preserve"> of the facts and history of this case and </w:t>
      </w:r>
      <w:r>
        <w:t>are</w:t>
      </w:r>
      <w:r w:rsidRPr="00A12117">
        <w:t xml:space="preserve"> incorporated herein by reference.</w:t>
      </w:r>
    </w:p>
  </w:footnote>
  <w:footnote w:id="6">
    <w:p w:rsidR="004A44EC" w:rsidP="004A44EC" w14:paraId="345B738C" w14:textId="77777777">
      <w:pPr>
        <w:pStyle w:val="FootnoteText"/>
      </w:pPr>
      <w:r>
        <w:rPr>
          <w:rStyle w:val="FootnoteReference"/>
        </w:rPr>
        <w:footnoteRef/>
      </w:r>
      <w:r>
        <w:t xml:space="preserve"> </w:t>
      </w:r>
      <w:r w:rsidRPr="0084467C">
        <w:rPr>
          <w:i/>
        </w:rPr>
        <w:t>Forfeiture Order</w:t>
      </w:r>
      <w:r>
        <w:t xml:space="preserve">, 30 FCC Rcd at </w:t>
      </w:r>
      <w:r w:rsidRPr="00CA18A4">
        <w:t>13642</w:t>
      </w:r>
      <w:r>
        <w:t>, para. 1</w:t>
      </w:r>
      <w:r w:rsidRPr="0084467C">
        <w:t>.</w:t>
      </w:r>
    </w:p>
  </w:footnote>
  <w:footnote w:id="7">
    <w:p w:rsidR="001E0B21" w:rsidRPr="00193A4F" w:rsidP="001E0B21" w14:paraId="324D6B1E" w14:textId="11ABF0B7">
      <w:pPr>
        <w:pStyle w:val="FootnoteText"/>
      </w:pPr>
      <w:r w:rsidRPr="00193A4F">
        <w:rPr>
          <w:rStyle w:val="FootnoteReference"/>
        </w:rPr>
        <w:footnoteRef/>
      </w:r>
      <w:r w:rsidRPr="00193A4F">
        <w:t xml:space="preserve"> </w:t>
      </w:r>
      <w:r w:rsidRPr="00193A4F">
        <w:rPr>
          <w:i/>
        </w:rPr>
        <w:t xml:space="preserve">See </w:t>
      </w:r>
      <w:r w:rsidRPr="00193A4F">
        <w:t>47 CFR § 1.106(</w:t>
      </w:r>
      <w:r w:rsidR="009211E5">
        <w:t>p</w:t>
      </w:r>
      <w:r w:rsidRPr="00193A4F">
        <w:t>)</w:t>
      </w:r>
      <w:r w:rsidR="006C1F71">
        <w:t>(1)</w:t>
      </w:r>
      <w:r w:rsidR="00E202FA">
        <w:t>-</w:t>
      </w:r>
      <w:r w:rsidR="006C1F71">
        <w:t>(2)</w:t>
      </w:r>
      <w:r w:rsidRPr="00193A4F">
        <w:t xml:space="preserve">; </w:t>
      </w:r>
      <w:r w:rsidRPr="00193A4F">
        <w:rPr>
          <w:i/>
        </w:rPr>
        <w:t>EZ Sacramento, Inc.</w:t>
      </w:r>
      <w:r w:rsidRPr="00193A4F">
        <w:t>,</w:t>
      </w:r>
      <w:r w:rsidRPr="00193A4F">
        <w:rPr>
          <w:i/>
        </w:rPr>
        <w:t xml:space="preserve"> </w:t>
      </w:r>
      <w:r w:rsidRPr="00193A4F">
        <w:t>Memorandum Opinion and Order, 15 FCC Rcd 18257, 18257, para. 2 (</w:t>
      </w:r>
      <w:r>
        <w:t>EB</w:t>
      </w:r>
      <w:r w:rsidRPr="00193A4F">
        <w:t xml:space="preserve"> 2000) (citing </w:t>
      </w:r>
      <w:r w:rsidRPr="00193A4F">
        <w:rPr>
          <w:i/>
        </w:rPr>
        <w:t>WWIZ, Inc.</w:t>
      </w:r>
      <w:r w:rsidRPr="00193A4F">
        <w:t>,</w:t>
      </w:r>
      <w:r w:rsidRPr="00193A4F">
        <w:rPr>
          <w:i/>
        </w:rPr>
        <w:t xml:space="preserve"> </w:t>
      </w:r>
      <w:r w:rsidRPr="00193A4F">
        <w:t xml:space="preserve">Memorandum Opinion and Order, 37 </w:t>
      </w:r>
      <w:r w:rsidRPr="00A739F3">
        <w:t>FCC Rcd 685</w:t>
      </w:r>
      <w:r w:rsidRPr="00193A4F">
        <w:t xml:space="preserve">, 686 (1964), </w:t>
      </w:r>
      <w:r w:rsidRPr="00193A4F">
        <w:rPr>
          <w:i/>
        </w:rPr>
        <w:t>aff’d sub. nom. Lorain Journal Co. v. FCC</w:t>
      </w:r>
      <w:r w:rsidRPr="00193A4F">
        <w:t>,</w:t>
      </w:r>
      <w:r w:rsidRPr="00193A4F">
        <w:rPr>
          <w:i/>
        </w:rPr>
        <w:t xml:space="preserve"> </w:t>
      </w:r>
      <w:r w:rsidRPr="00193A4F">
        <w:t xml:space="preserve">351 F.2d 824 (D.C. Cir. 1965), </w:t>
      </w:r>
      <w:r w:rsidRPr="00193A4F">
        <w:rPr>
          <w:i/>
        </w:rPr>
        <w:t>cert. denied</w:t>
      </w:r>
      <w:r w:rsidRPr="00193A4F">
        <w:t>,</w:t>
      </w:r>
      <w:r w:rsidRPr="00193A4F">
        <w:rPr>
          <w:i/>
        </w:rPr>
        <w:t xml:space="preserve"> </w:t>
      </w:r>
      <w:r w:rsidRPr="00193A4F">
        <w:t xml:space="preserve">383 U.S. 967 (1966)); </w:t>
      </w:r>
      <w:r w:rsidRPr="00193A4F">
        <w:rPr>
          <w:i/>
        </w:rPr>
        <w:t>see also</w:t>
      </w:r>
      <w:r w:rsidRPr="00193A4F">
        <w:t xml:space="preserve"> </w:t>
      </w:r>
      <w:r w:rsidRPr="00193A4F">
        <w:rPr>
          <w:i/>
        </w:rPr>
        <w:t>Ely Radio</w:t>
      </w:r>
      <w:r w:rsidRPr="00193A4F">
        <w:t>,</w:t>
      </w:r>
      <w:r w:rsidRPr="00193A4F">
        <w:rPr>
          <w:i/>
        </w:rPr>
        <w:t xml:space="preserve"> LLC</w:t>
      </w:r>
      <w:r w:rsidRPr="00193A4F">
        <w:t>, Memorandum Opinion and Order, 27 FCC Rcd 7608, 7610, para. 6 (</w:t>
      </w:r>
      <w:r>
        <w:t>EB</w:t>
      </w:r>
      <w:r w:rsidRPr="00193A4F">
        <w:t xml:space="preserve"> 2012) (articulating the standard of review for </w:t>
      </w:r>
      <w:r w:rsidR="00741F98">
        <w:t>p</w:t>
      </w:r>
      <w:r w:rsidRPr="00193A4F">
        <w:t xml:space="preserve">etitions for </w:t>
      </w:r>
      <w:r w:rsidR="00741F98">
        <w:t>r</w:t>
      </w:r>
      <w:r w:rsidRPr="00193A4F">
        <w:t>econsideration).</w:t>
      </w:r>
    </w:p>
  </w:footnote>
  <w:footnote w:id="8">
    <w:p w:rsidR="00691801" w14:paraId="6B1978DA" w14:textId="1F90D2C9">
      <w:pPr>
        <w:pStyle w:val="FootnoteText"/>
      </w:pPr>
      <w:r>
        <w:rPr>
          <w:rStyle w:val="FootnoteReference"/>
        </w:rPr>
        <w:footnoteRef/>
      </w:r>
      <w:r>
        <w:t xml:space="preserve"> 47 U.S.C. </w:t>
      </w:r>
      <w:r w:rsidRPr="00430ACD">
        <w:t>§</w:t>
      </w:r>
      <w:r>
        <w:t xml:space="preserve"> 405</w:t>
      </w:r>
      <w:r w:rsidR="000E5156">
        <w:t xml:space="preserve">; </w:t>
      </w:r>
      <w:r w:rsidR="000E5156">
        <w:rPr>
          <w:i/>
          <w:iCs/>
        </w:rPr>
        <w:t xml:space="preserve">see also </w:t>
      </w:r>
      <w:r w:rsidR="000E5156">
        <w:t>47 CFR</w:t>
      </w:r>
      <w:r w:rsidR="006725DA">
        <w:t xml:space="preserve"> </w:t>
      </w:r>
      <w:r w:rsidRPr="00430ACD" w:rsidR="006725DA">
        <w:t>§</w:t>
      </w:r>
      <w:r w:rsidR="000E5156">
        <w:t xml:space="preserve"> 1.106(b)(1) </w:t>
      </w:r>
      <w:r w:rsidRPr="000E5156" w:rsidR="000E5156">
        <w:t>(“</w:t>
      </w:r>
      <w:r w:rsidRPr="009C4BAE" w:rsidR="000E5156">
        <w:rPr>
          <w:color w:val="000000"/>
          <w:shd w:val="clear" w:color="auto" w:fill="FFFFFF"/>
        </w:rPr>
        <w:t>any party to the proceeding, or any other person whose interests are adversely affected by any action taken by the Commission or by the designated authority, may file a petition requesting reconsideration of the action taken.”)</w:t>
      </w:r>
      <w:r>
        <w:t>.</w:t>
      </w:r>
    </w:p>
  </w:footnote>
  <w:footnote w:id="9">
    <w:p w:rsidR="00B54B98" w:rsidP="00B54B98" w14:paraId="2212768E" w14:textId="77777777">
      <w:pPr>
        <w:pStyle w:val="FootnoteText"/>
      </w:pPr>
      <w:r>
        <w:rPr>
          <w:rStyle w:val="FootnoteReference"/>
        </w:rPr>
        <w:footnoteRef/>
      </w:r>
      <w:r>
        <w:t xml:space="preserve"> 47 CFR </w:t>
      </w:r>
      <w:r w:rsidRPr="00430ACD">
        <w:t>§</w:t>
      </w:r>
      <w:r>
        <w:t xml:space="preserve"> 1.106.</w:t>
      </w:r>
    </w:p>
  </w:footnote>
  <w:footnote w:id="10">
    <w:p w:rsidR="004B2ADA" w14:paraId="2A03F2E4" w14:textId="08C3B8B0">
      <w:pPr>
        <w:pStyle w:val="FootnoteText"/>
      </w:pPr>
      <w:r>
        <w:rPr>
          <w:rStyle w:val="FootnoteReference"/>
        </w:rPr>
        <w:footnoteRef/>
      </w:r>
      <w:r>
        <w:t xml:space="preserve"> </w:t>
      </w:r>
      <w:r w:rsidRPr="00CD6631" w:rsidR="00CD6631">
        <w:rPr>
          <w:i/>
          <w:iCs/>
        </w:rPr>
        <w:t>Id</w:t>
      </w:r>
      <w:r w:rsidR="00CD6631">
        <w:t>.</w:t>
      </w:r>
      <w:r>
        <w:t xml:space="preserve"> </w:t>
      </w:r>
      <w:r w:rsidRPr="00430ACD">
        <w:t>§</w:t>
      </w:r>
      <w:r>
        <w:t xml:space="preserve"> 1.106(p)(1).</w:t>
      </w:r>
    </w:p>
  </w:footnote>
  <w:footnote w:id="11">
    <w:p w:rsidR="00B54B98" w:rsidP="00B54B98" w14:paraId="54107710" w14:textId="5790F1A2">
      <w:pPr>
        <w:pStyle w:val="FootnoteText"/>
      </w:pPr>
      <w:r>
        <w:rPr>
          <w:rStyle w:val="FootnoteReference"/>
        </w:rPr>
        <w:footnoteRef/>
      </w:r>
      <w:r>
        <w:t xml:space="preserve"> </w:t>
      </w:r>
      <w:r w:rsidRPr="00CD6631" w:rsidR="00CD6631">
        <w:rPr>
          <w:i/>
          <w:iCs/>
        </w:rPr>
        <w:t>Id</w:t>
      </w:r>
      <w:r w:rsidR="00CD6631">
        <w:t>.</w:t>
      </w:r>
      <w:r>
        <w:t xml:space="preserve"> </w:t>
      </w:r>
      <w:r w:rsidRPr="00430ACD">
        <w:t>§</w:t>
      </w:r>
      <w:r>
        <w:t xml:space="preserve"> 1.106(</w:t>
      </w:r>
      <w:r w:rsidR="00041ADA">
        <w:t>p</w:t>
      </w:r>
      <w:r>
        <w:t>)(2)</w:t>
      </w:r>
      <w:r w:rsidR="00041ADA">
        <w:t>.</w:t>
      </w:r>
    </w:p>
  </w:footnote>
  <w:footnote w:id="12">
    <w:p w:rsidR="00D50171" w14:paraId="73B5921B" w14:textId="7A7A6D40">
      <w:pPr>
        <w:pStyle w:val="FootnoteText"/>
      </w:pPr>
      <w:r>
        <w:rPr>
          <w:rStyle w:val="FootnoteReference"/>
        </w:rPr>
        <w:footnoteRef/>
      </w:r>
      <w:r>
        <w:t xml:space="preserve"> </w:t>
      </w:r>
      <w:r w:rsidRPr="008D4EA1" w:rsidR="002C7FA7">
        <w:rPr>
          <w:i/>
          <w:iCs/>
        </w:rPr>
        <w:t>Id</w:t>
      </w:r>
      <w:r w:rsidR="002C7FA7">
        <w:t>.</w:t>
      </w:r>
      <w:r w:rsidR="006725DA">
        <w:t xml:space="preserve"> </w:t>
      </w:r>
      <w:r w:rsidRPr="00430ACD" w:rsidR="006725DA">
        <w:t>§</w:t>
      </w:r>
      <w:r w:rsidR="006725DA">
        <w:t xml:space="preserve"> </w:t>
      </w:r>
      <w:r>
        <w:t>1.106(c).</w:t>
      </w:r>
    </w:p>
  </w:footnote>
  <w:footnote w:id="13">
    <w:p w:rsidR="00D50171" w:rsidRPr="00EB484E" w:rsidP="00D50171" w14:paraId="62C68DED" w14:textId="23043C00">
      <w:pPr>
        <w:spacing w:after="120"/>
        <w:rPr>
          <w:sz w:val="20"/>
        </w:rPr>
      </w:pPr>
      <w:r w:rsidRPr="00EB484E">
        <w:rPr>
          <w:rStyle w:val="FootnoteReference"/>
        </w:rPr>
        <w:footnoteRef/>
      </w:r>
      <w:r w:rsidRPr="00EB484E">
        <w:rPr>
          <w:sz w:val="20"/>
        </w:rPr>
        <w:t xml:space="preserve"> </w:t>
      </w:r>
      <w:r w:rsidRPr="006A11A8" w:rsidR="00DC1D3B">
        <w:rPr>
          <w:i/>
          <w:iCs/>
          <w:sz w:val="20"/>
        </w:rPr>
        <w:t>Id</w:t>
      </w:r>
      <w:r w:rsidR="00DC1D3B">
        <w:rPr>
          <w:sz w:val="20"/>
        </w:rPr>
        <w:t>.</w:t>
      </w:r>
      <w:r w:rsidRPr="00EB484E">
        <w:rPr>
          <w:sz w:val="20"/>
        </w:rPr>
        <w:t xml:space="preserve"> § 90.173(a) (“Except as otherwise specifically provided in this part, frequencies assigned to land mobile stations are available on a shared basis only and will not be assigned for the exclusive use of any licensee.”).</w:t>
      </w:r>
    </w:p>
  </w:footnote>
  <w:footnote w:id="14">
    <w:p w:rsidR="00E72BC5" w:rsidP="00E72BC5" w14:paraId="16DF49B0" w14:textId="63D858AB">
      <w:pPr>
        <w:pStyle w:val="FootnoteText"/>
      </w:pPr>
      <w:r>
        <w:rPr>
          <w:rStyle w:val="FootnoteReference"/>
        </w:rPr>
        <w:footnoteRef/>
      </w:r>
      <w:r>
        <w:t xml:space="preserve"> </w:t>
      </w:r>
      <w:r w:rsidRPr="00E42164">
        <w:rPr>
          <w:i/>
          <w:iCs/>
        </w:rPr>
        <w:t>Id</w:t>
      </w:r>
      <w:r>
        <w:t xml:space="preserve">. </w:t>
      </w:r>
      <w:r w:rsidRPr="00430ACD">
        <w:t>§</w:t>
      </w:r>
      <w:r>
        <w:t xml:space="preserve"> 90.173(b).</w:t>
      </w:r>
    </w:p>
  </w:footnote>
  <w:footnote w:id="15">
    <w:p w:rsidR="00430ACD" w14:paraId="36100E5E" w14:textId="747E919B">
      <w:pPr>
        <w:pStyle w:val="FootnoteText"/>
      </w:pPr>
      <w:r>
        <w:rPr>
          <w:rStyle w:val="FootnoteReference"/>
        </w:rPr>
        <w:footnoteRef/>
      </w:r>
      <w:r>
        <w:t xml:space="preserve"> </w:t>
      </w:r>
      <w:r w:rsidRPr="00B03028" w:rsidR="002B3627">
        <w:rPr>
          <w:i/>
          <w:iCs/>
        </w:rPr>
        <w:t>Id</w:t>
      </w:r>
      <w:r w:rsidR="002B3627">
        <w:t>.</w:t>
      </w:r>
      <w:r w:rsidRPr="00430ACD">
        <w:t xml:space="preserve"> § 90.403(e).</w:t>
      </w:r>
    </w:p>
  </w:footnote>
  <w:footnote w:id="16">
    <w:p w:rsidR="00A614AE" w:rsidP="00A614AE" w14:paraId="516AB0E0" w14:textId="77777777">
      <w:pPr>
        <w:pStyle w:val="FootnoteText"/>
      </w:pPr>
      <w:r>
        <w:rPr>
          <w:rStyle w:val="FootnoteReference"/>
        </w:rPr>
        <w:footnoteRef/>
      </w:r>
      <w:r>
        <w:t xml:space="preserve"> </w:t>
      </w:r>
      <w:r w:rsidRPr="006A11A8">
        <w:rPr>
          <w:i/>
          <w:iCs/>
        </w:rPr>
        <w:t>Id</w:t>
      </w:r>
      <w:r>
        <w:t xml:space="preserve">. </w:t>
      </w:r>
      <w:r w:rsidRPr="00430ACD">
        <w:t>§</w:t>
      </w:r>
      <w:r>
        <w:t xml:space="preserve"> 90.187(b).</w:t>
      </w:r>
    </w:p>
  </w:footnote>
  <w:footnote w:id="17">
    <w:p w:rsidR="00637FBF" w:rsidRPr="00EB484E" w:rsidP="00637FBF" w14:paraId="1D2FB101" w14:textId="45BE35D9">
      <w:pPr>
        <w:pStyle w:val="FootnoteText"/>
      </w:pPr>
      <w:r>
        <w:rPr>
          <w:rStyle w:val="FootnoteReference"/>
        </w:rPr>
        <w:footnoteRef/>
      </w:r>
      <w:r>
        <w:t xml:space="preserve"> </w:t>
      </w:r>
      <w:r w:rsidRPr="0084467C" w:rsidR="0081614A">
        <w:rPr>
          <w:i/>
        </w:rPr>
        <w:t>Forfeiture Order</w:t>
      </w:r>
      <w:r w:rsidR="0081614A">
        <w:t>, 30 FCC Rcd at</w:t>
      </w:r>
      <w:r w:rsidRPr="00813B93">
        <w:t xml:space="preserve"> 13642, para</w:t>
      </w:r>
      <w:r w:rsidR="009D17A0">
        <w:t>s</w:t>
      </w:r>
      <w:r w:rsidRPr="00813B93">
        <w:t>.</w:t>
      </w:r>
      <w:r w:rsidR="009D17A0">
        <w:t xml:space="preserve"> 1-</w:t>
      </w:r>
      <w:r w:rsidRPr="00813B93">
        <w:t>2.</w:t>
      </w:r>
    </w:p>
  </w:footnote>
  <w:footnote w:id="18">
    <w:p w:rsidR="00CC3764" w:rsidRPr="00C20C62" w:rsidP="00CC3764" w14:paraId="7FC0F6A6" w14:textId="4B9201D2">
      <w:pPr>
        <w:pStyle w:val="FootnoteText"/>
      </w:pPr>
      <w:r>
        <w:rPr>
          <w:rStyle w:val="FootnoteReference"/>
        </w:rPr>
        <w:footnoteRef/>
      </w:r>
      <w:r>
        <w:t xml:space="preserve"> </w:t>
      </w:r>
      <w:r w:rsidR="009D17A0">
        <w:rPr>
          <w:i/>
        </w:rPr>
        <w:t>Notice</w:t>
      </w:r>
      <w:r>
        <w:t xml:space="preserve">, </w:t>
      </w:r>
      <w:r w:rsidR="009D17A0">
        <w:t>30 FCC Rcd at 713</w:t>
      </w:r>
      <w:r w:rsidR="00B54B98">
        <w:t>4</w:t>
      </w:r>
      <w:r w:rsidR="009D17A0">
        <w:t xml:space="preserve">, </w:t>
      </w:r>
      <w:r>
        <w:t>para. 2.</w:t>
      </w:r>
    </w:p>
  </w:footnote>
  <w:footnote w:id="19">
    <w:p w:rsidR="00637FBF" w:rsidRPr="00B50B76" w:rsidP="00637FBF" w14:paraId="06049997" w14:textId="233F2E5A">
      <w:pPr>
        <w:spacing w:after="120"/>
        <w:rPr>
          <w:sz w:val="20"/>
        </w:rPr>
      </w:pPr>
      <w:r w:rsidRPr="00B50B76">
        <w:rPr>
          <w:rStyle w:val="FootnoteReference"/>
        </w:rPr>
        <w:footnoteRef/>
      </w:r>
      <w:r w:rsidRPr="00B50B76">
        <w:rPr>
          <w:sz w:val="20"/>
        </w:rPr>
        <w:t xml:space="preserve"> </w:t>
      </w:r>
      <w:r w:rsidR="0095439C">
        <w:rPr>
          <w:i/>
          <w:sz w:val="20"/>
        </w:rPr>
        <w:t>Id</w:t>
      </w:r>
      <w:r w:rsidRPr="00B50B76">
        <w:rPr>
          <w:sz w:val="20"/>
        </w:rPr>
        <w:t>.</w:t>
      </w:r>
    </w:p>
  </w:footnote>
  <w:footnote w:id="20">
    <w:p w:rsidR="00C356A8" w14:paraId="632B05B9" w14:textId="4D49539D">
      <w:pPr>
        <w:pStyle w:val="FootnoteText"/>
      </w:pPr>
      <w:r>
        <w:rPr>
          <w:rStyle w:val="FootnoteReference"/>
        </w:rPr>
        <w:footnoteRef/>
      </w:r>
      <w:r>
        <w:t xml:space="preserve"> </w:t>
      </w:r>
      <w:r w:rsidRPr="004764B3">
        <w:rPr>
          <w:color w:val="000000"/>
        </w:rPr>
        <w:t>The complainants included Eden Memorial Park</w:t>
      </w:r>
      <w:r w:rsidR="007267F5">
        <w:rPr>
          <w:color w:val="000000"/>
        </w:rPr>
        <w:t xml:space="preserve"> (Eden)</w:t>
      </w:r>
      <w:r w:rsidRPr="004764B3">
        <w:rPr>
          <w:color w:val="000000"/>
        </w:rPr>
        <w:t>, licensee of Station WPWA436, Mission Hills, California, operating on frequency 152.2925 MHz, and Knott’s Berry Farm, licensee of KML654, Buena Park, California, operating on 151.775 MHz.</w:t>
      </w:r>
      <w:r>
        <w:rPr>
          <w:color w:val="000000"/>
        </w:rPr>
        <w:t xml:space="preserve">  </w:t>
      </w:r>
      <w:r w:rsidRPr="003C2807">
        <w:rPr>
          <w:i/>
          <w:iCs/>
          <w:color w:val="000000"/>
        </w:rPr>
        <w:t>See</w:t>
      </w:r>
      <w:r>
        <w:rPr>
          <w:color w:val="000000"/>
        </w:rPr>
        <w:t xml:space="preserve"> Investigation Report (</w:t>
      </w:r>
      <w:r w:rsidRPr="00DD534E">
        <w:rPr>
          <w:shd w:val="clear" w:color="auto" w:fill="FFFFFF"/>
        </w:rPr>
        <w:t>on file in EB-FIELDWR-1</w:t>
      </w:r>
      <w:r>
        <w:rPr>
          <w:shd w:val="clear" w:color="auto" w:fill="FFFFFF"/>
        </w:rPr>
        <w:t>3</w:t>
      </w:r>
      <w:r w:rsidRPr="00DD534E">
        <w:rPr>
          <w:shd w:val="clear" w:color="auto" w:fill="FFFFFF"/>
        </w:rPr>
        <w:t>-00006950)</w:t>
      </w:r>
      <w:r>
        <w:rPr>
          <w:shd w:val="clear" w:color="auto" w:fill="FFFFFF"/>
        </w:rPr>
        <w:t>.</w:t>
      </w:r>
    </w:p>
  </w:footnote>
  <w:footnote w:id="21">
    <w:p w:rsidR="00C678C8" w:rsidRPr="00DD534E" w:rsidP="00C678C8" w14:paraId="7BE05719" w14:textId="4C9799AC">
      <w:pPr>
        <w:pStyle w:val="FootnoteText"/>
      </w:pPr>
      <w:r>
        <w:rPr>
          <w:rStyle w:val="FootnoteReference"/>
        </w:rPr>
        <w:footnoteRef/>
      </w:r>
      <w:r>
        <w:t xml:space="preserve"> </w:t>
      </w:r>
      <w:r>
        <w:rPr>
          <w:i/>
        </w:rPr>
        <w:t>See Mobile Relay Associates</w:t>
      </w:r>
      <w:r>
        <w:t>,</w:t>
      </w:r>
      <w:r>
        <w:rPr>
          <w:i/>
        </w:rPr>
        <w:t xml:space="preserve"> </w:t>
      </w:r>
      <w:r w:rsidRPr="00B146EF">
        <w:t>Notice of Violation</w:t>
      </w:r>
      <w:r>
        <w:t xml:space="preserve">, V201332900014 (Mar. 20, 2013) </w:t>
      </w:r>
      <w:r w:rsidRPr="00DD534E">
        <w:rPr>
          <w:shd w:val="clear" w:color="auto" w:fill="FFFFFF"/>
        </w:rPr>
        <w:t>(on file in EB-FIELDWR-1</w:t>
      </w:r>
      <w:r w:rsidR="00626B36">
        <w:rPr>
          <w:shd w:val="clear" w:color="auto" w:fill="FFFFFF"/>
        </w:rPr>
        <w:t>3</w:t>
      </w:r>
      <w:r w:rsidRPr="00DD534E">
        <w:rPr>
          <w:shd w:val="clear" w:color="auto" w:fill="FFFFFF"/>
        </w:rPr>
        <w:t>-00006950)</w:t>
      </w:r>
      <w:r w:rsidRPr="00DD534E">
        <w:t xml:space="preserve"> (</w:t>
      </w:r>
      <w:r w:rsidR="00B507B8">
        <w:rPr>
          <w:szCs w:val="22"/>
        </w:rPr>
        <w:t>Notice of Violation</w:t>
      </w:r>
      <w:r w:rsidRPr="00DD534E">
        <w:t xml:space="preserve">). </w:t>
      </w:r>
    </w:p>
  </w:footnote>
  <w:footnote w:id="22">
    <w:p w:rsidR="001C55DA" w:rsidRPr="001C55DA" w14:paraId="38106A7D" w14:textId="35A2F410">
      <w:pPr>
        <w:pStyle w:val="FootnoteText"/>
      </w:pPr>
      <w:r>
        <w:rPr>
          <w:rStyle w:val="FootnoteReference"/>
        </w:rPr>
        <w:footnoteRef/>
      </w:r>
      <w:r>
        <w:t xml:space="preserve"> </w:t>
      </w:r>
      <w:r>
        <w:rPr>
          <w:i/>
          <w:iCs/>
        </w:rPr>
        <w:t>See supra</w:t>
      </w:r>
      <w:r>
        <w:t xml:space="preserve"> note </w:t>
      </w:r>
      <w:r w:rsidR="00FB38CA">
        <w:t>18</w:t>
      </w:r>
      <w:r>
        <w:t>.</w:t>
      </w:r>
    </w:p>
  </w:footnote>
  <w:footnote w:id="23">
    <w:p w:rsidR="00C678C8" w:rsidRPr="00CA18A4" w:rsidP="00C678C8" w14:paraId="094A7F35" w14:textId="12ADB912">
      <w:pPr>
        <w:pStyle w:val="FootnoteText"/>
      </w:pPr>
      <w:r w:rsidRPr="00CA18A4">
        <w:rPr>
          <w:rStyle w:val="FootnoteReference"/>
        </w:rPr>
        <w:footnoteRef/>
      </w:r>
      <w:r w:rsidRPr="00CA18A4">
        <w:t xml:space="preserve"> </w:t>
      </w:r>
      <w:r w:rsidRPr="0084467C" w:rsidR="0081614A">
        <w:rPr>
          <w:i/>
        </w:rPr>
        <w:t>Forfeiture Order</w:t>
      </w:r>
      <w:r w:rsidR="0081614A">
        <w:t xml:space="preserve">, 30 FCC Rcd </w:t>
      </w:r>
      <w:r w:rsidRPr="00CA18A4">
        <w:t>at 13646, para</w:t>
      </w:r>
      <w:r>
        <w:t>s</w:t>
      </w:r>
      <w:r w:rsidRPr="00CA18A4">
        <w:t>. 9</w:t>
      </w:r>
      <w:r>
        <w:t>-10.</w:t>
      </w:r>
    </w:p>
  </w:footnote>
  <w:footnote w:id="24">
    <w:p w:rsidR="006135E8" w:rsidP="006135E8" w14:paraId="53324F49" w14:textId="2BE165C3">
      <w:pPr>
        <w:pStyle w:val="FootnoteText"/>
      </w:pPr>
      <w:r>
        <w:rPr>
          <w:rStyle w:val="FootnoteReference"/>
        </w:rPr>
        <w:footnoteRef/>
      </w:r>
      <w:r>
        <w:t xml:space="preserve"> </w:t>
      </w:r>
      <w:r w:rsidRPr="00EB484E" w:rsidR="00E61C95">
        <w:t xml:space="preserve">47 </w:t>
      </w:r>
      <w:r w:rsidR="00E61C95">
        <w:t>CFR</w:t>
      </w:r>
      <w:r w:rsidRPr="00E73990" w:rsidR="00E61C95">
        <w:t xml:space="preserve"> </w:t>
      </w:r>
      <w:r w:rsidRPr="00E73990">
        <w:t>§ 90.</w:t>
      </w:r>
      <w:r>
        <w:t>187(b).</w:t>
      </w:r>
    </w:p>
  </w:footnote>
  <w:footnote w:id="25">
    <w:p w:rsidR="006135E8" w:rsidRPr="0042457A" w:rsidP="006135E8" w14:paraId="3B114517" w14:textId="45F1CD03">
      <w:pPr>
        <w:pStyle w:val="FootnoteText"/>
        <w:rPr>
          <w:iCs/>
        </w:rPr>
      </w:pPr>
      <w:r>
        <w:rPr>
          <w:rStyle w:val="FootnoteReference"/>
        </w:rPr>
        <w:footnoteRef/>
      </w:r>
      <w:r>
        <w:t xml:space="preserve"> </w:t>
      </w:r>
      <w:r w:rsidRPr="00A7418C" w:rsidR="00E61C95">
        <w:rPr>
          <w:i/>
        </w:rPr>
        <w:t>Id</w:t>
      </w:r>
      <w:r w:rsidRPr="00900A4B" w:rsidR="00E61C95">
        <w:rPr>
          <w:i/>
        </w:rPr>
        <w:t>.</w:t>
      </w:r>
      <w:r w:rsidRPr="00E73990" w:rsidR="00E61C95">
        <w:t xml:space="preserve"> </w:t>
      </w:r>
      <w:r w:rsidRPr="00EB484E">
        <w:t>§</w:t>
      </w:r>
      <w:r w:rsidR="00E61C95">
        <w:rPr>
          <w:iCs/>
        </w:rPr>
        <w:t xml:space="preserve"> </w:t>
      </w:r>
      <w:r>
        <w:t>90.403(e).</w:t>
      </w:r>
    </w:p>
  </w:footnote>
  <w:footnote w:id="26">
    <w:p w:rsidR="00A13D50" w14:paraId="71BF7DFA" w14:textId="17A9763F">
      <w:pPr>
        <w:pStyle w:val="FootnoteText"/>
      </w:pPr>
      <w:r>
        <w:rPr>
          <w:rStyle w:val="FootnoteReference"/>
        </w:rPr>
        <w:footnoteRef/>
      </w:r>
      <w:r>
        <w:t xml:space="preserve"> </w:t>
      </w:r>
      <w:r w:rsidRPr="004C77C9">
        <w:t xml:space="preserve">The specification of a duty cycle limits the number and length of transmissions which may occur in any specific time period.  </w:t>
      </w:r>
      <w:r w:rsidRPr="00CB76FF">
        <w:rPr>
          <w:i/>
          <w:color w:val="000000"/>
          <w:shd w:val="clear" w:color="auto" w:fill="FFFFFF"/>
        </w:rPr>
        <w:t>See</w:t>
      </w:r>
      <w:r w:rsidRPr="00CB76FF">
        <w:rPr>
          <w:color w:val="000000"/>
          <w:shd w:val="clear" w:color="auto" w:fill="FFFFFF"/>
        </w:rPr>
        <w:t xml:space="preserve"> </w:t>
      </w:r>
      <w:r w:rsidRPr="00FD0169">
        <w:rPr>
          <w:i/>
          <w:color w:val="000000"/>
          <w:shd w:val="clear" w:color="auto" w:fill="FFFFFF"/>
        </w:rPr>
        <w:t>Amendment of Part 90 of the Commission</w:t>
      </w:r>
      <w:r w:rsidRPr="00CB76FF">
        <w:rPr>
          <w:i/>
          <w:color w:val="000000"/>
          <w:shd w:val="clear" w:color="auto" w:fill="FFFFFF"/>
        </w:rPr>
        <w:t>’</w:t>
      </w:r>
      <w:r w:rsidRPr="00FD0169">
        <w:rPr>
          <w:i/>
          <w:color w:val="000000"/>
          <w:shd w:val="clear" w:color="auto" w:fill="FFFFFF"/>
        </w:rPr>
        <w:t>s Rules and Policies for Applications and Licensing of Low Power Operations in the Private Land Mobile Radio 450-470 MHz Band</w:t>
      </w:r>
      <w:r>
        <w:rPr>
          <w:color w:val="000000"/>
          <w:shd w:val="clear" w:color="auto" w:fill="FFFFFF"/>
        </w:rPr>
        <w:t xml:space="preserve">, </w:t>
      </w:r>
      <w:r w:rsidRPr="006F79E6" w:rsidR="00B54B98">
        <w:rPr>
          <w:color w:val="000000"/>
          <w:shd w:val="clear" w:color="auto" w:fill="FFFFFF"/>
        </w:rPr>
        <w:t>WT Docket No. 01-146</w:t>
      </w:r>
      <w:r w:rsidR="00B54B98">
        <w:rPr>
          <w:color w:val="000000"/>
          <w:shd w:val="clear" w:color="auto" w:fill="FFFFFF"/>
        </w:rPr>
        <w:t xml:space="preserve">, </w:t>
      </w:r>
      <w:r w:rsidR="00992A36">
        <w:rPr>
          <w:color w:val="000000"/>
          <w:shd w:val="clear" w:color="auto" w:fill="FFFFFF"/>
        </w:rPr>
        <w:t xml:space="preserve">Report and Order, </w:t>
      </w:r>
      <w:r w:rsidRPr="00CB76FF">
        <w:rPr>
          <w:color w:val="000000"/>
          <w:shd w:val="clear" w:color="auto" w:fill="FFFFFF"/>
        </w:rPr>
        <w:t>18 FCC Rcd 3948, 3969</w:t>
      </w:r>
      <w:r w:rsidR="00E70D48">
        <w:rPr>
          <w:color w:val="000000"/>
          <w:shd w:val="clear" w:color="auto" w:fill="FFFFFF"/>
        </w:rPr>
        <w:t>, para. 51</w:t>
      </w:r>
      <w:r w:rsidRPr="00CB76FF">
        <w:rPr>
          <w:color w:val="000000"/>
          <w:shd w:val="clear" w:color="auto" w:fill="FFFFFF"/>
        </w:rPr>
        <w:t xml:space="preserve"> (2003)</w:t>
      </w:r>
      <w:r>
        <w:rPr>
          <w:color w:val="000000"/>
          <w:shd w:val="clear" w:color="auto" w:fill="FFFFFF"/>
        </w:rPr>
        <w:t>.  D</w:t>
      </w:r>
      <w:r w:rsidRPr="00CB76FF">
        <w:rPr>
          <w:color w:val="000000"/>
          <w:shd w:val="clear" w:color="auto" w:fill="FFFFFF"/>
        </w:rPr>
        <w:t>uty cycle limitation</w:t>
      </w:r>
      <w:r>
        <w:rPr>
          <w:color w:val="000000"/>
          <w:shd w:val="clear" w:color="auto" w:fill="FFFFFF"/>
        </w:rPr>
        <w:t>s</w:t>
      </w:r>
      <w:r w:rsidRPr="00CB76FF">
        <w:rPr>
          <w:color w:val="000000"/>
          <w:shd w:val="clear" w:color="auto" w:fill="FFFFFF"/>
        </w:rPr>
        <w:t xml:space="preserve"> </w:t>
      </w:r>
      <w:r w:rsidR="00590073">
        <w:rPr>
          <w:color w:val="000000"/>
          <w:shd w:val="clear" w:color="auto" w:fill="FFFFFF"/>
        </w:rPr>
        <w:t xml:space="preserve">may </w:t>
      </w:r>
      <w:r w:rsidRPr="00CB76FF">
        <w:rPr>
          <w:color w:val="000000"/>
          <w:shd w:val="clear" w:color="auto" w:fill="FFFFFF"/>
        </w:rPr>
        <w:t>promote frequency re-use and spectrum efficiency by preventing high traffic licensees from monopolizing shared channels</w:t>
      </w:r>
      <w:r>
        <w:rPr>
          <w:color w:val="000000"/>
          <w:shd w:val="clear" w:color="auto" w:fill="FFFFFF"/>
        </w:rPr>
        <w:t xml:space="preserve">.  </w:t>
      </w:r>
      <w:r w:rsidRPr="00FD50AC">
        <w:rPr>
          <w:i/>
          <w:color w:val="000000"/>
          <w:shd w:val="clear" w:color="auto" w:fill="FFFFFF"/>
        </w:rPr>
        <w:t>Id</w:t>
      </w:r>
      <w:r>
        <w:rPr>
          <w:color w:val="000000"/>
          <w:shd w:val="clear" w:color="auto" w:fill="FFFFFF"/>
        </w:rPr>
        <w:t>.</w:t>
      </w:r>
    </w:p>
  </w:footnote>
  <w:footnote w:id="27">
    <w:p w:rsidR="00251693" w14:paraId="37F2A491" w14:textId="19362284">
      <w:pPr>
        <w:pStyle w:val="FootnoteText"/>
      </w:pPr>
      <w:r>
        <w:rPr>
          <w:rStyle w:val="FootnoteReference"/>
        </w:rPr>
        <w:footnoteRef/>
      </w:r>
      <w:r>
        <w:t xml:space="preserve"> </w:t>
      </w:r>
      <w:r w:rsidR="008074CC">
        <w:rPr>
          <w:i/>
          <w:iCs/>
        </w:rPr>
        <w:t>Notice</w:t>
      </w:r>
      <w:r w:rsidR="008074CC">
        <w:t>, 30 FCC Rcd</w:t>
      </w:r>
      <w:r>
        <w:t xml:space="preserve"> at 71</w:t>
      </w:r>
      <w:r w:rsidR="009731EA">
        <w:t>38-39</w:t>
      </w:r>
      <w:r>
        <w:t>, para</w:t>
      </w:r>
      <w:r w:rsidR="009731EA">
        <w:t>s</w:t>
      </w:r>
      <w:r>
        <w:t xml:space="preserve">. </w:t>
      </w:r>
      <w:r w:rsidR="009731EA">
        <w:t>8</w:t>
      </w:r>
      <w:r w:rsidR="008074CC">
        <w:t>-10</w:t>
      </w:r>
      <w:r>
        <w:t>.</w:t>
      </w:r>
    </w:p>
  </w:footnote>
  <w:footnote w:id="28">
    <w:p w:rsidR="007D4C06" w14:paraId="11BFD7DB" w14:textId="6EEF461B">
      <w:pPr>
        <w:pStyle w:val="FootnoteText"/>
      </w:pPr>
      <w:r>
        <w:rPr>
          <w:rStyle w:val="FootnoteReference"/>
        </w:rPr>
        <w:footnoteRef/>
      </w:r>
      <w:r>
        <w:t xml:space="preserve"> </w:t>
      </w:r>
      <w:r w:rsidR="000C5A7E">
        <w:t xml:space="preserve">Response to Notice of Violation at 2 (Apr. 5, 2013) (on file in </w:t>
      </w:r>
      <w:r w:rsidRPr="00B146EF" w:rsidR="000C5A7E">
        <w:t>EB-FIELDWR-1</w:t>
      </w:r>
      <w:r w:rsidR="000C5A7E">
        <w:t>3</w:t>
      </w:r>
      <w:r w:rsidRPr="00B146EF" w:rsidR="000C5A7E">
        <w:t>-00006</w:t>
      </w:r>
      <w:r w:rsidR="000C5A7E">
        <w:t>950) (</w:t>
      </w:r>
      <w:r w:rsidR="00B507B8">
        <w:rPr>
          <w:szCs w:val="22"/>
        </w:rPr>
        <w:t>Notice of Violation</w:t>
      </w:r>
      <w:r w:rsidR="000C5A7E">
        <w:t xml:space="preserve"> Response)</w:t>
      </w:r>
      <w:r w:rsidR="00380214">
        <w:t>.</w:t>
      </w:r>
    </w:p>
  </w:footnote>
  <w:footnote w:id="29">
    <w:p w:rsidR="001917E0" w14:paraId="68897C09" w14:textId="7C35D156">
      <w:pPr>
        <w:pStyle w:val="FootnoteText"/>
      </w:pPr>
      <w:r>
        <w:rPr>
          <w:rStyle w:val="FootnoteReference"/>
        </w:rPr>
        <w:footnoteRef/>
      </w:r>
      <w:r>
        <w:t xml:space="preserve"> </w:t>
      </w:r>
      <w:r w:rsidRPr="007F4F0E" w:rsidR="007F4F0E">
        <w:rPr>
          <w:i/>
        </w:rPr>
        <w:t>Notice</w:t>
      </w:r>
      <w:r w:rsidRPr="007D7472" w:rsidR="002062C0">
        <w:t xml:space="preserve">, 30 FCC Rcd </w:t>
      </w:r>
      <w:r w:rsidR="002062C0">
        <w:t xml:space="preserve">at </w:t>
      </w:r>
      <w:r w:rsidRPr="00DC2088" w:rsidR="002062C0">
        <w:t>713</w:t>
      </w:r>
      <w:r w:rsidR="002062C0">
        <w:t>8</w:t>
      </w:r>
      <w:r w:rsidR="005205BE">
        <w:t>-39</w:t>
      </w:r>
      <w:r w:rsidR="002062C0">
        <w:t>, para</w:t>
      </w:r>
      <w:r w:rsidR="005205BE">
        <w:t>s</w:t>
      </w:r>
      <w:r w:rsidR="002062C0">
        <w:t>. 8</w:t>
      </w:r>
      <w:r w:rsidR="005205BE">
        <w:t>, 10</w:t>
      </w:r>
      <w:r w:rsidR="002062C0">
        <w:t>.</w:t>
      </w:r>
    </w:p>
  </w:footnote>
  <w:footnote w:id="30">
    <w:p w:rsidR="00DD0FF6" w:rsidP="00DD0FF6" w14:paraId="4373BC46" w14:textId="26617DD3">
      <w:pPr>
        <w:pStyle w:val="FootnoteText"/>
      </w:pPr>
      <w:r w:rsidRPr="00CA18A4">
        <w:rPr>
          <w:rStyle w:val="FootnoteReference"/>
        </w:rPr>
        <w:footnoteRef/>
      </w:r>
      <w:r w:rsidRPr="00CA18A4">
        <w:t xml:space="preserve"> </w:t>
      </w:r>
      <w:r w:rsidR="00E22FBE">
        <w:rPr>
          <w:i/>
        </w:rPr>
        <w:t>Id.</w:t>
      </w:r>
      <w:r w:rsidRPr="007D7472">
        <w:t xml:space="preserve"> </w:t>
      </w:r>
      <w:r>
        <w:t xml:space="preserve">at </w:t>
      </w:r>
      <w:r w:rsidRPr="00DC2088">
        <w:t>71</w:t>
      </w:r>
      <w:r>
        <w:t>39, para</w:t>
      </w:r>
      <w:r w:rsidR="00B54B98">
        <w:t>s</w:t>
      </w:r>
      <w:r>
        <w:t>. 11</w:t>
      </w:r>
      <w:r w:rsidR="00B54B98">
        <w:t>-12</w:t>
      </w:r>
      <w:r>
        <w:t>.</w:t>
      </w:r>
    </w:p>
  </w:footnote>
  <w:footnote w:id="31">
    <w:p w:rsidR="00941A4D" w14:paraId="0AF9E2B5" w14:textId="3AAAEA18">
      <w:pPr>
        <w:pStyle w:val="FootnoteText"/>
      </w:pPr>
      <w:r>
        <w:rPr>
          <w:rStyle w:val="FootnoteReference"/>
        </w:rPr>
        <w:footnoteRef/>
      </w:r>
      <w:r>
        <w:t xml:space="preserve"> </w:t>
      </w:r>
      <w:r w:rsidR="00380214">
        <w:t>Written Statement of Mobile Relay Associates Seeking Reduction or Cancellation of Proposed Forfeiture (Aug.</w:t>
      </w:r>
      <w:r w:rsidR="00055301">
        <w:t> </w:t>
      </w:r>
      <w:r w:rsidR="00380214">
        <w:t xml:space="preserve">13, 2015) (on file in </w:t>
      </w:r>
      <w:r w:rsidRPr="00B146EF" w:rsidR="00380214">
        <w:t>EB-FIELDWR-1</w:t>
      </w:r>
      <w:r w:rsidR="00166D78">
        <w:t>3</w:t>
      </w:r>
      <w:r w:rsidRPr="00B146EF" w:rsidR="00380214">
        <w:t>-00006</w:t>
      </w:r>
      <w:r w:rsidR="00380214">
        <w:t>950) (</w:t>
      </w:r>
      <w:r w:rsidR="005D6ABB">
        <w:t>Notice</w:t>
      </w:r>
      <w:r w:rsidR="00380214">
        <w:t xml:space="preserve"> Response)</w:t>
      </w:r>
      <w:r w:rsidRPr="00B146EF" w:rsidR="00380214">
        <w:t>.</w:t>
      </w:r>
    </w:p>
  </w:footnote>
  <w:footnote w:id="32">
    <w:p w:rsidR="00941A4D" w14:paraId="0D78CE76" w14:textId="5443C27F">
      <w:pPr>
        <w:pStyle w:val="FootnoteText"/>
      </w:pPr>
      <w:r>
        <w:rPr>
          <w:rStyle w:val="FootnoteReference"/>
        </w:rPr>
        <w:footnoteRef/>
      </w:r>
      <w:r>
        <w:t xml:space="preserve"> </w:t>
      </w:r>
      <w:r w:rsidR="005D6ABB">
        <w:t>Notice</w:t>
      </w:r>
      <w:r w:rsidR="00C47D48">
        <w:t xml:space="preserve"> Response at 4-5.</w:t>
      </w:r>
    </w:p>
  </w:footnote>
  <w:footnote w:id="33">
    <w:p w:rsidR="00941A4D" w14:paraId="20BBD474" w14:textId="23D0C823">
      <w:pPr>
        <w:pStyle w:val="FootnoteText"/>
      </w:pPr>
      <w:r>
        <w:rPr>
          <w:rStyle w:val="FootnoteReference"/>
        </w:rPr>
        <w:footnoteRef/>
      </w:r>
      <w:r>
        <w:t xml:space="preserve"> </w:t>
      </w:r>
      <w:r w:rsidRPr="00C47D48" w:rsidR="00C47D48">
        <w:rPr>
          <w:i/>
          <w:iCs/>
        </w:rPr>
        <w:t>Id</w:t>
      </w:r>
      <w:r w:rsidR="00C47D48">
        <w:t>. at 5-8.</w:t>
      </w:r>
    </w:p>
  </w:footnote>
  <w:footnote w:id="34">
    <w:p w:rsidR="004454FE" w:rsidP="004454FE" w14:paraId="7E8CE385" w14:textId="64F64CE6">
      <w:pPr>
        <w:pStyle w:val="FootnoteText"/>
      </w:pPr>
      <w:r>
        <w:rPr>
          <w:rStyle w:val="FootnoteReference"/>
        </w:rPr>
        <w:footnoteRef/>
      </w:r>
      <w:r>
        <w:t xml:space="preserve"> </w:t>
      </w:r>
      <w:r w:rsidRPr="0084467C">
        <w:rPr>
          <w:i/>
        </w:rPr>
        <w:t>Forfeiture Order</w:t>
      </w:r>
      <w:r>
        <w:t xml:space="preserve">, 30 FCC Rcd at </w:t>
      </w:r>
      <w:r w:rsidRPr="00CA18A4">
        <w:t>13642</w:t>
      </w:r>
      <w:r>
        <w:t xml:space="preserve">, </w:t>
      </w:r>
      <w:r w:rsidR="00282713">
        <w:t xml:space="preserve">13649, </w:t>
      </w:r>
      <w:r>
        <w:t>paras. 1, 1</w:t>
      </w:r>
      <w:r w:rsidR="00282713">
        <w:t>5</w:t>
      </w:r>
      <w:r w:rsidRPr="0084467C">
        <w:t>.</w:t>
      </w:r>
    </w:p>
  </w:footnote>
  <w:footnote w:id="35">
    <w:p w:rsidR="008C7977" w:rsidP="008C7977" w14:paraId="1E6B089C" w14:textId="16A107CE">
      <w:pPr>
        <w:pStyle w:val="FootnoteText"/>
      </w:pPr>
      <w:r>
        <w:rPr>
          <w:rStyle w:val="FootnoteReference"/>
        </w:rPr>
        <w:footnoteRef/>
      </w:r>
      <w:r>
        <w:t xml:space="preserve"> Petition at </w:t>
      </w:r>
      <w:r w:rsidR="00166D78">
        <w:t>8</w:t>
      </w:r>
      <w:r w:rsidR="00794A14">
        <w:t>-12</w:t>
      </w:r>
      <w:r>
        <w:t>.</w:t>
      </w:r>
    </w:p>
  </w:footnote>
  <w:footnote w:id="36">
    <w:p w:rsidR="005A12A9" w14:paraId="34615CD3" w14:textId="153284B3">
      <w:pPr>
        <w:pStyle w:val="FootnoteText"/>
      </w:pPr>
      <w:r>
        <w:rPr>
          <w:rStyle w:val="FootnoteReference"/>
        </w:rPr>
        <w:footnoteRef/>
      </w:r>
      <w:r>
        <w:t xml:space="preserve"> </w:t>
      </w:r>
      <w:r w:rsidRPr="00414E28" w:rsidR="00A13D50">
        <w:rPr>
          <w:i/>
          <w:iCs/>
        </w:rPr>
        <w:t>Id</w:t>
      </w:r>
      <w:r w:rsidR="00A13D50">
        <w:t xml:space="preserve">. </w:t>
      </w:r>
      <w:r>
        <w:t xml:space="preserve">at </w:t>
      </w:r>
      <w:r w:rsidR="00651A73">
        <w:t>12-14.</w:t>
      </w:r>
    </w:p>
  </w:footnote>
  <w:footnote w:id="37">
    <w:p w:rsidR="001E0E7A" w:rsidRPr="00344C0B" w:rsidP="001E0E7A" w14:paraId="796DEF22" w14:textId="77777777">
      <w:pPr>
        <w:pStyle w:val="FootnoteText"/>
      </w:pPr>
      <w:r w:rsidRPr="00344C0B">
        <w:rPr>
          <w:rStyle w:val="FootnoteReference"/>
        </w:rPr>
        <w:footnoteRef/>
      </w:r>
      <w:r w:rsidRPr="00344C0B">
        <w:t xml:space="preserve"> </w:t>
      </w:r>
      <w:r w:rsidRPr="00344C0B">
        <w:rPr>
          <w:color w:val="000000"/>
        </w:rPr>
        <w:t>47 U.S.C. § 503(b).</w:t>
      </w:r>
    </w:p>
  </w:footnote>
  <w:footnote w:id="38">
    <w:p w:rsidR="001E0E7A" w:rsidRPr="00344C0B" w:rsidP="001E0E7A" w14:paraId="097BEB68" w14:textId="77777777">
      <w:pPr>
        <w:pStyle w:val="FootnoteText"/>
      </w:pPr>
      <w:r w:rsidRPr="00344C0B">
        <w:rPr>
          <w:rStyle w:val="FootnoteReference"/>
        </w:rPr>
        <w:footnoteRef/>
      </w:r>
      <w:r w:rsidRPr="00344C0B">
        <w:t xml:space="preserve"> 47 CFR § 1.80.</w:t>
      </w:r>
    </w:p>
  </w:footnote>
  <w:footnote w:id="39">
    <w:p w:rsidR="001E0E7A" w:rsidRPr="00344C0B" w:rsidP="001E0E7A" w14:paraId="7202B897"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40">
    <w:p w:rsidR="001E0E7A" w:rsidRPr="00344C0B" w:rsidP="001E0E7A" w14:paraId="6D706174" w14:textId="77777777">
      <w:pPr>
        <w:pStyle w:val="FootnoteText"/>
      </w:pPr>
      <w:r w:rsidRPr="00344C0B">
        <w:rPr>
          <w:rStyle w:val="FootnoteReference"/>
        </w:rPr>
        <w:footnoteRef/>
      </w:r>
      <w:r w:rsidRPr="00344C0B">
        <w:t xml:space="preserve"> 47 U.S.C. § 503(b)(2)(E).</w:t>
      </w:r>
    </w:p>
  </w:footnote>
  <w:footnote w:id="41">
    <w:p w:rsidR="00B44930" w:rsidRPr="00163E9E" w:rsidP="00B44930" w14:paraId="133DAB1F" w14:textId="77777777">
      <w:pPr>
        <w:pStyle w:val="FootnoteText"/>
      </w:pPr>
      <w:r w:rsidRPr="00163E9E">
        <w:rPr>
          <w:rStyle w:val="FootnoteReference"/>
        </w:rPr>
        <w:footnoteRef/>
      </w:r>
      <w:r w:rsidRPr="00163E9E">
        <w:t xml:space="preserve"> </w:t>
      </w:r>
      <w:r w:rsidRPr="00163E9E">
        <w:rPr>
          <w:i/>
          <w:iCs/>
          <w:shd w:val="clear" w:color="auto" w:fill="FFFFFF"/>
        </w:rPr>
        <w:t>Id</w:t>
      </w:r>
      <w:r w:rsidRPr="00163E9E">
        <w:rPr>
          <w:shd w:val="clear" w:color="auto" w:fill="FFFFFF"/>
        </w:rPr>
        <w:t>. § 1.106(p)(3).</w:t>
      </w:r>
    </w:p>
  </w:footnote>
  <w:footnote w:id="42">
    <w:p w:rsidR="00B44930" w:rsidP="00B44930" w14:paraId="18367F26" w14:textId="55813B3E">
      <w:pPr>
        <w:pStyle w:val="FootnoteText"/>
      </w:pPr>
      <w:r>
        <w:rPr>
          <w:rStyle w:val="FootnoteReference"/>
        </w:rPr>
        <w:footnoteRef/>
      </w:r>
      <w:r>
        <w:t xml:space="preserve"> </w:t>
      </w:r>
      <w:r w:rsidR="00591867">
        <w:t xml:space="preserve">Petition at 8; </w:t>
      </w:r>
      <w:r w:rsidRPr="00B44930">
        <w:t>Notice</w:t>
      </w:r>
      <w:r>
        <w:t xml:space="preserve"> Response at 8.</w:t>
      </w:r>
    </w:p>
  </w:footnote>
  <w:footnote w:id="43">
    <w:p w:rsidR="00D1284D" w:rsidRPr="00163E9E" w:rsidP="00D1284D" w14:paraId="46CAD153" w14:textId="25691892">
      <w:pPr>
        <w:pStyle w:val="FootnoteText"/>
      </w:pPr>
      <w:r w:rsidRPr="00163E9E">
        <w:rPr>
          <w:rStyle w:val="FootnoteReference"/>
        </w:rPr>
        <w:footnoteRef/>
      </w:r>
      <w:r w:rsidRPr="00163E9E">
        <w:t xml:space="preserve"> </w:t>
      </w:r>
      <w:r w:rsidRPr="00163E9E" w:rsidR="00113746">
        <w:rPr>
          <w:i/>
          <w:iCs/>
          <w:shd w:val="clear" w:color="auto" w:fill="FFFFFF"/>
        </w:rPr>
        <w:t>Id</w:t>
      </w:r>
      <w:r w:rsidRPr="00163E9E" w:rsidR="00113746">
        <w:rPr>
          <w:shd w:val="clear" w:color="auto" w:fill="FFFFFF"/>
        </w:rPr>
        <w:t>.</w:t>
      </w:r>
      <w:r w:rsidRPr="00163E9E">
        <w:rPr>
          <w:shd w:val="clear" w:color="auto" w:fill="FFFFFF"/>
        </w:rPr>
        <w:t xml:space="preserve"> § 1.106(p)(2).</w:t>
      </w:r>
    </w:p>
  </w:footnote>
  <w:footnote w:id="44">
    <w:p w:rsidR="002E4B24" w14:paraId="62B4D935" w14:textId="4D53F1DD">
      <w:pPr>
        <w:pStyle w:val="FootnoteText"/>
      </w:pPr>
      <w:r>
        <w:rPr>
          <w:rStyle w:val="FootnoteReference"/>
        </w:rPr>
        <w:footnoteRef/>
      </w:r>
      <w:r>
        <w:t xml:space="preserve"> </w:t>
      </w:r>
      <w:r w:rsidRPr="00F65233" w:rsidR="00553A9D">
        <w:rPr>
          <w:i/>
          <w:iCs/>
        </w:rPr>
        <w:t>See</w:t>
      </w:r>
      <w:r w:rsidR="00553A9D">
        <w:t xml:space="preserve"> </w:t>
      </w:r>
      <w:r w:rsidRPr="00723AB8" w:rsidR="00553A9D">
        <w:rPr>
          <w:i/>
          <w:iCs/>
        </w:rPr>
        <w:t>Forfeiture Policy</w:t>
      </w:r>
      <w:r w:rsidR="00553A9D">
        <w:rPr>
          <w:i/>
          <w:iCs/>
        </w:rPr>
        <w:t xml:space="preserve"> Statement</w:t>
      </w:r>
      <w:r w:rsidR="00553A9D">
        <w:t>,</w:t>
      </w:r>
      <w:r w:rsidRPr="00723AB8" w:rsidR="00553A9D">
        <w:rPr>
          <w:i/>
          <w:iCs/>
        </w:rPr>
        <w:t xml:space="preserve"> </w:t>
      </w:r>
      <w:r w:rsidRPr="00250647" w:rsidR="00553A9D">
        <w:t xml:space="preserve">12 FCC Rcd </w:t>
      </w:r>
      <w:r w:rsidR="00553A9D">
        <w:t>at</w:t>
      </w:r>
      <w:r w:rsidRPr="00250647" w:rsidR="00553A9D">
        <w:t xml:space="preserve"> 17099</w:t>
      </w:r>
      <w:r w:rsidR="00553A9D">
        <w:t>, para.</w:t>
      </w:r>
      <w:r w:rsidRPr="00250647" w:rsidR="00553A9D">
        <w:t xml:space="preserve"> 22 (“The Commission expects, and it is each licensee</w:t>
      </w:r>
      <w:r w:rsidR="00553A9D">
        <w:t>’</w:t>
      </w:r>
      <w:r w:rsidRPr="00250647" w:rsidR="00553A9D">
        <w:t>s obligation, to know and comply with all of the Commission</w:t>
      </w:r>
      <w:r w:rsidR="00553A9D">
        <w:t>’</w:t>
      </w:r>
      <w:r w:rsidRPr="00250647" w:rsidR="00553A9D">
        <w:t>s rules.”)</w:t>
      </w:r>
      <w:r w:rsidR="004568CA">
        <w:t>.</w:t>
      </w:r>
      <w:r w:rsidR="00553A9D">
        <w:t xml:space="preserve"> </w:t>
      </w:r>
      <w:r w:rsidR="004568CA">
        <w:t xml:space="preserve"> </w:t>
      </w:r>
      <w:r w:rsidR="004568CA">
        <w:rPr>
          <w:i/>
          <w:iCs/>
        </w:rPr>
        <w:t>S</w:t>
      </w:r>
      <w:r w:rsidRPr="00723AB8" w:rsidR="00553A9D">
        <w:rPr>
          <w:i/>
          <w:iCs/>
        </w:rPr>
        <w:t>ee al</w:t>
      </w:r>
      <w:r w:rsidRPr="00E66790" w:rsidR="00553A9D">
        <w:t>s</w:t>
      </w:r>
      <w:r w:rsidRPr="00670FC1" w:rsidR="00553A9D">
        <w:rPr>
          <w:i/>
          <w:iCs/>
        </w:rPr>
        <w:t xml:space="preserve">o </w:t>
      </w:r>
      <w:r w:rsidRPr="00E66790" w:rsidR="00E66790">
        <w:rPr>
          <w:i/>
          <w:iCs/>
        </w:rPr>
        <w:t>Pennington</w:t>
      </w:r>
      <w:r w:rsidRPr="00E66790" w:rsidR="00E66790">
        <w:t xml:space="preserve">, </w:t>
      </w:r>
      <w:r w:rsidR="0054330F">
        <w:t xml:space="preserve">Notice of Apparent Liability, </w:t>
      </w:r>
      <w:r w:rsidRPr="00E66790" w:rsidR="00E66790">
        <w:t>32 FCC Rcd 4206, 4210 (2017)</w:t>
      </w:r>
      <w:r w:rsidR="009A0426">
        <w:t xml:space="preserve"> (“</w:t>
      </w:r>
      <w:r w:rsidRPr="00E66790" w:rsidR="00E66790">
        <w:t>Licensees are</w:t>
      </w:r>
      <w:r w:rsidR="00E66790">
        <w:t xml:space="preserve"> </w:t>
      </w:r>
      <w:r w:rsidRPr="00E66790" w:rsidR="00E66790">
        <w:t>obligated</w:t>
      </w:r>
      <w:r w:rsidR="00E66790">
        <w:t xml:space="preserve"> </w:t>
      </w:r>
      <w:r w:rsidRPr="00E66790" w:rsidR="00E66790">
        <w:t xml:space="preserve">to comply fully with the </w:t>
      </w:r>
      <w:r w:rsidR="00E66790">
        <w:t>[</w:t>
      </w:r>
      <w:r w:rsidR="009A0426">
        <w:t>Commission’s</w:t>
      </w:r>
      <w:r w:rsidR="00E66790">
        <w:t>]</w:t>
      </w:r>
      <w:r w:rsidR="009A0426">
        <w:t xml:space="preserve"> </w:t>
      </w:r>
      <w:r w:rsidR="00E66790">
        <w:t>Ru</w:t>
      </w:r>
      <w:r w:rsidR="009A0426">
        <w:t>les</w:t>
      </w:r>
      <w:r w:rsidR="00AE0A99">
        <w:t>[</w:t>
      </w:r>
      <w:r w:rsidR="002B58DD">
        <w:t>.</w:t>
      </w:r>
      <w:r w:rsidR="00AE0A99">
        <w:t>]</w:t>
      </w:r>
      <w:r w:rsidR="009A0426">
        <w:t>”</w:t>
      </w:r>
      <w:r w:rsidR="00E66790">
        <w:t>)</w:t>
      </w:r>
      <w:r w:rsidR="0054330F">
        <w:t xml:space="preserve">, </w:t>
      </w:r>
      <w:r w:rsidRPr="00600B88" w:rsidR="0054330F">
        <w:rPr>
          <w:i/>
          <w:iCs/>
          <w:shd w:val="clear" w:color="auto" w:fill="FFFFFF"/>
        </w:rPr>
        <w:t>aff’d</w:t>
      </w:r>
      <w:r w:rsidRPr="00600B88" w:rsidR="00192C51">
        <w:rPr>
          <w:i/>
          <w:iCs/>
          <w:shd w:val="clear" w:color="auto" w:fill="FFFFFF"/>
        </w:rPr>
        <w:t>,</w:t>
      </w:r>
      <w:r w:rsidRPr="00600B88" w:rsidR="0054330F">
        <w:rPr>
          <w:shd w:val="clear" w:color="auto" w:fill="FFFFFF"/>
        </w:rPr>
        <w:t xml:space="preserve"> </w:t>
      </w:r>
      <w:r w:rsidRPr="00600B88" w:rsidR="0054330F">
        <w:rPr>
          <w:i/>
          <w:iCs/>
          <w:shd w:val="clear" w:color="auto" w:fill="FFFFFF"/>
        </w:rPr>
        <w:t>Pennington</w:t>
      </w:r>
      <w:r w:rsidRPr="00574901" w:rsidR="0054330F">
        <w:rPr>
          <w:sz w:val="22"/>
          <w:szCs w:val="22"/>
          <w:shd w:val="clear" w:color="auto" w:fill="FFFFFF"/>
        </w:rPr>
        <w:t xml:space="preserve">, </w:t>
      </w:r>
      <w:r w:rsidR="0054330F">
        <w:rPr>
          <w:shd w:val="clear" w:color="auto" w:fill="FFFFFF"/>
        </w:rPr>
        <w:t xml:space="preserve">Forfeiture Order, </w:t>
      </w:r>
      <w:r w:rsidRPr="00192C51" w:rsidR="00192C51">
        <w:rPr>
          <w:shd w:val="clear" w:color="auto" w:fill="FFFFFF"/>
        </w:rPr>
        <w:t>34 FCC Rcd 770</w:t>
      </w:r>
      <w:r w:rsidRPr="00192C51" w:rsidR="0054330F">
        <w:rPr>
          <w:shd w:val="clear" w:color="auto" w:fill="FFFFFF"/>
        </w:rPr>
        <w:t xml:space="preserve"> (</w:t>
      </w:r>
      <w:r w:rsidRPr="00600B88" w:rsidR="0054330F">
        <w:rPr>
          <w:shd w:val="clear" w:color="auto" w:fill="FFFFFF"/>
        </w:rPr>
        <w:t>2019)</w:t>
      </w:r>
      <w:r w:rsidRPr="00574901" w:rsidR="0054330F">
        <w:rPr>
          <w:sz w:val="22"/>
          <w:szCs w:val="22"/>
          <w:shd w:val="clear" w:color="auto" w:fill="FFFFFF"/>
        </w:rPr>
        <w:t>.</w:t>
      </w:r>
    </w:p>
  </w:footnote>
  <w:footnote w:id="45">
    <w:p w:rsidR="00AB3F2D" w:rsidP="00AB3F2D" w14:paraId="025B35F2" w14:textId="77777777">
      <w:pPr>
        <w:pStyle w:val="FootnoteText"/>
      </w:pPr>
      <w:r>
        <w:rPr>
          <w:rStyle w:val="FootnoteReference"/>
        </w:rPr>
        <w:footnoteRef/>
      </w:r>
      <w:r>
        <w:t xml:space="preserve"> 47 CFR § 90.403(e).</w:t>
      </w:r>
    </w:p>
  </w:footnote>
  <w:footnote w:id="46">
    <w:p w:rsidR="00AB3F2D" w14:paraId="730E3A2D" w14:textId="4059DEA9">
      <w:pPr>
        <w:pStyle w:val="FootnoteText"/>
      </w:pPr>
      <w:r>
        <w:rPr>
          <w:rStyle w:val="FootnoteReference"/>
        </w:rPr>
        <w:footnoteRef/>
      </w:r>
      <w:r>
        <w:t xml:space="preserve"> </w:t>
      </w:r>
      <w:r w:rsidRPr="00F65233" w:rsidR="00D01D3A">
        <w:rPr>
          <w:i/>
          <w:iCs/>
        </w:rPr>
        <w:t>Id</w:t>
      </w:r>
      <w:r w:rsidR="00D01D3A">
        <w:t>.</w:t>
      </w:r>
      <w:r>
        <w:t xml:space="preserve"> § 90.187(b).</w:t>
      </w:r>
    </w:p>
  </w:footnote>
  <w:footnote w:id="47">
    <w:p w:rsidR="00B60241" w14:paraId="72A3DED7" w14:textId="64ADD29B">
      <w:pPr>
        <w:pStyle w:val="FootnoteText"/>
      </w:pPr>
      <w:r>
        <w:rPr>
          <w:rStyle w:val="FootnoteReference"/>
        </w:rPr>
        <w:footnoteRef/>
      </w:r>
      <w:r>
        <w:t xml:space="preserve"> </w:t>
      </w:r>
      <w:r w:rsidRPr="007F4F0E" w:rsidR="007F4F0E">
        <w:rPr>
          <w:i/>
        </w:rPr>
        <w:t>Notice</w:t>
      </w:r>
      <w:r w:rsidRPr="007D7472">
        <w:t xml:space="preserve">, 30 FCC Rcd </w:t>
      </w:r>
      <w:r>
        <w:t xml:space="preserve">at </w:t>
      </w:r>
      <w:r w:rsidRPr="00DC2088">
        <w:t>713</w:t>
      </w:r>
      <w:r>
        <w:t>6-37</w:t>
      </w:r>
      <w:r w:rsidR="00004E15">
        <w:t>, paras. 5-6</w:t>
      </w:r>
      <w:r>
        <w:t>.</w:t>
      </w:r>
    </w:p>
  </w:footnote>
  <w:footnote w:id="48">
    <w:p w:rsidR="00182EF5" w:rsidRPr="00182EF5" w:rsidP="00182EF5" w14:paraId="487E13B3" w14:textId="1258B0A9">
      <w:pPr>
        <w:pStyle w:val="FootnoteText"/>
      </w:pPr>
      <w:r>
        <w:rPr>
          <w:rStyle w:val="FootnoteReference"/>
        </w:rPr>
        <w:footnoteRef/>
      </w:r>
      <w:r>
        <w:t xml:space="preserve"> </w:t>
      </w:r>
      <w:r w:rsidRPr="001D2CA1" w:rsidR="006C7760">
        <w:rPr>
          <w:i/>
          <w:iCs/>
        </w:rPr>
        <w:t>Forfeiture</w:t>
      </w:r>
      <w:r w:rsidR="006C7760">
        <w:t xml:space="preserve"> </w:t>
      </w:r>
      <w:r w:rsidRPr="001D2CA1" w:rsidR="006C7760">
        <w:rPr>
          <w:i/>
          <w:iCs/>
        </w:rPr>
        <w:t>Order</w:t>
      </w:r>
      <w:r w:rsidR="00AE0A99">
        <w:t>, 30 FCC Rcd</w:t>
      </w:r>
      <w:r w:rsidR="006C7760">
        <w:t xml:space="preserve"> at 13645-46, paras</w:t>
      </w:r>
      <w:r w:rsidR="00AE0A99">
        <w:t>.</w:t>
      </w:r>
      <w:r w:rsidR="006C7760">
        <w:t xml:space="preserve"> 9</w:t>
      </w:r>
      <w:r w:rsidR="00AE0A99">
        <w:t>-</w:t>
      </w:r>
      <w:r w:rsidR="006C7760">
        <w:t>10.</w:t>
      </w:r>
    </w:p>
  </w:footnote>
  <w:footnote w:id="49">
    <w:p w:rsidR="00D10707" w:rsidRPr="007E4C6B" w:rsidP="00D10707" w14:paraId="1CE23180" w14:textId="26DB4B62">
      <w:pPr>
        <w:pStyle w:val="FootnoteText"/>
        <w:rPr>
          <w:color w:val="000000"/>
          <w:shd w:val="clear" w:color="auto" w:fill="FFFFFF"/>
        </w:rPr>
      </w:pPr>
      <w:r w:rsidRPr="009A6412">
        <w:rPr>
          <w:rStyle w:val="FootnoteReference"/>
        </w:rPr>
        <w:footnoteRef/>
      </w:r>
      <w:r w:rsidRPr="009A6412">
        <w:t xml:space="preserve"> 47 U.S.C. § 403</w:t>
      </w:r>
      <w:r w:rsidR="004F33A6">
        <w:t>;</w:t>
      </w:r>
      <w:r>
        <w:t xml:space="preserve"> </w:t>
      </w:r>
      <w:r w:rsidRPr="007E4C6B" w:rsidR="004F33A6">
        <w:rPr>
          <w:i/>
          <w:iCs/>
        </w:rPr>
        <w:t>see</w:t>
      </w:r>
      <w:r w:rsidR="004F33A6">
        <w:t xml:space="preserve"> </w:t>
      </w:r>
      <w:r w:rsidRPr="007E4C6B" w:rsidR="004F33A6">
        <w:rPr>
          <w:i/>
          <w:iCs/>
        </w:rPr>
        <w:t>also</w:t>
      </w:r>
      <w:r w:rsidR="004F33A6">
        <w:t xml:space="preserve">, </w:t>
      </w:r>
      <w:r w:rsidRPr="002311CA" w:rsidR="004F33A6">
        <w:rPr>
          <w:i/>
          <w:color w:val="000000"/>
          <w:bdr w:val="none" w:sz="0" w:space="0" w:color="auto" w:frame="1"/>
        </w:rPr>
        <w:t>Fabrice Polynice, N. Miami, Fl</w:t>
      </w:r>
      <w:r w:rsidRPr="002311CA" w:rsidR="004F33A6">
        <w:rPr>
          <w:color w:val="000000"/>
        </w:rPr>
        <w:t>,</w:t>
      </w:r>
      <w:r w:rsidR="004F33A6">
        <w:rPr>
          <w:color w:val="000000"/>
        </w:rPr>
        <w:t xml:space="preserve"> Forfeiture Order, </w:t>
      </w:r>
      <w:r w:rsidRPr="002311CA" w:rsidR="004F33A6">
        <w:rPr>
          <w:color w:val="000000"/>
        </w:rPr>
        <w:t>33 FCC Rcd 6852</w:t>
      </w:r>
      <w:r w:rsidR="00C87D74">
        <w:rPr>
          <w:color w:val="000000"/>
        </w:rPr>
        <w:t>, 6857</w:t>
      </w:r>
      <w:r w:rsidRPr="002311CA" w:rsidR="004F33A6">
        <w:rPr>
          <w:color w:val="000000"/>
        </w:rPr>
        <w:t xml:space="preserve"> (2018)</w:t>
      </w:r>
      <w:r w:rsidR="004F33A6">
        <w:rPr>
          <w:color w:val="000000"/>
        </w:rPr>
        <w:t xml:space="preserve"> (finding</w:t>
      </w:r>
      <w:r w:rsidRPr="002311CA" w:rsidR="004F33A6">
        <w:rPr>
          <w:color w:val="000000"/>
          <w:shd w:val="clear" w:color="auto" w:fill="FFFFFF"/>
        </w:rPr>
        <w:t xml:space="preserve"> the Commission has “prosecutorial discretion in choosing to initiate investigations,</w:t>
      </w:r>
      <w:r w:rsidR="004F33A6">
        <w:rPr>
          <w:color w:val="000000"/>
          <w:shd w:val="clear" w:color="auto" w:fill="FFFFFF"/>
        </w:rPr>
        <w:t xml:space="preserve"> </w:t>
      </w:r>
      <w:r w:rsidRPr="002311CA" w:rsidR="004F33A6">
        <w:rPr>
          <w:i/>
          <w:iCs/>
          <w:color w:val="000000"/>
          <w:bdr w:val="none" w:sz="0" w:space="0" w:color="auto" w:frame="1"/>
        </w:rPr>
        <w:t>and the absence of action against any or all potentially liable entities does not preclude it from enforcing against a specific violator</w:t>
      </w:r>
      <w:r w:rsidRPr="00D61733" w:rsidR="00D61733">
        <w:rPr>
          <w:color w:val="000000"/>
          <w:bdr w:val="none" w:sz="0" w:space="0" w:color="auto" w:frame="1"/>
        </w:rPr>
        <w:t>[]</w:t>
      </w:r>
      <w:r w:rsidRPr="00D61733" w:rsidR="00D61733">
        <w:rPr>
          <w:i/>
          <w:iCs/>
          <w:color w:val="000000"/>
          <w:bdr w:val="none" w:sz="0" w:space="0" w:color="auto" w:frame="1"/>
        </w:rPr>
        <w:t>,</w:t>
      </w:r>
      <w:r w:rsidRPr="002311CA" w:rsidR="004F33A6">
        <w:rPr>
          <w:color w:val="000000"/>
          <w:shd w:val="clear" w:color="auto" w:fill="FFFFFF"/>
        </w:rPr>
        <w:t>”</w:t>
      </w:r>
      <w:r w:rsidR="004F33A6">
        <w:rPr>
          <w:color w:val="000000"/>
          <w:bdr w:val="none" w:sz="0" w:space="0" w:color="auto" w:frame="1"/>
        </w:rPr>
        <w:t xml:space="preserve"> </w:t>
      </w:r>
      <w:r w:rsidR="00C87D74">
        <w:rPr>
          <w:color w:val="000000"/>
          <w:bdr w:val="none" w:sz="0" w:space="0" w:color="auto" w:frame="1"/>
        </w:rPr>
        <w:t xml:space="preserve">citing </w:t>
      </w:r>
      <w:r w:rsidRPr="009A6412" w:rsidR="00C87D74">
        <w:rPr>
          <w:rStyle w:val="Emphasis"/>
          <w:bdr w:val="none" w:sz="0" w:space="0" w:color="auto" w:frame="1"/>
          <w:shd w:val="clear" w:color="auto" w:fill="FFFFFF"/>
        </w:rPr>
        <w:t>Viacom Inc., ESPN Inc.</w:t>
      </w:r>
      <w:r w:rsidRPr="009A6412" w:rsidR="00C87D74">
        <w:rPr>
          <w:bdr w:val="none" w:sz="0" w:space="0" w:color="auto" w:frame="1"/>
          <w:shd w:val="clear" w:color="auto" w:fill="FFFFFF"/>
        </w:rPr>
        <w:t>, Forfeiture Order, 30 FCC Rcd 797,</w:t>
      </w:r>
      <w:r w:rsidR="00C87D74">
        <w:rPr>
          <w:bdr w:val="none" w:sz="0" w:space="0" w:color="auto" w:frame="1"/>
          <w:shd w:val="clear" w:color="auto" w:fill="FFFFFF"/>
        </w:rPr>
        <w:t xml:space="preserve"> </w:t>
      </w:r>
      <w:r w:rsidRPr="007E4C6B" w:rsidR="00C87D74">
        <w:rPr>
          <w:color w:val="000000"/>
          <w:shd w:val="clear" w:color="auto" w:fill="FFFFFF"/>
        </w:rPr>
        <w:t>804, para. 17</w:t>
      </w:r>
      <w:r w:rsidR="00F82583">
        <w:rPr>
          <w:color w:val="000000"/>
          <w:shd w:val="clear" w:color="auto" w:fill="FFFFFF"/>
        </w:rPr>
        <w:t xml:space="preserve"> (2015)</w:t>
      </w:r>
      <w:r w:rsidRPr="007E4C6B" w:rsidR="00C87D74">
        <w:rPr>
          <w:color w:val="000000"/>
          <w:shd w:val="clear" w:color="auto" w:fill="FFFFFF"/>
        </w:rPr>
        <w:t> (citations omitted) (emphasis added).</w:t>
      </w:r>
    </w:p>
  </w:footnote>
  <w:footnote w:id="50">
    <w:p w:rsidR="009020D0" w:rsidP="009020D0" w14:paraId="65AB5DD6" w14:textId="7FC12E00">
      <w:pPr>
        <w:pStyle w:val="FootnoteText"/>
      </w:pPr>
      <w:r>
        <w:rPr>
          <w:rStyle w:val="FootnoteReference"/>
        </w:rPr>
        <w:footnoteRef/>
      </w:r>
      <w:r>
        <w:t xml:space="preserve"> </w:t>
      </w:r>
      <w:r w:rsidRPr="002818D9" w:rsidR="00301F0B">
        <w:rPr>
          <w:i/>
          <w:iCs/>
          <w:shd w:val="clear" w:color="auto" w:fill="FFFFFF"/>
        </w:rPr>
        <w:t>Forfeiture Policy Statement</w:t>
      </w:r>
      <w:r w:rsidRPr="00235D0E" w:rsidR="00301F0B">
        <w:rPr>
          <w:shd w:val="clear" w:color="auto" w:fill="FFFFFF"/>
        </w:rPr>
        <w:t xml:space="preserve"> at 12 FCC Rcd 17098-99, para. </w:t>
      </w:r>
      <w:r w:rsidRPr="00235D0E" w:rsidR="00113F1F">
        <w:rPr>
          <w:shd w:val="clear" w:color="auto" w:fill="FFFFFF"/>
        </w:rPr>
        <w:t>2</w:t>
      </w:r>
      <w:r w:rsidRPr="00235D0E" w:rsidR="00301F0B">
        <w:rPr>
          <w:shd w:val="clear" w:color="auto" w:fill="FFFFFF"/>
        </w:rPr>
        <w:t xml:space="preserve">2 </w:t>
      </w:r>
      <w:r w:rsidRPr="001A1EB2">
        <w:rPr>
          <w:shd w:val="clear" w:color="auto" w:fill="FFFFFF"/>
        </w:rPr>
        <w:t>(noting that “[a]</w:t>
      </w:r>
      <w:r w:rsidRPr="001A1EB2">
        <w:rPr>
          <w:shd w:val="clear" w:color="auto" w:fill="FFFFFF"/>
        </w:rPr>
        <w:t>lthough</w:t>
      </w:r>
      <w:r w:rsidRPr="001A1EB2">
        <w:rPr>
          <w:shd w:val="clear" w:color="auto" w:fill="FFFFFF"/>
        </w:rPr>
        <w:t xml:space="preserve"> we have adopted the base </w:t>
      </w:r>
      <w:r w:rsidRPr="00235D0E">
        <w:rPr>
          <w:shd w:val="clear" w:color="auto" w:fill="FFFFFF"/>
        </w:rPr>
        <w:t xml:space="preserve">forfeiture </w:t>
      </w:r>
      <w:r w:rsidRPr="001A1EB2">
        <w:rPr>
          <w:shd w:val="clear" w:color="auto" w:fill="FFFFFF"/>
        </w:rPr>
        <w:t>amounts as guidelines to provide a measure of predictability to the forfeiture process, we retain our</w:t>
      </w:r>
      <w:r>
        <w:rPr>
          <w:shd w:val="clear" w:color="auto" w:fill="FFFFFF"/>
        </w:rPr>
        <w:t xml:space="preserve"> </w:t>
      </w:r>
      <w:r w:rsidRPr="001A1EB2">
        <w:rPr>
          <w:rStyle w:val="cosearchterm"/>
          <w:bdr w:val="none" w:sz="0" w:space="0" w:color="auto" w:frame="1"/>
        </w:rPr>
        <w:t>discretion</w:t>
      </w:r>
      <w:r>
        <w:rPr>
          <w:rStyle w:val="cosearchterm"/>
          <w:bdr w:val="none" w:sz="0" w:space="0" w:color="auto" w:frame="1"/>
        </w:rPr>
        <w:t xml:space="preserve"> </w:t>
      </w:r>
      <w:r w:rsidRPr="001A1EB2">
        <w:rPr>
          <w:shd w:val="clear" w:color="auto" w:fill="FFFFFF"/>
        </w:rPr>
        <w:t>to depart from the guidelines and issue forfeitures on a case-by-case basis, under our general forfeiture authority contained in Section 503 of the Act</w:t>
      </w:r>
      <w:r>
        <w:rPr>
          <w:shd w:val="clear" w:color="auto" w:fill="FFFFFF"/>
        </w:rPr>
        <w:t>.</w:t>
      </w:r>
      <w:r w:rsidRPr="001A1EB2">
        <w:rPr>
          <w:shd w:val="clear" w:color="auto" w:fill="FFFFFF"/>
        </w:rPr>
        <w:t>”)</w:t>
      </w:r>
      <w:r w:rsidR="00F76657">
        <w:rPr>
          <w:shd w:val="clear" w:color="auto" w:fill="FFFFFF"/>
        </w:rPr>
        <w:t>;</w:t>
      </w:r>
      <w:r w:rsidRPr="00F76657" w:rsidR="00F76657">
        <w:t xml:space="preserve"> </w:t>
      </w:r>
      <w:r w:rsidR="00F76657">
        <w:t>47 CFR § 1.80</w:t>
      </w:r>
      <w:r>
        <w:rPr>
          <w:shd w:val="clear" w:color="auto" w:fill="FFFFFF"/>
        </w:rPr>
        <w:t>.</w:t>
      </w:r>
    </w:p>
  </w:footnote>
  <w:footnote w:id="51">
    <w:p w:rsidR="003A4E9D" w:rsidP="003A4E9D" w14:paraId="1EE44E7E" w14:textId="484695BD">
      <w:pPr>
        <w:pStyle w:val="FootnoteText"/>
      </w:pPr>
      <w:r>
        <w:rPr>
          <w:rStyle w:val="FootnoteReference"/>
        </w:rPr>
        <w:footnoteRef/>
      </w:r>
      <w:r>
        <w:t xml:space="preserve"> Petition at </w:t>
      </w:r>
      <w:r w:rsidR="00E25642">
        <w:t>8</w:t>
      </w:r>
      <w:r w:rsidR="00266B3F">
        <w:t>-</w:t>
      </w:r>
      <w:r>
        <w:t>10, 15; s</w:t>
      </w:r>
      <w:r w:rsidRPr="006A51C3">
        <w:rPr>
          <w:i/>
          <w:iCs/>
        </w:rPr>
        <w:t>ee also</w:t>
      </w:r>
      <w:r>
        <w:t xml:space="preserve"> </w:t>
      </w:r>
      <w:r w:rsidRPr="00B44930">
        <w:t>Notice</w:t>
      </w:r>
      <w:r>
        <w:t xml:space="preserve"> Response at 8.</w:t>
      </w:r>
    </w:p>
  </w:footnote>
  <w:footnote w:id="52">
    <w:p w:rsidR="009A0834" w:rsidRPr="00B130B8" w:rsidP="009A0834" w14:paraId="267F89F9" w14:textId="77777777">
      <w:pPr>
        <w:pStyle w:val="FootnoteText"/>
      </w:pPr>
      <w:r>
        <w:rPr>
          <w:rStyle w:val="FootnoteReference"/>
        </w:rPr>
        <w:footnoteRef/>
      </w:r>
      <w:r>
        <w:t xml:space="preserve"> </w:t>
      </w:r>
      <w:r w:rsidRPr="00AE33F5">
        <w:rPr>
          <w:i/>
          <w:iCs/>
          <w:color w:val="000000"/>
          <w:bdr w:val="none" w:sz="0" w:space="0" w:color="auto" w:frame="1"/>
        </w:rPr>
        <w:t>Notice</w:t>
      </w:r>
      <w:r>
        <w:rPr>
          <w:color w:val="000000"/>
          <w:bdr w:val="none" w:sz="0" w:space="0" w:color="auto" w:frame="1"/>
        </w:rPr>
        <w:t>,</w:t>
      </w:r>
      <w:r w:rsidRPr="00AE33F5">
        <w:rPr>
          <w:i/>
          <w:iCs/>
          <w:color w:val="000000"/>
          <w:bdr w:val="none" w:sz="0" w:space="0" w:color="auto" w:frame="1"/>
        </w:rPr>
        <w:t xml:space="preserve"> </w:t>
      </w:r>
      <w:r w:rsidRPr="00AE33F5">
        <w:rPr>
          <w:color w:val="000000"/>
        </w:rPr>
        <w:t xml:space="preserve">30 FCC Rcd </w:t>
      </w:r>
      <w:r>
        <w:rPr>
          <w:color w:val="000000"/>
        </w:rPr>
        <w:t xml:space="preserve">at </w:t>
      </w:r>
      <w:r w:rsidRPr="00AE33F5">
        <w:rPr>
          <w:color w:val="000000"/>
        </w:rPr>
        <w:t>7137</w:t>
      </w:r>
      <w:r>
        <w:rPr>
          <w:color w:val="000000"/>
        </w:rPr>
        <w:t>-39,</w:t>
      </w:r>
      <w:r w:rsidRPr="00AE33F5">
        <w:rPr>
          <w:color w:val="000000"/>
        </w:rPr>
        <w:t xml:space="preserve"> para</w:t>
      </w:r>
      <w:r>
        <w:rPr>
          <w:color w:val="000000"/>
        </w:rPr>
        <w:t>s</w:t>
      </w:r>
      <w:r w:rsidRPr="00AE33F5">
        <w:rPr>
          <w:color w:val="000000"/>
        </w:rPr>
        <w:t>. 7</w:t>
      </w:r>
      <w:r>
        <w:rPr>
          <w:color w:val="000000"/>
        </w:rPr>
        <w:t>-10</w:t>
      </w:r>
      <w:r w:rsidRPr="00B130B8">
        <w:rPr>
          <w:color w:val="3D3D3D"/>
          <w:shd w:val="clear" w:color="auto" w:fill="FFFFFF"/>
        </w:rPr>
        <w:t>.</w:t>
      </w:r>
    </w:p>
  </w:footnote>
  <w:footnote w:id="53">
    <w:p w:rsidR="009A0834" w:rsidP="009A0834" w14:paraId="45205990" w14:textId="77777777">
      <w:pPr>
        <w:pStyle w:val="FootnoteText"/>
      </w:pPr>
      <w:r>
        <w:rPr>
          <w:rStyle w:val="FootnoteReference"/>
        </w:rPr>
        <w:footnoteRef/>
      </w:r>
      <w:r>
        <w:t xml:space="preserve"> </w:t>
      </w:r>
      <w:r w:rsidRPr="00113F1F">
        <w:rPr>
          <w:i/>
          <w:iCs/>
        </w:rPr>
        <w:t>Id</w:t>
      </w:r>
      <w:r>
        <w:t>.</w:t>
      </w:r>
      <w:r w:rsidRPr="00AE33F5">
        <w:rPr>
          <w:color w:val="000000"/>
        </w:rPr>
        <w:t xml:space="preserve"> </w:t>
      </w:r>
      <w:r>
        <w:rPr>
          <w:color w:val="000000"/>
        </w:rPr>
        <w:t xml:space="preserve">at </w:t>
      </w:r>
      <w:r w:rsidRPr="00AE33F5">
        <w:rPr>
          <w:color w:val="000000"/>
        </w:rPr>
        <w:t>71</w:t>
      </w:r>
      <w:r>
        <w:rPr>
          <w:color w:val="000000"/>
        </w:rPr>
        <w:t>40, para. 12.</w:t>
      </w:r>
    </w:p>
  </w:footnote>
  <w:footnote w:id="54">
    <w:p w:rsidR="00985EC6" w:rsidP="00985EC6" w14:paraId="56CBA07C" w14:textId="77777777">
      <w:pPr>
        <w:pStyle w:val="FootnoteText"/>
      </w:pPr>
      <w:r>
        <w:rPr>
          <w:rStyle w:val="FootnoteReference"/>
        </w:rPr>
        <w:footnoteRef/>
      </w:r>
      <w:r w:rsidRPr="00B64DCF">
        <w:rPr>
          <w:i/>
          <w:iCs/>
        </w:rPr>
        <w:t xml:space="preserve"> Forfeiture Order</w:t>
      </w:r>
      <w:r w:rsidRPr="00B64DCF">
        <w:t xml:space="preserve">, 30 FCC Rcd at 13646, para. 11 </w:t>
      </w:r>
      <w:r>
        <w:t>&amp;</w:t>
      </w:r>
      <w:r w:rsidRPr="00B64DCF">
        <w:t xml:space="preserve"> n.34, para. 12; </w:t>
      </w:r>
      <w:r w:rsidRPr="00B64DCF">
        <w:rPr>
          <w:i/>
        </w:rPr>
        <w:t>see also Public Safety Technologies</w:t>
      </w:r>
      <w:r w:rsidRPr="00B64DCF">
        <w:t xml:space="preserve">, </w:t>
      </w:r>
      <w:r w:rsidRPr="00B64DCF">
        <w:rPr>
          <w:i/>
        </w:rPr>
        <w:t>Inc.,</w:t>
      </w:r>
      <w:r w:rsidRPr="00B64DCF">
        <w:t xml:space="preserve"> </w:t>
      </w:r>
      <w:r w:rsidRPr="00B64DCF">
        <w:rPr>
          <w:i/>
        </w:rPr>
        <w:t>Licensee of WQJM334 West Covina, California</w:t>
      </w:r>
      <w:r w:rsidRPr="00B64DCF">
        <w:t>, Forfeiture Order, 32 FCC Rcd 7433 (EB 2017) (</w:t>
      </w:r>
      <w:r w:rsidRPr="00B64DCF">
        <w:rPr>
          <w:i/>
        </w:rPr>
        <w:t>Forfeiture Order</w:t>
      </w:r>
      <w:r w:rsidRPr="00B64DCF">
        <w:t>)</w:t>
      </w:r>
      <w:r>
        <w:t>,</w:t>
      </w:r>
      <w:r w:rsidRPr="00B64DCF">
        <w:t xml:space="preserve"> </w:t>
      </w:r>
      <w:r w:rsidRPr="00B64DCF">
        <w:rPr>
          <w:i/>
        </w:rPr>
        <w:t>aff’g</w:t>
      </w:r>
      <w:r>
        <w:rPr>
          <w:i/>
        </w:rPr>
        <w:t>,</w:t>
      </w:r>
      <w:r w:rsidRPr="00B64DCF">
        <w:rPr>
          <w:i/>
        </w:rPr>
        <w:t xml:space="preserve"> Notice of Apparent Liability for Forfeiture</w:t>
      </w:r>
      <w:r w:rsidRPr="00B64DCF">
        <w:t xml:space="preserve">, 31 FCC Rcd 10477 (EB 2016) (assessing $25,000 forfeiture for operating continuously on shared frequency 451.350 MHz and failing to take reasonable precautions to avoid causing harmful interference to Mobile Relay Associates, violating sections 90.403(c) and (e), and other violations of Commission rules for </w:t>
      </w:r>
      <w:r>
        <w:rPr>
          <w:shd w:val="clear" w:color="auto" w:fill="FFFFFF"/>
        </w:rPr>
        <w:t>p</w:t>
      </w:r>
      <w:r w:rsidRPr="00B64DCF">
        <w:rPr>
          <w:shd w:val="clear" w:color="auto" w:fill="FFFFFF"/>
        </w:rPr>
        <w:t xml:space="preserve">rivate </w:t>
      </w:r>
      <w:r>
        <w:rPr>
          <w:shd w:val="clear" w:color="auto" w:fill="FFFFFF"/>
        </w:rPr>
        <w:t>l</w:t>
      </w:r>
      <w:r w:rsidRPr="00B64DCF">
        <w:rPr>
          <w:shd w:val="clear" w:color="auto" w:fill="FFFFFF"/>
        </w:rPr>
        <w:t xml:space="preserve">and </w:t>
      </w:r>
      <w:r>
        <w:rPr>
          <w:shd w:val="clear" w:color="auto" w:fill="FFFFFF"/>
        </w:rPr>
        <w:t>m</w:t>
      </w:r>
      <w:r w:rsidRPr="00B64DCF">
        <w:rPr>
          <w:shd w:val="clear" w:color="auto" w:fill="FFFFFF"/>
        </w:rPr>
        <w:t xml:space="preserve">obile </w:t>
      </w:r>
      <w:r>
        <w:rPr>
          <w:shd w:val="clear" w:color="auto" w:fill="FFFFFF"/>
        </w:rPr>
        <w:t>r</w:t>
      </w:r>
      <w:r w:rsidRPr="00B64DCF">
        <w:rPr>
          <w:shd w:val="clear" w:color="auto" w:fill="FFFFFF"/>
        </w:rPr>
        <w:t>adio</w:t>
      </w:r>
      <w:r w:rsidRPr="00B64DCF">
        <w:t xml:space="preserve"> stations).</w:t>
      </w:r>
    </w:p>
  </w:footnote>
  <w:footnote w:id="55">
    <w:p w:rsidR="00036230" w:rsidRPr="008C0E92" w:rsidP="009007B1" w14:paraId="21099433" w14:textId="30C620D1">
      <w:pPr>
        <w:pStyle w:val="FootnoteText"/>
      </w:pPr>
      <w:r>
        <w:rPr>
          <w:rStyle w:val="FootnoteReference"/>
        </w:rPr>
        <w:footnoteRef/>
      </w:r>
      <w:r>
        <w:t xml:space="preserve"> </w:t>
      </w:r>
      <w:r w:rsidR="00E25642">
        <w:rPr>
          <w:i/>
          <w:iCs/>
        </w:rPr>
        <w:t>See Forfeiture Order</w:t>
      </w:r>
      <w:r w:rsidR="00192553">
        <w:t>,</w:t>
      </w:r>
      <w:r w:rsidR="00E25642">
        <w:t xml:space="preserve"> 30 FCC Rcd at 13646-48, paras. 11-13.  </w:t>
      </w:r>
      <w:r>
        <w:t xml:space="preserve">Mobile Relay appears to base its argument on attacking a single footnote in the </w:t>
      </w:r>
      <w:r>
        <w:rPr>
          <w:i/>
          <w:iCs/>
        </w:rPr>
        <w:t>Forfeiture Order</w:t>
      </w:r>
      <w:r>
        <w:t xml:space="preserve">, stating “[T]he </w:t>
      </w:r>
      <w:r>
        <w:rPr>
          <w:i/>
          <w:iCs/>
        </w:rPr>
        <w:t>Forfeiture Order</w:t>
      </w:r>
      <w:r>
        <w:t xml:space="preserve">, at n.37, rejected [Mobile Relay’s] claims of disparate treatment, and said that </w:t>
      </w:r>
      <w:r>
        <w:rPr>
          <w:i/>
          <w:iCs/>
        </w:rPr>
        <w:t>Melody Music</w:t>
      </w:r>
      <w:r>
        <w:t xml:space="preserve"> and its progeny, cited by [Mobile Relay], only apply in licensing cases, not enforcement cases. . . .”  Petition at 8 (citing </w:t>
      </w:r>
      <w:r w:rsidRPr="0084120A">
        <w:rPr>
          <w:i/>
          <w:iCs/>
        </w:rPr>
        <w:t>Melody Music, Inc. v. FCC</w:t>
      </w:r>
      <w:r>
        <w:t>, 345 F.2d 730 (D.C. Cir. 1965) (</w:t>
      </w:r>
      <w:r w:rsidRPr="00481AD8">
        <w:rPr>
          <w:i/>
          <w:iCs/>
        </w:rPr>
        <w:t>Melody</w:t>
      </w:r>
      <w:r>
        <w:t xml:space="preserve"> </w:t>
      </w:r>
      <w:r w:rsidRPr="00481AD8">
        <w:rPr>
          <w:i/>
          <w:iCs/>
        </w:rPr>
        <w:t>Music</w:t>
      </w:r>
      <w:r>
        <w:t xml:space="preserve">); </w:t>
      </w:r>
      <w:r w:rsidRPr="00854495">
        <w:rPr>
          <w:i/>
        </w:rPr>
        <w:t>Telephone and Data Systems, Inc., v. FCC</w:t>
      </w:r>
      <w:r>
        <w:t xml:space="preserve">, 19 F.3d 42 (D.C. Cir. 1994) and </w:t>
      </w:r>
      <w:r w:rsidRPr="00854495">
        <w:rPr>
          <w:i/>
        </w:rPr>
        <w:t>Telephone and Data Systems, Inc., v. FCC</w:t>
      </w:r>
      <w:r w:rsidRPr="00854495">
        <w:t xml:space="preserve">, 19 F.3d </w:t>
      </w:r>
      <w:r>
        <w:t>655</w:t>
      </w:r>
      <w:r w:rsidRPr="00854495">
        <w:t xml:space="preserve"> (D.C. Cir. 1994)</w:t>
      </w:r>
      <w:r>
        <w:t>.  In attacking this single footnote</w:t>
      </w:r>
      <w:r w:rsidR="008C0E92">
        <w:t xml:space="preserve">, Mobile Relay sets up and attacks a straw man.  The cited footnote did not reject Mobile Relay’s claim of disparate treatment or, indeed, any argument put forth by Mobile Relay.  More importantly, the section of the </w:t>
      </w:r>
      <w:r w:rsidR="008C0E92">
        <w:rPr>
          <w:i/>
          <w:iCs/>
        </w:rPr>
        <w:t>Forfeiture Order</w:t>
      </w:r>
      <w:r w:rsidR="008C0E92">
        <w:t xml:space="preserve"> in which this footnote appears shows the Bureau determining the forfeiture based on the particular facts of this case.  </w:t>
      </w:r>
      <w:r w:rsidR="008C0E92">
        <w:rPr>
          <w:i/>
          <w:iCs/>
        </w:rPr>
        <w:t>See Forfeiture Order</w:t>
      </w:r>
      <w:r w:rsidR="008C0E92">
        <w:t xml:space="preserve"> 30 FCC Rcd at </w:t>
      </w:r>
      <w:r w:rsidR="00E25642">
        <w:t>13646-48</w:t>
      </w:r>
      <w:r w:rsidR="008C0E92">
        <w:t>, paras. 11-13.</w:t>
      </w:r>
    </w:p>
  </w:footnote>
  <w:footnote w:id="56">
    <w:p w:rsidR="0000496D" w:rsidRPr="00B130B8" w:rsidP="0000496D" w14:paraId="0F98080B" w14:textId="1431E716">
      <w:pPr>
        <w:pStyle w:val="FootnoteText"/>
      </w:pPr>
      <w:r>
        <w:rPr>
          <w:rStyle w:val="FootnoteReference"/>
        </w:rPr>
        <w:footnoteRef/>
      </w:r>
      <w:r>
        <w:t xml:space="preserve"> </w:t>
      </w:r>
      <w:r w:rsidRPr="001D2CA1" w:rsidR="00113F1F">
        <w:rPr>
          <w:i/>
          <w:iCs/>
        </w:rPr>
        <w:t>Forfeiture</w:t>
      </w:r>
      <w:r w:rsidR="00113F1F">
        <w:t xml:space="preserve"> </w:t>
      </w:r>
      <w:r w:rsidRPr="001D2CA1" w:rsidR="00113F1F">
        <w:rPr>
          <w:i/>
          <w:iCs/>
        </w:rPr>
        <w:t>Order</w:t>
      </w:r>
      <w:r w:rsidR="00113F1F">
        <w:t>, 30 FCC Rcd at 13649, para. 14.</w:t>
      </w:r>
    </w:p>
  </w:footnote>
  <w:footnote w:id="57">
    <w:p w:rsidR="000C0733" w14:paraId="5A110632" w14:textId="0C4AD586">
      <w:pPr>
        <w:pStyle w:val="FootnoteText"/>
      </w:pPr>
      <w:r>
        <w:rPr>
          <w:rStyle w:val="FootnoteReference"/>
        </w:rPr>
        <w:footnoteRef/>
      </w:r>
      <w:r>
        <w:t xml:space="preserve"> 47 CFR § 1.106(c).</w:t>
      </w:r>
    </w:p>
  </w:footnote>
  <w:footnote w:id="58">
    <w:p w:rsidR="000C6DA8" w14:paraId="653B8E96" w14:textId="3B01D34C">
      <w:pPr>
        <w:pStyle w:val="FootnoteText"/>
      </w:pPr>
      <w:r>
        <w:rPr>
          <w:rStyle w:val="FootnoteReference"/>
        </w:rPr>
        <w:footnoteRef/>
      </w:r>
      <w:r>
        <w:t xml:space="preserve"> </w:t>
      </w:r>
      <w:r w:rsidRPr="00764889">
        <w:rPr>
          <w:i/>
          <w:iCs/>
        </w:rPr>
        <w:t>Id</w:t>
      </w:r>
      <w:r>
        <w:t>. § 1.106(c)(2).</w:t>
      </w:r>
    </w:p>
  </w:footnote>
  <w:footnote w:id="59">
    <w:p w:rsidR="00505886" w:rsidRPr="004E42FA" w:rsidP="00505886" w14:paraId="40BD3906" w14:textId="77777777">
      <w:pPr>
        <w:pStyle w:val="FootnoteText"/>
        <w:rPr>
          <w:color w:val="000000"/>
        </w:rPr>
      </w:pPr>
      <w:r w:rsidRPr="004E42FA">
        <w:rPr>
          <w:rStyle w:val="FootnoteReference"/>
          <w:color w:val="000000"/>
        </w:rPr>
        <w:footnoteRef/>
      </w:r>
      <w:r w:rsidRPr="004E42FA">
        <w:rPr>
          <w:color w:val="000000"/>
        </w:rPr>
        <w:t xml:space="preserve"> </w:t>
      </w:r>
      <w:r w:rsidRPr="00CA0B47">
        <w:rPr>
          <w:color w:val="000000"/>
        </w:rPr>
        <w:t xml:space="preserve">47 </w:t>
      </w:r>
      <w:r>
        <w:rPr>
          <w:color w:val="000000"/>
        </w:rPr>
        <w:t>CFR</w:t>
      </w:r>
      <w:r w:rsidRPr="00CA0B47">
        <w:rPr>
          <w:color w:val="000000"/>
        </w:rPr>
        <w:t xml:space="preserve"> §§ </w:t>
      </w:r>
      <w:r>
        <w:rPr>
          <w:color w:val="000000"/>
        </w:rPr>
        <w:t>90.187(b)</w:t>
      </w:r>
      <w:r w:rsidRPr="00CA0B47">
        <w:rPr>
          <w:color w:val="000000"/>
        </w:rPr>
        <w:t>, 90.403(e).</w:t>
      </w:r>
    </w:p>
  </w:footnote>
  <w:footnote w:id="60">
    <w:p w:rsidR="004369C6" w14:paraId="31D18592" w14:textId="77777777">
      <w:pPr>
        <w:pStyle w:val="FootnoteText"/>
      </w:pPr>
      <w:r>
        <w:rPr>
          <w:rStyle w:val="FootnoteReference"/>
        </w:rPr>
        <w:footnoteRef/>
      </w:r>
      <w:r>
        <w:t xml:space="preserve"> </w:t>
      </w:r>
      <w:r w:rsidRPr="004369C6">
        <w:t xml:space="preserve">47 U.S.C. § 405; 47 </w:t>
      </w:r>
      <w:r w:rsidR="00F17595">
        <w:t>CFR</w:t>
      </w:r>
      <w:r w:rsidRPr="004369C6">
        <w:t xml:space="preserve"> § 1.106.</w:t>
      </w:r>
    </w:p>
  </w:footnote>
  <w:footnote w:id="61">
    <w:p w:rsidR="009E399D" w:rsidRPr="00193A4F" w:rsidP="009E399D" w14:paraId="34BC4DFF" w14:textId="77777777">
      <w:pPr>
        <w:pStyle w:val="FootnoteText"/>
      </w:pPr>
      <w:r w:rsidRPr="00193A4F">
        <w:rPr>
          <w:rStyle w:val="FootnoteReference"/>
        </w:rPr>
        <w:footnoteRef/>
      </w:r>
      <w:r w:rsidRPr="00193A4F">
        <w:t xml:space="preserve"> 47 U.S.C. § 503(b); 47 CFR §§ 0.111, 0.311, 1.80.</w:t>
      </w:r>
    </w:p>
  </w:footnote>
  <w:footnote w:id="62">
    <w:p w:rsidR="009E399D" w14:paraId="5CFEF20F" w14:textId="41EB85A8">
      <w:pPr>
        <w:pStyle w:val="FootnoteText"/>
      </w:pPr>
      <w:r>
        <w:rPr>
          <w:rStyle w:val="FootnoteReference"/>
        </w:rPr>
        <w:footnoteRef/>
      </w:r>
      <w:r>
        <w:t xml:space="preserve"> </w:t>
      </w:r>
      <w:r w:rsidRPr="00CA0B47">
        <w:rPr>
          <w:color w:val="000000"/>
        </w:rPr>
        <w:t xml:space="preserve">47 </w:t>
      </w:r>
      <w:r>
        <w:rPr>
          <w:color w:val="000000"/>
        </w:rPr>
        <w:t>CFR</w:t>
      </w:r>
      <w:r w:rsidRPr="00CA0B47">
        <w:rPr>
          <w:color w:val="000000"/>
        </w:rPr>
        <w:t xml:space="preserve"> §§ </w:t>
      </w:r>
      <w:r>
        <w:rPr>
          <w:color w:val="000000"/>
        </w:rPr>
        <w:t>90.187(b)</w:t>
      </w:r>
      <w:r w:rsidRPr="00CA0B47">
        <w:rPr>
          <w:color w:val="000000"/>
        </w:rPr>
        <w:t>, 90.403(e).</w:t>
      </w:r>
    </w:p>
  </w:footnote>
  <w:footnote w:id="63">
    <w:p w:rsidR="009E399D" w:rsidRPr="00193A4F" w:rsidP="009E399D" w14:paraId="500A8171" w14:textId="54B8638E">
      <w:pPr>
        <w:pStyle w:val="FootnoteText"/>
      </w:pPr>
      <w:r w:rsidRPr="00193A4F">
        <w:rPr>
          <w:rStyle w:val="FootnoteReference"/>
        </w:rPr>
        <w:footnoteRef/>
      </w:r>
      <w:r w:rsidRPr="00193A4F">
        <w:t xml:space="preserve"> </w:t>
      </w:r>
      <w:r w:rsidRPr="00586E0C" w:rsidR="00586E0C">
        <w:rPr>
          <w:i/>
          <w:iCs/>
        </w:rPr>
        <w:t>Id</w:t>
      </w:r>
      <w:r w:rsidR="00586E0C">
        <w:t>.</w:t>
      </w:r>
      <w:r w:rsidRPr="00193A4F">
        <w:t xml:space="preserve"> § 1.80.</w:t>
      </w:r>
    </w:p>
  </w:footnote>
  <w:footnote w:id="64">
    <w:p w:rsidR="009E399D" w:rsidRPr="00193A4F" w:rsidP="009E399D" w14:paraId="3E149D93" w14:textId="77777777">
      <w:pPr>
        <w:pStyle w:val="FootnoteText"/>
      </w:pPr>
      <w:r w:rsidRPr="00193A4F">
        <w:rPr>
          <w:rStyle w:val="FootnoteReference"/>
        </w:rPr>
        <w:footnoteRef/>
      </w:r>
      <w:r w:rsidRPr="00193A4F">
        <w:t xml:space="preserve"> 47 U.S.C. § 504(a).</w:t>
      </w:r>
    </w:p>
  </w:footnote>
  <w:footnote w:id="65">
    <w:p w:rsidR="004B4FE5" w:rsidP="004B4FE5" w14:paraId="5D774A5E" w14:textId="77777777">
      <w:pPr>
        <w:pStyle w:val="FootnoteText"/>
      </w:pPr>
      <w:r>
        <w:rPr>
          <w:rStyle w:val="FootnoteReference"/>
        </w:rPr>
        <w:footnoteRef/>
      </w:r>
      <w:r>
        <w:t xml:space="preserve"> Payments made using the Commission’s Fee Filer system do not require the submission of FCC Form 159.</w:t>
      </w:r>
    </w:p>
  </w:footnote>
  <w:footnote w:id="66">
    <w:p w:rsidR="004B4FE5" w:rsidP="004B4FE5" w14:paraId="446CF341" w14:textId="77777777">
      <w:pPr>
        <w:pStyle w:val="FootnoteText"/>
      </w:pPr>
      <w:r>
        <w:rPr>
          <w:rStyle w:val="FootnoteReference"/>
        </w:rPr>
        <w:footnoteRef/>
      </w:r>
      <w:r>
        <w:t xml:space="preserve"> For questions regarding payment procedures, please contact the Financial Operations Group Help Desk by phone at 1-877-480-3201 (option #6), or by e-mail at </w:t>
      </w:r>
      <w:hyperlink r:id="rId1" w:history="1">
        <w:r w:rsidRPr="00BA4062">
          <w:rPr>
            <w:rStyle w:val="Hyperlink"/>
          </w:rPr>
          <w:t>ARINQUIRIES@fcc.gov</w:t>
        </w:r>
      </w:hyperlink>
      <w:r>
        <w:t xml:space="preserve">. </w:t>
      </w:r>
    </w:p>
  </w:footnote>
  <w:footnote w:id="67">
    <w:p w:rsidR="004B4FE5" w:rsidP="004B4FE5" w14:paraId="22BCEF2A" w14:textId="77777777">
      <w:pPr>
        <w:pStyle w:val="FootnoteText"/>
      </w:pPr>
      <w:r>
        <w:rPr>
          <w:rStyle w:val="FootnoteReference"/>
        </w:rPr>
        <w:footnoteRef/>
      </w:r>
      <w:r>
        <w:t xml:space="preserve"> Instructions for completing the form may be obtained at </w:t>
      </w:r>
      <w:hyperlink r:id="rId2" w:history="1">
        <w:r w:rsidRPr="00BA4062">
          <w:rPr>
            <w:rStyle w:val="Hyperlink"/>
          </w:rPr>
          <w:t>https://www.fcc.gov/Forms/Form159/159.pdf</w:t>
        </w:r>
      </w:hyperlink>
      <w:r>
        <w:t xml:space="preserve">. </w:t>
      </w:r>
    </w:p>
  </w:footnote>
  <w:footnote w:id="68">
    <w:p w:rsidR="004B4FE5" w:rsidRPr="006A28C4" w:rsidP="004B4FE5" w14:paraId="452FDCF9" w14:textId="77777777">
      <w:pPr>
        <w:pStyle w:val="FootnoteText"/>
      </w:pPr>
      <w:r>
        <w:rPr>
          <w:rStyle w:val="FootnoteReference"/>
        </w:rPr>
        <w:footnoteRef/>
      </w:r>
      <w:r>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2D1" w:rsidRPr="001B048F" w:rsidP="00F15ACE" w14:paraId="48D49471" w14:textId="167F741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344C0B">
      <w:rPr>
        <w:spacing w:val="-2"/>
      </w:rPr>
      <w:t xml:space="preserve">DA </w:t>
    </w:r>
    <w:r w:rsidR="005A12A9">
      <w:rPr>
        <w:spacing w:val="-2"/>
      </w:rPr>
      <w:t>20</w:t>
    </w:r>
    <w:r>
      <w:rPr>
        <w:spacing w:val="-2"/>
      </w:rPr>
      <w:t>-</w:t>
    </w:r>
    <w:r w:rsidR="00736DF1">
      <w:rPr>
        <w:spacing w:val="-2"/>
      </w:rPr>
      <w:t>834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67C" w:rsidP="006B36CF" w14:paraId="5CA6A55B" w14:textId="522C405C">
    <w:pPr>
      <w:pStyle w:val="Header"/>
      <w:spacing w:after="120"/>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Pr="00CE57A9">
      <w:rPr>
        <w:spacing w:val="-2"/>
      </w:rPr>
      <w:t xml:space="preserve">DA </w:t>
    </w:r>
    <w:r w:rsidR="00B81172">
      <w:rPr>
        <w:spacing w:val="-2"/>
      </w:rPr>
      <w:t>20</w:t>
    </w:r>
    <w:r>
      <w:rPr>
        <w:spacing w:val="-2"/>
      </w:rPr>
      <w:t>-</w:t>
    </w:r>
    <w:r w:rsidR="00736DF1">
      <w:rPr>
        <w:spacing w:val="-2"/>
      </w:rPr>
      <w:t>834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F464E70"/>
    <w:multiLevelType w:val="hybridMultilevel"/>
    <w:tmpl w:val="36269EA0"/>
    <w:lvl w:ilvl="0">
      <w:start w:val="1"/>
      <w:numFmt w:val="decimal"/>
      <w:lvlText w:val="%1."/>
      <w:lvlJc w:val="left"/>
      <w:pPr>
        <w:ind w:left="1440" w:hanging="360"/>
      </w:pPr>
      <w:rPr>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4BA719A"/>
    <w:multiLevelType w:val="hybridMultilevel"/>
    <w:tmpl w:val="36269EA0"/>
    <w:lvl w:ilvl="0">
      <w:start w:val="1"/>
      <w:numFmt w:val="decimal"/>
      <w:lvlText w:val="%1."/>
      <w:lvlJc w:val="left"/>
      <w:pPr>
        <w:ind w:left="1440" w:hanging="360"/>
      </w:pPr>
      <w:rPr>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E44E7C"/>
    <w:multiLevelType w:val="hybridMultilevel"/>
    <w:tmpl w:val="55449A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1E163B5"/>
    <w:multiLevelType w:val="hybridMultilevel"/>
    <w:tmpl w:val="D7B4952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2C510E"/>
    <w:multiLevelType w:val="hybridMultilevel"/>
    <w:tmpl w:val="9A3698EE"/>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93868EA"/>
    <w:multiLevelType w:val="hybridMultilevel"/>
    <w:tmpl w:val="36269EA0"/>
    <w:lvl w:ilvl="0">
      <w:start w:val="1"/>
      <w:numFmt w:val="decimal"/>
      <w:lvlText w:val="%1."/>
      <w:lvlJc w:val="left"/>
      <w:pPr>
        <w:ind w:left="1440" w:hanging="360"/>
      </w:pPr>
      <w:rPr>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698C655C"/>
    <w:multiLevelType w:val="hybridMultilevel"/>
    <w:tmpl w:val="36269EA0"/>
    <w:lvl w:ilvl="0">
      <w:start w:val="1"/>
      <w:numFmt w:val="decimal"/>
      <w:lvlText w:val="%1."/>
      <w:lvlJc w:val="left"/>
      <w:pPr>
        <w:ind w:left="1440" w:hanging="360"/>
      </w:pPr>
      <w:rPr>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D715D32"/>
    <w:multiLevelType w:val="hybridMultilevel"/>
    <w:tmpl w:val="36269EA0"/>
    <w:lvl w:ilvl="0">
      <w:start w:val="1"/>
      <w:numFmt w:val="decimal"/>
      <w:lvlText w:val="%1."/>
      <w:lvlJc w:val="left"/>
      <w:pPr>
        <w:ind w:left="1440" w:hanging="360"/>
      </w:pPr>
      <w:rPr>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0"/>
  </w:num>
  <w:num w:numId="2">
    <w:abstractNumId w:val="4"/>
  </w:num>
  <w:num w:numId="3">
    <w:abstractNumId w:val="0"/>
    <w:lvlOverride w:ilvl="0">
      <w:lvl w:ilvl="0">
        <w:start w:val="0"/>
        <w:numFmt w:val="bullet"/>
        <w:pStyle w:val="par1"/>
        <w:lvlText w:val=""/>
        <w:legacy w:legacy="1" w:legacySpace="0" w:legacyIndent="360"/>
        <w:lvlJc w:val="left"/>
        <w:rPr>
          <w:rFonts w:ascii="Symbol" w:hAnsi="Symbol" w:hint="default"/>
        </w:rPr>
      </w:lvl>
    </w:lvlOverride>
  </w:num>
  <w:num w:numId="4">
    <w:abstractNumId w:val="9"/>
  </w:num>
  <w:num w:numId="5">
    <w:abstractNumId w:val="13"/>
  </w:num>
  <w:num w:numId="6">
    <w:abstractNumId w:val="5"/>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10"/>
  </w:num>
  <w:num w:numId="19">
    <w:abstractNumId w:val="14"/>
  </w:num>
  <w:num w:numId="20">
    <w:abstractNumId w:val="10"/>
  </w:num>
  <w:num w:numId="21">
    <w:abstractNumId w:val="10"/>
  </w:num>
  <w:num w:numId="22">
    <w:abstractNumId w:val="8"/>
  </w:num>
  <w:num w:numId="23">
    <w:abstractNumId w:val="12"/>
  </w:num>
  <w:num w:numId="24">
    <w:abstractNumId w:val="11"/>
  </w:num>
  <w:num w:numId="25">
    <w:abstractNumId w:val="4"/>
  </w:num>
  <w:num w:numId="26">
    <w:abstractNumId w:val="4"/>
  </w:num>
  <w:num w:numId="27">
    <w:abstractNumId w:val="4"/>
  </w:num>
  <w:num w:numId="28">
    <w:abstractNumId w:val="4"/>
  </w:num>
  <w:num w:numId="29">
    <w:abstractNumId w:val="2"/>
  </w:num>
  <w:num w:numId="30">
    <w:abstractNumId w:val="7"/>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97"/>
    <w:rsid w:val="000016F3"/>
    <w:rsid w:val="000022A3"/>
    <w:rsid w:val="00002A49"/>
    <w:rsid w:val="00004425"/>
    <w:rsid w:val="0000496D"/>
    <w:rsid w:val="00004E15"/>
    <w:rsid w:val="00007182"/>
    <w:rsid w:val="000102F4"/>
    <w:rsid w:val="0001258E"/>
    <w:rsid w:val="000167A5"/>
    <w:rsid w:val="00017B93"/>
    <w:rsid w:val="00017CEC"/>
    <w:rsid w:val="00023B0A"/>
    <w:rsid w:val="000248C9"/>
    <w:rsid w:val="0002561E"/>
    <w:rsid w:val="0002700A"/>
    <w:rsid w:val="000338BD"/>
    <w:rsid w:val="000339FA"/>
    <w:rsid w:val="0003407C"/>
    <w:rsid w:val="00036230"/>
    <w:rsid w:val="00036F41"/>
    <w:rsid w:val="000419CF"/>
    <w:rsid w:val="00041ADA"/>
    <w:rsid w:val="00042DD3"/>
    <w:rsid w:val="0004555C"/>
    <w:rsid w:val="00045B8F"/>
    <w:rsid w:val="00055273"/>
    <w:rsid w:val="00055301"/>
    <w:rsid w:val="0005751B"/>
    <w:rsid w:val="00060AAA"/>
    <w:rsid w:val="00062FDE"/>
    <w:rsid w:val="00066097"/>
    <w:rsid w:val="00071035"/>
    <w:rsid w:val="00072991"/>
    <w:rsid w:val="000753D3"/>
    <w:rsid w:val="00077918"/>
    <w:rsid w:val="0008282D"/>
    <w:rsid w:val="000836B0"/>
    <w:rsid w:val="000842CC"/>
    <w:rsid w:val="0008713A"/>
    <w:rsid w:val="00087C68"/>
    <w:rsid w:val="00091B51"/>
    <w:rsid w:val="00092C9F"/>
    <w:rsid w:val="000955CE"/>
    <w:rsid w:val="000956BD"/>
    <w:rsid w:val="000A0CA8"/>
    <w:rsid w:val="000A12D8"/>
    <w:rsid w:val="000A18F7"/>
    <w:rsid w:val="000A2AD8"/>
    <w:rsid w:val="000A2B99"/>
    <w:rsid w:val="000A4E1B"/>
    <w:rsid w:val="000B088C"/>
    <w:rsid w:val="000B1EAA"/>
    <w:rsid w:val="000B34B5"/>
    <w:rsid w:val="000B50EC"/>
    <w:rsid w:val="000B5D22"/>
    <w:rsid w:val="000B62D6"/>
    <w:rsid w:val="000B63EA"/>
    <w:rsid w:val="000B6D0F"/>
    <w:rsid w:val="000B7239"/>
    <w:rsid w:val="000C0733"/>
    <w:rsid w:val="000C2431"/>
    <w:rsid w:val="000C320C"/>
    <w:rsid w:val="000C5672"/>
    <w:rsid w:val="000C5A7E"/>
    <w:rsid w:val="000C6DA8"/>
    <w:rsid w:val="000C71B9"/>
    <w:rsid w:val="000D25FC"/>
    <w:rsid w:val="000D2C5A"/>
    <w:rsid w:val="000D4871"/>
    <w:rsid w:val="000D6893"/>
    <w:rsid w:val="000D79BC"/>
    <w:rsid w:val="000D7F00"/>
    <w:rsid w:val="000E21D8"/>
    <w:rsid w:val="000E4C86"/>
    <w:rsid w:val="000E5156"/>
    <w:rsid w:val="000E56E3"/>
    <w:rsid w:val="000E5A08"/>
    <w:rsid w:val="000F099A"/>
    <w:rsid w:val="000F349C"/>
    <w:rsid w:val="000F3AB6"/>
    <w:rsid w:val="000F6A5D"/>
    <w:rsid w:val="000F717A"/>
    <w:rsid w:val="00101554"/>
    <w:rsid w:val="00102224"/>
    <w:rsid w:val="00103004"/>
    <w:rsid w:val="0010610E"/>
    <w:rsid w:val="001117FA"/>
    <w:rsid w:val="00113746"/>
    <w:rsid w:val="00113F1F"/>
    <w:rsid w:val="00115BCC"/>
    <w:rsid w:val="001164DE"/>
    <w:rsid w:val="0011653A"/>
    <w:rsid w:val="00116FF2"/>
    <w:rsid w:val="00117043"/>
    <w:rsid w:val="0012081E"/>
    <w:rsid w:val="0012136C"/>
    <w:rsid w:val="00121EC4"/>
    <w:rsid w:val="001266EE"/>
    <w:rsid w:val="00130093"/>
    <w:rsid w:val="00132A91"/>
    <w:rsid w:val="00132B52"/>
    <w:rsid w:val="0013318E"/>
    <w:rsid w:val="001335E2"/>
    <w:rsid w:val="001338C8"/>
    <w:rsid w:val="001342BB"/>
    <w:rsid w:val="00134D8C"/>
    <w:rsid w:val="001370BA"/>
    <w:rsid w:val="001379A9"/>
    <w:rsid w:val="00140165"/>
    <w:rsid w:val="00140C02"/>
    <w:rsid w:val="00140E07"/>
    <w:rsid w:val="001411CA"/>
    <w:rsid w:val="0014161C"/>
    <w:rsid w:val="00146878"/>
    <w:rsid w:val="001546C5"/>
    <w:rsid w:val="00155300"/>
    <w:rsid w:val="001561BF"/>
    <w:rsid w:val="0015753B"/>
    <w:rsid w:val="001578D4"/>
    <w:rsid w:val="0015796F"/>
    <w:rsid w:val="00157A74"/>
    <w:rsid w:val="00157D50"/>
    <w:rsid w:val="00161242"/>
    <w:rsid w:val="00162252"/>
    <w:rsid w:val="00162F01"/>
    <w:rsid w:val="00163E9E"/>
    <w:rsid w:val="001658C2"/>
    <w:rsid w:val="00165A68"/>
    <w:rsid w:val="00166D78"/>
    <w:rsid w:val="001736FE"/>
    <w:rsid w:val="00176943"/>
    <w:rsid w:val="00181123"/>
    <w:rsid w:val="00181DDE"/>
    <w:rsid w:val="00181E4C"/>
    <w:rsid w:val="00182EF5"/>
    <w:rsid w:val="00187044"/>
    <w:rsid w:val="001875A0"/>
    <w:rsid w:val="001917E0"/>
    <w:rsid w:val="00192553"/>
    <w:rsid w:val="00192757"/>
    <w:rsid w:val="00192C51"/>
    <w:rsid w:val="00192F11"/>
    <w:rsid w:val="00193A4F"/>
    <w:rsid w:val="00193C60"/>
    <w:rsid w:val="001978E3"/>
    <w:rsid w:val="001A0997"/>
    <w:rsid w:val="001A0DF7"/>
    <w:rsid w:val="001A13B4"/>
    <w:rsid w:val="001A1EB2"/>
    <w:rsid w:val="001A3AA5"/>
    <w:rsid w:val="001A55A6"/>
    <w:rsid w:val="001A5973"/>
    <w:rsid w:val="001A7E47"/>
    <w:rsid w:val="001B048F"/>
    <w:rsid w:val="001B098A"/>
    <w:rsid w:val="001B17C7"/>
    <w:rsid w:val="001B3F0D"/>
    <w:rsid w:val="001B51B3"/>
    <w:rsid w:val="001B5826"/>
    <w:rsid w:val="001C3D3E"/>
    <w:rsid w:val="001C4976"/>
    <w:rsid w:val="001C55DA"/>
    <w:rsid w:val="001C5D69"/>
    <w:rsid w:val="001C6143"/>
    <w:rsid w:val="001D278F"/>
    <w:rsid w:val="001D2CA1"/>
    <w:rsid w:val="001D6380"/>
    <w:rsid w:val="001D764D"/>
    <w:rsid w:val="001D76E1"/>
    <w:rsid w:val="001D79C9"/>
    <w:rsid w:val="001E0B21"/>
    <w:rsid w:val="001E0E7A"/>
    <w:rsid w:val="001E1850"/>
    <w:rsid w:val="001E30BA"/>
    <w:rsid w:val="001E35F4"/>
    <w:rsid w:val="001F0EA0"/>
    <w:rsid w:val="001F50FB"/>
    <w:rsid w:val="001F5F4A"/>
    <w:rsid w:val="001F6E39"/>
    <w:rsid w:val="002007B3"/>
    <w:rsid w:val="0020400F"/>
    <w:rsid w:val="002062C0"/>
    <w:rsid w:val="00206816"/>
    <w:rsid w:val="00207C9B"/>
    <w:rsid w:val="00207DF7"/>
    <w:rsid w:val="00213B1E"/>
    <w:rsid w:val="0022209C"/>
    <w:rsid w:val="0022220E"/>
    <w:rsid w:val="002229D3"/>
    <w:rsid w:val="002233CA"/>
    <w:rsid w:val="00225C23"/>
    <w:rsid w:val="00225F70"/>
    <w:rsid w:val="00226972"/>
    <w:rsid w:val="002311CA"/>
    <w:rsid w:val="00235D0E"/>
    <w:rsid w:val="00236A9A"/>
    <w:rsid w:val="00236EF2"/>
    <w:rsid w:val="00240864"/>
    <w:rsid w:val="00241A9F"/>
    <w:rsid w:val="002426BE"/>
    <w:rsid w:val="00243DEB"/>
    <w:rsid w:val="00247833"/>
    <w:rsid w:val="00250647"/>
    <w:rsid w:val="00251693"/>
    <w:rsid w:val="00252DB4"/>
    <w:rsid w:val="002532FD"/>
    <w:rsid w:val="00254F94"/>
    <w:rsid w:val="002553BA"/>
    <w:rsid w:val="00257836"/>
    <w:rsid w:val="00261D3D"/>
    <w:rsid w:val="00262203"/>
    <w:rsid w:val="00262719"/>
    <w:rsid w:val="00266B3F"/>
    <w:rsid w:val="002677B9"/>
    <w:rsid w:val="00270F8E"/>
    <w:rsid w:val="00271650"/>
    <w:rsid w:val="00272286"/>
    <w:rsid w:val="002735A6"/>
    <w:rsid w:val="002741DC"/>
    <w:rsid w:val="00274E69"/>
    <w:rsid w:val="00276885"/>
    <w:rsid w:val="00277206"/>
    <w:rsid w:val="0028025D"/>
    <w:rsid w:val="002818D9"/>
    <w:rsid w:val="00282713"/>
    <w:rsid w:val="00285977"/>
    <w:rsid w:val="00286A1D"/>
    <w:rsid w:val="00286CB6"/>
    <w:rsid w:val="002907BB"/>
    <w:rsid w:val="00290A3F"/>
    <w:rsid w:val="00290AFF"/>
    <w:rsid w:val="002951D5"/>
    <w:rsid w:val="002956D4"/>
    <w:rsid w:val="00296CC5"/>
    <w:rsid w:val="00297365"/>
    <w:rsid w:val="002A0BEE"/>
    <w:rsid w:val="002A2955"/>
    <w:rsid w:val="002A4FBA"/>
    <w:rsid w:val="002B028A"/>
    <w:rsid w:val="002B0FA3"/>
    <w:rsid w:val="002B3627"/>
    <w:rsid w:val="002B3BAF"/>
    <w:rsid w:val="002B58DD"/>
    <w:rsid w:val="002B7713"/>
    <w:rsid w:val="002B7FA5"/>
    <w:rsid w:val="002C085F"/>
    <w:rsid w:val="002C0D6B"/>
    <w:rsid w:val="002C7078"/>
    <w:rsid w:val="002C7103"/>
    <w:rsid w:val="002C7DCD"/>
    <w:rsid w:val="002C7FA7"/>
    <w:rsid w:val="002D0676"/>
    <w:rsid w:val="002D07BD"/>
    <w:rsid w:val="002D288C"/>
    <w:rsid w:val="002D2AB4"/>
    <w:rsid w:val="002D3321"/>
    <w:rsid w:val="002E1FA0"/>
    <w:rsid w:val="002E2090"/>
    <w:rsid w:val="002E4B24"/>
    <w:rsid w:val="002F094E"/>
    <w:rsid w:val="002F13EB"/>
    <w:rsid w:val="002F1A41"/>
    <w:rsid w:val="002F1D73"/>
    <w:rsid w:val="002F3135"/>
    <w:rsid w:val="002F579D"/>
    <w:rsid w:val="002F6DEC"/>
    <w:rsid w:val="003006D6"/>
    <w:rsid w:val="00300B2D"/>
    <w:rsid w:val="0030133D"/>
    <w:rsid w:val="00301F0B"/>
    <w:rsid w:val="00303A8E"/>
    <w:rsid w:val="003052AD"/>
    <w:rsid w:val="00305C6C"/>
    <w:rsid w:val="00306CC7"/>
    <w:rsid w:val="00307127"/>
    <w:rsid w:val="00307445"/>
    <w:rsid w:val="003075A0"/>
    <w:rsid w:val="003106DC"/>
    <w:rsid w:val="0031126D"/>
    <w:rsid w:val="00311D8C"/>
    <w:rsid w:val="00313573"/>
    <w:rsid w:val="00321525"/>
    <w:rsid w:val="00323CA0"/>
    <w:rsid w:val="003252AD"/>
    <w:rsid w:val="003261DD"/>
    <w:rsid w:val="003264A5"/>
    <w:rsid w:val="00333808"/>
    <w:rsid w:val="003341BE"/>
    <w:rsid w:val="00342BD4"/>
    <w:rsid w:val="003430CC"/>
    <w:rsid w:val="00343762"/>
    <w:rsid w:val="00343E68"/>
    <w:rsid w:val="003444AE"/>
    <w:rsid w:val="00344C0B"/>
    <w:rsid w:val="00346BCE"/>
    <w:rsid w:val="00347142"/>
    <w:rsid w:val="00350A11"/>
    <w:rsid w:val="00353155"/>
    <w:rsid w:val="003535FF"/>
    <w:rsid w:val="0035531E"/>
    <w:rsid w:val="00355744"/>
    <w:rsid w:val="00361E2D"/>
    <w:rsid w:val="00366635"/>
    <w:rsid w:val="003704B3"/>
    <w:rsid w:val="00371492"/>
    <w:rsid w:val="00371CE9"/>
    <w:rsid w:val="00371E50"/>
    <w:rsid w:val="00371FAE"/>
    <w:rsid w:val="00372A09"/>
    <w:rsid w:val="003734F5"/>
    <w:rsid w:val="003749EF"/>
    <w:rsid w:val="00380214"/>
    <w:rsid w:val="00380CF9"/>
    <w:rsid w:val="0038169C"/>
    <w:rsid w:val="003823C6"/>
    <w:rsid w:val="003830BA"/>
    <w:rsid w:val="003837E3"/>
    <w:rsid w:val="003924EB"/>
    <w:rsid w:val="00392A70"/>
    <w:rsid w:val="00395445"/>
    <w:rsid w:val="003A4954"/>
    <w:rsid w:val="003A4E9D"/>
    <w:rsid w:val="003A7DF3"/>
    <w:rsid w:val="003B1876"/>
    <w:rsid w:val="003B1A51"/>
    <w:rsid w:val="003B2E46"/>
    <w:rsid w:val="003B4BC2"/>
    <w:rsid w:val="003B7457"/>
    <w:rsid w:val="003B776F"/>
    <w:rsid w:val="003C079A"/>
    <w:rsid w:val="003C167A"/>
    <w:rsid w:val="003C1E93"/>
    <w:rsid w:val="003C2807"/>
    <w:rsid w:val="003C38CE"/>
    <w:rsid w:val="003C4439"/>
    <w:rsid w:val="003C6EC1"/>
    <w:rsid w:val="003C7BED"/>
    <w:rsid w:val="003D2333"/>
    <w:rsid w:val="003D2DE2"/>
    <w:rsid w:val="003D348D"/>
    <w:rsid w:val="003D4CEA"/>
    <w:rsid w:val="003D60EC"/>
    <w:rsid w:val="003D76F7"/>
    <w:rsid w:val="003D7D53"/>
    <w:rsid w:val="003E1A83"/>
    <w:rsid w:val="003E1E84"/>
    <w:rsid w:val="003E55DD"/>
    <w:rsid w:val="003E74F2"/>
    <w:rsid w:val="003E7634"/>
    <w:rsid w:val="003F044D"/>
    <w:rsid w:val="003F31C4"/>
    <w:rsid w:val="003F3D61"/>
    <w:rsid w:val="003F43DC"/>
    <w:rsid w:val="003F6761"/>
    <w:rsid w:val="00400325"/>
    <w:rsid w:val="0040242B"/>
    <w:rsid w:val="004029A3"/>
    <w:rsid w:val="00404D60"/>
    <w:rsid w:val="00404F61"/>
    <w:rsid w:val="00407C88"/>
    <w:rsid w:val="004104A2"/>
    <w:rsid w:val="0041063D"/>
    <w:rsid w:val="00410F34"/>
    <w:rsid w:val="00411E61"/>
    <w:rsid w:val="00414A4A"/>
    <w:rsid w:val="00414E28"/>
    <w:rsid w:val="004179E8"/>
    <w:rsid w:val="00421C74"/>
    <w:rsid w:val="0042457A"/>
    <w:rsid w:val="004245A3"/>
    <w:rsid w:val="0042480B"/>
    <w:rsid w:val="00425869"/>
    <w:rsid w:val="00426E9F"/>
    <w:rsid w:val="00430ACD"/>
    <w:rsid w:val="00430BAC"/>
    <w:rsid w:val="004317CE"/>
    <w:rsid w:val="00431BB1"/>
    <w:rsid w:val="00431DFD"/>
    <w:rsid w:val="00432887"/>
    <w:rsid w:val="00432896"/>
    <w:rsid w:val="00432BFF"/>
    <w:rsid w:val="00433191"/>
    <w:rsid w:val="004356B0"/>
    <w:rsid w:val="004369C6"/>
    <w:rsid w:val="00440906"/>
    <w:rsid w:val="00440BD7"/>
    <w:rsid w:val="00440BF4"/>
    <w:rsid w:val="00444E75"/>
    <w:rsid w:val="004454FE"/>
    <w:rsid w:val="00445B4D"/>
    <w:rsid w:val="004460C9"/>
    <w:rsid w:val="00446A85"/>
    <w:rsid w:val="004505F4"/>
    <w:rsid w:val="004515F2"/>
    <w:rsid w:val="00452D53"/>
    <w:rsid w:val="00453609"/>
    <w:rsid w:val="00453D75"/>
    <w:rsid w:val="00454BA6"/>
    <w:rsid w:val="00454D7E"/>
    <w:rsid w:val="00456486"/>
    <w:rsid w:val="004568CA"/>
    <w:rsid w:val="004570B9"/>
    <w:rsid w:val="0046050A"/>
    <w:rsid w:val="0046243C"/>
    <w:rsid w:val="0046340A"/>
    <w:rsid w:val="00464C95"/>
    <w:rsid w:val="00470026"/>
    <w:rsid w:val="004703F6"/>
    <w:rsid w:val="00470667"/>
    <w:rsid w:val="00472B18"/>
    <w:rsid w:val="004739C9"/>
    <w:rsid w:val="00473B8C"/>
    <w:rsid w:val="004746CD"/>
    <w:rsid w:val="00475C48"/>
    <w:rsid w:val="00476459"/>
    <w:rsid w:val="004764B3"/>
    <w:rsid w:val="0047715D"/>
    <w:rsid w:val="00481AD8"/>
    <w:rsid w:val="004831C5"/>
    <w:rsid w:val="004832DE"/>
    <w:rsid w:val="00483F2D"/>
    <w:rsid w:val="004841A6"/>
    <w:rsid w:val="0048643C"/>
    <w:rsid w:val="00486A01"/>
    <w:rsid w:val="00487A70"/>
    <w:rsid w:val="00490432"/>
    <w:rsid w:val="00490A26"/>
    <w:rsid w:val="004917F4"/>
    <w:rsid w:val="004917F7"/>
    <w:rsid w:val="00497B9C"/>
    <w:rsid w:val="004A3762"/>
    <w:rsid w:val="004A399A"/>
    <w:rsid w:val="004A3B10"/>
    <w:rsid w:val="004A44EC"/>
    <w:rsid w:val="004A460C"/>
    <w:rsid w:val="004A4749"/>
    <w:rsid w:val="004A4F0E"/>
    <w:rsid w:val="004B2701"/>
    <w:rsid w:val="004B2ADA"/>
    <w:rsid w:val="004B2D07"/>
    <w:rsid w:val="004B300C"/>
    <w:rsid w:val="004B36D5"/>
    <w:rsid w:val="004B3AF8"/>
    <w:rsid w:val="004B4FE5"/>
    <w:rsid w:val="004B574C"/>
    <w:rsid w:val="004B7821"/>
    <w:rsid w:val="004B79E3"/>
    <w:rsid w:val="004C005C"/>
    <w:rsid w:val="004C0989"/>
    <w:rsid w:val="004C1F18"/>
    <w:rsid w:val="004C37B5"/>
    <w:rsid w:val="004C3F3C"/>
    <w:rsid w:val="004C65E7"/>
    <w:rsid w:val="004C77C9"/>
    <w:rsid w:val="004D28E7"/>
    <w:rsid w:val="004D2DDD"/>
    <w:rsid w:val="004D3034"/>
    <w:rsid w:val="004D5989"/>
    <w:rsid w:val="004E02A7"/>
    <w:rsid w:val="004E1260"/>
    <w:rsid w:val="004E1468"/>
    <w:rsid w:val="004E1803"/>
    <w:rsid w:val="004E224B"/>
    <w:rsid w:val="004E4057"/>
    <w:rsid w:val="004E42FA"/>
    <w:rsid w:val="004E61FA"/>
    <w:rsid w:val="004E77EF"/>
    <w:rsid w:val="004F15E2"/>
    <w:rsid w:val="004F1AAC"/>
    <w:rsid w:val="004F2218"/>
    <w:rsid w:val="004F33A6"/>
    <w:rsid w:val="004F3F4F"/>
    <w:rsid w:val="004F4256"/>
    <w:rsid w:val="004F4B29"/>
    <w:rsid w:val="004F5168"/>
    <w:rsid w:val="004F63DB"/>
    <w:rsid w:val="00500DDC"/>
    <w:rsid w:val="0050108F"/>
    <w:rsid w:val="005032C2"/>
    <w:rsid w:val="00504D93"/>
    <w:rsid w:val="00505886"/>
    <w:rsid w:val="0050757D"/>
    <w:rsid w:val="00510BC6"/>
    <w:rsid w:val="005120E0"/>
    <w:rsid w:val="005126E0"/>
    <w:rsid w:val="005138DC"/>
    <w:rsid w:val="00514949"/>
    <w:rsid w:val="0051655C"/>
    <w:rsid w:val="005205BE"/>
    <w:rsid w:val="00521217"/>
    <w:rsid w:val="00521C46"/>
    <w:rsid w:val="00522837"/>
    <w:rsid w:val="00524BE9"/>
    <w:rsid w:val="00526611"/>
    <w:rsid w:val="00526A1F"/>
    <w:rsid w:val="00527875"/>
    <w:rsid w:val="00531570"/>
    <w:rsid w:val="00533C04"/>
    <w:rsid w:val="005361C5"/>
    <w:rsid w:val="00541A7D"/>
    <w:rsid w:val="0054330F"/>
    <w:rsid w:val="005474E4"/>
    <w:rsid w:val="00553349"/>
    <w:rsid w:val="00553A9D"/>
    <w:rsid w:val="00554DCB"/>
    <w:rsid w:val="005559F3"/>
    <w:rsid w:val="00562288"/>
    <w:rsid w:val="00564606"/>
    <w:rsid w:val="00565EDD"/>
    <w:rsid w:val="00565EFE"/>
    <w:rsid w:val="00566C97"/>
    <w:rsid w:val="00566D7B"/>
    <w:rsid w:val="005675DA"/>
    <w:rsid w:val="00573720"/>
    <w:rsid w:val="00574901"/>
    <w:rsid w:val="00575B6D"/>
    <w:rsid w:val="00575F09"/>
    <w:rsid w:val="0058071F"/>
    <w:rsid w:val="0058077B"/>
    <w:rsid w:val="0058221E"/>
    <w:rsid w:val="00586290"/>
    <w:rsid w:val="00586E0C"/>
    <w:rsid w:val="00590073"/>
    <w:rsid w:val="00590AB0"/>
    <w:rsid w:val="00591867"/>
    <w:rsid w:val="00591CB8"/>
    <w:rsid w:val="00592905"/>
    <w:rsid w:val="00592E68"/>
    <w:rsid w:val="00593056"/>
    <w:rsid w:val="0059680C"/>
    <w:rsid w:val="005A100F"/>
    <w:rsid w:val="005A114B"/>
    <w:rsid w:val="005A12A9"/>
    <w:rsid w:val="005A2D7B"/>
    <w:rsid w:val="005A3850"/>
    <w:rsid w:val="005A61CB"/>
    <w:rsid w:val="005B051A"/>
    <w:rsid w:val="005B0A13"/>
    <w:rsid w:val="005B3AE2"/>
    <w:rsid w:val="005B41D6"/>
    <w:rsid w:val="005B4B54"/>
    <w:rsid w:val="005B6FC2"/>
    <w:rsid w:val="005B75A6"/>
    <w:rsid w:val="005D00D4"/>
    <w:rsid w:val="005D0B61"/>
    <w:rsid w:val="005D1570"/>
    <w:rsid w:val="005D214E"/>
    <w:rsid w:val="005D24D4"/>
    <w:rsid w:val="005D339E"/>
    <w:rsid w:val="005D38B0"/>
    <w:rsid w:val="005D3AE8"/>
    <w:rsid w:val="005D3D93"/>
    <w:rsid w:val="005D3FAE"/>
    <w:rsid w:val="005D6ABB"/>
    <w:rsid w:val="005D6DB0"/>
    <w:rsid w:val="005E0AC7"/>
    <w:rsid w:val="005E0DEB"/>
    <w:rsid w:val="005E2F18"/>
    <w:rsid w:val="005F03AB"/>
    <w:rsid w:val="005F2B96"/>
    <w:rsid w:val="005F2C6B"/>
    <w:rsid w:val="005F3746"/>
    <w:rsid w:val="005F5373"/>
    <w:rsid w:val="005F7B6C"/>
    <w:rsid w:val="00600B88"/>
    <w:rsid w:val="006014B3"/>
    <w:rsid w:val="00601AD1"/>
    <w:rsid w:val="00603913"/>
    <w:rsid w:val="00603B87"/>
    <w:rsid w:val="00603BA7"/>
    <w:rsid w:val="006075BE"/>
    <w:rsid w:val="00610A44"/>
    <w:rsid w:val="00611A68"/>
    <w:rsid w:val="006135E8"/>
    <w:rsid w:val="00613F6D"/>
    <w:rsid w:val="00615624"/>
    <w:rsid w:val="0061796C"/>
    <w:rsid w:val="006203BD"/>
    <w:rsid w:val="006208E9"/>
    <w:rsid w:val="00623C33"/>
    <w:rsid w:val="00624378"/>
    <w:rsid w:val="00626B36"/>
    <w:rsid w:val="00626B7D"/>
    <w:rsid w:val="00626E37"/>
    <w:rsid w:val="00627D07"/>
    <w:rsid w:val="0063161F"/>
    <w:rsid w:val="00631F74"/>
    <w:rsid w:val="00634690"/>
    <w:rsid w:val="00634DA2"/>
    <w:rsid w:val="006361C6"/>
    <w:rsid w:val="00637764"/>
    <w:rsid w:val="00637FBF"/>
    <w:rsid w:val="00641786"/>
    <w:rsid w:val="00642935"/>
    <w:rsid w:val="00643A7A"/>
    <w:rsid w:val="006448F4"/>
    <w:rsid w:val="0064770C"/>
    <w:rsid w:val="00651A73"/>
    <w:rsid w:val="00651ED6"/>
    <w:rsid w:val="00652DAF"/>
    <w:rsid w:val="00653DB6"/>
    <w:rsid w:val="00654429"/>
    <w:rsid w:val="006572BB"/>
    <w:rsid w:val="00663191"/>
    <w:rsid w:val="00665717"/>
    <w:rsid w:val="006709C5"/>
    <w:rsid w:val="00670FC1"/>
    <w:rsid w:val="006725DA"/>
    <w:rsid w:val="00672E2C"/>
    <w:rsid w:val="006744D2"/>
    <w:rsid w:val="0067467F"/>
    <w:rsid w:val="00675035"/>
    <w:rsid w:val="00676092"/>
    <w:rsid w:val="00677107"/>
    <w:rsid w:val="00683543"/>
    <w:rsid w:val="00683670"/>
    <w:rsid w:val="00684368"/>
    <w:rsid w:val="00687042"/>
    <w:rsid w:val="00690766"/>
    <w:rsid w:val="0069142F"/>
    <w:rsid w:val="00691801"/>
    <w:rsid w:val="006964E6"/>
    <w:rsid w:val="006A11A8"/>
    <w:rsid w:val="006A28C4"/>
    <w:rsid w:val="006A37CA"/>
    <w:rsid w:val="006A3A58"/>
    <w:rsid w:val="006A51C3"/>
    <w:rsid w:val="006A5BB1"/>
    <w:rsid w:val="006B08EC"/>
    <w:rsid w:val="006B14D5"/>
    <w:rsid w:val="006B2134"/>
    <w:rsid w:val="006B2A9C"/>
    <w:rsid w:val="006B36CF"/>
    <w:rsid w:val="006B5F43"/>
    <w:rsid w:val="006B61E1"/>
    <w:rsid w:val="006B670F"/>
    <w:rsid w:val="006C0FF7"/>
    <w:rsid w:val="006C1251"/>
    <w:rsid w:val="006C1F71"/>
    <w:rsid w:val="006C21AE"/>
    <w:rsid w:val="006C3FFD"/>
    <w:rsid w:val="006C45D8"/>
    <w:rsid w:val="006C686A"/>
    <w:rsid w:val="006C710E"/>
    <w:rsid w:val="006C7760"/>
    <w:rsid w:val="006D14D1"/>
    <w:rsid w:val="006D18F2"/>
    <w:rsid w:val="006D4990"/>
    <w:rsid w:val="006D5A35"/>
    <w:rsid w:val="006D6370"/>
    <w:rsid w:val="006D7A15"/>
    <w:rsid w:val="006E10A4"/>
    <w:rsid w:val="006E1DB5"/>
    <w:rsid w:val="006E1FE0"/>
    <w:rsid w:val="006E2271"/>
    <w:rsid w:val="006E3D97"/>
    <w:rsid w:val="006E5970"/>
    <w:rsid w:val="006E7D9A"/>
    <w:rsid w:val="006F04D3"/>
    <w:rsid w:val="006F0701"/>
    <w:rsid w:val="006F17E3"/>
    <w:rsid w:val="006F35DE"/>
    <w:rsid w:val="006F39B5"/>
    <w:rsid w:val="006F54A6"/>
    <w:rsid w:val="006F725D"/>
    <w:rsid w:val="006F79E6"/>
    <w:rsid w:val="006F7A44"/>
    <w:rsid w:val="00700618"/>
    <w:rsid w:val="00700AD5"/>
    <w:rsid w:val="0070194F"/>
    <w:rsid w:val="0070262E"/>
    <w:rsid w:val="00703B31"/>
    <w:rsid w:val="007040BE"/>
    <w:rsid w:val="00704573"/>
    <w:rsid w:val="00705F04"/>
    <w:rsid w:val="00706D3D"/>
    <w:rsid w:val="00707345"/>
    <w:rsid w:val="007125D8"/>
    <w:rsid w:val="00715E77"/>
    <w:rsid w:val="007160A9"/>
    <w:rsid w:val="00716713"/>
    <w:rsid w:val="00717370"/>
    <w:rsid w:val="00717465"/>
    <w:rsid w:val="00721AD8"/>
    <w:rsid w:val="00722748"/>
    <w:rsid w:val="0072346B"/>
    <w:rsid w:val="00723AB8"/>
    <w:rsid w:val="00725CBE"/>
    <w:rsid w:val="007267F5"/>
    <w:rsid w:val="007315F8"/>
    <w:rsid w:val="0073497D"/>
    <w:rsid w:val="00736DF1"/>
    <w:rsid w:val="00736FFD"/>
    <w:rsid w:val="007410F9"/>
    <w:rsid w:val="007418D1"/>
    <w:rsid w:val="00741F63"/>
    <w:rsid w:val="00741F98"/>
    <w:rsid w:val="00746139"/>
    <w:rsid w:val="007475D6"/>
    <w:rsid w:val="00751373"/>
    <w:rsid w:val="00755004"/>
    <w:rsid w:val="00755156"/>
    <w:rsid w:val="00757217"/>
    <w:rsid w:val="00757CD4"/>
    <w:rsid w:val="007603E9"/>
    <w:rsid w:val="00762990"/>
    <w:rsid w:val="007634BF"/>
    <w:rsid w:val="00764889"/>
    <w:rsid w:val="00764F17"/>
    <w:rsid w:val="007662C8"/>
    <w:rsid w:val="00766402"/>
    <w:rsid w:val="00766A30"/>
    <w:rsid w:val="00767B60"/>
    <w:rsid w:val="00773AEC"/>
    <w:rsid w:val="00775F58"/>
    <w:rsid w:val="0077638E"/>
    <w:rsid w:val="00782E06"/>
    <w:rsid w:val="00785F36"/>
    <w:rsid w:val="0078763C"/>
    <w:rsid w:val="00790F00"/>
    <w:rsid w:val="00794A14"/>
    <w:rsid w:val="00797057"/>
    <w:rsid w:val="00797094"/>
    <w:rsid w:val="007A219A"/>
    <w:rsid w:val="007A2A64"/>
    <w:rsid w:val="007A3FAD"/>
    <w:rsid w:val="007A49F3"/>
    <w:rsid w:val="007A50ED"/>
    <w:rsid w:val="007A5BD2"/>
    <w:rsid w:val="007B1DE1"/>
    <w:rsid w:val="007B4641"/>
    <w:rsid w:val="007B60BE"/>
    <w:rsid w:val="007C06EE"/>
    <w:rsid w:val="007C0E50"/>
    <w:rsid w:val="007C122D"/>
    <w:rsid w:val="007C12CE"/>
    <w:rsid w:val="007C1F3A"/>
    <w:rsid w:val="007C296B"/>
    <w:rsid w:val="007C4C17"/>
    <w:rsid w:val="007C53DC"/>
    <w:rsid w:val="007D1BDC"/>
    <w:rsid w:val="007D2453"/>
    <w:rsid w:val="007D4C06"/>
    <w:rsid w:val="007D5320"/>
    <w:rsid w:val="007D7472"/>
    <w:rsid w:val="007E07C7"/>
    <w:rsid w:val="007E228F"/>
    <w:rsid w:val="007E295E"/>
    <w:rsid w:val="007E35C9"/>
    <w:rsid w:val="007E499E"/>
    <w:rsid w:val="007E4C6B"/>
    <w:rsid w:val="007F043E"/>
    <w:rsid w:val="007F0A8E"/>
    <w:rsid w:val="007F0E9D"/>
    <w:rsid w:val="007F4169"/>
    <w:rsid w:val="007F477D"/>
    <w:rsid w:val="007F4F0E"/>
    <w:rsid w:val="007F60FE"/>
    <w:rsid w:val="007F7AB8"/>
    <w:rsid w:val="0080076F"/>
    <w:rsid w:val="008019AC"/>
    <w:rsid w:val="00801D1D"/>
    <w:rsid w:val="00802503"/>
    <w:rsid w:val="0080294F"/>
    <w:rsid w:val="0080606B"/>
    <w:rsid w:val="00806440"/>
    <w:rsid w:val="00806F78"/>
    <w:rsid w:val="008074CC"/>
    <w:rsid w:val="00812A03"/>
    <w:rsid w:val="00812C50"/>
    <w:rsid w:val="0081324A"/>
    <w:rsid w:val="00813B93"/>
    <w:rsid w:val="00814216"/>
    <w:rsid w:val="00815EF3"/>
    <w:rsid w:val="0081614A"/>
    <w:rsid w:val="0082075F"/>
    <w:rsid w:val="00820F54"/>
    <w:rsid w:val="00821B91"/>
    <w:rsid w:val="0082209A"/>
    <w:rsid w:val="00823395"/>
    <w:rsid w:val="00823B70"/>
    <w:rsid w:val="008333D8"/>
    <w:rsid w:val="008357EE"/>
    <w:rsid w:val="00836031"/>
    <w:rsid w:val="00836BA9"/>
    <w:rsid w:val="0084095C"/>
    <w:rsid w:val="0084120A"/>
    <w:rsid w:val="00841EA0"/>
    <w:rsid w:val="00842FF2"/>
    <w:rsid w:val="0084331A"/>
    <w:rsid w:val="0084467C"/>
    <w:rsid w:val="008506F2"/>
    <w:rsid w:val="0085145A"/>
    <w:rsid w:val="00854096"/>
    <w:rsid w:val="00854495"/>
    <w:rsid w:val="00854840"/>
    <w:rsid w:val="008572E0"/>
    <w:rsid w:val="00857F99"/>
    <w:rsid w:val="008607A4"/>
    <w:rsid w:val="00860864"/>
    <w:rsid w:val="008628E2"/>
    <w:rsid w:val="0086402A"/>
    <w:rsid w:val="008659CF"/>
    <w:rsid w:val="00866778"/>
    <w:rsid w:val="00866841"/>
    <w:rsid w:val="00871E5A"/>
    <w:rsid w:val="00872D01"/>
    <w:rsid w:val="00874B02"/>
    <w:rsid w:val="00875CA6"/>
    <w:rsid w:val="008801CA"/>
    <w:rsid w:val="008829A5"/>
    <w:rsid w:val="00882CCC"/>
    <w:rsid w:val="00883D6B"/>
    <w:rsid w:val="00884DA1"/>
    <w:rsid w:val="008910B7"/>
    <w:rsid w:val="00891C38"/>
    <w:rsid w:val="00892551"/>
    <w:rsid w:val="008936EC"/>
    <w:rsid w:val="00895DF0"/>
    <w:rsid w:val="008A7462"/>
    <w:rsid w:val="008B1912"/>
    <w:rsid w:val="008B6FE7"/>
    <w:rsid w:val="008B73B9"/>
    <w:rsid w:val="008C0E92"/>
    <w:rsid w:val="008C12CB"/>
    <w:rsid w:val="008C1584"/>
    <w:rsid w:val="008C212D"/>
    <w:rsid w:val="008C721B"/>
    <w:rsid w:val="008C7977"/>
    <w:rsid w:val="008C79AC"/>
    <w:rsid w:val="008D373E"/>
    <w:rsid w:val="008D4002"/>
    <w:rsid w:val="008D4638"/>
    <w:rsid w:val="008D4EA1"/>
    <w:rsid w:val="008D5C30"/>
    <w:rsid w:val="008E1125"/>
    <w:rsid w:val="008E2C2D"/>
    <w:rsid w:val="008E302E"/>
    <w:rsid w:val="008F02C2"/>
    <w:rsid w:val="008F0CFB"/>
    <w:rsid w:val="008F309D"/>
    <w:rsid w:val="008F7349"/>
    <w:rsid w:val="008F7A61"/>
    <w:rsid w:val="009007B1"/>
    <w:rsid w:val="00900A4B"/>
    <w:rsid w:val="00900AA8"/>
    <w:rsid w:val="00901146"/>
    <w:rsid w:val="00901EA9"/>
    <w:rsid w:val="009020D0"/>
    <w:rsid w:val="00903F55"/>
    <w:rsid w:val="009067C2"/>
    <w:rsid w:val="009108B7"/>
    <w:rsid w:val="009115E9"/>
    <w:rsid w:val="009142AB"/>
    <w:rsid w:val="0091461A"/>
    <w:rsid w:val="009211E5"/>
    <w:rsid w:val="00923414"/>
    <w:rsid w:val="009236EE"/>
    <w:rsid w:val="00924843"/>
    <w:rsid w:val="009255E1"/>
    <w:rsid w:val="00926592"/>
    <w:rsid w:val="0092706F"/>
    <w:rsid w:val="00930070"/>
    <w:rsid w:val="00932B81"/>
    <w:rsid w:val="009337DE"/>
    <w:rsid w:val="009372B4"/>
    <w:rsid w:val="00941A4D"/>
    <w:rsid w:val="00941F36"/>
    <w:rsid w:val="009421AA"/>
    <w:rsid w:val="009428ED"/>
    <w:rsid w:val="009459F9"/>
    <w:rsid w:val="009471E2"/>
    <w:rsid w:val="009501F8"/>
    <w:rsid w:val="009529BA"/>
    <w:rsid w:val="0095439C"/>
    <w:rsid w:val="00960EEA"/>
    <w:rsid w:val="00961CAF"/>
    <w:rsid w:val="009629EF"/>
    <w:rsid w:val="00966863"/>
    <w:rsid w:val="009719C0"/>
    <w:rsid w:val="00972F17"/>
    <w:rsid w:val="009731EA"/>
    <w:rsid w:val="009733C8"/>
    <w:rsid w:val="009765CD"/>
    <w:rsid w:val="00977B23"/>
    <w:rsid w:val="0098066B"/>
    <w:rsid w:val="009812B1"/>
    <w:rsid w:val="0098179C"/>
    <w:rsid w:val="0098223B"/>
    <w:rsid w:val="009824E1"/>
    <w:rsid w:val="00983AAB"/>
    <w:rsid w:val="009841EB"/>
    <w:rsid w:val="00985EB2"/>
    <w:rsid w:val="00985EC6"/>
    <w:rsid w:val="00987A22"/>
    <w:rsid w:val="00991843"/>
    <w:rsid w:val="00992233"/>
    <w:rsid w:val="00992A36"/>
    <w:rsid w:val="00994ABB"/>
    <w:rsid w:val="00997F99"/>
    <w:rsid w:val="009A0426"/>
    <w:rsid w:val="009A0834"/>
    <w:rsid w:val="009A0D1B"/>
    <w:rsid w:val="009A3A63"/>
    <w:rsid w:val="009A6412"/>
    <w:rsid w:val="009A7C99"/>
    <w:rsid w:val="009B0F83"/>
    <w:rsid w:val="009B1F94"/>
    <w:rsid w:val="009B28EC"/>
    <w:rsid w:val="009B29B9"/>
    <w:rsid w:val="009B2ADF"/>
    <w:rsid w:val="009B3352"/>
    <w:rsid w:val="009B3987"/>
    <w:rsid w:val="009B51EB"/>
    <w:rsid w:val="009C0C31"/>
    <w:rsid w:val="009C12B8"/>
    <w:rsid w:val="009C14F6"/>
    <w:rsid w:val="009C2254"/>
    <w:rsid w:val="009C2F22"/>
    <w:rsid w:val="009C3023"/>
    <w:rsid w:val="009C34B7"/>
    <w:rsid w:val="009C4BAE"/>
    <w:rsid w:val="009C7C5F"/>
    <w:rsid w:val="009D0272"/>
    <w:rsid w:val="009D0652"/>
    <w:rsid w:val="009D10A3"/>
    <w:rsid w:val="009D14E5"/>
    <w:rsid w:val="009D17A0"/>
    <w:rsid w:val="009D1DBC"/>
    <w:rsid w:val="009D242A"/>
    <w:rsid w:val="009D25FB"/>
    <w:rsid w:val="009D2F2C"/>
    <w:rsid w:val="009D3B7D"/>
    <w:rsid w:val="009D7276"/>
    <w:rsid w:val="009D7825"/>
    <w:rsid w:val="009D7F7B"/>
    <w:rsid w:val="009E1EAE"/>
    <w:rsid w:val="009E273E"/>
    <w:rsid w:val="009E291C"/>
    <w:rsid w:val="009E2EB6"/>
    <w:rsid w:val="009E37FD"/>
    <w:rsid w:val="009E399D"/>
    <w:rsid w:val="009E3F1B"/>
    <w:rsid w:val="009E599F"/>
    <w:rsid w:val="009E64F7"/>
    <w:rsid w:val="009E695C"/>
    <w:rsid w:val="009F062E"/>
    <w:rsid w:val="009F1EF6"/>
    <w:rsid w:val="00A00607"/>
    <w:rsid w:val="00A00795"/>
    <w:rsid w:val="00A01AEE"/>
    <w:rsid w:val="00A0273B"/>
    <w:rsid w:val="00A0387D"/>
    <w:rsid w:val="00A055B5"/>
    <w:rsid w:val="00A05B2D"/>
    <w:rsid w:val="00A067A7"/>
    <w:rsid w:val="00A10A7F"/>
    <w:rsid w:val="00A12117"/>
    <w:rsid w:val="00A12AE4"/>
    <w:rsid w:val="00A13D50"/>
    <w:rsid w:val="00A15B77"/>
    <w:rsid w:val="00A16096"/>
    <w:rsid w:val="00A17CF0"/>
    <w:rsid w:val="00A231A1"/>
    <w:rsid w:val="00A30693"/>
    <w:rsid w:val="00A316AF"/>
    <w:rsid w:val="00A316F8"/>
    <w:rsid w:val="00A37B5F"/>
    <w:rsid w:val="00A40316"/>
    <w:rsid w:val="00A4236C"/>
    <w:rsid w:val="00A42E36"/>
    <w:rsid w:val="00A4340D"/>
    <w:rsid w:val="00A43E54"/>
    <w:rsid w:val="00A4514D"/>
    <w:rsid w:val="00A47858"/>
    <w:rsid w:val="00A53B25"/>
    <w:rsid w:val="00A53BFA"/>
    <w:rsid w:val="00A53C6D"/>
    <w:rsid w:val="00A53E04"/>
    <w:rsid w:val="00A60B40"/>
    <w:rsid w:val="00A614AE"/>
    <w:rsid w:val="00A66A76"/>
    <w:rsid w:val="00A67F29"/>
    <w:rsid w:val="00A71754"/>
    <w:rsid w:val="00A739F3"/>
    <w:rsid w:val="00A7413C"/>
    <w:rsid w:val="00A7418C"/>
    <w:rsid w:val="00A7693F"/>
    <w:rsid w:val="00A77C83"/>
    <w:rsid w:val="00A821DE"/>
    <w:rsid w:val="00A828F3"/>
    <w:rsid w:val="00A8430E"/>
    <w:rsid w:val="00A865E4"/>
    <w:rsid w:val="00A9056D"/>
    <w:rsid w:val="00A90733"/>
    <w:rsid w:val="00A90B55"/>
    <w:rsid w:val="00A94961"/>
    <w:rsid w:val="00A9674C"/>
    <w:rsid w:val="00A9724D"/>
    <w:rsid w:val="00A97393"/>
    <w:rsid w:val="00AA0782"/>
    <w:rsid w:val="00AA0C82"/>
    <w:rsid w:val="00AA173B"/>
    <w:rsid w:val="00AA17FA"/>
    <w:rsid w:val="00AA3341"/>
    <w:rsid w:val="00AB127A"/>
    <w:rsid w:val="00AB1975"/>
    <w:rsid w:val="00AB2B8C"/>
    <w:rsid w:val="00AB318F"/>
    <w:rsid w:val="00AB3F2D"/>
    <w:rsid w:val="00AB7376"/>
    <w:rsid w:val="00AC0CE7"/>
    <w:rsid w:val="00AC285D"/>
    <w:rsid w:val="00AC38EA"/>
    <w:rsid w:val="00AC6811"/>
    <w:rsid w:val="00AC71EC"/>
    <w:rsid w:val="00AC74A8"/>
    <w:rsid w:val="00AD0EAA"/>
    <w:rsid w:val="00AD0FB4"/>
    <w:rsid w:val="00AD120F"/>
    <w:rsid w:val="00AD1A52"/>
    <w:rsid w:val="00AD41A4"/>
    <w:rsid w:val="00AD4F69"/>
    <w:rsid w:val="00AD5BAD"/>
    <w:rsid w:val="00AD5BAE"/>
    <w:rsid w:val="00AD5DBC"/>
    <w:rsid w:val="00AD62E4"/>
    <w:rsid w:val="00AD709F"/>
    <w:rsid w:val="00AD7DB8"/>
    <w:rsid w:val="00AE0A82"/>
    <w:rsid w:val="00AE0A99"/>
    <w:rsid w:val="00AE1433"/>
    <w:rsid w:val="00AE1EC4"/>
    <w:rsid w:val="00AE33F5"/>
    <w:rsid w:val="00AE62F6"/>
    <w:rsid w:val="00AF04BD"/>
    <w:rsid w:val="00AF132E"/>
    <w:rsid w:val="00AF24B7"/>
    <w:rsid w:val="00AF62C1"/>
    <w:rsid w:val="00AF6446"/>
    <w:rsid w:val="00AF72C7"/>
    <w:rsid w:val="00B03028"/>
    <w:rsid w:val="00B034D0"/>
    <w:rsid w:val="00B03EE7"/>
    <w:rsid w:val="00B05D30"/>
    <w:rsid w:val="00B073F6"/>
    <w:rsid w:val="00B10F1A"/>
    <w:rsid w:val="00B130B8"/>
    <w:rsid w:val="00B13CA3"/>
    <w:rsid w:val="00B146EF"/>
    <w:rsid w:val="00B149F2"/>
    <w:rsid w:val="00B154BF"/>
    <w:rsid w:val="00B15680"/>
    <w:rsid w:val="00B15BA3"/>
    <w:rsid w:val="00B17C77"/>
    <w:rsid w:val="00B21197"/>
    <w:rsid w:val="00B21515"/>
    <w:rsid w:val="00B30C98"/>
    <w:rsid w:val="00B3160F"/>
    <w:rsid w:val="00B359C1"/>
    <w:rsid w:val="00B3781A"/>
    <w:rsid w:val="00B37A49"/>
    <w:rsid w:val="00B445F2"/>
    <w:rsid w:val="00B44930"/>
    <w:rsid w:val="00B45A18"/>
    <w:rsid w:val="00B46618"/>
    <w:rsid w:val="00B47640"/>
    <w:rsid w:val="00B47A04"/>
    <w:rsid w:val="00B507B8"/>
    <w:rsid w:val="00B50B76"/>
    <w:rsid w:val="00B51CDF"/>
    <w:rsid w:val="00B549C7"/>
    <w:rsid w:val="00B54B98"/>
    <w:rsid w:val="00B55953"/>
    <w:rsid w:val="00B55DF5"/>
    <w:rsid w:val="00B55E15"/>
    <w:rsid w:val="00B57591"/>
    <w:rsid w:val="00B60241"/>
    <w:rsid w:val="00B64DCF"/>
    <w:rsid w:val="00B659CE"/>
    <w:rsid w:val="00B6775B"/>
    <w:rsid w:val="00B70B52"/>
    <w:rsid w:val="00B70CD7"/>
    <w:rsid w:val="00B801E3"/>
    <w:rsid w:val="00B81172"/>
    <w:rsid w:val="00B839DA"/>
    <w:rsid w:val="00B84A52"/>
    <w:rsid w:val="00B850AF"/>
    <w:rsid w:val="00B866A5"/>
    <w:rsid w:val="00B876F1"/>
    <w:rsid w:val="00B91976"/>
    <w:rsid w:val="00B91AB5"/>
    <w:rsid w:val="00B934BF"/>
    <w:rsid w:val="00BA061B"/>
    <w:rsid w:val="00BA0B4F"/>
    <w:rsid w:val="00BA0BAB"/>
    <w:rsid w:val="00BA0EB5"/>
    <w:rsid w:val="00BA3ADE"/>
    <w:rsid w:val="00BA4062"/>
    <w:rsid w:val="00BA5F42"/>
    <w:rsid w:val="00BA681F"/>
    <w:rsid w:val="00BB0C1A"/>
    <w:rsid w:val="00BB0DFD"/>
    <w:rsid w:val="00BB4212"/>
    <w:rsid w:val="00BB6A0E"/>
    <w:rsid w:val="00BB6C57"/>
    <w:rsid w:val="00BC22D1"/>
    <w:rsid w:val="00BC24DE"/>
    <w:rsid w:val="00BC43AB"/>
    <w:rsid w:val="00BC43E1"/>
    <w:rsid w:val="00BD0227"/>
    <w:rsid w:val="00BD47BC"/>
    <w:rsid w:val="00BD4CE4"/>
    <w:rsid w:val="00BD500D"/>
    <w:rsid w:val="00BD557E"/>
    <w:rsid w:val="00BD5B3E"/>
    <w:rsid w:val="00BD66BE"/>
    <w:rsid w:val="00BD7E6A"/>
    <w:rsid w:val="00BE3684"/>
    <w:rsid w:val="00BE4600"/>
    <w:rsid w:val="00BE65DD"/>
    <w:rsid w:val="00BE784D"/>
    <w:rsid w:val="00BF377A"/>
    <w:rsid w:val="00BF3A38"/>
    <w:rsid w:val="00BF5B05"/>
    <w:rsid w:val="00BF6C9C"/>
    <w:rsid w:val="00C008D4"/>
    <w:rsid w:val="00C05A03"/>
    <w:rsid w:val="00C05DA1"/>
    <w:rsid w:val="00C10E19"/>
    <w:rsid w:val="00C12503"/>
    <w:rsid w:val="00C12BFE"/>
    <w:rsid w:val="00C16F26"/>
    <w:rsid w:val="00C20C62"/>
    <w:rsid w:val="00C22D9F"/>
    <w:rsid w:val="00C26AD5"/>
    <w:rsid w:val="00C27462"/>
    <w:rsid w:val="00C301B8"/>
    <w:rsid w:val="00C31BAD"/>
    <w:rsid w:val="00C31E06"/>
    <w:rsid w:val="00C3288D"/>
    <w:rsid w:val="00C33C85"/>
    <w:rsid w:val="00C35461"/>
    <w:rsid w:val="00C356A8"/>
    <w:rsid w:val="00C41852"/>
    <w:rsid w:val="00C41BF1"/>
    <w:rsid w:val="00C47D48"/>
    <w:rsid w:val="00C537DF"/>
    <w:rsid w:val="00C602C2"/>
    <w:rsid w:val="00C6456E"/>
    <w:rsid w:val="00C678C8"/>
    <w:rsid w:val="00C725FA"/>
    <w:rsid w:val="00C7421B"/>
    <w:rsid w:val="00C80CDD"/>
    <w:rsid w:val="00C82A93"/>
    <w:rsid w:val="00C838F8"/>
    <w:rsid w:val="00C841F9"/>
    <w:rsid w:val="00C847C9"/>
    <w:rsid w:val="00C867BA"/>
    <w:rsid w:val="00C87D74"/>
    <w:rsid w:val="00C9614B"/>
    <w:rsid w:val="00C962CA"/>
    <w:rsid w:val="00CA0B47"/>
    <w:rsid w:val="00CA18A4"/>
    <w:rsid w:val="00CA1F9E"/>
    <w:rsid w:val="00CA2C4B"/>
    <w:rsid w:val="00CA4578"/>
    <w:rsid w:val="00CA4816"/>
    <w:rsid w:val="00CA6C3F"/>
    <w:rsid w:val="00CB0634"/>
    <w:rsid w:val="00CB3036"/>
    <w:rsid w:val="00CB3C9F"/>
    <w:rsid w:val="00CB4504"/>
    <w:rsid w:val="00CB4552"/>
    <w:rsid w:val="00CB507A"/>
    <w:rsid w:val="00CB5B1B"/>
    <w:rsid w:val="00CB6DA3"/>
    <w:rsid w:val="00CB75AC"/>
    <w:rsid w:val="00CB76FF"/>
    <w:rsid w:val="00CC1A71"/>
    <w:rsid w:val="00CC3764"/>
    <w:rsid w:val="00CC3D03"/>
    <w:rsid w:val="00CC519E"/>
    <w:rsid w:val="00CC5FF4"/>
    <w:rsid w:val="00CC7676"/>
    <w:rsid w:val="00CD02DE"/>
    <w:rsid w:val="00CD0BF7"/>
    <w:rsid w:val="00CD3B61"/>
    <w:rsid w:val="00CD4185"/>
    <w:rsid w:val="00CD4C4F"/>
    <w:rsid w:val="00CD56B6"/>
    <w:rsid w:val="00CD6631"/>
    <w:rsid w:val="00CE0E97"/>
    <w:rsid w:val="00CE13D8"/>
    <w:rsid w:val="00CE2F06"/>
    <w:rsid w:val="00CE4AED"/>
    <w:rsid w:val="00CE4FFF"/>
    <w:rsid w:val="00CE57A9"/>
    <w:rsid w:val="00CE59E3"/>
    <w:rsid w:val="00CE6259"/>
    <w:rsid w:val="00CE763A"/>
    <w:rsid w:val="00CE7905"/>
    <w:rsid w:val="00CE7D49"/>
    <w:rsid w:val="00CE7EA7"/>
    <w:rsid w:val="00CF115D"/>
    <w:rsid w:val="00CF51FF"/>
    <w:rsid w:val="00CF5603"/>
    <w:rsid w:val="00CF57B3"/>
    <w:rsid w:val="00CF7270"/>
    <w:rsid w:val="00D010EE"/>
    <w:rsid w:val="00D01D3A"/>
    <w:rsid w:val="00D04869"/>
    <w:rsid w:val="00D05EE2"/>
    <w:rsid w:val="00D06466"/>
    <w:rsid w:val="00D069CE"/>
    <w:rsid w:val="00D06F3C"/>
    <w:rsid w:val="00D06FE8"/>
    <w:rsid w:val="00D07A42"/>
    <w:rsid w:val="00D10707"/>
    <w:rsid w:val="00D1179B"/>
    <w:rsid w:val="00D11E30"/>
    <w:rsid w:val="00D12534"/>
    <w:rsid w:val="00D1284D"/>
    <w:rsid w:val="00D21A11"/>
    <w:rsid w:val="00D21BB7"/>
    <w:rsid w:val="00D21F42"/>
    <w:rsid w:val="00D22210"/>
    <w:rsid w:val="00D267B0"/>
    <w:rsid w:val="00D26C08"/>
    <w:rsid w:val="00D26C21"/>
    <w:rsid w:val="00D3123E"/>
    <w:rsid w:val="00D3445D"/>
    <w:rsid w:val="00D3704E"/>
    <w:rsid w:val="00D37FB0"/>
    <w:rsid w:val="00D4056F"/>
    <w:rsid w:val="00D412EA"/>
    <w:rsid w:val="00D43EE3"/>
    <w:rsid w:val="00D43F56"/>
    <w:rsid w:val="00D45936"/>
    <w:rsid w:val="00D46681"/>
    <w:rsid w:val="00D46F93"/>
    <w:rsid w:val="00D4717C"/>
    <w:rsid w:val="00D472CF"/>
    <w:rsid w:val="00D50171"/>
    <w:rsid w:val="00D537C5"/>
    <w:rsid w:val="00D55828"/>
    <w:rsid w:val="00D55A8A"/>
    <w:rsid w:val="00D574C0"/>
    <w:rsid w:val="00D603A8"/>
    <w:rsid w:val="00D616C2"/>
    <w:rsid w:val="00D61733"/>
    <w:rsid w:val="00D621FE"/>
    <w:rsid w:val="00D6388C"/>
    <w:rsid w:val="00D641D3"/>
    <w:rsid w:val="00D65A21"/>
    <w:rsid w:val="00D70BB1"/>
    <w:rsid w:val="00D71FA8"/>
    <w:rsid w:val="00D74AA0"/>
    <w:rsid w:val="00D77113"/>
    <w:rsid w:val="00D77C30"/>
    <w:rsid w:val="00D80BE5"/>
    <w:rsid w:val="00D812E0"/>
    <w:rsid w:val="00D815F0"/>
    <w:rsid w:val="00D85E51"/>
    <w:rsid w:val="00D8640C"/>
    <w:rsid w:val="00D869D5"/>
    <w:rsid w:val="00D87C3A"/>
    <w:rsid w:val="00D87E6F"/>
    <w:rsid w:val="00D90334"/>
    <w:rsid w:val="00D94697"/>
    <w:rsid w:val="00D974C9"/>
    <w:rsid w:val="00DA2166"/>
    <w:rsid w:val="00DA3B79"/>
    <w:rsid w:val="00DA4293"/>
    <w:rsid w:val="00DA511A"/>
    <w:rsid w:val="00DA586A"/>
    <w:rsid w:val="00DA68DB"/>
    <w:rsid w:val="00DB04F3"/>
    <w:rsid w:val="00DB0AC9"/>
    <w:rsid w:val="00DB0FA7"/>
    <w:rsid w:val="00DB1F5C"/>
    <w:rsid w:val="00DB2D8E"/>
    <w:rsid w:val="00DB2E0D"/>
    <w:rsid w:val="00DB39EE"/>
    <w:rsid w:val="00DB3B8A"/>
    <w:rsid w:val="00DC0BA7"/>
    <w:rsid w:val="00DC0CEA"/>
    <w:rsid w:val="00DC1D3B"/>
    <w:rsid w:val="00DC2088"/>
    <w:rsid w:val="00DC42FC"/>
    <w:rsid w:val="00DC668C"/>
    <w:rsid w:val="00DD0FF6"/>
    <w:rsid w:val="00DD1C02"/>
    <w:rsid w:val="00DD3081"/>
    <w:rsid w:val="00DD4877"/>
    <w:rsid w:val="00DD534E"/>
    <w:rsid w:val="00DD60ED"/>
    <w:rsid w:val="00DE0A4F"/>
    <w:rsid w:val="00DE37E5"/>
    <w:rsid w:val="00DE4492"/>
    <w:rsid w:val="00DE772E"/>
    <w:rsid w:val="00DF2426"/>
    <w:rsid w:val="00DF2E9A"/>
    <w:rsid w:val="00DF4410"/>
    <w:rsid w:val="00DF4F5C"/>
    <w:rsid w:val="00DF525D"/>
    <w:rsid w:val="00DF7C18"/>
    <w:rsid w:val="00E00835"/>
    <w:rsid w:val="00E0190D"/>
    <w:rsid w:val="00E11698"/>
    <w:rsid w:val="00E124D9"/>
    <w:rsid w:val="00E140C8"/>
    <w:rsid w:val="00E14379"/>
    <w:rsid w:val="00E1468D"/>
    <w:rsid w:val="00E14F20"/>
    <w:rsid w:val="00E16046"/>
    <w:rsid w:val="00E17405"/>
    <w:rsid w:val="00E202FA"/>
    <w:rsid w:val="00E223F1"/>
    <w:rsid w:val="00E22FBE"/>
    <w:rsid w:val="00E2351D"/>
    <w:rsid w:val="00E24776"/>
    <w:rsid w:val="00E24959"/>
    <w:rsid w:val="00E25642"/>
    <w:rsid w:val="00E25B04"/>
    <w:rsid w:val="00E32641"/>
    <w:rsid w:val="00E32700"/>
    <w:rsid w:val="00E41DD1"/>
    <w:rsid w:val="00E42164"/>
    <w:rsid w:val="00E42EB4"/>
    <w:rsid w:val="00E43EEA"/>
    <w:rsid w:val="00E4574A"/>
    <w:rsid w:val="00E46775"/>
    <w:rsid w:val="00E47A29"/>
    <w:rsid w:val="00E5121F"/>
    <w:rsid w:val="00E51B5F"/>
    <w:rsid w:val="00E51C99"/>
    <w:rsid w:val="00E5323F"/>
    <w:rsid w:val="00E54648"/>
    <w:rsid w:val="00E554FE"/>
    <w:rsid w:val="00E556A5"/>
    <w:rsid w:val="00E5683D"/>
    <w:rsid w:val="00E61C5B"/>
    <w:rsid w:val="00E61C95"/>
    <w:rsid w:val="00E6295B"/>
    <w:rsid w:val="00E62BB4"/>
    <w:rsid w:val="00E66790"/>
    <w:rsid w:val="00E705F1"/>
    <w:rsid w:val="00E70D48"/>
    <w:rsid w:val="00E71FF5"/>
    <w:rsid w:val="00E72908"/>
    <w:rsid w:val="00E72915"/>
    <w:rsid w:val="00E72BC5"/>
    <w:rsid w:val="00E72FF3"/>
    <w:rsid w:val="00E73990"/>
    <w:rsid w:val="00E74064"/>
    <w:rsid w:val="00E74428"/>
    <w:rsid w:val="00E74B65"/>
    <w:rsid w:val="00E7532E"/>
    <w:rsid w:val="00E7614D"/>
    <w:rsid w:val="00E769C8"/>
    <w:rsid w:val="00E80E77"/>
    <w:rsid w:val="00E81EEC"/>
    <w:rsid w:val="00E827E1"/>
    <w:rsid w:val="00E83C65"/>
    <w:rsid w:val="00E853AC"/>
    <w:rsid w:val="00E85B36"/>
    <w:rsid w:val="00E85DD1"/>
    <w:rsid w:val="00E87501"/>
    <w:rsid w:val="00E87B36"/>
    <w:rsid w:val="00E94409"/>
    <w:rsid w:val="00EA3DC8"/>
    <w:rsid w:val="00EB0CD8"/>
    <w:rsid w:val="00EB3303"/>
    <w:rsid w:val="00EB484E"/>
    <w:rsid w:val="00EB6AD0"/>
    <w:rsid w:val="00EB76B1"/>
    <w:rsid w:val="00EC0918"/>
    <w:rsid w:val="00EC1313"/>
    <w:rsid w:val="00EC253F"/>
    <w:rsid w:val="00EC426B"/>
    <w:rsid w:val="00EC7041"/>
    <w:rsid w:val="00ED1734"/>
    <w:rsid w:val="00ED208F"/>
    <w:rsid w:val="00ED394E"/>
    <w:rsid w:val="00ED44B0"/>
    <w:rsid w:val="00EE0130"/>
    <w:rsid w:val="00EE10B3"/>
    <w:rsid w:val="00EE61B2"/>
    <w:rsid w:val="00EE627A"/>
    <w:rsid w:val="00EE71F4"/>
    <w:rsid w:val="00EF1EDB"/>
    <w:rsid w:val="00EF22B3"/>
    <w:rsid w:val="00EF2F2D"/>
    <w:rsid w:val="00EF3F89"/>
    <w:rsid w:val="00F0013D"/>
    <w:rsid w:val="00F0033D"/>
    <w:rsid w:val="00F01EDA"/>
    <w:rsid w:val="00F063F8"/>
    <w:rsid w:val="00F06FC0"/>
    <w:rsid w:val="00F103B5"/>
    <w:rsid w:val="00F10F31"/>
    <w:rsid w:val="00F131EA"/>
    <w:rsid w:val="00F1339B"/>
    <w:rsid w:val="00F1344D"/>
    <w:rsid w:val="00F14569"/>
    <w:rsid w:val="00F14821"/>
    <w:rsid w:val="00F15381"/>
    <w:rsid w:val="00F157AB"/>
    <w:rsid w:val="00F15ACE"/>
    <w:rsid w:val="00F15D2F"/>
    <w:rsid w:val="00F15D5A"/>
    <w:rsid w:val="00F17595"/>
    <w:rsid w:val="00F1763B"/>
    <w:rsid w:val="00F22725"/>
    <w:rsid w:val="00F236F5"/>
    <w:rsid w:val="00F2492C"/>
    <w:rsid w:val="00F25172"/>
    <w:rsid w:val="00F31280"/>
    <w:rsid w:val="00F35E9F"/>
    <w:rsid w:val="00F3715F"/>
    <w:rsid w:val="00F40658"/>
    <w:rsid w:val="00F42D4F"/>
    <w:rsid w:val="00F43DF8"/>
    <w:rsid w:val="00F50435"/>
    <w:rsid w:val="00F51625"/>
    <w:rsid w:val="00F5321A"/>
    <w:rsid w:val="00F535A1"/>
    <w:rsid w:val="00F54444"/>
    <w:rsid w:val="00F57585"/>
    <w:rsid w:val="00F605AB"/>
    <w:rsid w:val="00F607BD"/>
    <w:rsid w:val="00F636F9"/>
    <w:rsid w:val="00F63A6F"/>
    <w:rsid w:val="00F63DC7"/>
    <w:rsid w:val="00F63DF6"/>
    <w:rsid w:val="00F65233"/>
    <w:rsid w:val="00F65CB0"/>
    <w:rsid w:val="00F714F9"/>
    <w:rsid w:val="00F71767"/>
    <w:rsid w:val="00F7280B"/>
    <w:rsid w:val="00F73707"/>
    <w:rsid w:val="00F73A08"/>
    <w:rsid w:val="00F7407C"/>
    <w:rsid w:val="00F7432A"/>
    <w:rsid w:val="00F75B29"/>
    <w:rsid w:val="00F76657"/>
    <w:rsid w:val="00F76F4B"/>
    <w:rsid w:val="00F7799B"/>
    <w:rsid w:val="00F82583"/>
    <w:rsid w:val="00F842C8"/>
    <w:rsid w:val="00F84D63"/>
    <w:rsid w:val="00F878FA"/>
    <w:rsid w:val="00F922A6"/>
    <w:rsid w:val="00F954D9"/>
    <w:rsid w:val="00FA0B33"/>
    <w:rsid w:val="00FA16DA"/>
    <w:rsid w:val="00FA3476"/>
    <w:rsid w:val="00FA3EF7"/>
    <w:rsid w:val="00FA4DB7"/>
    <w:rsid w:val="00FA7DA8"/>
    <w:rsid w:val="00FB38CA"/>
    <w:rsid w:val="00FB48BB"/>
    <w:rsid w:val="00FC0371"/>
    <w:rsid w:val="00FC4359"/>
    <w:rsid w:val="00FC6100"/>
    <w:rsid w:val="00FC6AB1"/>
    <w:rsid w:val="00FD0169"/>
    <w:rsid w:val="00FD0694"/>
    <w:rsid w:val="00FD17B4"/>
    <w:rsid w:val="00FD1C9B"/>
    <w:rsid w:val="00FD4AD8"/>
    <w:rsid w:val="00FD50AC"/>
    <w:rsid w:val="00FE06B7"/>
    <w:rsid w:val="00FE2DB0"/>
    <w:rsid w:val="00FE5CE0"/>
    <w:rsid w:val="00FF0084"/>
    <w:rsid w:val="00FF3B0B"/>
    <w:rsid w:val="00FF679A"/>
    <w:rsid w:val="00FF7E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4D64EC0-7E47-48FE-8FA3-093C68C2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7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8367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83670"/>
    <w:pPr>
      <w:keepNext/>
      <w:numPr>
        <w:ilvl w:val="1"/>
        <w:numId w:val="2"/>
      </w:numPr>
      <w:spacing w:after="120"/>
      <w:outlineLvl w:val="1"/>
    </w:pPr>
    <w:rPr>
      <w:b/>
    </w:rPr>
  </w:style>
  <w:style w:type="paragraph" w:styleId="Heading3">
    <w:name w:val="heading 3"/>
    <w:basedOn w:val="Normal"/>
    <w:next w:val="ParaNum"/>
    <w:link w:val="Heading3Char"/>
    <w:qFormat/>
    <w:rsid w:val="0068367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8367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8367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8367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8367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8367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8367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36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670"/>
  </w:style>
  <w:style w:type="character" w:customStyle="1" w:styleId="Heading1Char">
    <w:name w:val="Heading 1 Char"/>
    <w:basedOn w:val="DefaultParagraphFont"/>
    <w:link w:val="Heading1"/>
    <w:rsid w:val="00F15AC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316F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F15AC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F15AC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F15AC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F15AC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F15AC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F15AC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F15AC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683670"/>
    <w:pPr>
      <w:numPr>
        <w:numId w:val="1"/>
      </w:numPr>
      <w:tabs>
        <w:tab w:val="clear" w:pos="1080"/>
        <w:tab w:val="num" w:pos="1440"/>
      </w:tabs>
      <w:spacing w:after="120"/>
    </w:p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2"/>
    <w:rsid w:val="0068367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 Char1,Footnote Text Char Char Char Char Char1,Footnote Text Char Char Char1,Footnote Text Char1 Char Char Char Char Char1,Footnote Text Char1 Char Char Char1,Footnote Text Char1 Char1"/>
    <w:basedOn w:val="DefaultParagraphFont"/>
    <w:uiPriority w:val="99"/>
    <w:rsid w:val="00F15ACE"/>
    <w:rPr>
      <w:rFonts w:ascii="Times New Roman" w:eastAsia="Times New Roman" w:hAnsi="Times New Roman" w:cs="Times New Roman"/>
      <w:snapToGrid w:val="0"/>
      <w:kern w:val="28"/>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F15ACE"/>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83670"/>
    <w:rPr>
      <w:rFonts w:ascii="Times New Roman" w:hAnsi="Times New Roman"/>
      <w:dstrike w:val="0"/>
      <w:color w:val="auto"/>
      <w:sz w:val="20"/>
      <w:vertAlign w:val="superscript"/>
    </w:rPr>
  </w:style>
  <w:style w:type="paragraph" w:styleId="Header">
    <w:name w:val="header"/>
    <w:basedOn w:val="Normal"/>
    <w:link w:val="HeaderChar"/>
    <w:autoRedefine/>
    <w:rsid w:val="00683670"/>
    <w:pPr>
      <w:tabs>
        <w:tab w:val="center" w:pos="4680"/>
        <w:tab w:val="right" w:pos="9360"/>
      </w:tabs>
    </w:pPr>
    <w:rPr>
      <w:b/>
    </w:rPr>
  </w:style>
  <w:style w:type="character" w:customStyle="1" w:styleId="HeaderChar">
    <w:name w:val="Header Char"/>
    <w:basedOn w:val="DefaultParagraphFont"/>
    <w:link w:val="Header"/>
    <w:rsid w:val="00F15ACE"/>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683670"/>
    <w:pPr>
      <w:tabs>
        <w:tab w:val="center" w:pos="4320"/>
        <w:tab w:val="right" w:pos="8640"/>
      </w:tabs>
    </w:pPr>
  </w:style>
  <w:style w:type="character" w:customStyle="1" w:styleId="FooterChar">
    <w:name w:val="Footer Char"/>
    <w:link w:val="Footer"/>
    <w:uiPriority w:val="99"/>
    <w:rsid w:val="00683670"/>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683670"/>
    <w:pPr>
      <w:jc w:val="center"/>
    </w:pPr>
    <w:rPr>
      <w:rFonts w:ascii="Times New Roman Bold" w:hAnsi="Times New Roman Bold"/>
      <w:b/>
      <w:bCs/>
      <w:caps/>
      <w:szCs w:val="22"/>
    </w:rPr>
  </w:style>
  <w:style w:type="character" w:customStyle="1" w:styleId="ParaNumChar">
    <w:name w:val="ParaNum Char"/>
    <w:link w:val="ParaNum"/>
    <w:locked/>
    <w:rsid w:val="00F15ACE"/>
    <w:rPr>
      <w:rFonts w:ascii="Times New Roman" w:eastAsia="Times New Roman" w:hAnsi="Times New Roman" w:cs="Times New Roman"/>
      <w:snapToGrid w:val="0"/>
      <w:kern w:val="28"/>
      <w:szCs w:val="20"/>
    </w:rPr>
  </w:style>
  <w:style w:type="paragraph" w:styleId="ListParagraph">
    <w:name w:val="List Paragraph"/>
    <w:basedOn w:val="Normal"/>
    <w:uiPriority w:val="99"/>
    <w:qFormat/>
    <w:rsid w:val="00F15ACE"/>
    <w:pPr>
      <w:ind w:left="720"/>
      <w:contextualSpacing/>
    </w:pPr>
    <w:rPr>
      <w:snapToGrid/>
    </w:rPr>
  </w:style>
  <w:style w:type="paragraph" w:customStyle="1" w:styleId="par1">
    <w:name w:val="par1"/>
    <w:basedOn w:val="Normal"/>
    <w:link w:val="par1Char"/>
    <w:uiPriority w:val="99"/>
    <w:rsid w:val="00F15ACE"/>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F15ACE"/>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162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52"/>
    <w:rPr>
      <w:rFonts w:ascii="Segoe UI" w:eastAsia="Times New Roman" w:hAnsi="Segoe UI" w:cs="Segoe UI"/>
      <w:snapToGrid w:val="0"/>
      <w:kern w:val="28"/>
      <w:sz w:val="18"/>
      <w:szCs w:val="18"/>
    </w:rPr>
  </w:style>
  <w:style w:type="character" w:styleId="Emphasis">
    <w:name w:val="Emphasis"/>
    <w:basedOn w:val="DefaultParagraphFont"/>
    <w:uiPriority w:val="20"/>
    <w:qFormat/>
    <w:rsid w:val="00B850AF"/>
    <w:rPr>
      <w:i/>
      <w:iCs/>
    </w:rPr>
  </w:style>
  <w:style w:type="character" w:styleId="Hyperlink">
    <w:name w:val="Hyperlink"/>
    <w:rsid w:val="00683670"/>
    <w:rPr>
      <w:color w:val="0000FF"/>
      <w:u w:val="single"/>
    </w:rPr>
  </w:style>
  <w:style w:type="character" w:customStyle="1" w:styleId="costarpage">
    <w:name w:val="co_starpage"/>
    <w:basedOn w:val="DefaultParagraphFont"/>
    <w:rsid w:val="00B850AF"/>
  </w:style>
  <w:style w:type="paragraph" w:styleId="Revision">
    <w:name w:val="Revision"/>
    <w:hidden/>
    <w:uiPriority w:val="99"/>
    <w:semiHidden/>
    <w:rsid w:val="00B850AF"/>
    <w:pPr>
      <w:spacing w:after="0" w:line="240" w:lineRule="auto"/>
    </w:pPr>
    <w:rPr>
      <w:rFonts w:ascii="Times New Roman" w:eastAsia="Times New Roman" w:hAnsi="Times New Roman" w:cs="Times New Roman"/>
      <w:snapToGrid w:val="0"/>
      <w:kern w:val="28"/>
      <w:szCs w:val="20"/>
    </w:rPr>
  </w:style>
  <w:style w:type="character" w:customStyle="1" w:styleId="coconcept113">
    <w:name w:val="co_concept_1_13"/>
    <w:basedOn w:val="DefaultParagraphFont"/>
    <w:rsid w:val="009372B4"/>
  </w:style>
  <w:style w:type="character" w:customStyle="1" w:styleId="copinpointicon">
    <w:name w:val="co_pinpointicon"/>
    <w:basedOn w:val="DefaultParagraphFont"/>
    <w:rsid w:val="009372B4"/>
  </w:style>
  <w:style w:type="character" w:customStyle="1" w:styleId="coconcept1827">
    <w:name w:val="co_concept_18_27"/>
    <w:basedOn w:val="DefaultParagraphFont"/>
    <w:rsid w:val="009372B4"/>
  </w:style>
  <w:style w:type="character" w:customStyle="1" w:styleId="rrfootnoteCharCharChar">
    <w:name w:val="rrfootnote Char Char Char"/>
    <w:aliases w:val="Style 5 Char Char Char,fn Char"/>
    <w:locked/>
    <w:rsid w:val="00FA16DA"/>
  </w:style>
  <w:style w:type="character" w:styleId="CommentReference">
    <w:name w:val="annotation reference"/>
    <w:basedOn w:val="DefaultParagraphFont"/>
    <w:uiPriority w:val="99"/>
    <w:unhideWhenUsed/>
    <w:rsid w:val="00E74B65"/>
    <w:rPr>
      <w:sz w:val="16"/>
      <w:szCs w:val="16"/>
    </w:rPr>
  </w:style>
  <w:style w:type="paragraph" w:styleId="CommentText">
    <w:name w:val="annotation text"/>
    <w:basedOn w:val="Normal"/>
    <w:link w:val="CommentTextChar"/>
    <w:uiPriority w:val="99"/>
    <w:unhideWhenUsed/>
    <w:rsid w:val="00E74B65"/>
    <w:rPr>
      <w:sz w:val="20"/>
    </w:rPr>
  </w:style>
  <w:style w:type="character" w:customStyle="1" w:styleId="CommentTextChar">
    <w:name w:val="Comment Text Char"/>
    <w:basedOn w:val="DefaultParagraphFont"/>
    <w:link w:val="CommentText"/>
    <w:uiPriority w:val="99"/>
    <w:rsid w:val="00E74B65"/>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E74B65"/>
    <w:rPr>
      <w:b/>
      <w:bCs/>
    </w:rPr>
  </w:style>
  <w:style w:type="character" w:customStyle="1" w:styleId="CommentSubjectChar">
    <w:name w:val="Comment Subject Char"/>
    <w:basedOn w:val="CommentTextChar"/>
    <w:link w:val="CommentSubject"/>
    <w:uiPriority w:val="99"/>
    <w:semiHidden/>
    <w:rsid w:val="00E74B65"/>
    <w:rPr>
      <w:rFonts w:ascii="Times New Roman" w:eastAsia="Times New Roman" w:hAnsi="Times New Roman" w:cs="Times New Roman"/>
      <w:b/>
      <w:bCs/>
      <w:snapToGrid w:val="0"/>
      <w:kern w:val="28"/>
      <w:sz w:val="20"/>
      <w:szCs w:val="20"/>
    </w:rPr>
  </w:style>
  <w:style w:type="character" w:customStyle="1" w:styleId="sssh">
    <w:name w:val="ss_sh"/>
    <w:basedOn w:val="DefaultParagraphFont"/>
    <w:rsid w:val="0042480B"/>
  </w:style>
  <w:style w:type="character" w:customStyle="1" w:styleId="ssit">
    <w:name w:val="ss_it"/>
    <w:basedOn w:val="DefaultParagraphFont"/>
    <w:rsid w:val="00627D07"/>
  </w:style>
  <w:style w:type="character" w:customStyle="1" w:styleId="cosearchterm">
    <w:name w:val="co_searchterm"/>
    <w:basedOn w:val="DefaultParagraphFont"/>
    <w:rsid w:val="006F7A44"/>
  </w:style>
  <w:style w:type="paragraph" w:styleId="EndnoteText">
    <w:name w:val="endnote text"/>
    <w:basedOn w:val="Normal"/>
    <w:link w:val="EndnoteTextChar"/>
    <w:semiHidden/>
    <w:rsid w:val="00683670"/>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napToGrid w:val="0"/>
      <w:kern w:val="28"/>
      <w:sz w:val="20"/>
      <w:szCs w:val="20"/>
    </w:rPr>
  </w:style>
  <w:style w:type="character" w:styleId="EndnoteReference">
    <w:name w:val="endnote reference"/>
    <w:semiHidden/>
    <w:rsid w:val="00683670"/>
    <w:rPr>
      <w:vertAlign w:val="superscript"/>
    </w:rPr>
  </w:style>
  <w:style w:type="paragraph" w:styleId="TOC1">
    <w:name w:val="toc 1"/>
    <w:basedOn w:val="Normal"/>
    <w:next w:val="Normal"/>
    <w:semiHidden/>
    <w:rsid w:val="0068367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83670"/>
    <w:pPr>
      <w:tabs>
        <w:tab w:val="left" w:pos="720"/>
        <w:tab w:val="right" w:leader="dot" w:pos="9360"/>
      </w:tabs>
      <w:suppressAutoHyphens/>
      <w:ind w:left="720" w:right="720" w:hanging="360"/>
    </w:pPr>
    <w:rPr>
      <w:noProof/>
    </w:rPr>
  </w:style>
  <w:style w:type="paragraph" w:styleId="TOC3">
    <w:name w:val="toc 3"/>
    <w:basedOn w:val="Normal"/>
    <w:next w:val="Normal"/>
    <w:semiHidden/>
    <w:rsid w:val="006836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36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36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36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36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36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367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3670"/>
    <w:pPr>
      <w:tabs>
        <w:tab w:val="right" w:pos="9360"/>
      </w:tabs>
      <w:suppressAutoHyphens/>
    </w:pPr>
  </w:style>
  <w:style w:type="character" w:customStyle="1" w:styleId="EquationCaption">
    <w:name w:val="_Equation Caption"/>
    <w:rsid w:val="00683670"/>
  </w:style>
  <w:style w:type="character" w:styleId="PageNumber">
    <w:name w:val="page number"/>
    <w:basedOn w:val="DefaultParagraphFont"/>
    <w:rsid w:val="00683670"/>
  </w:style>
  <w:style w:type="paragraph" w:styleId="BlockText">
    <w:name w:val="Block Text"/>
    <w:basedOn w:val="Normal"/>
    <w:rsid w:val="00683670"/>
    <w:pPr>
      <w:spacing w:after="240"/>
      <w:ind w:left="1440" w:right="1440"/>
    </w:pPr>
  </w:style>
  <w:style w:type="paragraph" w:customStyle="1" w:styleId="Paratitle">
    <w:name w:val="Para title"/>
    <w:basedOn w:val="Normal"/>
    <w:rsid w:val="00683670"/>
    <w:pPr>
      <w:tabs>
        <w:tab w:val="center" w:pos="9270"/>
      </w:tabs>
      <w:spacing w:after="240"/>
    </w:pPr>
    <w:rPr>
      <w:spacing w:val="-2"/>
    </w:rPr>
  </w:style>
  <w:style w:type="paragraph" w:customStyle="1" w:styleId="Bullet">
    <w:name w:val="Bullet"/>
    <w:basedOn w:val="Normal"/>
    <w:rsid w:val="00683670"/>
    <w:pPr>
      <w:tabs>
        <w:tab w:val="left" w:pos="2160"/>
      </w:tabs>
      <w:spacing w:after="220"/>
      <w:ind w:left="2160" w:hanging="720"/>
    </w:pPr>
  </w:style>
  <w:style w:type="paragraph" w:customStyle="1" w:styleId="TableFormat">
    <w:name w:val="TableFormat"/>
    <w:basedOn w:val="Bullet"/>
    <w:rsid w:val="00683670"/>
    <w:pPr>
      <w:tabs>
        <w:tab w:val="clear" w:pos="2160"/>
        <w:tab w:val="left" w:pos="5040"/>
      </w:tabs>
      <w:ind w:left="5040" w:hanging="3600"/>
    </w:pPr>
  </w:style>
  <w:style w:type="paragraph" w:customStyle="1" w:styleId="TOCTitle">
    <w:name w:val="TOC Title"/>
    <w:basedOn w:val="Normal"/>
    <w:rsid w:val="00683670"/>
    <w:pPr>
      <w:spacing w:before="240" w:after="240"/>
      <w:jc w:val="center"/>
    </w:pPr>
    <w:rPr>
      <w:rFonts w:ascii="Times New Roman Bold" w:hAnsi="Times New Roman Bold"/>
      <w:b/>
      <w:caps/>
      <w:spacing w:val="-2"/>
    </w:rPr>
  </w:style>
  <w:style w:type="paragraph" w:styleId="NormalWeb">
    <w:name w:val="Normal (Web)"/>
    <w:basedOn w:val="Normal"/>
    <w:uiPriority w:val="99"/>
    <w:semiHidden/>
    <w:unhideWhenUsed/>
    <w:rsid w:val="000E5156"/>
    <w:pPr>
      <w:widowControl/>
      <w:spacing w:before="100" w:beforeAutospacing="1" w:after="100" w:afterAutospacing="1"/>
    </w:pPr>
    <w:rPr>
      <w:snapToGrid/>
      <w:kern w:val="0"/>
      <w:sz w:val="24"/>
      <w:szCs w:val="24"/>
    </w:rPr>
  </w:style>
  <w:style w:type="character" w:customStyle="1" w:styleId="coconcept2024">
    <w:name w:val="co_concept_20_24"/>
    <w:basedOn w:val="DefaultParagraphFont"/>
    <w:rsid w:val="007B60BE"/>
  </w:style>
  <w:style w:type="character" w:customStyle="1" w:styleId="coconcept115">
    <w:name w:val="co_concept_1_15"/>
    <w:basedOn w:val="DefaultParagraphFont"/>
    <w:rsid w:val="007B60BE"/>
  </w:style>
  <w:style w:type="character" w:customStyle="1" w:styleId="coconcept2934">
    <w:name w:val="co_concept_29_34"/>
    <w:basedOn w:val="DefaultParagraphFont"/>
    <w:rsid w:val="007B60BE"/>
  </w:style>
  <w:style w:type="character" w:customStyle="1" w:styleId="item-value">
    <w:name w:val="item-value"/>
    <w:basedOn w:val="DefaultParagraphFont"/>
    <w:rsid w:val="0019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joy.ragsdale@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